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D6B4">
      <w:pPr>
        <w:rPr>
          <w:rFonts w:hint="eastAsia" w:ascii="仿宋_GB2312" w:hAnsi="仿宋_GB2312" w:eastAsia="仿宋_GB2312" w:cs="仿宋_GB2312"/>
          <w:sz w:val="36"/>
          <w:szCs w:val="36"/>
          <w:lang w:eastAsia="zh-CN"/>
        </w:rPr>
      </w:pPr>
    </w:p>
    <w:p w14:paraId="23CF8D80">
      <w:pPr>
        <w:rPr>
          <w:rFonts w:ascii="仿宋_GB2312" w:hAnsi="仿宋_GB2312" w:eastAsia="仿宋_GB2312" w:cs="仿宋_GB2312"/>
          <w:sz w:val="36"/>
          <w:szCs w:val="36"/>
        </w:rPr>
      </w:pPr>
    </w:p>
    <w:p w14:paraId="0AEBD6EA">
      <w:pPr>
        <w:rPr>
          <w:rFonts w:hint="eastAsia" w:ascii="仿宋_GB2312" w:hAnsi="仿宋_GB2312" w:eastAsia="仿宋_GB2312" w:cs="仿宋_GB2312"/>
          <w:sz w:val="36"/>
          <w:szCs w:val="36"/>
        </w:rPr>
      </w:pPr>
    </w:p>
    <w:p w14:paraId="7048CE38">
      <w:pPr>
        <w:adjustRightInd w:val="0"/>
        <w:snapToGrid w:val="0"/>
        <w:spacing w:before="192" w:beforeLines="80"/>
        <w:jc w:val="center"/>
        <w:rPr>
          <w:rFonts w:hint="eastAsia" w:ascii="楷体_GB2312" w:hAnsi="Times New Roman" w:eastAsia="楷体_GB2312" w:cs="Times New Roman"/>
          <w:bCs/>
          <w:sz w:val="72"/>
          <w:szCs w:val="72"/>
        </w:rPr>
      </w:pPr>
      <w:r>
        <w:rPr>
          <w:rFonts w:hint="eastAsia" w:ascii="楷体_GB2312" w:hAnsi="Times New Roman" w:eastAsia="楷体_GB2312" w:cs="Times New Roman"/>
          <w:bCs/>
          <w:sz w:val="72"/>
          <w:szCs w:val="72"/>
        </w:rPr>
        <w:t>建设项目环境影响报告表</w:t>
      </w:r>
    </w:p>
    <w:p w14:paraId="0F3F2019">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14:paraId="6666E480">
      <w:pPr>
        <w:adjustRightInd w:val="0"/>
        <w:snapToGrid w:val="0"/>
        <w:spacing w:line="288" w:lineRule="auto"/>
        <w:jc w:val="center"/>
        <w:outlineLvl w:val="9"/>
        <w:rPr>
          <w:rFonts w:hint="eastAsia" w:ascii="华文仿宋" w:hAnsi="华文仿宋" w:eastAsia="华文仿宋" w:cs="华文仿宋"/>
          <w:color w:val="000000"/>
          <w:kern w:val="44"/>
          <w:sz w:val="44"/>
          <w:szCs w:val="44"/>
          <w:lang w:val="en-US" w:eastAsia="zh-CN"/>
        </w:rPr>
      </w:pPr>
      <w:r>
        <w:rPr>
          <w:rFonts w:hint="eastAsia" w:ascii="华文仿宋" w:hAnsi="华文仿宋" w:eastAsia="华文仿宋" w:cs="华文仿宋"/>
          <w:color w:val="000000"/>
          <w:kern w:val="44"/>
          <w:sz w:val="44"/>
          <w:szCs w:val="44"/>
          <w:lang w:val="en-US" w:eastAsia="zh-CN"/>
        </w:rPr>
        <w:t>（公示稿）</w:t>
      </w:r>
    </w:p>
    <w:p w14:paraId="791E8F5C">
      <w:pPr>
        <w:jc w:val="center"/>
        <w:rPr>
          <w:rFonts w:eastAsia="仿宋"/>
          <w:sz w:val="52"/>
          <w:szCs w:val="52"/>
        </w:rPr>
      </w:pPr>
    </w:p>
    <w:p w14:paraId="465DFDC7">
      <w:pPr>
        <w:ind w:firstLine="1040"/>
        <w:rPr>
          <w:rFonts w:eastAsia="仿宋"/>
          <w:sz w:val="44"/>
          <w:szCs w:val="44"/>
        </w:rPr>
      </w:pPr>
    </w:p>
    <w:p w14:paraId="328172BE">
      <w:pPr>
        <w:ind w:firstLine="1040"/>
        <w:rPr>
          <w:rFonts w:eastAsia="仿宋"/>
          <w:sz w:val="44"/>
          <w:szCs w:val="44"/>
        </w:rPr>
      </w:pPr>
    </w:p>
    <w:p w14:paraId="6B7A8380">
      <w:pPr>
        <w:ind w:firstLine="1040"/>
        <w:rPr>
          <w:rFonts w:eastAsia="仿宋"/>
          <w:sz w:val="44"/>
          <w:szCs w:val="44"/>
        </w:rPr>
      </w:pPr>
    </w:p>
    <w:p w14:paraId="0EB28D89">
      <w:pPr>
        <w:ind w:firstLine="1040"/>
        <w:rPr>
          <w:rFonts w:eastAsia="仿宋"/>
          <w:sz w:val="44"/>
          <w:szCs w:val="44"/>
        </w:rPr>
      </w:pPr>
    </w:p>
    <w:p w14:paraId="46962BB3">
      <w:pPr>
        <w:adjustRightInd w:val="0"/>
        <w:snapToGrid w:val="0"/>
        <w:spacing w:line="288" w:lineRule="auto"/>
        <w:ind w:left="3237" w:leftChars="513" w:hanging="2160" w:hangingChars="600"/>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项目名称：</w:t>
      </w:r>
      <w:r>
        <w:rPr>
          <w:rFonts w:hint="eastAsia" w:eastAsia="仿宋_GB2312" w:cs="Times New Roman"/>
          <w:sz w:val="36"/>
          <w:szCs w:val="36"/>
          <w:lang w:val="en-US" w:eastAsia="zh-CN"/>
        </w:rPr>
        <w:t>中铜（钦州）铜精矿混矿项目</w:t>
      </w:r>
      <w:r>
        <w:rPr>
          <w:rFonts w:hint="default" w:ascii="Times New Roman" w:hAnsi="Times New Roman" w:eastAsia="仿宋_GB2312" w:cs="Times New Roman"/>
          <w:sz w:val="36"/>
          <w:szCs w:val="36"/>
        </w:rPr>
        <w:t xml:space="preserve"> </w:t>
      </w:r>
    </w:p>
    <w:p w14:paraId="4D41A6AE">
      <w:pPr>
        <w:adjustRightInd w:val="0"/>
        <w:snapToGrid w:val="0"/>
        <w:spacing w:line="288" w:lineRule="auto"/>
        <w:ind w:firstLine="1040"/>
        <w:rPr>
          <w:rFonts w:hint="default" w:ascii="Times New Roman" w:hAnsi="Times New Roman" w:eastAsia="仿宋_GB2312" w:cs="Times New Roman"/>
          <w:sz w:val="36"/>
          <w:szCs w:val="36"/>
          <w:u w:val="single"/>
          <w:lang w:val="en-US" w:eastAsia="zh-CN"/>
        </w:rPr>
      </w:pPr>
      <w:r>
        <w:rPr>
          <w:rFonts w:hint="default" w:ascii="Times New Roman" w:hAnsi="Times New Roman" w:eastAsia="仿宋_GB2312" w:cs="Times New Roman"/>
          <w:sz w:val="36"/>
          <w:szCs w:val="36"/>
        </w:rPr>
        <w:t>建设单位（盖章）：</w:t>
      </w:r>
      <w:r>
        <w:rPr>
          <w:rFonts w:hint="default" w:ascii="Times New Roman" w:hAnsi="Times New Roman" w:eastAsia="仿宋_GB2312" w:cs="Times New Roman"/>
          <w:sz w:val="36"/>
          <w:szCs w:val="36"/>
          <w:u w:val="single"/>
        </w:rPr>
        <w:t xml:space="preserve"> </w:t>
      </w:r>
      <w:r>
        <w:rPr>
          <w:rFonts w:hint="eastAsia" w:eastAsia="仿宋_GB2312" w:cs="Times New Roman"/>
          <w:sz w:val="36"/>
          <w:szCs w:val="36"/>
          <w:u w:val="single"/>
          <w:lang w:val="en-US" w:eastAsia="zh-CN"/>
        </w:rPr>
        <w:t>中铜矿产资源有限公司</w:t>
      </w:r>
    </w:p>
    <w:p w14:paraId="5E5FDCC2">
      <w:pPr>
        <w:adjustRightInd w:val="0"/>
        <w:snapToGrid w:val="0"/>
        <w:spacing w:line="288" w:lineRule="auto"/>
        <w:ind w:firstLine="1040"/>
        <w:rPr>
          <w:rFonts w:hint="eastAsia" w:ascii="仿宋_GB2312" w:eastAsia="仿宋_GB2312"/>
          <w:sz w:val="36"/>
          <w:szCs w:val="36"/>
          <w:u w:val="single"/>
        </w:rPr>
      </w:pPr>
      <w:r>
        <w:rPr>
          <w:rFonts w:hint="default" w:ascii="Times New Roman" w:hAnsi="Times New Roman" w:eastAsia="仿宋_GB2312" w:cs="Times New Roman"/>
          <w:sz w:val="36"/>
          <w:szCs w:val="36"/>
        </w:rPr>
        <w:t>编制日期：</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val="en-US" w:eastAsia="zh-CN"/>
        </w:rPr>
        <w:t>2026年</w:t>
      </w:r>
      <w:r>
        <w:rPr>
          <w:rFonts w:hint="eastAsia" w:eastAsia="仿宋_GB2312" w:cs="Times New Roman"/>
          <w:sz w:val="36"/>
          <w:szCs w:val="36"/>
          <w:u w:val="single"/>
          <w:lang w:val="en-US" w:eastAsia="zh-CN"/>
        </w:rPr>
        <w:t>4</w:t>
      </w:r>
      <w:r>
        <w:rPr>
          <w:rFonts w:hint="default" w:ascii="Times New Roman" w:hAnsi="Times New Roman" w:eastAsia="仿宋_GB2312" w:cs="Times New Roman"/>
          <w:sz w:val="36"/>
          <w:szCs w:val="36"/>
          <w:u w:val="single"/>
          <w:lang w:val="en-US" w:eastAsia="zh-CN"/>
        </w:rPr>
        <w:t>月</w:t>
      </w:r>
      <w:r>
        <w:rPr>
          <w:rFonts w:hint="default" w:ascii="Times New Roman" w:hAnsi="Times New Roman" w:eastAsia="仿宋_GB2312" w:cs="Times New Roman"/>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14:paraId="66F0FC8A">
      <w:pPr>
        <w:adjustRightInd w:val="0"/>
        <w:snapToGrid w:val="0"/>
        <w:spacing w:line="288" w:lineRule="auto"/>
        <w:ind w:firstLine="1040"/>
        <w:rPr>
          <w:rFonts w:ascii="仿宋_GB2312" w:eastAsia="仿宋_GB2312"/>
          <w:sz w:val="36"/>
          <w:szCs w:val="36"/>
          <w:u w:val="single"/>
        </w:rPr>
      </w:pPr>
      <w:bookmarkStart w:id="0" w:name="_Hlk57884087"/>
    </w:p>
    <w:p w14:paraId="5C033AD3">
      <w:pPr>
        <w:adjustRightInd w:val="0"/>
        <w:snapToGrid w:val="0"/>
        <w:spacing w:line="288" w:lineRule="auto"/>
        <w:rPr>
          <w:rFonts w:ascii="仿宋_GB2312" w:eastAsia="仿宋_GB2312"/>
          <w:sz w:val="36"/>
          <w:szCs w:val="36"/>
        </w:rPr>
      </w:pPr>
    </w:p>
    <w:p w14:paraId="1AE3376D">
      <w:pPr>
        <w:adjustRightInd w:val="0"/>
        <w:snapToGrid w:val="0"/>
        <w:spacing w:line="288" w:lineRule="auto"/>
        <w:ind w:firstLine="1040"/>
        <w:rPr>
          <w:rFonts w:hint="eastAsia" w:ascii="仿宋_GB2312" w:eastAsia="仿宋_GB2312"/>
          <w:sz w:val="36"/>
          <w:szCs w:val="36"/>
        </w:rPr>
      </w:pPr>
    </w:p>
    <w:p w14:paraId="2C53187D">
      <w:pPr>
        <w:adjustRightInd w:val="0"/>
        <w:snapToGrid w:val="0"/>
        <w:spacing w:line="288" w:lineRule="auto"/>
        <w:ind w:firstLine="1040"/>
        <w:rPr>
          <w:rFonts w:hint="eastAsia" w:ascii="仿宋_GB2312" w:eastAsia="仿宋_GB2312"/>
          <w:sz w:val="36"/>
          <w:szCs w:val="36"/>
        </w:rPr>
      </w:pPr>
    </w:p>
    <w:bookmarkEnd w:id="0"/>
    <w:p w14:paraId="6DBF1F91">
      <w:pPr>
        <w:jc w:val="center"/>
        <w:rPr>
          <w:rFonts w:hint="eastAsia" w:ascii="楷体_GB2312" w:eastAsia="楷体_GB2312"/>
          <w:sz w:val="36"/>
          <w:szCs w:val="36"/>
        </w:rPr>
      </w:pPr>
      <w:r>
        <w:rPr>
          <w:rFonts w:hint="eastAsia" w:ascii="楷体_GB2312" w:eastAsia="楷体_GB2312"/>
          <w:sz w:val="36"/>
          <w:szCs w:val="36"/>
        </w:rPr>
        <w:t>中华人民共和国生态环境部制</w:t>
      </w:r>
    </w:p>
    <w:p w14:paraId="0F7389E2">
      <w:pPr>
        <w:pStyle w:val="15"/>
        <w:rPr>
          <w:rFonts w:hint="eastAsia" w:ascii="楷体_GB2312" w:eastAsia="楷体_GB2312"/>
          <w:sz w:val="36"/>
          <w:szCs w:val="36"/>
        </w:rPr>
      </w:pPr>
    </w:p>
    <w:p w14:paraId="55F15163">
      <w:pPr>
        <w:pStyle w:val="14"/>
        <w:rPr>
          <w:rFonts w:hint="eastAsia" w:ascii="楷体_GB2312" w:eastAsia="楷体_GB2312"/>
          <w:sz w:val="36"/>
          <w:szCs w:val="36"/>
        </w:rPr>
      </w:pPr>
    </w:p>
    <w:sdt>
      <w:sdtPr>
        <w:rPr>
          <w:rFonts w:hint="default" w:ascii="Times New Roman" w:hAnsi="Times New Roman" w:eastAsia="宋体" w:cs="Times New Roman"/>
          <w:b/>
          <w:bCs/>
          <w:kern w:val="2"/>
          <w:sz w:val="24"/>
          <w:szCs w:val="24"/>
          <w:lang w:val="en-US" w:eastAsia="zh-CN" w:bidi="ar-SA"/>
        </w:rPr>
        <w:id w:val="147457596"/>
        <w15:color w:val="DBDBDB"/>
        <w:docPartObj>
          <w:docPartGallery w:val="Table of Contents"/>
          <w:docPartUnique/>
        </w:docPartObj>
      </w:sdtPr>
      <w:sdtEndPr>
        <w:rPr>
          <w:rFonts w:hint="default" w:ascii="Times New Roman" w:hAnsi="Times New Roman" w:eastAsia="宋体" w:cs="Times New Roman"/>
          <w:b/>
          <w:bCs/>
          <w:kern w:val="2"/>
          <w:sz w:val="24"/>
          <w:szCs w:val="24"/>
          <w:lang w:val="en-US" w:eastAsia="zh-CN" w:bidi="ar-SA"/>
        </w:rPr>
      </w:sdtEndPr>
      <w:sdtContent>
        <w:p w14:paraId="0C446D93">
          <w:pPr>
            <w:spacing w:before="0" w:beforeLines="0" w:after="0" w:afterLines="0" w:line="360" w:lineRule="auto"/>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目</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录</w:t>
          </w:r>
        </w:p>
        <w:p w14:paraId="5AF2B81B">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"1-3"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121E8AFB">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_Toc24428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86B0E82">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_Toc21106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_Toc21106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8011DA8">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_Toc23600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D54B102">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_Toc26167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DA8605E">
          <w:pPr>
            <w:pStyle w:val="9"/>
            <w:tabs>
              <w:tab w:val="right" w:leader="dot" w:pos="8306"/>
              <w:tab w:val="clear" w:pos="8296"/>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_Toc9043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lang w:val="en-US" w:eastAsia="zh-CN"/>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69E4FCF">
          <w:pPr>
            <w:spacing w:line="360" w:lineRule="auto"/>
            <w:jc w:val="both"/>
            <w:rPr>
              <w:rFonts w:hint="eastAsia" w:ascii="楷体_GB2312" w:hAnsi="Times New Roman" w:eastAsia="楷体_GB2312" w:cs="Times New Roman"/>
              <w:kern w:val="2"/>
              <w:sz w:val="21"/>
              <w:szCs w:val="36"/>
              <w:lang w:val="en-US" w:eastAsia="zh-CN" w:bidi="ar-SA"/>
            </w:rPr>
          </w:pPr>
          <w:r>
            <w:rPr>
              <w:rFonts w:hint="default" w:ascii="Times New Roman" w:hAnsi="Times New Roman" w:eastAsia="宋体" w:cs="Times New Roman"/>
              <w:sz w:val="24"/>
              <w:szCs w:val="24"/>
            </w:rPr>
            <w:fldChar w:fldCharType="end"/>
          </w:r>
        </w:p>
      </w:sdtContent>
    </w:sdt>
    <w:p w14:paraId="36A07072">
      <w:pPr>
        <w:bidi w:val="0"/>
        <w:spacing w:line="360" w:lineRule="auto"/>
        <w:jc w:val="left"/>
        <w:rPr>
          <w:rFonts w:hint="eastAsia" w:cs="Times New Roman"/>
          <w:b/>
          <w:bCs/>
          <w:kern w:val="2"/>
          <w:sz w:val="24"/>
          <w:szCs w:val="24"/>
          <w:lang w:val="en-US" w:eastAsia="zh-CN" w:bidi="ar-SA"/>
        </w:rPr>
      </w:pPr>
      <w:r>
        <w:rPr>
          <w:rFonts w:hint="eastAsia" w:cs="Times New Roman"/>
          <w:b/>
          <w:bCs/>
          <w:kern w:val="2"/>
          <w:sz w:val="24"/>
          <w:szCs w:val="24"/>
          <w:lang w:val="en-US" w:eastAsia="zh-CN" w:bidi="ar-SA"/>
        </w:rPr>
        <w:t>附件：</w:t>
      </w:r>
    </w:p>
    <w:p w14:paraId="535097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附件1项目委托书</w:t>
      </w:r>
    </w:p>
    <w:p w14:paraId="66270D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附件2项目备案证明</w:t>
      </w:r>
    </w:p>
    <w:p w14:paraId="01DD91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附件3项目框架协议</w:t>
      </w:r>
    </w:p>
    <w:p w14:paraId="5DD2CF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附件4广西壮族自治区环境保护厅关于印发广西钦州保税港区总体规划环境影响报告书审查意见的函</w:t>
      </w:r>
    </w:p>
    <w:p w14:paraId="19D23D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附件5建设单位营业执照</w:t>
      </w:r>
    </w:p>
    <w:p w14:paraId="0DF11D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附件6不动产权证</w:t>
      </w:r>
    </w:p>
    <w:p w14:paraId="00FF6A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附件7关于中铜（钦州）铜精矿混矿项目研判初步结论</w:t>
      </w:r>
    </w:p>
    <w:p w14:paraId="3B335C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附件8关于中铜（北部湾）铜精矿及多金属矿混配项目的选址意见</w:t>
      </w:r>
    </w:p>
    <w:p w14:paraId="3112F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附件9关于对《关于明确中铜（北部湾）铜精矿及多金属矿混配项目环境影响评价类别的请示》的复函</w:t>
      </w:r>
    </w:p>
    <w:p w14:paraId="137E80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附件10</w:t>
      </w:r>
      <w:r>
        <w:rPr>
          <w:rFonts w:hint="default" w:cs="Times New Roman"/>
          <w:kern w:val="2"/>
          <w:sz w:val="24"/>
          <w:szCs w:val="24"/>
          <w:lang w:val="en-US" w:eastAsia="zh-CN" w:bidi="ar-SA"/>
        </w:rPr>
        <w:t>中铜（北部湾）铜精矿及多金属矿混配项目</w:t>
      </w:r>
      <w:r>
        <w:rPr>
          <w:rFonts w:hint="eastAsia" w:cs="Times New Roman"/>
          <w:kern w:val="2"/>
          <w:sz w:val="24"/>
          <w:szCs w:val="24"/>
          <w:lang w:val="en-US" w:eastAsia="zh-CN" w:bidi="ar-SA"/>
        </w:rPr>
        <w:t>备案证明</w:t>
      </w:r>
    </w:p>
    <w:p w14:paraId="28E35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附件11中国—马来西亚钦州产业园区管理委员会 中铜矿产资源有限公司项目合作协议</w:t>
      </w:r>
    </w:p>
    <w:p w14:paraId="6E725C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cs="Times New Roman"/>
          <w:kern w:val="2"/>
          <w:sz w:val="24"/>
          <w:szCs w:val="24"/>
          <w:lang w:val="en-US" w:eastAsia="zh-CN" w:bidi="ar-SA"/>
        </w:rPr>
        <w:t>附件12项目监测报告</w:t>
      </w:r>
    </w:p>
    <w:p w14:paraId="3E1E15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附图：</w:t>
      </w:r>
    </w:p>
    <w:p w14:paraId="2CFB2E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附图1地理位置图</w:t>
      </w:r>
    </w:p>
    <w:p w14:paraId="45F5AD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附图2项目总平面布置图</w:t>
      </w:r>
    </w:p>
    <w:p w14:paraId="3F19A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附图3项目周边环境现状图</w:t>
      </w:r>
    </w:p>
    <w:p w14:paraId="5D628B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附图4项目在钦州市生态环境分区管控图中的位置关系图</w:t>
      </w:r>
    </w:p>
    <w:p w14:paraId="2A0086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附图5监测布点图</w:t>
      </w:r>
    </w:p>
    <w:p w14:paraId="2D09E8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kern w:val="2"/>
          <w:sz w:val="24"/>
          <w:szCs w:val="24"/>
          <w:lang w:val="en-US" w:eastAsia="zh-CN" w:bidi="ar-SA"/>
        </w:rPr>
      </w:pPr>
      <w:r>
        <w:rPr>
          <w:rFonts w:hint="eastAsia" w:cs="Times New Roman"/>
          <w:kern w:val="2"/>
          <w:sz w:val="24"/>
          <w:szCs w:val="24"/>
          <w:lang w:val="en-US" w:eastAsia="zh-CN" w:bidi="ar-SA"/>
        </w:rPr>
        <w:t>附图6项目与中国（广西）自由贸易试验区钦州港片区产业空间的位置关系图</w:t>
      </w:r>
    </w:p>
    <w:p w14:paraId="53E4F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kern w:val="2"/>
          <w:sz w:val="24"/>
          <w:szCs w:val="24"/>
          <w:lang w:val="en-US" w:eastAsia="zh-CN" w:bidi="ar-SA"/>
        </w:rPr>
      </w:pPr>
    </w:p>
    <w:p w14:paraId="6BC635B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sz w:val="30"/>
          <w:szCs w:val="30"/>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 w:name="_Toc26598"/>
      <w:bookmarkStart w:id="2" w:name="_Toc27641"/>
      <w:bookmarkStart w:id="3" w:name="_Toc3221"/>
    </w:p>
    <w:p w14:paraId="6BACF11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bookmarkEnd w:id="1"/>
      <w:bookmarkEnd w:id="2"/>
      <w:bookmarkEnd w:id="3"/>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11"/>
        <w:gridCol w:w="2408"/>
        <w:gridCol w:w="2212"/>
        <w:gridCol w:w="2639"/>
      </w:tblGrid>
      <w:tr w14:paraId="4E054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104EE5D6">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建设项目名称</w:t>
            </w:r>
          </w:p>
        </w:tc>
        <w:tc>
          <w:tcPr>
            <w:tcW w:w="7259" w:type="dxa"/>
            <w:gridSpan w:val="3"/>
            <w:noWrap w:val="0"/>
            <w:vAlign w:val="center"/>
          </w:tcPr>
          <w:p w14:paraId="60E83C01">
            <w:pPr>
              <w:keepNext w:val="0"/>
              <w:keepLines w:val="0"/>
              <w:widowControl/>
              <w:suppressLineNumbers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中铜（钦州）铜精矿混矿项目</w:t>
            </w:r>
          </w:p>
        </w:tc>
      </w:tr>
      <w:tr w14:paraId="0C05E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5A76DF2A">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项目代码</w:t>
            </w:r>
          </w:p>
        </w:tc>
        <w:tc>
          <w:tcPr>
            <w:tcW w:w="7259" w:type="dxa"/>
            <w:gridSpan w:val="3"/>
            <w:noWrap w:val="0"/>
            <w:vAlign w:val="center"/>
          </w:tcPr>
          <w:p w14:paraId="01A48452">
            <w:pPr>
              <w:keepNext w:val="0"/>
              <w:keepLines w:val="0"/>
              <w:widowControl/>
              <w:suppressLineNumbers w:val="0"/>
              <w:jc w:val="center"/>
              <w:rPr>
                <w:rFonts w:hint="default" w:ascii="Times New Roman" w:hAnsi="Times New Roman" w:eastAsia="宋体" w:cs="Times New Roman"/>
                <w:sz w:val="24"/>
                <w:szCs w:val="24"/>
                <w:u w:val="none"/>
                <w:lang w:val="en-US" w:eastAsia="zh-CN"/>
              </w:rPr>
            </w:pPr>
          </w:p>
        </w:tc>
      </w:tr>
      <w:tr w14:paraId="3C649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793AD706">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建设单位联系人</w:t>
            </w:r>
          </w:p>
        </w:tc>
        <w:tc>
          <w:tcPr>
            <w:tcW w:w="2408" w:type="dxa"/>
            <w:noWrap w:val="0"/>
            <w:vAlign w:val="center"/>
          </w:tcPr>
          <w:p w14:paraId="0B8598FB">
            <w:pPr>
              <w:adjustRightInd w:val="0"/>
              <w:snapToGrid w:val="0"/>
              <w:jc w:val="center"/>
              <w:rPr>
                <w:rFonts w:hint="default" w:ascii="Times New Roman" w:hAnsi="Times New Roman" w:eastAsia="宋体" w:cs="Times New Roman"/>
                <w:sz w:val="24"/>
                <w:szCs w:val="24"/>
                <w:u w:val="none"/>
                <w:lang w:val="en-US" w:eastAsia="zh-CN"/>
              </w:rPr>
            </w:pPr>
          </w:p>
        </w:tc>
        <w:tc>
          <w:tcPr>
            <w:tcW w:w="2212" w:type="dxa"/>
            <w:noWrap w:val="0"/>
            <w:vAlign w:val="center"/>
          </w:tcPr>
          <w:p w14:paraId="5CCC85D8">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联系方式</w:t>
            </w:r>
          </w:p>
        </w:tc>
        <w:tc>
          <w:tcPr>
            <w:tcW w:w="2639" w:type="dxa"/>
            <w:noWrap w:val="0"/>
            <w:vAlign w:val="center"/>
          </w:tcPr>
          <w:p w14:paraId="3193662A">
            <w:pPr>
              <w:keepNext w:val="0"/>
              <w:keepLines w:val="0"/>
              <w:widowControl/>
              <w:suppressLineNumbers w:val="0"/>
              <w:jc w:val="center"/>
              <w:rPr>
                <w:rFonts w:hint="default" w:ascii="Times New Roman" w:hAnsi="Times New Roman" w:eastAsia="宋体" w:cs="Times New Roman"/>
                <w:sz w:val="24"/>
                <w:szCs w:val="24"/>
                <w:u w:val="none"/>
                <w:lang w:val="en-US" w:eastAsia="zh-CN"/>
              </w:rPr>
            </w:pPr>
          </w:p>
        </w:tc>
      </w:tr>
      <w:tr w14:paraId="2B6B1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652BDEED">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建设地点</w:t>
            </w:r>
          </w:p>
        </w:tc>
        <w:tc>
          <w:tcPr>
            <w:tcW w:w="7259" w:type="dxa"/>
            <w:gridSpan w:val="3"/>
            <w:noWrap w:val="0"/>
            <w:vAlign w:val="center"/>
          </w:tcPr>
          <w:p w14:paraId="76E55E7E">
            <w:pPr>
              <w:keepNext w:val="0"/>
              <w:keepLines w:val="0"/>
              <w:widowControl/>
              <w:suppressLineNumbers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钦州市_中国（广西）自由贸易区钦州港片区钦州综合保税区二号路东面、七大街北面</w:t>
            </w:r>
          </w:p>
        </w:tc>
      </w:tr>
      <w:tr w14:paraId="4F0B3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1FB97CDE">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地理坐标</w:t>
            </w:r>
          </w:p>
        </w:tc>
        <w:tc>
          <w:tcPr>
            <w:tcW w:w="7259" w:type="dxa"/>
            <w:gridSpan w:val="3"/>
            <w:noWrap w:val="0"/>
            <w:vAlign w:val="center"/>
          </w:tcPr>
          <w:p w14:paraId="3C161B32">
            <w:pPr>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东经108°39′20.535″，北纬21°40′38.294″</w:t>
            </w:r>
          </w:p>
        </w:tc>
      </w:tr>
      <w:tr w14:paraId="63A7B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11" w:type="dxa"/>
            <w:noWrap w:val="0"/>
            <w:tcMar>
              <w:top w:w="16" w:type="dxa"/>
              <w:left w:w="16" w:type="dxa"/>
              <w:right w:w="16" w:type="dxa"/>
            </w:tcMar>
            <w:vAlign w:val="center"/>
          </w:tcPr>
          <w:p w14:paraId="51A130C4">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国民经济</w:t>
            </w:r>
          </w:p>
          <w:p w14:paraId="1A3A852A">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行业类别</w:t>
            </w:r>
          </w:p>
        </w:tc>
        <w:tc>
          <w:tcPr>
            <w:tcW w:w="2408" w:type="dxa"/>
            <w:noWrap w:val="0"/>
            <w:vAlign w:val="center"/>
          </w:tcPr>
          <w:p w14:paraId="2EED57AB">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B0911铜矿采选</w:t>
            </w:r>
          </w:p>
        </w:tc>
        <w:tc>
          <w:tcPr>
            <w:tcW w:w="2212" w:type="dxa"/>
            <w:noWrap w:val="0"/>
            <w:vAlign w:val="center"/>
          </w:tcPr>
          <w:p w14:paraId="3ADEB647">
            <w:pPr>
              <w:adjustRightInd w:val="0"/>
              <w:snapToGrid w:val="0"/>
              <w:jc w:val="center"/>
              <w:rPr>
                <w:rFonts w:hint="default" w:ascii="Times New Roman" w:hAnsi="Times New Roman" w:cs="Times New Roman"/>
                <w:sz w:val="24"/>
                <w:szCs w:val="24"/>
                <w:u w:val="none"/>
              </w:rPr>
            </w:pPr>
            <w:bookmarkStart w:id="4" w:name="_Hlk49843745"/>
            <w:r>
              <w:rPr>
                <w:rFonts w:hint="default" w:ascii="Times New Roman" w:hAnsi="Times New Roman" w:cs="Times New Roman"/>
                <w:sz w:val="24"/>
                <w:szCs w:val="24"/>
                <w:u w:val="none"/>
              </w:rPr>
              <w:t>建设项目</w:t>
            </w:r>
          </w:p>
          <w:p w14:paraId="2F7CABCF">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行业类别</w:t>
            </w:r>
            <w:bookmarkEnd w:id="4"/>
          </w:p>
        </w:tc>
        <w:tc>
          <w:tcPr>
            <w:tcW w:w="2639" w:type="dxa"/>
            <w:noWrap w:val="0"/>
            <w:vAlign w:val="center"/>
          </w:tcPr>
          <w:p w14:paraId="4C066C77">
            <w:pPr>
              <w:keepNext w:val="0"/>
              <w:keepLines w:val="0"/>
              <w:widowControl/>
              <w:suppressLineNumbers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七、有色金属矿采选业09-10常用有色金属矿采选091-单独的矿石破碎、集运</w:t>
            </w:r>
          </w:p>
        </w:tc>
      </w:tr>
      <w:tr w14:paraId="48F52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11" w:type="dxa"/>
            <w:noWrap w:val="0"/>
            <w:tcMar>
              <w:top w:w="16" w:type="dxa"/>
              <w:left w:w="16" w:type="dxa"/>
              <w:right w:w="16" w:type="dxa"/>
            </w:tcMar>
            <w:vAlign w:val="center"/>
          </w:tcPr>
          <w:p w14:paraId="24F7FCA0">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建设性质</w:t>
            </w:r>
          </w:p>
        </w:tc>
        <w:tc>
          <w:tcPr>
            <w:tcW w:w="2408" w:type="dxa"/>
            <w:noWrap w:val="0"/>
            <w:vAlign w:val="center"/>
          </w:tcPr>
          <w:p w14:paraId="0D329200">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FE"/>
            </w:r>
            <w:r>
              <w:rPr>
                <w:rFonts w:hint="default" w:ascii="Times New Roman" w:hAnsi="Times New Roman" w:cs="Times New Roman"/>
                <w:sz w:val="24"/>
                <w:szCs w:val="24"/>
                <w:u w:val="none"/>
              </w:rPr>
              <w:t>新建（迁建）</w:t>
            </w:r>
          </w:p>
          <w:p w14:paraId="10D1C071">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改建</w:t>
            </w:r>
          </w:p>
          <w:p w14:paraId="4D76A09E">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扩建</w:t>
            </w:r>
          </w:p>
          <w:p w14:paraId="0C671CB3">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技术改造</w:t>
            </w:r>
          </w:p>
        </w:tc>
        <w:tc>
          <w:tcPr>
            <w:tcW w:w="2212" w:type="dxa"/>
            <w:noWrap w:val="0"/>
            <w:vAlign w:val="center"/>
          </w:tcPr>
          <w:p w14:paraId="167367A0">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建设项目</w:t>
            </w:r>
          </w:p>
          <w:p w14:paraId="7DB8872A">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申报情形</w:t>
            </w:r>
          </w:p>
        </w:tc>
        <w:tc>
          <w:tcPr>
            <w:tcW w:w="2639" w:type="dxa"/>
            <w:noWrap w:val="0"/>
            <w:vAlign w:val="center"/>
          </w:tcPr>
          <w:p w14:paraId="51C503AA">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FE"/>
            </w:r>
            <w:r>
              <w:rPr>
                <w:rFonts w:hint="default" w:ascii="Times New Roman" w:hAnsi="Times New Roman" w:cs="Times New Roman"/>
                <w:sz w:val="24"/>
                <w:szCs w:val="24"/>
                <w:u w:val="none"/>
              </w:rPr>
              <w:t xml:space="preserve">首次申报项目             </w:t>
            </w:r>
          </w:p>
          <w:p w14:paraId="5C4A6197">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不予批准后再次申报项目</w:t>
            </w:r>
          </w:p>
          <w:p w14:paraId="18083D7F">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 xml:space="preserve">超五年重新审核项目     </w:t>
            </w:r>
          </w:p>
          <w:p w14:paraId="5DB22578">
            <w:pPr>
              <w:jc w:val="left"/>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w:char="00A8"/>
            </w:r>
            <w:r>
              <w:rPr>
                <w:rFonts w:hint="default" w:ascii="Times New Roman" w:hAnsi="Times New Roman" w:cs="Times New Roman"/>
                <w:sz w:val="24"/>
                <w:szCs w:val="24"/>
                <w:u w:val="none"/>
              </w:rPr>
              <w:t>重大变动重新报批项目</w:t>
            </w:r>
          </w:p>
        </w:tc>
      </w:tr>
      <w:tr w14:paraId="46577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11" w:type="dxa"/>
            <w:noWrap w:val="0"/>
            <w:tcMar>
              <w:top w:w="16" w:type="dxa"/>
              <w:left w:w="16" w:type="dxa"/>
              <w:right w:w="16" w:type="dxa"/>
            </w:tcMar>
            <w:vAlign w:val="center"/>
          </w:tcPr>
          <w:p w14:paraId="6B2C6182">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项目审批（核准/</w:t>
            </w:r>
          </w:p>
          <w:p w14:paraId="6B76C690">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备案）部门（选填）</w:t>
            </w:r>
          </w:p>
        </w:tc>
        <w:tc>
          <w:tcPr>
            <w:tcW w:w="2408" w:type="dxa"/>
            <w:noWrap w:val="0"/>
            <w:vAlign w:val="center"/>
          </w:tcPr>
          <w:p w14:paraId="72DB78CC">
            <w:pPr>
              <w:adjustRightInd w:val="0"/>
              <w:snapToGrid w:val="0"/>
              <w:jc w:val="center"/>
              <w:rPr>
                <w:rFonts w:hint="eastAsia" w:ascii="Times New Roman" w:hAnsi="Times New Roman" w:eastAsia="宋体" w:cs="Times New Roman"/>
                <w:sz w:val="24"/>
                <w:szCs w:val="24"/>
                <w:u w:val="none"/>
                <w:lang w:val="en-US" w:eastAsia="zh-CN"/>
              </w:rPr>
            </w:pPr>
            <w:r>
              <w:rPr>
                <w:rFonts w:hint="eastAsia" w:ascii="Times New Roman" w:hAnsi="Times New Roman" w:cs="Times New Roman"/>
                <w:sz w:val="24"/>
                <w:szCs w:val="24"/>
                <w:u w:val="none"/>
                <w:lang w:val="en-US" w:eastAsia="zh-CN"/>
              </w:rPr>
              <w:t>/</w:t>
            </w:r>
          </w:p>
        </w:tc>
        <w:tc>
          <w:tcPr>
            <w:tcW w:w="2212" w:type="dxa"/>
            <w:noWrap w:val="0"/>
            <w:vAlign w:val="center"/>
          </w:tcPr>
          <w:p w14:paraId="144CF905">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项目审批（核准/</w:t>
            </w:r>
          </w:p>
          <w:p w14:paraId="7A3B9EFD">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备案）文号（选填）</w:t>
            </w:r>
          </w:p>
        </w:tc>
        <w:tc>
          <w:tcPr>
            <w:tcW w:w="2639" w:type="dxa"/>
            <w:noWrap w:val="0"/>
            <w:vAlign w:val="center"/>
          </w:tcPr>
          <w:p w14:paraId="6BF28B33">
            <w:pPr>
              <w:adjustRightInd w:val="0"/>
              <w:snapToGrid w:val="0"/>
              <w:jc w:val="center"/>
              <w:rPr>
                <w:rFonts w:hint="eastAsia" w:ascii="Times New Roman" w:hAnsi="Times New Roman" w:eastAsia="宋体" w:cs="Times New Roman"/>
                <w:sz w:val="24"/>
                <w:szCs w:val="24"/>
                <w:u w:val="none"/>
                <w:lang w:val="en-US" w:eastAsia="zh-CN"/>
              </w:rPr>
            </w:pPr>
            <w:r>
              <w:rPr>
                <w:rFonts w:hint="eastAsia" w:ascii="Times New Roman" w:hAnsi="Times New Roman" w:cs="Times New Roman"/>
                <w:sz w:val="24"/>
                <w:szCs w:val="24"/>
                <w:u w:val="none"/>
                <w:lang w:val="en-US" w:eastAsia="zh-CN"/>
              </w:rPr>
              <w:t>/</w:t>
            </w:r>
          </w:p>
        </w:tc>
      </w:tr>
      <w:tr w14:paraId="4CF84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418CC1FF">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总投资（万元）</w:t>
            </w:r>
          </w:p>
        </w:tc>
        <w:tc>
          <w:tcPr>
            <w:tcW w:w="2408" w:type="dxa"/>
            <w:noWrap w:val="0"/>
            <w:vAlign w:val="center"/>
          </w:tcPr>
          <w:p w14:paraId="13743F75">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7979.28</w:t>
            </w:r>
          </w:p>
        </w:tc>
        <w:tc>
          <w:tcPr>
            <w:tcW w:w="2212" w:type="dxa"/>
            <w:noWrap w:val="0"/>
            <w:tcMar>
              <w:top w:w="16" w:type="dxa"/>
              <w:left w:w="16" w:type="dxa"/>
              <w:right w:w="16" w:type="dxa"/>
            </w:tcMar>
            <w:vAlign w:val="center"/>
          </w:tcPr>
          <w:p w14:paraId="56ED6EF1">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环保投资（万元）</w:t>
            </w:r>
          </w:p>
        </w:tc>
        <w:tc>
          <w:tcPr>
            <w:tcW w:w="2639" w:type="dxa"/>
            <w:noWrap w:val="0"/>
            <w:vAlign w:val="center"/>
          </w:tcPr>
          <w:p w14:paraId="77C542DD">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170</w:t>
            </w:r>
          </w:p>
        </w:tc>
      </w:tr>
      <w:tr w14:paraId="4E5CE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65D306BC">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环保投资占比（%）</w:t>
            </w:r>
          </w:p>
        </w:tc>
        <w:tc>
          <w:tcPr>
            <w:tcW w:w="2408" w:type="dxa"/>
            <w:noWrap w:val="0"/>
            <w:vAlign w:val="center"/>
          </w:tcPr>
          <w:p w14:paraId="30F6ABF4">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2.13</w:t>
            </w:r>
          </w:p>
        </w:tc>
        <w:tc>
          <w:tcPr>
            <w:tcW w:w="2212" w:type="dxa"/>
            <w:noWrap w:val="0"/>
            <w:tcMar>
              <w:top w:w="16" w:type="dxa"/>
              <w:left w:w="16" w:type="dxa"/>
              <w:right w:w="16" w:type="dxa"/>
            </w:tcMar>
            <w:vAlign w:val="center"/>
          </w:tcPr>
          <w:p w14:paraId="30F8EADA">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施工工期</w:t>
            </w:r>
          </w:p>
        </w:tc>
        <w:tc>
          <w:tcPr>
            <w:tcW w:w="2639" w:type="dxa"/>
            <w:noWrap w:val="0"/>
            <w:vAlign w:val="center"/>
          </w:tcPr>
          <w:p w14:paraId="310593B5">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10</w:t>
            </w:r>
            <w:r>
              <w:rPr>
                <w:rFonts w:hint="eastAsia" w:ascii="Times New Roman" w:hAnsi="Times New Roman" w:cs="Times New Roman"/>
                <w:sz w:val="24"/>
                <w:szCs w:val="24"/>
                <w:u w:val="none"/>
                <w:lang w:val="en-US" w:eastAsia="zh-CN"/>
              </w:rPr>
              <w:t>个月</w:t>
            </w:r>
          </w:p>
        </w:tc>
      </w:tr>
      <w:tr w14:paraId="6CC66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11" w:type="dxa"/>
            <w:noWrap w:val="0"/>
            <w:tcMar>
              <w:top w:w="16" w:type="dxa"/>
              <w:left w:w="16" w:type="dxa"/>
              <w:right w:w="16" w:type="dxa"/>
            </w:tcMar>
            <w:vAlign w:val="center"/>
          </w:tcPr>
          <w:p w14:paraId="69A95D86">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是否开工建设</w:t>
            </w:r>
          </w:p>
        </w:tc>
        <w:tc>
          <w:tcPr>
            <w:tcW w:w="2408" w:type="dxa"/>
            <w:noWrap w:val="0"/>
            <w:vAlign w:val="center"/>
          </w:tcPr>
          <w:p w14:paraId="128FA0D7">
            <w:pPr>
              <w:adjustRightInd w:val="0"/>
              <w:snapToGrid w:val="0"/>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2" w:char="0052"/>
            </w:r>
            <w:r>
              <w:rPr>
                <w:rFonts w:hint="default" w:ascii="Times New Roman" w:hAnsi="Times New Roman" w:cs="Times New Roman"/>
                <w:sz w:val="24"/>
                <w:szCs w:val="24"/>
                <w:u w:val="none"/>
              </w:rPr>
              <w:t>否</w:t>
            </w:r>
          </w:p>
          <w:p w14:paraId="32CEAE7E">
            <w:pPr>
              <w:adjustRightInd w:val="0"/>
              <w:snapToGrid w:val="0"/>
              <w:rPr>
                <w:rFonts w:hint="default" w:ascii="Times New Roman" w:hAnsi="Times New Roman" w:cs="Times New Roman"/>
                <w:sz w:val="24"/>
                <w:szCs w:val="24"/>
                <w:u w:val="none"/>
              </w:rPr>
            </w:pPr>
            <w:r>
              <w:rPr>
                <w:rFonts w:hint="default" w:ascii="Times New Roman" w:hAnsi="Times New Roman" w:cs="Times New Roman"/>
                <w:sz w:val="24"/>
                <w:szCs w:val="24"/>
                <w:u w:val="none"/>
              </w:rPr>
              <w:sym w:font="Wingdings 2" w:char="00A3"/>
            </w:r>
            <w:r>
              <w:rPr>
                <w:rFonts w:hint="default" w:ascii="Times New Roman" w:hAnsi="Times New Roman" w:cs="Times New Roman"/>
                <w:sz w:val="24"/>
                <w:szCs w:val="24"/>
                <w:u w:val="none"/>
              </w:rPr>
              <w:t xml:space="preserve">是    </w:t>
            </w:r>
          </w:p>
        </w:tc>
        <w:tc>
          <w:tcPr>
            <w:tcW w:w="2212" w:type="dxa"/>
            <w:noWrap w:val="0"/>
            <w:tcMar>
              <w:top w:w="16" w:type="dxa"/>
              <w:left w:w="16" w:type="dxa"/>
              <w:right w:w="16" w:type="dxa"/>
            </w:tcMar>
            <w:vAlign w:val="center"/>
          </w:tcPr>
          <w:p w14:paraId="42641541">
            <w:pPr>
              <w:adjustRightInd w:val="0"/>
              <w:snapToGrid w:val="0"/>
              <w:jc w:val="center"/>
              <w:rPr>
                <w:rFonts w:hint="default" w:ascii="Times New Roman" w:hAnsi="Times New Roman" w:cs="Times New Roman"/>
                <w:spacing w:val="-6"/>
                <w:sz w:val="24"/>
                <w:szCs w:val="24"/>
                <w:u w:val="none"/>
              </w:rPr>
            </w:pPr>
            <w:r>
              <w:rPr>
                <w:rFonts w:hint="default" w:ascii="Times New Roman" w:hAnsi="Times New Roman" w:cs="Times New Roman"/>
                <w:spacing w:val="-6"/>
                <w:sz w:val="24"/>
                <w:szCs w:val="24"/>
                <w:u w:val="none"/>
              </w:rPr>
              <w:t>用地（用海）</w:t>
            </w:r>
          </w:p>
          <w:p w14:paraId="4D9F1B5F">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pacing w:val="-6"/>
                <w:sz w:val="24"/>
                <w:szCs w:val="24"/>
                <w:u w:val="none"/>
              </w:rPr>
              <w:t>面积（m</w:t>
            </w:r>
            <w:r>
              <w:rPr>
                <w:rFonts w:hint="default" w:ascii="Times New Roman" w:hAnsi="Times New Roman" w:cs="Times New Roman"/>
                <w:spacing w:val="-6"/>
                <w:sz w:val="24"/>
                <w:szCs w:val="24"/>
                <w:u w:val="none"/>
                <w:vertAlign w:val="superscript"/>
              </w:rPr>
              <w:t>2</w:t>
            </w:r>
            <w:r>
              <w:rPr>
                <w:rFonts w:hint="default" w:ascii="Times New Roman" w:hAnsi="Times New Roman" w:cs="Times New Roman"/>
                <w:spacing w:val="-6"/>
                <w:sz w:val="24"/>
                <w:szCs w:val="24"/>
                <w:u w:val="none"/>
              </w:rPr>
              <w:t>）</w:t>
            </w:r>
          </w:p>
        </w:tc>
        <w:tc>
          <w:tcPr>
            <w:tcW w:w="2639" w:type="dxa"/>
            <w:noWrap w:val="0"/>
            <w:vAlign w:val="center"/>
          </w:tcPr>
          <w:p w14:paraId="132EB988">
            <w:pPr>
              <w:adjustRightInd w:val="0"/>
              <w:snapToGrid w:val="0"/>
              <w:jc w:val="center"/>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123333</w:t>
            </w:r>
          </w:p>
        </w:tc>
      </w:tr>
      <w:tr w14:paraId="5288D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11" w:type="dxa"/>
            <w:noWrap w:val="0"/>
            <w:vAlign w:val="center"/>
          </w:tcPr>
          <w:p w14:paraId="6555194E">
            <w:pPr>
              <w:autoSpaceDE w:val="0"/>
              <w:autoSpaceDN w:val="0"/>
              <w:adjustRightInd w:val="0"/>
              <w:snapToGrid w:val="0"/>
              <w:jc w:val="center"/>
              <w:rPr>
                <w:rFonts w:hint="default" w:ascii="Times New Roman" w:hAnsi="Times New Roman" w:cs="Times New Roman"/>
                <w:kern w:val="0"/>
                <w:sz w:val="24"/>
                <w:szCs w:val="24"/>
                <w:u w:val="none"/>
              </w:rPr>
            </w:pPr>
            <w:r>
              <w:rPr>
                <w:rFonts w:hint="default" w:ascii="Times New Roman" w:hAnsi="Times New Roman" w:cs="Times New Roman"/>
                <w:kern w:val="0"/>
                <w:sz w:val="24"/>
                <w:szCs w:val="24"/>
                <w:u w:val="none"/>
              </w:rPr>
              <w:t>专项评价设置情况</w:t>
            </w:r>
          </w:p>
        </w:tc>
        <w:tc>
          <w:tcPr>
            <w:tcW w:w="7259" w:type="dxa"/>
            <w:gridSpan w:val="3"/>
            <w:noWrap w:val="0"/>
            <w:vAlign w:val="top"/>
          </w:tcPr>
          <w:p w14:paraId="462564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szCs w:val="24"/>
                <w:u w:val="none"/>
                <w:lang w:val="en-US" w:eastAsia="zh-CN"/>
              </w:rPr>
            </w:pPr>
            <w:r>
              <w:rPr>
                <w:rFonts w:hint="eastAsia" w:ascii="Times New Roman" w:hAnsi="Times New Roman" w:eastAsia="宋体" w:cs="Times New Roman"/>
                <w:kern w:val="0"/>
                <w:sz w:val="24"/>
                <w:szCs w:val="24"/>
                <w:u w:val="none"/>
                <w:lang w:val="en-US" w:eastAsia="zh-CN"/>
              </w:rPr>
              <w:t>根据《建设项目环境影响报告表编制技术指南（污染影响类）》（2021年试行）表1专项评价设置原则表，本项目无须设置专项评价。</w:t>
            </w:r>
          </w:p>
        </w:tc>
      </w:tr>
      <w:tr w14:paraId="51071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11" w:type="dxa"/>
            <w:noWrap w:val="0"/>
            <w:vAlign w:val="center"/>
          </w:tcPr>
          <w:p w14:paraId="721B7681">
            <w:pPr>
              <w:autoSpaceDE w:val="0"/>
              <w:autoSpaceDN w:val="0"/>
              <w:adjustRightInd w:val="0"/>
              <w:snapToGrid w:val="0"/>
              <w:jc w:val="center"/>
              <w:rPr>
                <w:rFonts w:hint="default" w:ascii="Times New Roman" w:hAnsi="Times New Roman" w:cs="Times New Roman"/>
                <w:kern w:val="0"/>
                <w:sz w:val="24"/>
                <w:szCs w:val="24"/>
                <w:u w:val="none"/>
              </w:rPr>
            </w:pPr>
            <w:r>
              <w:rPr>
                <w:rFonts w:hint="default" w:ascii="Times New Roman" w:hAnsi="Times New Roman" w:cs="Times New Roman"/>
                <w:sz w:val="24"/>
                <w:szCs w:val="24"/>
                <w:u w:val="none"/>
              </w:rPr>
              <w:t>规划情况</w:t>
            </w:r>
          </w:p>
        </w:tc>
        <w:tc>
          <w:tcPr>
            <w:tcW w:w="7259" w:type="dxa"/>
            <w:gridSpan w:val="3"/>
            <w:noWrap w:val="0"/>
            <w:vAlign w:val="center"/>
          </w:tcPr>
          <w:p w14:paraId="7E391B76">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lang w:val="en-US" w:eastAsia="zh-CN"/>
              </w:rPr>
            </w:pPr>
            <w:r>
              <w:rPr>
                <w:rFonts w:hint="default" w:ascii="Times New Roman" w:hAnsi="Times New Roman" w:cs="Times New Roman"/>
                <w:sz w:val="24"/>
                <w:szCs w:val="24"/>
                <w:lang w:val="en-US" w:eastAsia="zh-CN"/>
              </w:rPr>
              <w:t>规划名称：《</w:t>
            </w:r>
            <w:r>
              <w:rPr>
                <w:rFonts w:hint="eastAsia" w:cs="Times New Roman"/>
                <w:sz w:val="24"/>
                <w:szCs w:val="24"/>
                <w:lang w:val="en-US" w:eastAsia="zh-CN"/>
              </w:rPr>
              <w:t>广西钦州保税港区总体规划</w:t>
            </w:r>
            <w:r>
              <w:rPr>
                <w:rFonts w:hint="default" w:ascii="Times New Roman" w:hAnsi="Times New Roman" w:cs="Times New Roman"/>
                <w:sz w:val="24"/>
                <w:szCs w:val="24"/>
                <w:lang w:val="en-US" w:eastAsia="zh-CN"/>
              </w:rPr>
              <w:t>》</w:t>
            </w:r>
          </w:p>
        </w:tc>
      </w:tr>
      <w:tr w14:paraId="64881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11" w:type="dxa"/>
            <w:noWrap w:val="0"/>
            <w:vAlign w:val="center"/>
          </w:tcPr>
          <w:p w14:paraId="6F89310D">
            <w:pPr>
              <w:adjustRightInd w:val="0"/>
              <w:snapToGrid w:val="0"/>
              <w:jc w:val="center"/>
              <w:rPr>
                <w:rFonts w:hint="default" w:ascii="Times New Roman" w:hAnsi="Times New Roman" w:cs="Times New Roman"/>
                <w:kern w:val="0"/>
                <w:sz w:val="24"/>
                <w:szCs w:val="24"/>
                <w:u w:val="none"/>
              </w:rPr>
            </w:pPr>
            <w:r>
              <w:rPr>
                <w:rFonts w:hint="default" w:ascii="Times New Roman" w:hAnsi="Times New Roman" w:cs="Times New Roman"/>
                <w:sz w:val="24"/>
                <w:szCs w:val="24"/>
                <w:u w:val="none"/>
              </w:rPr>
              <w:t>规划环境影响评价情况</w:t>
            </w:r>
          </w:p>
        </w:tc>
        <w:tc>
          <w:tcPr>
            <w:tcW w:w="7259" w:type="dxa"/>
            <w:gridSpan w:val="3"/>
            <w:noWrap w:val="0"/>
            <w:vAlign w:val="center"/>
          </w:tcPr>
          <w:p w14:paraId="761B4462">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规划名称：</w:t>
            </w:r>
            <w:r>
              <w:rPr>
                <w:rFonts w:hint="eastAsia" w:cs="Times New Roman"/>
                <w:sz w:val="24"/>
                <w:szCs w:val="24"/>
                <w:lang w:val="en-US" w:eastAsia="zh-CN"/>
              </w:rPr>
              <w:t>广西钦州保税港区总体规划环境影响报告书</w:t>
            </w:r>
          </w:p>
          <w:p w14:paraId="20CD49A5">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cs="Times New Roman"/>
                <w:sz w:val="24"/>
                <w:szCs w:val="24"/>
                <w:lang w:val="en-US" w:eastAsia="zh-CN"/>
              </w:rPr>
            </w:pPr>
            <w:r>
              <w:rPr>
                <w:rFonts w:hint="eastAsia" w:ascii="Times New Roman" w:hAnsi="Times New Roman" w:cs="Times New Roman"/>
                <w:sz w:val="24"/>
                <w:szCs w:val="24"/>
                <w:lang w:val="en-US" w:eastAsia="zh-CN"/>
              </w:rPr>
              <w:t>审查机关</w:t>
            </w:r>
            <w:r>
              <w:rPr>
                <w:rFonts w:hint="eastAsia" w:cs="Times New Roman"/>
                <w:sz w:val="24"/>
                <w:szCs w:val="24"/>
                <w:lang w:val="en-US" w:eastAsia="zh-CN"/>
              </w:rPr>
              <w:t>：广西壮族自治区环境保护厅（现已更名为“广西壮族自治区生态环境厅”）</w:t>
            </w:r>
          </w:p>
          <w:p w14:paraId="66D3C984">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lang w:val="en-US" w:eastAsia="zh-CN"/>
              </w:rPr>
            </w:pPr>
            <w:r>
              <w:rPr>
                <w:rFonts w:hint="eastAsia" w:ascii="Times New Roman" w:hAnsi="Times New Roman" w:cs="Times New Roman"/>
                <w:sz w:val="24"/>
                <w:szCs w:val="24"/>
                <w:lang w:val="en-US" w:eastAsia="zh-CN"/>
              </w:rPr>
              <w:t>审批文件名称及文号：</w:t>
            </w:r>
            <w:r>
              <w:rPr>
                <w:rFonts w:hint="eastAsia" w:cs="Times New Roman"/>
                <w:sz w:val="24"/>
                <w:szCs w:val="24"/>
                <w:lang w:val="en-US" w:eastAsia="zh-CN"/>
              </w:rPr>
              <w:t>广西壮族自治区环境保护厅关于印发广西钦州保税港区总体规划环境影响报告书审查意见的函（桂环函</w:t>
            </w:r>
            <w:r>
              <w:rPr>
                <w:rFonts w:hint="eastAsia" w:ascii="宋体" w:hAnsi="宋体" w:eastAsia="宋体" w:cs="宋体"/>
                <w:sz w:val="24"/>
                <w:szCs w:val="24"/>
                <w:lang w:val="en-US" w:eastAsia="zh-CN"/>
              </w:rPr>
              <w:t>〔</w:t>
            </w:r>
            <w:r>
              <w:rPr>
                <w:rFonts w:hint="eastAsia" w:cs="Times New Roman"/>
                <w:sz w:val="24"/>
                <w:szCs w:val="24"/>
                <w:lang w:val="en-US" w:eastAsia="zh-CN"/>
              </w:rPr>
              <w:t>2014</w:t>
            </w:r>
            <w:r>
              <w:rPr>
                <w:rFonts w:hint="eastAsia" w:ascii="宋体" w:hAnsi="宋体" w:eastAsia="宋体" w:cs="宋体"/>
                <w:sz w:val="24"/>
                <w:szCs w:val="24"/>
                <w:lang w:val="en-US" w:eastAsia="zh-CN"/>
              </w:rPr>
              <w:t>〕</w:t>
            </w:r>
            <w:r>
              <w:rPr>
                <w:rFonts w:hint="eastAsia" w:cs="Times New Roman"/>
                <w:sz w:val="24"/>
                <w:szCs w:val="24"/>
                <w:lang w:val="en-US" w:eastAsia="zh-CN"/>
              </w:rPr>
              <w:t>503号）</w:t>
            </w:r>
          </w:p>
        </w:tc>
      </w:tr>
      <w:tr w14:paraId="5DFD7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1611" w:type="dxa"/>
            <w:noWrap w:val="0"/>
            <w:vAlign w:val="center"/>
          </w:tcPr>
          <w:p w14:paraId="036388A3">
            <w:pPr>
              <w:autoSpaceDE w:val="0"/>
              <w:autoSpaceDN w:val="0"/>
              <w:adjustRightInd w:val="0"/>
              <w:snapToGrid w:val="0"/>
              <w:jc w:val="center"/>
              <w:rPr>
                <w:rFonts w:hint="default" w:ascii="Times New Roman" w:hAnsi="Times New Roman" w:cs="Times New Roman"/>
                <w:kern w:val="0"/>
                <w:sz w:val="24"/>
                <w:szCs w:val="24"/>
                <w:u w:val="none"/>
              </w:rPr>
            </w:pPr>
            <w:r>
              <w:rPr>
                <w:rFonts w:hint="default" w:ascii="Times New Roman" w:hAnsi="Times New Roman" w:cs="Times New Roman"/>
                <w:kern w:val="0"/>
                <w:sz w:val="24"/>
                <w:szCs w:val="24"/>
                <w:u w:val="none"/>
              </w:rPr>
              <w:t>规划及规划环境影响评价符合性分析</w:t>
            </w:r>
          </w:p>
        </w:tc>
        <w:tc>
          <w:tcPr>
            <w:tcW w:w="7259" w:type="dxa"/>
            <w:gridSpan w:val="3"/>
            <w:noWrap w:val="0"/>
            <w:vAlign w:val="center"/>
          </w:tcPr>
          <w:p w14:paraId="0FCB9AB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Times New Roman" w:hAnsi="Times New Roman" w:cs="Times New Roman"/>
                <w:b/>
                <w:bCs/>
                <w:spacing w:val="0"/>
                <w:kern w:val="0"/>
                <w:sz w:val="24"/>
                <w:szCs w:val="24"/>
                <w:u w:val="none"/>
                <w:lang w:val="en-US" w:eastAsia="zh-CN" w:bidi="ar-SA"/>
              </w:rPr>
            </w:pPr>
            <w:r>
              <w:rPr>
                <w:rFonts w:hint="default" w:ascii="Times New Roman" w:hAnsi="Times New Roman" w:eastAsia="宋体" w:cs="Times New Roman"/>
                <w:b/>
                <w:bCs/>
                <w:spacing w:val="0"/>
                <w:kern w:val="0"/>
                <w:sz w:val="24"/>
                <w:szCs w:val="24"/>
                <w:lang w:val="en-US" w:eastAsia="zh-CN" w:bidi="ar-SA"/>
              </w:rPr>
              <w:t>1、</w:t>
            </w:r>
            <w:r>
              <w:rPr>
                <w:rFonts w:hint="eastAsia" w:ascii="Times New Roman" w:hAnsi="Times New Roman" w:cs="Times New Roman"/>
                <w:b/>
                <w:bCs/>
                <w:spacing w:val="0"/>
                <w:kern w:val="0"/>
                <w:sz w:val="24"/>
                <w:szCs w:val="24"/>
                <w:u w:val="none"/>
                <w:lang w:val="en-US" w:eastAsia="zh-CN" w:bidi="ar-SA"/>
              </w:rPr>
              <w:t>项目与《广西钦州保税港区总体规划》相符性分析</w:t>
            </w:r>
          </w:p>
          <w:p w14:paraId="5BD10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本项目与《广西钦州保税港区总体规划》相符性分析见表1-1。</w:t>
            </w:r>
          </w:p>
          <w:p w14:paraId="222D0A43">
            <w:pPr>
              <w:pStyle w:val="9"/>
              <w:spacing w:line="360" w:lineRule="auto"/>
              <w:jc w:val="center"/>
              <w:rPr>
                <w:rFonts w:hint="default" w:ascii="Times New Roman" w:hAnsi="Times New Roman" w:cs="Times New Roman"/>
                <w:b/>
                <w:bCs/>
                <w:kern w:val="0"/>
                <w:sz w:val="24"/>
                <w:szCs w:val="24"/>
                <w:u w:val="none"/>
                <w:lang w:val="en-US" w:eastAsia="zh-CN"/>
              </w:rPr>
            </w:pPr>
            <w:r>
              <w:rPr>
                <w:rFonts w:hint="eastAsia" w:ascii="Times New Roman" w:hAnsi="Times New Roman" w:cs="Times New Roman"/>
                <w:b/>
                <w:bCs/>
                <w:kern w:val="0"/>
                <w:sz w:val="24"/>
                <w:szCs w:val="24"/>
                <w:u w:val="none"/>
                <w:lang w:val="en-US" w:eastAsia="zh-CN"/>
              </w:rPr>
              <w:t>表1-1 项目与</w:t>
            </w:r>
            <w:r>
              <w:rPr>
                <w:rFonts w:hint="eastAsia" w:cs="Times New Roman"/>
                <w:b/>
                <w:bCs/>
                <w:kern w:val="0"/>
                <w:sz w:val="24"/>
                <w:szCs w:val="24"/>
                <w:u w:val="none"/>
                <w:lang w:val="en-US" w:eastAsia="zh-CN"/>
              </w:rPr>
              <w:t>《广西</w:t>
            </w:r>
            <w:r>
              <w:rPr>
                <w:rFonts w:hint="eastAsia" w:ascii="Times New Roman" w:hAnsi="Times New Roman" w:cs="Times New Roman"/>
                <w:b/>
                <w:bCs/>
                <w:kern w:val="0"/>
                <w:sz w:val="24"/>
                <w:szCs w:val="24"/>
                <w:u w:val="none"/>
                <w:lang w:val="en-US" w:eastAsia="zh-CN"/>
              </w:rPr>
              <w:t>钦州保税港区总体规划</w:t>
            </w:r>
            <w:r>
              <w:rPr>
                <w:rFonts w:hint="eastAsia" w:cs="Times New Roman"/>
                <w:b/>
                <w:bCs/>
                <w:kern w:val="0"/>
                <w:sz w:val="24"/>
                <w:szCs w:val="24"/>
                <w:u w:val="none"/>
                <w:lang w:val="en-US" w:eastAsia="zh-CN"/>
              </w:rPr>
              <w:t>》</w:t>
            </w:r>
            <w:r>
              <w:rPr>
                <w:rFonts w:hint="eastAsia" w:ascii="Times New Roman" w:hAnsi="Times New Roman" w:cs="Times New Roman"/>
                <w:b/>
                <w:bCs/>
                <w:kern w:val="0"/>
                <w:sz w:val="24"/>
                <w:szCs w:val="24"/>
                <w:u w:val="none"/>
                <w:lang w:val="en-US" w:eastAsia="zh-CN"/>
              </w:rPr>
              <w:t>相符性分析表</w:t>
            </w:r>
          </w:p>
          <w:tbl>
            <w:tblPr>
              <w:tblStyle w:val="17"/>
              <w:tblW w:w="7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3720"/>
              <w:gridCol w:w="2265"/>
              <w:gridCol w:w="709"/>
            </w:tblGrid>
            <w:tr w14:paraId="7E3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gridSpan w:val="2"/>
                  <w:vAlign w:val="center"/>
                </w:tcPr>
                <w:p w14:paraId="2A4DC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相关内容</w:t>
                  </w:r>
                </w:p>
              </w:tc>
              <w:tc>
                <w:tcPr>
                  <w:tcW w:w="2265" w:type="dxa"/>
                  <w:vAlign w:val="center"/>
                </w:tcPr>
                <w:p w14:paraId="774AB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项目情况</w:t>
                  </w:r>
                </w:p>
              </w:tc>
              <w:tc>
                <w:tcPr>
                  <w:tcW w:w="709" w:type="dxa"/>
                  <w:vAlign w:val="center"/>
                </w:tcPr>
                <w:p w14:paraId="2D895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是否相符</w:t>
                  </w:r>
                </w:p>
              </w:tc>
            </w:tr>
            <w:tr w14:paraId="325D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dxa"/>
                  <w:vAlign w:val="center"/>
                </w:tcPr>
                <w:p w14:paraId="7D09C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产业定位</w:t>
                  </w:r>
                </w:p>
              </w:tc>
              <w:tc>
                <w:tcPr>
                  <w:tcW w:w="3720" w:type="dxa"/>
                  <w:vAlign w:val="center"/>
                </w:tcPr>
                <w:p w14:paraId="5AB2A7A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olor w:val="auto"/>
                      <w:sz w:val="21"/>
                      <w:szCs w:val="21"/>
                      <w:u w:val="none"/>
                      <w:lang w:val="en-US" w:eastAsia="zh-CN"/>
                    </w:rPr>
                  </w:pPr>
                  <w:r>
                    <w:rPr>
                      <w:rFonts w:hint="eastAsia"/>
                      <w:color w:val="auto"/>
                      <w:sz w:val="21"/>
                      <w:szCs w:val="21"/>
                      <w:u w:val="none"/>
                      <w:lang w:val="en-US" w:eastAsia="zh-CN"/>
                    </w:rPr>
                    <w:t>以港航服务为基础产业，以现代物流、国际贸易和汽车、电子、医药及医疗器械等先进制造业为主导产业，以金融服务、信息服务等现代生产性服务业为配套产业。</w:t>
                  </w:r>
                </w:p>
                <w:p w14:paraId="26C08F92">
                  <w:pPr>
                    <w:pStyle w:val="15"/>
                    <w:numPr>
                      <w:ilvl w:val="0"/>
                      <w:numId w:val="1"/>
                    </w:numPr>
                    <w:rPr>
                      <w:rFonts w:hint="eastAsia"/>
                      <w:color w:val="auto"/>
                      <w:sz w:val="21"/>
                      <w:szCs w:val="21"/>
                      <w:u w:val="none"/>
                      <w:lang w:val="en-US" w:eastAsia="zh-CN"/>
                    </w:rPr>
                  </w:pPr>
                  <w:r>
                    <w:rPr>
                      <w:rFonts w:hint="eastAsia"/>
                      <w:color w:val="auto"/>
                      <w:sz w:val="21"/>
                      <w:szCs w:val="21"/>
                      <w:u w:val="none"/>
                      <w:lang w:val="en-US" w:eastAsia="zh-CN"/>
                    </w:rPr>
                    <w:t>形成以电气机械、精密机械等高新技术产业为主的出口加工基地；</w:t>
                  </w:r>
                </w:p>
                <w:p w14:paraId="5CF8EEB5">
                  <w:pPr>
                    <w:pStyle w:val="14"/>
                    <w:keepNext w:val="0"/>
                    <w:keepLines w:val="0"/>
                    <w:pageBreakBefore w:val="0"/>
                    <w:widowControl w:val="0"/>
                    <w:numPr>
                      <w:ilvl w:val="0"/>
                      <w:numId w:val="1"/>
                    </w:numPr>
                    <w:kinsoku/>
                    <w:wordWrap/>
                    <w:overflowPunct/>
                    <w:topLinePunct w:val="0"/>
                    <w:autoSpaceDE/>
                    <w:autoSpaceDN/>
                    <w:bidi w:val="0"/>
                    <w:adjustRightInd/>
                    <w:snapToGrid/>
                    <w:spacing w:after="0"/>
                    <w:ind w:firstLine="420" w:firstLineChars="200"/>
                    <w:textAlignment w:val="auto"/>
                    <w:rPr>
                      <w:rFonts w:hint="default"/>
                      <w:color w:val="auto"/>
                      <w:lang w:val="en-US" w:eastAsia="zh-CN"/>
                    </w:rPr>
                  </w:pPr>
                  <w:r>
                    <w:rPr>
                      <w:rFonts w:hint="eastAsia"/>
                      <w:color w:val="auto"/>
                      <w:lang w:val="en-US" w:eastAsia="zh-CN"/>
                    </w:rPr>
                    <w:t>以电气机械、精密机械、特种钢材和有色金属、石油和化工产品、高档纸制品等为主中转物流交易中心；</w:t>
                  </w:r>
                </w:p>
                <w:p w14:paraId="0168872B">
                  <w:pPr>
                    <w:pStyle w:val="14"/>
                    <w:keepNext w:val="0"/>
                    <w:keepLines w:val="0"/>
                    <w:pageBreakBefore w:val="0"/>
                    <w:widowControl w:val="0"/>
                    <w:numPr>
                      <w:ilvl w:val="0"/>
                      <w:numId w:val="1"/>
                    </w:numPr>
                    <w:kinsoku/>
                    <w:wordWrap/>
                    <w:overflowPunct/>
                    <w:topLinePunct w:val="0"/>
                    <w:autoSpaceDE/>
                    <w:autoSpaceDN/>
                    <w:bidi w:val="0"/>
                    <w:adjustRightInd/>
                    <w:snapToGrid/>
                    <w:spacing w:after="0"/>
                    <w:ind w:firstLine="420" w:firstLineChars="200"/>
                    <w:textAlignment w:val="auto"/>
                    <w:rPr>
                      <w:rFonts w:hint="default"/>
                      <w:color w:val="auto"/>
                      <w:lang w:val="en-US" w:eastAsia="zh-CN"/>
                    </w:rPr>
                  </w:pPr>
                  <w:r>
                    <w:rPr>
                      <w:rFonts w:hint="eastAsia"/>
                      <w:color w:val="auto"/>
                      <w:lang w:val="en-US" w:eastAsia="zh-CN"/>
                    </w:rPr>
                    <w:t>西南地区的汽车进出口基地；</w:t>
                  </w:r>
                </w:p>
                <w:p w14:paraId="3B694129">
                  <w:pPr>
                    <w:pStyle w:val="14"/>
                    <w:keepNext w:val="0"/>
                    <w:keepLines w:val="0"/>
                    <w:pageBreakBefore w:val="0"/>
                    <w:widowControl w:val="0"/>
                    <w:numPr>
                      <w:ilvl w:val="0"/>
                      <w:numId w:val="1"/>
                    </w:numPr>
                    <w:kinsoku/>
                    <w:wordWrap/>
                    <w:overflowPunct/>
                    <w:topLinePunct w:val="0"/>
                    <w:autoSpaceDE/>
                    <w:autoSpaceDN/>
                    <w:bidi w:val="0"/>
                    <w:adjustRightInd/>
                    <w:snapToGrid/>
                    <w:spacing w:after="0"/>
                    <w:ind w:firstLine="420" w:firstLineChars="200"/>
                    <w:textAlignment w:val="auto"/>
                    <w:rPr>
                      <w:rFonts w:hint="default"/>
                      <w:color w:val="auto"/>
                      <w:lang w:val="en-US" w:eastAsia="zh-CN"/>
                    </w:rPr>
                  </w:pPr>
                  <w:r>
                    <w:rPr>
                      <w:rFonts w:hint="eastAsia"/>
                      <w:color w:val="auto"/>
                      <w:lang w:val="en-US" w:eastAsia="zh-CN"/>
                    </w:rPr>
                    <w:t>积极发展以服务大 西南和东盟的国际中转、国际配送、国际采购和国际转口贸易。</w:t>
                  </w:r>
                </w:p>
              </w:tc>
              <w:tc>
                <w:tcPr>
                  <w:tcW w:w="2265" w:type="dxa"/>
                  <w:vAlign w:val="center"/>
                </w:tcPr>
                <w:p w14:paraId="7B7EE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本项目从国外采购标准与非标准铜精矿，通过一定配比后进行物理混矿后形成的产品铜精矿供集团内冶金公司使用，符合其中的有色金属中转物流交易，且建设单位已与中国—马来西亚钦州产业园区管理委员会签订项目合作协议（附件11），同意建设单位在钦州港保税港区投资建设本项目</w:t>
                  </w:r>
                </w:p>
              </w:tc>
              <w:tc>
                <w:tcPr>
                  <w:tcW w:w="709" w:type="dxa"/>
                  <w:vAlign w:val="center"/>
                </w:tcPr>
                <w:p w14:paraId="13D26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符合</w:t>
                  </w:r>
                </w:p>
              </w:tc>
            </w:tr>
          </w:tbl>
          <w:p w14:paraId="37155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u w:val="none"/>
                <w:lang w:val="en-US" w:eastAsia="zh-CN"/>
              </w:rPr>
            </w:pPr>
            <w:r>
              <w:rPr>
                <w:rFonts w:hint="eastAsia"/>
                <w:color w:val="auto"/>
                <w:sz w:val="24"/>
                <w:szCs w:val="24"/>
                <w:u w:val="none"/>
                <w:lang w:val="en-US" w:eastAsia="zh-CN"/>
              </w:rPr>
              <w:t>综上所述，项目符合《广西钦州保税港区总体规划》相关要求。</w:t>
            </w:r>
          </w:p>
          <w:p w14:paraId="755CA55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cs="Times New Roman"/>
                <w:b/>
                <w:bCs/>
                <w:kern w:val="2"/>
                <w:sz w:val="24"/>
                <w:szCs w:val="24"/>
                <w:lang w:val="en-US" w:eastAsia="zh-CN" w:bidi="ar-SA"/>
              </w:rPr>
              <w:t>2</w:t>
            </w:r>
            <w:r>
              <w:rPr>
                <w:rFonts w:hint="eastAsia" w:ascii="Times New Roman" w:hAnsi="Times New Roman" w:eastAsia="宋体" w:cs="Times New Roman"/>
                <w:b/>
                <w:bCs/>
                <w:kern w:val="2"/>
                <w:sz w:val="24"/>
                <w:szCs w:val="24"/>
                <w:lang w:val="en-US" w:eastAsia="zh-CN" w:bidi="ar-SA"/>
              </w:rPr>
              <w:t>、</w:t>
            </w:r>
            <w:r>
              <w:rPr>
                <w:rFonts w:hint="eastAsia"/>
                <w:b/>
                <w:bCs/>
                <w:sz w:val="24"/>
                <w:szCs w:val="24"/>
                <w:lang w:val="en-US" w:eastAsia="zh-CN"/>
              </w:rPr>
              <w:t>项目与《广西钦州保税港区总体规划环境影响报告书》及其审查意见相符性分析</w:t>
            </w:r>
          </w:p>
          <w:p w14:paraId="58C8F8E1">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u w:val="none"/>
              </w:rPr>
            </w:pPr>
            <w:r>
              <w:rPr>
                <w:rFonts w:hint="eastAsia"/>
                <w:sz w:val="24"/>
                <w:szCs w:val="24"/>
                <w:u w:val="none"/>
              </w:rPr>
              <w:t>本项目与《广西钦州保税港区总体规划环境影响报告书》及其审查意见相符性分析见表1-</w:t>
            </w:r>
            <w:r>
              <w:rPr>
                <w:sz w:val="24"/>
                <w:szCs w:val="24"/>
                <w:u w:val="none"/>
              </w:rPr>
              <w:t>2</w:t>
            </w:r>
            <w:r>
              <w:rPr>
                <w:rFonts w:hint="eastAsia"/>
                <w:sz w:val="24"/>
                <w:szCs w:val="24"/>
                <w:u w:val="none"/>
              </w:rPr>
              <w:t>。</w:t>
            </w:r>
          </w:p>
          <w:tbl>
            <w:tblPr>
              <w:tblStyle w:val="17"/>
              <w:tblW w:w="7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745"/>
              <w:gridCol w:w="2348"/>
            </w:tblGrid>
            <w:tr w14:paraId="6C09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5" w:type="dxa"/>
                  <w:gridSpan w:val="2"/>
                  <w:vAlign w:val="center"/>
                </w:tcPr>
                <w:p w14:paraId="1AB016C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color w:val="auto"/>
                      <w:u w:val="single"/>
                      <w:vertAlign w:val="baseline"/>
                      <w:lang w:val="en-US" w:eastAsia="zh-CN"/>
                    </w:rPr>
                  </w:pPr>
                  <w:r>
                    <w:rPr>
                      <w:rFonts w:hint="eastAsia"/>
                      <w:color w:val="auto"/>
                      <w:u w:val="single"/>
                      <w:vertAlign w:val="baseline"/>
                      <w:lang w:val="en-US" w:eastAsia="zh-CN"/>
                    </w:rPr>
                    <w:t>相关内容</w:t>
                  </w:r>
                </w:p>
              </w:tc>
              <w:tc>
                <w:tcPr>
                  <w:tcW w:w="2348" w:type="dxa"/>
                  <w:vAlign w:val="center"/>
                </w:tcPr>
                <w:p w14:paraId="6119BE8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color w:val="auto"/>
                      <w:u w:val="single"/>
                      <w:vertAlign w:val="baseline"/>
                      <w:lang w:val="en-US" w:eastAsia="zh-CN"/>
                    </w:rPr>
                  </w:pPr>
                  <w:r>
                    <w:rPr>
                      <w:rFonts w:hint="eastAsia"/>
                      <w:color w:val="auto"/>
                      <w:u w:val="single"/>
                      <w:vertAlign w:val="baseline"/>
                      <w:lang w:val="en-US" w:eastAsia="zh-CN"/>
                    </w:rPr>
                    <w:t>项目情况</w:t>
                  </w:r>
                </w:p>
              </w:tc>
            </w:tr>
            <w:tr w14:paraId="59C2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43BA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u w:val="single"/>
                      <w:vertAlign w:val="baseline"/>
                      <w:lang w:val="en-US" w:eastAsia="zh-CN"/>
                    </w:rPr>
                  </w:pPr>
                  <w:r>
                    <w:rPr>
                      <w:rFonts w:hint="eastAsia"/>
                      <w:color w:val="auto"/>
                      <w:sz w:val="21"/>
                      <w:szCs w:val="21"/>
                      <w:u w:val="single"/>
                      <w:vertAlign w:val="baseline"/>
                      <w:lang w:val="en-US" w:eastAsia="zh-CN"/>
                    </w:rPr>
                    <w:t>负面清单</w:t>
                  </w:r>
                </w:p>
              </w:tc>
              <w:tc>
                <w:tcPr>
                  <w:tcW w:w="3745" w:type="dxa"/>
                  <w:vAlign w:val="center"/>
                </w:tcPr>
                <w:p w14:paraId="07379F0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引进项目要严格环境准入，要符合国家产业政策，清洁生产水平均须达到国内同行业先进水平。不得引进与园区产业定位不符的产业，不得引进区域环境无容量的项目。</w:t>
                  </w:r>
                </w:p>
                <w:p w14:paraId="175727D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olor w:val="auto"/>
                      <w:sz w:val="21"/>
                      <w:szCs w:val="21"/>
                      <w:u w:val="single"/>
                      <w:vertAlign w:val="baseline"/>
                      <w:lang w:val="en-US" w:eastAsia="zh-CN"/>
                    </w:rPr>
                  </w:pPr>
                  <w:r>
                    <w:rPr>
                      <w:rFonts w:hint="eastAsia"/>
                      <w:b/>
                      <w:bCs/>
                      <w:color w:val="auto"/>
                      <w:sz w:val="21"/>
                      <w:szCs w:val="21"/>
                      <w:u w:val="single"/>
                      <w:vertAlign w:val="baseline"/>
                      <w:lang w:val="en-US" w:eastAsia="zh-CN"/>
                    </w:rPr>
                    <w:t>限制入园项目：</w:t>
                  </w:r>
                  <w:r>
                    <w:rPr>
                      <w:rFonts w:hint="eastAsia"/>
                      <w:color w:val="auto"/>
                      <w:sz w:val="21"/>
                      <w:szCs w:val="21"/>
                      <w:u w:val="single"/>
                      <w:vertAlign w:val="baseline"/>
                      <w:lang w:val="en-US" w:eastAsia="zh-CN"/>
                    </w:rPr>
                    <w:t>不属于保税港区规划产业类型，且废气、废水和其他废物排放高负荷的高污染项目。严格控制“两头在国内”或“以内销为主要市场”项目入内。</w:t>
                  </w:r>
                </w:p>
                <w:p w14:paraId="363363E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b/>
                      <w:bCs/>
                      <w:color w:val="auto"/>
                      <w:sz w:val="21"/>
                      <w:szCs w:val="21"/>
                      <w:u w:val="single"/>
                      <w:vertAlign w:val="baseline"/>
                      <w:lang w:val="en-US" w:eastAsia="zh-CN"/>
                    </w:rPr>
                  </w:pPr>
                  <w:r>
                    <w:rPr>
                      <w:rFonts w:hint="eastAsia"/>
                      <w:b/>
                      <w:bCs/>
                      <w:color w:val="auto"/>
                      <w:sz w:val="21"/>
                      <w:szCs w:val="21"/>
                      <w:u w:val="single"/>
                      <w:vertAlign w:val="baseline"/>
                      <w:lang w:val="en-US" w:eastAsia="zh-CN"/>
                    </w:rPr>
                    <w:t>禁止入园项目：</w:t>
                  </w:r>
                </w:p>
                <w:p w14:paraId="1C684D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color w:val="auto"/>
                      <w:sz w:val="21"/>
                      <w:szCs w:val="21"/>
                      <w:u w:val="single"/>
                      <w:vertAlign w:val="baseline"/>
                      <w:lang w:val="en-US" w:eastAsia="zh-CN"/>
                    </w:rPr>
                  </w:pPr>
                  <w:r>
                    <w:rPr>
                      <w:rFonts w:hint="eastAsia" w:cs="Times New Roman"/>
                      <w:color w:val="auto"/>
                      <w:kern w:val="2"/>
                      <w:sz w:val="21"/>
                      <w:szCs w:val="21"/>
                      <w:u w:val="single"/>
                      <w:vertAlign w:val="baseline"/>
                      <w:lang w:val="en-US" w:eastAsia="zh-CN" w:bidi="ar-SA"/>
                    </w:rPr>
                    <w:t>1.</w:t>
                  </w:r>
                  <w:r>
                    <w:rPr>
                      <w:rFonts w:hint="eastAsia"/>
                      <w:color w:val="auto"/>
                      <w:sz w:val="21"/>
                      <w:szCs w:val="21"/>
                      <w:u w:val="single"/>
                      <w:vertAlign w:val="baseline"/>
                      <w:lang w:val="en-US" w:eastAsia="zh-CN"/>
                    </w:rPr>
                    <w:t>内销成品高税率型企业以面向国内市场内销征税进口为主，且成品进口关税税率高于原料进口关税税率的生产加工型企业。</w:t>
                  </w:r>
                </w:p>
                <w:p w14:paraId="394406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b/>
                      <w:bCs/>
                      <w:color w:val="auto"/>
                      <w:u w:val="single"/>
                      <w:vertAlign w:val="baseline"/>
                      <w:lang w:val="en-US" w:eastAsia="zh-CN"/>
                    </w:rPr>
                  </w:pPr>
                  <w:r>
                    <w:rPr>
                      <w:rFonts w:hint="eastAsia" w:cs="Times New Roman"/>
                      <w:color w:val="auto"/>
                      <w:kern w:val="2"/>
                      <w:sz w:val="21"/>
                      <w:szCs w:val="21"/>
                      <w:u w:val="single"/>
                      <w:vertAlign w:val="baseline"/>
                      <w:lang w:val="en-US" w:eastAsia="zh-CN" w:bidi="ar-SA"/>
                    </w:rPr>
                    <w:t>2.</w:t>
                  </w:r>
                  <w:r>
                    <w:rPr>
                      <w:rFonts w:hint="eastAsia"/>
                      <w:color w:val="auto"/>
                      <w:sz w:val="21"/>
                      <w:szCs w:val="21"/>
                      <w:u w:val="single"/>
                      <w:vertAlign w:val="baseline"/>
                      <w:lang w:val="en-US" w:eastAsia="zh-CN"/>
                    </w:rPr>
                    <w:t>非保税企业主要经营以非保税业务为主的企业。</w:t>
                  </w:r>
                  <w:r>
                    <w:rPr>
                      <w:rFonts w:hint="eastAsia"/>
                      <w:color w:val="auto"/>
                      <w:sz w:val="21"/>
                      <w:szCs w:val="21"/>
                      <w:u w:val="single"/>
                      <w:vertAlign w:val="baseline"/>
                      <w:lang w:val="en-US" w:eastAsia="zh-CN"/>
                    </w:rPr>
                    <w:br w:type="textWrapping"/>
                  </w:r>
                  <w:r>
                    <w:rPr>
                      <w:rFonts w:hint="eastAsia"/>
                      <w:color w:val="auto"/>
                      <w:sz w:val="21"/>
                      <w:szCs w:val="21"/>
                      <w:u w:val="single"/>
                      <w:vertAlign w:val="baseline"/>
                      <w:lang w:val="en-US" w:eastAsia="zh-CN"/>
                    </w:rPr>
                    <w:t>3、主要原料是国内原料并征收高额出口关税（或实施出口贸易管制）的生产型企业。</w:t>
                  </w:r>
                  <w:r>
                    <w:rPr>
                      <w:rFonts w:hint="eastAsia"/>
                      <w:color w:val="auto"/>
                      <w:sz w:val="21"/>
                      <w:szCs w:val="21"/>
                      <w:u w:val="single"/>
                      <w:vertAlign w:val="baseline"/>
                      <w:lang w:val="en-US" w:eastAsia="zh-CN"/>
                    </w:rPr>
                    <w:br w:type="textWrapping"/>
                  </w:r>
                  <w:r>
                    <w:rPr>
                      <w:rFonts w:hint="eastAsia"/>
                      <w:color w:val="auto"/>
                      <w:sz w:val="21"/>
                      <w:szCs w:val="21"/>
                      <w:u w:val="single"/>
                      <w:vertAlign w:val="baseline"/>
                      <w:lang w:val="en-US" w:eastAsia="zh-CN"/>
                    </w:rPr>
                    <w:t>4、生产加工高耗能、高污染和资源性产品等不符合国家产业政策发展要求的产品，以及其他列入加工贸易禁止类目录的商品的生产加工型企业。</w:t>
                  </w:r>
                </w:p>
              </w:tc>
              <w:tc>
                <w:tcPr>
                  <w:tcW w:w="2348" w:type="dxa"/>
                  <w:vAlign w:val="center"/>
                </w:tcPr>
                <w:p w14:paraId="63203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single"/>
                      <w:vertAlign w:val="baseline"/>
                      <w:lang w:val="en-US" w:eastAsia="zh-CN"/>
                    </w:rPr>
                  </w:pPr>
                  <w:r>
                    <w:rPr>
                      <w:rFonts w:hint="eastAsia"/>
                      <w:color w:val="auto"/>
                      <w:sz w:val="21"/>
                      <w:szCs w:val="21"/>
                      <w:u w:val="single"/>
                      <w:vertAlign w:val="baseline"/>
                      <w:lang w:val="en-US" w:eastAsia="zh-CN"/>
                    </w:rPr>
                    <w:t>符合。本项目为有色金属中转物流加工项目，符合《产业结构调整指导目录（2024年本）》、《北钦防一体化产业协同发展限制布局清单（工业类2021年版）》及园区产业规划等政策要求，且建设单位已与中国—马来西亚钦州产业园区管理委员会签订项目合作协议；项目生产废水循环利用，不外排。项目属于保税项目，项目厂区周边已经敷设雨污水管网，采用“清污分流、雨污分流”，车辆冲洗废水经沉淀后回用，生活污水经处理达标后排入大榄坪污水处理厂进一步处理。</w:t>
                  </w:r>
                </w:p>
              </w:tc>
            </w:tr>
            <w:tr w14:paraId="44B9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7C84F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u w:val="single"/>
                      <w:vertAlign w:val="baseline"/>
                      <w:lang w:val="en-US" w:eastAsia="zh-CN"/>
                    </w:rPr>
                  </w:pPr>
                  <w:r>
                    <w:rPr>
                      <w:rFonts w:hint="eastAsia"/>
                      <w:color w:val="auto"/>
                      <w:sz w:val="21"/>
                      <w:szCs w:val="21"/>
                      <w:u w:val="single"/>
                      <w:vertAlign w:val="baseline"/>
                      <w:lang w:val="en-US" w:eastAsia="zh-CN"/>
                    </w:rPr>
                    <w:t>环境保护措施</w:t>
                  </w:r>
                </w:p>
              </w:tc>
              <w:tc>
                <w:tcPr>
                  <w:tcW w:w="3745" w:type="dxa"/>
                  <w:vAlign w:val="center"/>
                </w:tcPr>
                <w:p w14:paraId="7D239B7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b/>
                      <w:bCs/>
                      <w:color w:val="auto"/>
                      <w:u w:val="single"/>
                      <w:vertAlign w:val="baseline"/>
                      <w:lang w:val="en-US" w:eastAsia="zh-CN"/>
                    </w:rPr>
                  </w:pPr>
                  <w:r>
                    <w:rPr>
                      <w:rFonts w:hint="eastAsia"/>
                      <w:color w:val="auto"/>
                      <w:sz w:val="21"/>
                      <w:szCs w:val="21"/>
                      <w:u w:val="single"/>
                      <w:vertAlign w:val="baseline"/>
                      <w:lang w:val="en-US" w:eastAsia="zh-CN"/>
                    </w:rPr>
                    <w:t>环境保护对策和环境影响减缓措施，包括落实雨污分流、污水管网及泵站、污水处理厂、海洋生态保护、环境风险应急管理等，应与保税港区同步规划、同步建设、同步使用禁止入区的工业项目。</w:t>
                  </w:r>
                </w:p>
              </w:tc>
              <w:tc>
                <w:tcPr>
                  <w:tcW w:w="2348" w:type="dxa"/>
                  <w:vAlign w:val="center"/>
                </w:tcPr>
                <w:p w14:paraId="2377E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u w:val="single"/>
                      <w:vertAlign w:val="baseline"/>
                      <w:lang w:val="en-US" w:eastAsia="zh-CN"/>
                    </w:rPr>
                  </w:pPr>
                  <w:r>
                    <w:rPr>
                      <w:rFonts w:hint="eastAsia"/>
                      <w:color w:val="auto"/>
                      <w:sz w:val="21"/>
                      <w:szCs w:val="21"/>
                      <w:u w:val="single"/>
                      <w:vertAlign w:val="baseline"/>
                      <w:lang w:val="en-US" w:eastAsia="zh-CN"/>
                    </w:rPr>
                    <w:t>项目生产废水循环利用，不外排。项目周边已经敷设雨污水管网，采用“清污分流、雨污分流”，车辆及地面冲洗废水经沉淀后回用，生活污水经处理达标后排入大榄坪污水处理厂进一步处理。</w:t>
                  </w:r>
                </w:p>
              </w:tc>
            </w:tr>
          </w:tbl>
          <w:p w14:paraId="212D7507">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p>
        </w:tc>
      </w:tr>
      <w:tr w14:paraId="138FC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12" w:hRule="atLeast"/>
          <w:jc w:val="center"/>
        </w:trPr>
        <w:tc>
          <w:tcPr>
            <w:tcW w:w="1611" w:type="dxa"/>
            <w:noWrap w:val="0"/>
            <w:vAlign w:val="center"/>
          </w:tcPr>
          <w:p w14:paraId="64EBA8B8">
            <w:pPr>
              <w:autoSpaceDE w:val="0"/>
              <w:autoSpaceDN w:val="0"/>
              <w:adjustRightInd w:val="0"/>
              <w:snapToGrid w:val="0"/>
              <w:jc w:val="center"/>
              <w:rPr>
                <w:rFonts w:hint="default" w:ascii="Times New Roman" w:hAnsi="Times New Roman" w:cs="Times New Roman"/>
                <w:b w:val="0"/>
                <w:bCs w:val="0"/>
                <w:kern w:val="0"/>
                <w:sz w:val="24"/>
                <w:szCs w:val="24"/>
                <w:u w:val="none"/>
              </w:rPr>
            </w:pPr>
            <w:r>
              <w:rPr>
                <w:rFonts w:hint="default" w:ascii="Times New Roman" w:hAnsi="Times New Roman" w:cs="Times New Roman"/>
                <w:b w:val="0"/>
                <w:bCs w:val="0"/>
                <w:kern w:val="0"/>
                <w:sz w:val="24"/>
                <w:szCs w:val="24"/>
                <w:u w:val="none"/>
              </w:rPr>
              <w:t>其他符合性分析</w:t>
            </w:r>
          </w:p>
        </w:tc>
        <w:tc>
          <w:tcPr>
            <w:tcW w:w="7259" w:type="dxa"/>
            <w:gridSpan w:val="3"/>
            <w:noWrap w:val="0"/>
            <w:vAlign w:val="center"/>
          </w:tcPr>
          <w:p w14:paraId="1803FEE8">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1、与产业政策相符性分析</w:t>
            </w:r>
          </w:p>
          <w:p w14:paraId="6A5736D5">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eastAsia"/>
                <w:sz w:val="24"/>
                <w:szCs w:val="24"/>
                <w:lang w:val="en-US" w:eastAsia="zh-CN"/>
              </w:rPr>
              <w:t>根据《产业结构调整指导目录（2024年本）》，本项目不属于其中的鼓励类、限制类、淘汰类项目，为允许类；根据《北钦防一体化产业协同发展限制布局清单（工业类2021年版）》与《广西钦州保税港区总体规划环境影响报告书》，本项目不属于钦州港保税港区列举的限制及禁止行业项目；本项目不属于《市场准入负面清单（2025年版）》中限制及禁止的行业，也不属于《西部地区鼓励类产业目录（2025年本）》中的鼓励类项目。本项目已取得中国—马来西亚钦州产业园区行政审批局的项目备案，项目代码为2512-450704-04-01-555326，因此本项目符合相关产业政策要求。</w:t>
            </w:r>
          </w:p>
          <w:p w14:paraId="5F0F1265">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2、项目选址符合性分析</w:t>
            </w:r>
          </w:p>
          <w:p w14:paraId="0492E8C5">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项目位于钦州港综合保税区二号路东面、七大街北面。本项目租赁钦州北部湾港务投资有限公司建设的厂房进行生产运营。根据《建设项目环境影响评价分类管理名录（2021年版）》，本项目租赁的厂房无需编制环境影响报告书、报告表及登记表备案，且土建单位已取得相关部门意见（详见附件8、9、10）。且根据不动产权证（详见附件6），项目所在地性质为工业用地，本项目属于工业项目。</w:t>
            </w:r>
          </w:p>
          <w:p w14:paraId="56BB81D1">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eastAsia"/>
                <w:sz w:val="24"/>
                <w:szCs w:val="24"/>
                <w:lang w:val="en-US" w:eastAsia="zh-CN"/>
              </w:rPr>
              <w:t>综上，项目选址合理。</w:t>
            </w:r>
          </w:p>
          <w:p w14:paraId="3364D4E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default" w:cs="Times New Roman"/>
                <w:b/>
                <w:bCs/>
                <w:kern w:val="2"/>
                <w:sz w:val="24"/>
                <w:szCs w:val="24"/>
                <w:lang w:val="en-US" w:eastAsia="zh-CN" w:bidi="ar-SA"/>
              </w:rPr>
            </w:pPr>
            <w:r>
              <w:rPr>
                <w:rFonts w:hint="default" w:cs="Times New Roman"/>
                <w:b/>
                <w:bCs/>
                <w:kern w:val="2"/>
                <w:sz w:val="24"/>
                <w:szCs w:val="24"/>
                <w:lang w:val="en-US" w:eastAsia="zh-CN" w:bidi="ar-SA"/>
              </w:rPr>
              <w:t>3、</w:t>
            </w:r>
            <w:r>
              <w:rPr>
                <w:rFonts w:hint="eastAsia" w:cs="Times New Roman"/>
                <w:b/>
                <w:bCs/>
                <w:kern w:val="2"/>
                <w:sz w:val="24"/>
                <w:szCs w:val="24"/>
                <w:lang w:val="en-US" w:eastAsia="zh-CN" w:bidi="ar-SA"/>
              </w:rPr>
              <w:t>与生态环境分区管控符合性分析</w:t>
            </w:r>
          </w:p>
          <w:p w14:paraId="7C73C53D">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根据《钦州市生态环境局关于印发实施钦州市生态环境分区管控动态更新成果（2023年）的通知》，钦州市共划分64个环境管控单元，</w:t>
            </w:r>
            <w:r>
              <w:rPr>
                <w:rFonts w:hint="default"/>
                <w:sz w:val="24"/>
                <w:szCs w:val="24"/>
                <w:lang w:val="en-US" w:eastAsia="zh-CN"/>
              </w:rPr>
              <w:t>分为优先保护单元、重点管控单元和一般管控单元三类，实施分类管控。</w:t>
            </w:r>
            <w:r>
              <w:rPr>
                <w:rFonts w:hint="eastAsia"/>
                <w:sz w:val="24"/>
                <w:szCs w:val="24"/>
                <w:lang w:val="en-US" w:eastAsia="zh-CN"/>
              </w:rPr>
              <w:t>项目位于钦州港综合保税区二号路东面、七大街北面，根据广西“生态云”平台建设项目智能研判报告，项目位于广西钦州保税港区重点管控单元内。本项目与《钦州市生态环境局关于印发实施钦州市生态环境分区管控动态更新成果（2023年）的通知》相符性分析如下：</w:t>
            </w:r>
          </w:p>
          <w:p w14:paraId="0101F888">
            <w:pPr>
              <w:pStyle w:val="9"/>
              <w:spacing w:line="360" w:lineRule="auto"/>
              <w:jc w:val="center"/>
              <w:rPr>
                <w:rFonts w:hint="default" w:ascii="Times New Roman" w:hAnsi="Times New Roman" w:cs="Times New Roman"/>
                <w:b/>
                <w:bCs/>
                <w:kern w:val="0"/>
                <w:sz w:val="24"/>
                <w:szCs w:val="24"/>
                <w:u w:val="none"/>
                <w:lang w:val="en-US" w:eastAsia="zh-CN"/>
              </w:rPr>
            </w:pPr>
            <w:r>
              <w:rPr>
                <w:rFonts w:hint="default" w:ascii="Times New Roman" w:hAnsi="Times New Roman" w:cs="Times New Roman"/>
                <w:b/>
                <w:bCs/>
                <w:kern w:val="0"/>
                <w:sz w:val="24"/>
                <w:szCs w:val="24"/>
                <w:u w:val="none"/>
                <w:lang w:val="en-US" w:eastAsia="zh-CN"/>
              </w:rPr>
              <w:t>表1-</w:t>
            </w:r>
            <w:r>
              <w:rPr>
                <w:rFonts w:hint="eastAsia" w:cs="Times New Roman"/>
                <w:b/>
                <w:bCs/>
                <w:kern w:val="0"/>
                <w:sz w:val="24"/>
                <w:szCs w:val="24"/>
                <w:u w:val="none"/>
                <w:lang w:val="en-US" w:eastAsia="zh-CN"/>
              </w:rPr>
              <w:t>2</w:t>
            </w:r>
            <w:r>
              <w:rPr>
                <w:rFonts w:hint="default" w:ascii="Times New Roman" w:hAnsi="Times New Roman" w:cs="Times New Roman"/>
                <w:b/>
                <w:bCs/>
                <w:kern w:val="0"/>
                <w:sz w:val="24"/>
                <w:szCs w:val="24"/>
                <w:u w:val="none"/>
                <w:lang w:val="en-US" w:eastAsia="zh-CN"/>
              </w:rPr>
              <w:t xml:space="preserve"> 项目与钦州市生态环境准入及管控要求符合性分析</w:t>
            </w:r>
          </w:p>
          <w:tbl>
            <w:tblPr>
              <w:tblStyle w:val="17"/>
              <w:tblW w:w="7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717"/>
              <w:gridCol w:w="783"/>
              <w:gridCol w:w="2763"/>
              <w:gridCol w:w="1761"/>
            </w:tblGrid>
            <w:tr w14:paraId="2579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3C7737C4">
                  <w:pPr>
                    <w:jc w:val="center"/>
                    <w:rPr>
                      <w:rFonts w:hint="default"/>
                      <w:b/>
                      <w:bCs/>
                      <w:vertAlign w:val="baseline"/>
                      <w:lang w:val="en-US" w:eastAsia="zh-CN"/>
                    </w:rPr>
                  </w:pPr>
                  <w:r>
                    <w:rPr>
                      <w:rFonts w:hint="eastAsia"/>
                      <w:b/>
                      <w:bCs/>
                      <w:vertAlign w:val="baseline"/>
                      <w:lang w:val="en-US" w:eastAsia="zh-CN"/>
                    </w:rPr>
                    <w:t>环境管控单元名称</w:t>
                  </w:r>
                </w:p>
              </w:tc>
              <w:tc>
                <w:tcPr>
                  <w:tcW w:w="717" w:type="dxa"/>
                  <w:vAlign w:val="center"/>
                </w:tcPr>
                <w:p w14:paraId="294EFEEE">
                  <w:pPr>
                    <w:jc w:val="center"/>
                    <w:rPr>
                      <w:rFonts w:hint="default"/>
                      <w:b/>
                      <w:bCs/>
                      <w:vertAlign w:val="baseline"/>
                      <w:lang w:val="en-US" w:eastAsia="zh-CN"/>
                    </w:rPr>
                  </w:pPr>
                  <w:r>
                    <w:rPr>
                      <w:rFonts w:hint="eastAsia"/>
                      <w:b/>
                      <w:bCs/>
                      <w:vertAlign w:val="baseline"/>
                      <w:lang w:val="en-US" w:eastAsia="zh-CN"/>
                    </w:rPr>
                    <w:t>管控类别</w:t>
                  </w:r>
                </w:p>
              </w:tc>
              <w:tc>
                <w:tcPr>
                  <w:tcW w:w="3546" w:type="dxa"/>
                  <w:gridSpan w:val="2"/>
                  <w:vAlign w:val="center"/>
                </w:tcPr>
                <w:p w14:paraId="678E7F5A">
                  <w:pPr>
                    <w:jc w:val="center"/>
                    <w:rPr>
                      <w:rFonts w:hint="default"/>
                      <w:b/>
                      <w:bCs/>
                      <w:vertAlign w:val="baseline"/>
                      <w:lang w:val="en-US" w:eastAsia="zh-CN"/>
                    </w:rPr>
                  </w:pPr>
                  <w:r>
                    <w:rPr>
                      <w:rFonts w:hint="eastAsia"/>
                      <w:b/>
                      <w:bCs/>
                      <w:vertAlign w:val="baseline"/>
                      <w:lang w:val="en-US" w:eastAsia="zh-CN"/>
                    </w:rPr>
                    <w:t>生态环境准入及管控要求</w:t>
                  </w:r>
                </w:p>
              </w:tc>
              <w:tc>
                <w:tcPr>
                  <w:tcW w:w="1761" w:type="dxa"/>
                  <w:vAlign w:val="center"/>
                </w:tcPr>
                <w:p w14:paraId="07AD66C7">
                  <w:pPr>
                    <w:jc w:val="center"/>
                    <w:rPr>
                      <w:rFonts w:hint="default"/>
                      <w:b/>
                      <w:bCs/>
                      <w:vertAlign w:val="baseline"/>
                      <w:lang w:val="en-US" w:eastAsia="zh-CN"/>
                    </w:rPr>
                  </w:pPr>
                  <w:r>
                    <w:rPr>
                      <w:rFonts w:hint="eastAsia"/>
                      <w:b/>
                      <w:bCs/>
                      <w:vertAlign w:val="baseline"/>
                      <w:lang w:val="en-US" w:eastAsia="zh-CN"/>
                    </w:rPr>
                    <w:t>符合性分析</w:t>
                  </w:r>
                </w:p>
              </w:tc>
            </w:tr>
            <w:tr w14:paraId="2537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restart"/>
                  <w:vAlign w:val="center"/>
                </w:tcPr>
                <w:p w14:paraId="7BAD0F2A">
                  <w:pPr>
                    <w:jc w:val="center"/>
                    <w:rPr>
                      <w:rFonts w:hint="default"/>
                      <w:vertAlign w:val="baseline"/>
                      <w:lang w:val="en-US" w:eastAsia="zh-CN"/>
                    </w:rPr>
                  </w:pPr>
                  <w:r>
                    <w:rPr>
                      <w:rFonts w:hint="eastAsia"/>
                      <w:vertAlign w:val="baseline"/>
                      <w:lang w:val="en-US" w:eastAsia="zh-CN"/>
                    </w:rPr>
                    <w:t>广西钦州保税港区重点管控单元</w:t>
                  </w:r>
                </w:p>
              </w:tc>
              <w:tc>
                <w:tcPr>
                  <w:tcW w:w="717" w:type="dxa"/>
                  <w:vMerge w:val="restart"/>
                  <w:vAlign w:val="center"/>
                </w:tcPr>
                <w:p w14:paraId="0FAC0B6B">
                  <w:pPr>
                    <w:jc w:val="center"/>
                    <w:rPr>
                      <w:rFonts w:hint="default"/>
                      <w:vertAlign w:val="baseline"/>
                      <w:lang w:val="en-US" w:eastAsia="zh-CN"/>
                    </w:rPr>
                  </w:pPr>
                  <w:r>
                    <w:rPr>
                      <w:rFonts w:hint="eastAsia"/>
                      <w:vertAlign w:val="baseline"/>
                      <w:lang w:val="en-US" w:eastAsia="zh-CN"/>
                    </w:rPr>
                    <w:t>重点管控单元</w:t>
                  </w:r>
                </w:p>
              </w:tc>
              <w:tc>
                <w:tcPr>
                  <w:tcW w:w="783" w:type="dxa"/>
                  <w:vMerge w:val="restart"/>
                  <w:vAlign w:val="center"/>
                </w:tcPr>
                <w:p w14:paraId="77F79D68">
                  <w:pPr>
                    <w:jc w:val="center"/>
                    <w:rPr>
                      <w:rFonts w:hint="default"/>
                      <w:vertAlign w:val="baseline"/>
                      <w:lang w:val="en-US" w:eastAsia="zh-CN"/>
                    </w:rPr>
                  </w:pPr>
                  <w:r>
                    <w:rPr>
                      <w:rFonts w:hint="eastAsia"/>
                      <w:vertAlign w:val="baseline"/>
                      <w:lang w:val="en-US" w:eastAsia="zh-CN"/>
                    </w:rPr>
                    <w:t>空间约束布局</w:t>
                  </w:r>
                </w:p>
              </w:tc>
              <w:tc>
                <w:tcPr>
                  <w:tcW w:w="2763" w:type="dxa"/>
                </w:tcPr>
                <w:p w14:paraId="587588D6">
                  <w:pPr>
                    <w:rPr>
                      <w:rFonts w:hint="default"/>
                      <w:vertAlign w:val="baseline"/>
                      <w:lang w:val="en-US" w:eastAsia="zh-CN"/>
                    </w:rPr>
                  </w:pPr>
                  <w:r>
                    <w:rPr>
                      <w:rFonts w:hint="eastAsia"/>
                      <w:vertAlign w:val="baseline"/>
                      <w:lang w:val="en-US" w:eastAsia="zh-CN"/>
                    </w:rPr>
                    <w:t>1.园区管理机构应负责统筹区域内生态环境基础设施建设，不得引进与园区产业定位不符的产业，引进项目清洁生产水平须达到国内同行业先进水平，严格控制污染物排放大的项目进驻。</w:t>
                  </w:r>
                </w:p>
              </w:tc>
              <w:tc>
                <w:tcPr>
                  <w:tcW w:w="1761" w:type="dxa"/>
                </w:tcPr>
                <w:p w14:paraId="14FEC45F">
                  <w:pPr>
                    <w:rPr>
                      <w:rFonts w:hint="default"/>
                      <w:vertAlign w:val="baseline"/>
                      <w:lang w:val="en-US" w:eastAsia="zh-CN"/>
                    </w:rPr>
                  </w:pPr>
                  <w:r>
                    <w:rPr>
                      <w:rFonts w:hint="eastAsia"/>
                      <w:vertAlign w:val="baseline"/>
                      <w:lang w:val="en-US" w:eastAsia="zh-CN"/>
                    </w:rPr>
                    <w:t>本项目为铜精矿混矿项目，原料矿经物理混合后供给集团内冶炼企业使用，建设单位已与中国—马来西亚钦州产业园区管理委员会签订项目合作协议，符合综合保税区产业定位</w:t>
                  </w:r>
                </w:p>
              </w:tc>
            </w:tr>
            <w:tr w14:paraId="3242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4C6E4475"/>
              </w:tc>
              <w:tc>
                <w:tcPr>
                  <w:tcW w:w="717" w:type="dxa"/>
                  <w:vMerge w:val="continue"/>
                  <w:vAlign w:val="center"/>
                </w:tcPr>
                <w:p w14:paraId="039B0E5F"/>
              </w:tc>
              <w:tc>
                <w:tcPr>
                  <w:tcW w:w="783" w:type="dxa"/>
                  <w:vMerge w:val="continue"/>
                  <w:vAlign w:val="center"/>
                </w:tcPr>
                <w:p w14:paraId="6B82C4E2">
                  <w:pPr>
                    <w:jc w:val="center"/>
                    <w:rPr>
                      <w:rFonts w:hint="default"/>
                      <w:vertAlign w:val="baseline"/>
                      <w:lang w:val="en-US" w:eastAsia="zh-CN"/>
                    </w:rPr>
                  </w:pPr>
                </w:p>
              </w:tc>
              <w:tc>
                <w:tcPr>
                  <w:tcW w:w="2763" w:type="dxa"/>
                </w:tcPr>
                <w:p w14:paraId="345004CC">
                  <w:pPr>
                    <w:rPr>
                      <w:rFonts w:hint="default"/>
                      <w:vertAlign w:val="baseline"/>
                      <w:lang w:val="en-US" w:eastAsia="zh-CN"/>
                    </w:rPr>
                  </w:pPr>
                  <w:r>
                    <w:rPr>
                      <w:rFonts w:hint="eastAsia"/>
                      <w:vertAlign w:val="baseline"/>
                      <w:lang w:val="en-US" w:eastAsia="zh-CN"/>
                    </w:rPr>
                    <w:t>2.园区产业准入执行《广西壮族自治区人民政府办公厅关于印发北钦防一体化产业协同发展限制布局清单（工业类2021年版）的通知》（桂政函</w:t>
                  </w:r>
                  <w:r>
                    <w:rPr>
                      <w:rFonts w:hint="eastAsia" w:ascii="宋体" w:hAnsi="宋体" w:eastAsia="宋体" w:cs="宋体"/>
                      <w:vertAlign w:val="baseline"/>
                      <w:lang w:val="en-US" w:eastAsia="zh-CN"/>
                    </w:rPr>
                    <w:t>〔</w:t>
                  </w:r>
                  <w:r>
                    <w:rPr>
                      <w:rFonts w:hint="eastAsia"/>
                      <w:vertAlign w:val="baseline"/>
                      <w:lang w:val="en-US" w:eastAsia="zh-CN"/>
                    </w:rPr>
                    <w:t>2021</w:t>
                  </w:r>
                  <w:r>
                    <w:rPr>
                      <w:rFonts w:hint="eastAsia" w:ascii="宋体" w:hAnsi="宋体" w:eastAsia="宋体" w:cs="宋体"/>
                      <w:vertAlign w:val="baseline"/>
                      <w:lang w:val="en-US" w:eastAsia="zh-CN"/>
                    </w:rPr>
                    <w:t>〕</w:t>
                  </w:r>
                  <w:r>
                    <w:rPr>
                      <w:rFonts w:hint="eastAsia"/>
                      <w:vertAlign w:val="baseline"/>
                      <w:lang w:val="en-US" w:eastAsia="zh-CN"/>
                    </w:rPr>
                    <w:t>4号）要求，限制新建不符合综合保税区产业政策的产品加工制造和产业服务项目。</w:t>
                  </w:r>
                </w:p>
              </w:tc>
              <w:tc>
                <w:tcPr>
                  <w:tcW w:w="1761" w:type="dxa"/>
                </w:tcPr>
                <w:p w14:paraId="1A90B861">
                  <w:pPr>
                    <w:rPr>
                      <w:rFonts w:hint="default"/>
                      <w:vertAlign w:val="baseline"/>
                      <w:lang w:val="en-US" w:eastAsia="zh-CN"/>
                    </w:rPr>
                  </w:pPr>
                  <w:r>
                    <w:rPr>
                      <w:rFonts w:hint="eastAsia"/>
                      <w:vertAlign w:val="baseline"/>
                      <w:lang w:val="en-US" w:eastAsia="zh-CN"/>
                    </w:rPr>
                    <w:t>本项目不属于《广西壮族自治区人民政府办公厅关于印发北钦防一体化产业协同发展限制布局清单（工业类2021年版）的通知》（桂政函</w:t>
                  </w:r>
                  <w:r>
                    <w:rPr>
                      <w:rFonts w:hint="eastAsia" w:ascii="宋体" w:hAnsi="宋体" w:eastAsia="宋体" w:cs="宋体"/>
                      <w:vertAlign w:val="baseline"/>
                      <w:lang w:val="en-US" w:eastAsia="zh-CN"/>
                    </w:rPr>
                    <w:t>〔</w:t>
                  </w:r>
                  <w:r>
                    <w:rPr>
                      <w:rFonts w:hint="eastAsia"/>
                      <w:vertAlign w:val="baseline"/>
                      <w:lang w:val="en-US" w:eastAsia="zh-CN"/>
                    </w:rPr>
                    <w:t>2021</w:t>
                  </w:r>
                  <w:r>
                    <w:rPr>
                      <w:rFonts w:hint="eastAsia" w:ascii="宋体" w:hAnsi="宋体" w:eastAsia="宋体" w:cs="宋体"/>
                      <w:vertAlign w:val="baseline"/>
                      <w:lang w:val="en-US" w:eastAsia="zh-CN"/>
                    </w:rPr>
                    <w:t>〕</w:t>
                  </w:r>
                  <w:r>
                    <w:rPr>
                      <w:rFonts w:hint="eastAsia"/>
                      <w:vertAlign w:val="baseline"/>
                      <w:lang w:val="en-US" w:eastAsia="zh-CN"/>
                    </w:rPr>
                    <w:t>4号）中列出的限制及禁止的项目</w:t>
                  </w:r>
                </w:p>
              </w:tc>
            </w:tr>
            <w:tr w14:paraId="2B9E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11096DBE">
                  <w:pPr>
                    <w:rPr>
                      <w:rFonts w:hint="default"/>
                      <w:vertAlign w:val="baseline"/>
                      <w:lang w:val="en-US" w:eastAsia="zh-CN"/>
                    </w:rPr>
                  </w:pPr>
                </w:p>
              </w:tc>
              <w:tc>
                <w:tcPr>
                  <w:tcW w:w="717" w:type="dxa"/>
                  <w:vMerge w:val="continue"/>
                  <w:vAlign w:val="center"/>
                </w:tcPr>
                <w:p w14:paraId="32F3907E">
                  <w:pPr>
                    <w:rPr>
                      <w:rFonts w:hint="default"/>
                      <w:vertAlign w:val="baseline"/>
                      <w:lang w:val="en-US" w:eastAsia="zh-CN"/>
                    </w:rPr>
                  </w:pPr>
                </w:p>
              </w:tc>
              <w:tc>
                <w:tcPr>
                  <w:tcW w:w="783" w:type="dxa"/>
                  <w:vMerge w:val="continue"/>
                  <w:vAlign w:val="center"/>
                </w:tcPr>
                <w:p w14:paraId="76F05FC0">
                  <w:pPr>
                    <w:jc w:val="center"/>
                    <w:rPr>
                      <w:rFonts w:hint="default"/>
                      <w:vertAlign w:val="baseline"/>
                      <w:lang w:val="en-US" w:eastAsia="zh-CN"/>
                    </w:rPr>
                  </w:pPr>
                </w:p>
              </w:tc>
              <w:tc>
                <w:tcPr>
                  <w:tcW w:w="2763" w:type="dxa"/>
                </w:tcPr>
                <w:p w14:paraId="37193D99">
                  <w:pPr>
                    <w:rPr>
                      <w:rFonts w:hint="default"/>
                      <w:vertAlign w:val="baseline"/>
                      <w:lang w:val="en-US" w:eastAsia="zh-CN"/>
                    </w:rPr>
                  </w:pPr>
                  <w:r>
                    <w:rPr>
                      <w:rFonts w:hint="eastAsia"/>
                      <w:vertAlign w:val="baseline"/>
                      <w:lang w:val="en-US" w:eastAsia="zh-CN"/>
                    </w:rPr>
                    <w:t>3.新建、改建、扩建项目应按照国家、自治区行业建设项目环境影响评价文件审批原则入园；不得引入废水排放量大、水污染严重的相关企业。</w:t>
                  </w:r>
                </w:p>
              </w:tc>
              <w:tc>
                <w:tcPr>
                  <w:tcW w:w="1761" w:type="dxa"/>
                </w:tcPr>
                <w:p w14:paraId="252F0DB0">
                  <w:pPr>
                    <w:rPr>
                      <w:rFonts w:hint="default"/>
                      <w:vertAlign w:val="baseline"/>
                      <w:lang w:val="en-US" w:eastAsia="zh-CN"/>
                    </w:rPr>
                  </w:pPr>
                  <w:r>
                    <w:rPr>
                      <w:rFonts w:hint="eastAsia"/>
                      <w:vertAlign w:val="baseline"/>
                      <w:lang w:val="en-US" w:eastAsia="zh-CN"/>
                    </w:rPr>
                    <w:t>本项目无生产废水外排，生活污水经化粪池处理后排入市政污水管网，再进入大榄坪污水处理厂处理</w:t>
                  </w:r>
                </w:p>
              </w:tc>
            </w:tr>
            <w:tr w14:paraId="715C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4F9E55BF">
                  <w:pPr>
                    <w:rPr>
                      <w:rFonts w:hint="default"/>
                      <w:vertAlign w:val="baseline"/>
                      <w:lang w:val="en-US" w:eastAsia="zh-CN"/>
                    </w:rPr>
                  </w:pPr>
                </w:p>
              </w:tc>
              <w:tc>
                <w:tcPr>
                  <w:tcW w:w="717" w:type="dxa"/>
                  <w:vMerge w:val="continue"/>
                  <w:vAlign w:val="center"/>
                </w:tcPr>
                <w:p w14:paraId="5F18F6DB">
                  <w:pPr>
                    <w:rPr>
                      <w:rFonts w:hint="default"/>
                      <w:vertAlign w:val="baseline"/>
                      <w:lang w:val="en-US" w:eastAsia="zh-CN"/>
                    </w:rPr>
                  </w:pPr>
                </w:p>
              </w:tc>
              <w:tc>
                <w:tcPr>
                  <w:tcW w:w="783" w:type="dxa"/>
                  <w:vMerge w:val="restart"/>
                  <w:vAlign w:val="center"/>
                </w:tcPr>
                <w:p w14:paraId="4788333D">
                  <w:pPr>
                    <w:jc w:val="center"/>
                    <w:rPr>
                      <w:rFonts w:hint="default"/>
                      <w:vertAlign w:val="baseline"/>
                      <w:lang w:val="en-US" w:eastAsia="zh-CN"/>
                    </w:rPr>
                  </w:pPr>
                  <w:r>
                    <w:rPr>
                      <w:rFonts w:hint="eastAsia"/>
                      <w:vertAlign w:val="baseline"/>
                      <w:lang w:val="en-US" w:eastAsia="zh-CN"/>
                    </w:rPr>
                    <w:t>污染物排放管控</w:t>
                  </w:r>
                </w:p>
              </w:tc>
              <w:tc>
                <w:tcPr>
                  <w:tcW w:w="2763" w:type="dxa"/>
                </w:tcPr>
                <w:p w14:paraId="3285EA72">
                  <w:pPr>
                    <w:rPr>
                      <w:rFonts w:hint="default"/>
                      <w:vertAlign w:val="baseline"/>
                      <w:lang w:val="en-US" w:eastAsia="zh-CN"/>
                    </w:rPr>
                  </w:pPr>
                  <w:r>
                    <w:rPr>
                      <w:rFonts w:hint="eastAsia"/>
                      <w:vertAlign w:val="baseline"/>
                      <w:lang w:val="en-US" w:eastAsia="zh-CN"/>
                    </w:rPr>
                    <w:t>1.继续加强工业集中式污水处理设施建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1761" w:type="dxa"/>
                </w:tcPr>
                <w:p w14:paraId="28BB7B99">
                  <w:pPr>
                    <w:rPr>
                      <w:rFonts w:hint="default"/>
                      <w:vertAlign w:val="baseline"/>
                      <w:lang w:val="en-US" w:eastAsia="zh-CN"/>
                    </w:rPr>
                  </w:pPr>
                  <w:r>
                    <w:rPr>
                      <w:rFonts w:hint="eastAsia"/>
                      <w:vertAlign w:val="baseline"/>
                      <w:lang w:val="en-US" w:eastAsia="zh-CN"/>
                    </w:rPr>
                    <w:t>本项目生活污水达到《污水综合排放标准》（GB8978-1996）三级标准后经市政污水管网进入大榄坪污水处理厂处理，雨水收集至初期雨水池</w:t>
                  </w:r>
                </w:p>
              </w:tc>
            </w:tr>
            <w:tr w14:paraId="53EE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33C28298">
                  <w:pPr>
                    <w:rPr>
                      <w:rFonts w:hint="default"/>
                      <w:vertAlign w:val="baseline"/>
                      <w:lang w:val="en-US" w:eastAsia="zh-CN"/>
                    </w:rPr>
                  </w:pPr>
                </w:p>
              </w:tc>
              <w:tc>
                <w:tcPr>
                  <w:tcW w:w="717" w:type="dxa"/>
                  <w:vMerge w:val="continue"/>
                  <w:vAlign w:val="center"/>
                </w:tcPr>
                <w:p w14:paraId="61BE2E20">
                  <w:pPr>
                    <w:rPr>
                      <w:rFonts w:hint="default"/>
                      <w:vertAlign w:val="baseline"/>
                      <w:lang w:val="en-US" w:eastAsia="zh-CN"/>
                    </w:rPr>
                  </w:pPr>
                </w:p>
              </w:tc>
              <w:tc>
                <w:tcPr>
                  <w:tcW w:w="783" w:type="dxa"/>
                  <w:vMerge w:val="continue"/>
                  <w:vAlign w:val="center"/>
                </w:tcPr>
                <w:p w14:paraId="4159443A">
                  <w:pPr>
                    <w:jc w:val="center"/>
                    <w:rPr>
                      <w:rFonts w:hint="default"/>
                      <w:vertAlign w:val="baseline"/>
                      <w:lang w:val="en-US" w:eastAsia="zh-CN"/>
                    </w:rPr>
                  </w:pPr>
                </w:p>
              </w:tc>
              <w:tc>
                <w:tcPr>
                  <w:tcW w:w="2763" w:type="dxa"/>
                </w:tcPr>
                <w:p w14:paraId="04FAACED">
                  <w:pPr>
                    <w:rPr>
                      <w:rFonts w:hint="default"/>
                      <w:vertAlign w:val="baseline"/>
                      <w:lang w:val="en-US" w:eastAsia="zh-CN"/>
                    </w:rPr>
                  </w:pPr>
                  <w:r>
                    <w:rPr>
                      <w:rFonts w:hint="eastAsia"/>
                      <w:vertAlign w:val="baseline"/>
                      <w:lang w:val="en-US" w:eastAsia="zh-CN"/>
                    </w:rPr>
                    <w:t>2.强化工业企业无组织排放管理，推进大气污染源全面稳定达标排放。</w:t>
                  </w:r>
                </w:p>
              </w:tc>
              <w:tc>
                <w:tcPr>
                  <w:tcW w:w="1761" w:type="dxa"/>
                </w:tcPr>
                <w:p w14:paraId="42F32C36">
                  <w:pPr>
                    <w:rPr>
                      <w:rFonts w:hint="default"/>
                      <w:vertAlign w:val="baseline"/>
                      <w:lang w:val="en-US" w:eastAsia="zh-CN"/>
                    </w:rPr>
                  </w:pPr>
                  <w:r>
                    <w:rPr>
                      <w:rFonts w:hint="eastAsia"/>
                      <w:vertAlign w:val="baseline"/>
                      <w:lang w:val="en-US" w:eastAsia="zh-CN"/>
                    </w:rPr>
                    <w:t>本项目定期进行洒水抑尘，在恶劣天气或者其他环境下不定期增加频率，减少无组织废气排放</w:t>
                  </w:r>
                </w:p>
              </w:tc>
            </w:tr>
            <w:tr w14:paraId="143F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360725F7">
                  <w:pPr>
                    <w:rPr>
                      <w:rFonts w:hint="default"/>
                      <w:vertAlign w:val="baseline"/>
                      <w:lang w:val="en-US" w:eastAsia="zh-CN"/>
                    </w:rPr>
                  </w:pPr>
                </w:p>
              </w:tc>
              <w:tc>
                <w:tcPr>
                  <w:tcW w:w="717" w:type="dxa"/>
                  <w:vMerge w:val="continue"/>
                  <w:vAlign w:val="center"/>
                </w:tcPr>
                <w:p w14:paraId="4E8673D3">
                  <w:pPr>
                    <w:rPr>
                      <w:rFonts w:hint="default"/>
                      <w:vertAlign w:val="baseline"/>
                      <w:lang w:val="en-US" w:eastAsia="zh-CN"/>
                    </w:rPr>
                  </w:pPr>
                </w:p>
              </w:tc>
              <w:tc>
                <w:tcPr>
                  <w:tcW w:w="783" w:type="dxa"/>
                  <w:vMerge w:val="continue"/>
                  <w:vAlign w:val="center"/>
                </w:tcPr>
                <w:p w14:paraId="3B050C5E">
                  <w:pPr>
                    <w:jc w:val="center"/>
                    <w:rPr>
                      <w:rFonts w:hint="default"/>
                      <w:vertAlign w:val="baseline"/>
                      <w:lang w:val="en-US" w:eastAsia="zh-CN"/>
                    </w:rPr>
                  </w:pPr>
                </w:p>
              </w:tc>
              <w:tc>
                <w:tcPr>
                  <w:tcW w:w="2763" w:type="dxa"/>
                </w:tcPr>
                <w:p w14:paraId="1ACC8184">
                  <w:pPr>
                    <w:numPr>
                      <w:ilvl w:val="0"/>
                      <w:numId w:val="2"/>
                    </w:numPr>
                    <w:rPr>
                      <w:rFonts w:hint="default"/>
                      <w:lang w:val="en-US" w:eastAsia="zh-CN"/>
                    </w:rPr>
                  </w:pPr>
                  <w:r>
                    <w:rPr>
                      <w:rFonts w:hint="eastAsia"/>
                      <w:vertAlign w:val="baseline"/>
                      <w:lang w:val="en-US" w:eastAsia="zh-CN"/>
                    </w:rPr>
                    <w:t>加快实施低VOCs含量原辅材料替代，有条件的工业聚集区建设集中喷涂工程中心，配备高效治污设施，替代企业喷涂工序。推动重点行业挥发性有机物（VOCs）污染防治，强化企业精细化管控、无组织废气排放控制以及高效治污设施建设，严格控制挥发性有机污染物排放。</w:t>
                  </w:r>
                </w:p>
              </w:tc>
              <w:tc>
                <w:tcPr>
                  <w:tcW w:w="1761" w:type="dxa"/>
                </w:tcPr>
                <w:p w14:paraId="333C9C00">
                  <w:pPr>
                    <w:rPr>
                      <w:rFonts w:hint="default"/>
                      <w:vertAlign w:val="baseline"/>
                      <w:lang w:val="en-US" w:eastAsia="zh-CN"/>
                    </w:rPr>
                  </w:pPr>
                  <w:r>
                    <w:rPr>
                      <w:rFonts w:hint="eastAsia"/>
                      <w:vertAlign w:val="baseline"/>
                      <w:lang w:val="en-US" w:eastAsia="zh-CN"/>
                    </w:rPr>
                    <w:t>本项目不涉及VOCs原料的使用，无VOCs排放</w:t>
                  </w:r>
                </w:p>
              </w:tc>
            </w:tr>
            <w:tr w14:paraId="54F4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06145BC1">
                  <w:pPr>
                    <w:rPr>
                      <w:rFonts w:hint="default"/>
                      <w:vertAlign w:val="baseline"/>
                      <w:lang w:val="en-US" w:eastAsia="zh-CN"/>
                    </w:rPr>
                  </w:pPr>
                </w:p>
              </w:tc>
              <w:tc>
                <w:tcPr>
                  <w:tcW w:w="717" w:type="dxa"/>
                  <w:vMerge w:val="continue"/>
                  <w:vAlign w:val="center"/>
                </w:tcPr>
                <w:p w14:paraId="52B67BBB">
                  <w:pPr>
                    <w:rPr>
                      <w:rFonts w:hint="default"/>
                      <w:vertAlign w:val="baseline"/>
                      <w:lang w:val="en-US" w:eastAsia="zh-CN"/>
                    </w:rPr>
                  </w:pPr>
                </w:p>
              </w:tc>
              <w:tc>
                <w:tcPr>
                  <w:tcW w:w="783" w:type="dxa"/>
                  <w:vMerge w:val="continue"/>
                  <w:vAlign w:val="center"/>
                </w:tcPr>
                <w:p w14:paraId="5F33FFD7">
                  <w:pPr>
                    <w:jc w:val="center"/>
                    <w:rPr>
                      <w:rFonts w:hint="default"/>
                      <w:vertAlign w:val="baseline"/>
                      <w:lang w:val="en-US" w:eastAsia="zh-CN"/>
                    </w:rPr>
                  </w:pPr>
                </w:p>
              </w:tc>
              <w:tc>
                <w:tcPr>
                  <w:tcW w:w="2763" w:type="dxa"/>
                </w:tcPr>
                <w:p w14:paraId="1D559706">
                  <w:pPr>
                    <w:rPr>
                      <w:rFonts w:hint="default"/>
                      <w:vertAlign w:val="baseline"/>
                      <w:lang w:val="en-US" w:eastAsia="zh-CN"/>
                    </w:rPr>
                  </w:pPr>
                  <w:r>
                    <w:rPr>
                      <w:rFonts w:hint="eastAsia"/>
                      <w:vertAlign w:val="baseline"/>
                      <w:lang w:val="en-US" w:eastAsia="zh-CN"/>
                    </w:rPr>
                    <w:t>4.工业固废以循环经济的理念进行处置，逐步实行垃圾分类收集，危险工业垃圾独立安全处置。</w:t>
                  </w:r>
                </w:p>
              </w:tc>
              <w:tc>
                <w:tcPr>
                  <w:tcW w:w="1761" w:type="dxa"/>
                </w:tcPr>
                <w:p w14:paraId="2FFD5E49">
                  <w:pPr>
                    <w:rPr>
                      <w:rFonts w:hint="default"/>
                      <w:vertAlign w:val="baseline"/>
                      <w:lang w:val="en-US" w:eastAsia="zh-CN"/>
                    </w:rPr>
                  </w:pPr>
                  <w:r>
                    <w:rPr>
                      <w:rFonts w:hint="eastAsia"/>
                      <w:vertAlign w:val="baseline"/>
                      <w:lang w:val="en-US" w:eastAsia="zh-CN"/>
                    </w:rPr>
                    <w:t>本项目一般工业固废收集后暂存于一般固废暂存间，危险废物暂存于危废暂存间，定期交由有资质的单位处置</w:t>
                  </w:r>
                </w:p>
              </w:tc>
            </w:tr>
            <w:tr w14:paraId="02A3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2A1B6C82">
                  <w:pPr>
                    <w:rPr>
                      <w:rFonts w:hint="default"/>
                      <w:vertAlign w:val="baseline"/>
                      <w:lang w:val="en-US" w:eastAsia="zh-CN"/>
                    </w:rPr>
                  </w:pPr>
                </w:p>
              </w:tc>
              <w:tc>
                <w:tcPr>
                  <w:tcW w:w="717" w:type="dxa"/>
                  <w:vMerge w:val="continue"/>
                  <w:vAlign w:val="center"/>
                </w:tcPr>
                <w:p w14:paraId="449C13EF">
                  <w:pPr>
                    <w:rPr>
                      <w:rFonts w:hint="default"/>
                      <w:vertAlign w:val="baseline"/>
                      <w:lang w:val="en-US" w:eastAsia="zh-CN"/>
                    </w:rPr>
                  </w:pPr>
                </w:p>
              </w:tc>
              <w:tc>
                <w:tcPr>
                  <w:tcW w:w="783" w:type="dxa"/>
                  <w:vMerge w:val="restart"/>
                  <w:vAlign w:val="center"/>
                </w:tcPr>
                <w:p w14:paraId="12808669">
                  <w:pPr>
                    <w:jc w:val="center"/>
                    <w:rPr>
                      <w:rFonts w:hint="default"/>
                      <w:vertAlign w:val="baseline"/>
                      <w:lang w:val="en-US" w:eastAsia="zh-CN"/>
                    </w:rPr>
                  </w:pPr>
                  <w:r>
                    <w:rPr>
                      <w:rFonts w:hint="eastAsia"/>
                      <w:vertAlign w:val="baseline"/>
                      <w:lang w:val="en-US" w:eastAsia="zh-CN"/>
                    </w:rPr>
                    <w:t>环境风险防控</w:t>
                  </w:r>
                </w:p>
              </w:tc>
              <w:tc>
                <w:tcPr>
                  <w:tcW w:w="2763" w:type="dxa"/>
                </w:tcPr>
                <w:p w14:paraId="62BDF702">
                  <w:pPr>
                    <w:rPr>
                      <w:rFonts w:hint="default"/>
                      <w:vertAlign w:val="baseline"/>
                      <w:lang w:val="en-US" w:eastAsia="zh-CN"/>
                    </w:rPr>
                  </w:pPr>
                  <w:r>
                    <w:rPr>
                      <w:rFonts w:hint="eastAsia"/>
                      <w:vertAlign w:val="baseline"/>
                      <w:lang w:val="en-US" w:eastAsia="zh-CN"/>
                    </w:rPr>
                    <w:t>1.入区项目应严格落实环境保护措施和环境风险防范措施，确保园区周边麻兰岛旅游度假区、鹿耳环江红树林生态安全。</w:t>
                  </w:r>
                </w:p>
              </w:tc>
              <w:tc>
                <w:tcPr>
                  <w:tcW w:w="1761" w:type="dxa"/>
                </w:tcPr>
                <w:p w14:paraId="02CA9479">
                  <w:pPr>
                    <w:rPr>
                      <w:rFonts w:hint="default"/>
                      <w:vertAlign w:val="baseline"/>
                      <w:lang w:val="en-US" w:eastAsia="zh-CN"/>
                    </w:rPr>
                  </w:pPr>
                  <w:r>
                    <w:rPr>
                      <w:rFonts w:hint="eastAsia"/>
                      <w:vertAlign w:val="baseline"/>
                      <w:lang w:val="en-US" w:eastAsia="zh-CN"/>
                    </w:rPr>
                    <w:t>本次评价要求建设单位严格落实环境保护措施和环境风险防范措施</w:t>
                  </w:r>
                </w:p>
              </w:tc>
            </w:tr>
            <w:tr w14:paraId="3EF4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1EA82E7D">
                  <w:pPr>
                    <w:rPr>
                      <w:rFonts w:hint="default"/>
                      <w:vertAlign w:val="baseline"/>
                      <w:lang w:val="en-US" w:eastAsia="zh-CN"/>
                    </w:rPr>
                  </w:pPr>
                </w:p>
              </w:tc>
              <w:tc>
                <w:tcPr>
                  <w:tcW w:w="717" w:type="dxa"/>
                  <w:vMerge w:val="continue"/>
                  <w:vAlign w:val="center"/>
                </w:tcPr>
                <w:p w14:paraId="463E8F37">
                  <w:pPr>
                    <w:rPr>
                      <w:rFonts w:hint="default"/>
                      <w:vertAlign w:val="baseline"/>
                      <w:lang w:val="en-US" w:eastAsia="zh-CN"/>
                    </w:rPr>
                  </w:pPr>
                </w:p>
              </w:tc>
              <w:tc>
                <w:tcPr>
                  <w:tcW w:w="783" w:type="dxa"/>
                  <w:vMerge w:val="continue"/>
                  <w:vAlign w:val="center"/>
                </w:tcPr>
                <w:p w14:paraId="41D9FA87">
                  <w:pPr>
                    <w:jc w:val="center"/>
                    <w:rPr>
                      <w:rFonts w:hint="default"/>
                      <w:vertAlign w:val="baseline"/>
                      <w:lang w:val="en-US" w:eastAsia="zh-CN"/>
                    </w:rPr>
                  </w:pPr>
                </w:p>
              </w:tc>
              <w:tc>
                <w:tcPr>
                  <w:tcW w:w="2763" w:type="dxa"/>
                </w:tcPr>
                <w:p w14:paraId="5D600E99">
                  <w:pPr>
                    <w:rPr>
                      <w:rFonts w:hint="default"/>
                      <w:vertAlign w:val="baseline"/>
                      <w:lang w:val="en-US" w:eastAsia="zh-CN"/>
                    </w:rPr>
                  </w:pPr>
                  <w:r>
                    <w:rPr>
                      <w:rFonts w:hint="eastAsia"/>
                      <w:vertAlign w:val="baseline"/>
                      <w:lang w:val="en-US" w:eastAsia="zh-CN"/>
                    </w:rPr>
                    <w:t>2.开展环境风险评估，制定突发环境事件应急预案并备案，配备应急能力和物资，建设环境应急队伍，并定期演练。企业、园区与地方人民政府环境应急预案应当有机衔接。</w:t>
                  </w:r>
                </w:p>
              </w:tc>
              <w:tc>
                <w:tcPr>
                  <w:tcW w:w="1761" w:type="dxa"/>
                </w:tcPr>
                <w:p w14:paraId="4302E216">
                  <w:pPr>
                    <w:rPr>
                      <w:rFonts w:hint="default"/>
                      <w:vertAlign w:val="baseline"/>
                      <w:lang w:val="en-US" w:eastAsia="zh-CN"/>
                    </w:rPr>
                  </w:pPr>
                  <w:r>
                    <w:rPr>
                      <w:rFonts w:hint="eastAsia"/>
                      <w:vertAlign w:val="baseline"/>
                      <w:lang w:val="en-US" w:eastAsia="zh-CN"/>
                    </w:rPr>
                    <w:t>本次评价要求建设单位制定突发环境事件应急预案</w:t>
                  </w:r>
                </w:p>
              </w:tc>
            </w:tr>
            <w:tr w14:paraId="5F25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0294A75D">
                  <w:pPr>
                    <w:rPr>
                      <w:rFonts w:hint="default"/>
                      <w:vertAlign w:val="baseline"/>
                      <w:lang w:val="en-US" w:eastAsia="zh-CN"/>
                    </w:rPr>
                  </w:pPr>
                </w:p>
              </w:tc>
              <w:tc>
                <w:tcPr>
                  <w:tcW w:w="717" w:type="dxa"/>
                  <w:vMerge w:val="continue"/>
                  <w:vAlign w:val="center"/>
                </w:tcPr>
                <w:p w14:paraId="6A0E049D">
                  <w:pPr>
                    <w:rPr>
                      <w:rFonts w:hint="default"/>
                      <w:vertAlign w:val="baseline"/>
                      <w:lang w:val="en-US" w:eastAsia="zh-CN"/>
                    </w:rPr>
                  </w:pPr>
                </w:p>
              </w:tc>
              <w:tc>
                <w:tcPr>
                  <w:tcW w:w="783" w:type="dxa"/>
                  <w:vMerge w:val="restart"/>
                  <w:vAlign w:val="center"/>
                </w:tcPr>
                <w:p w14:paraId="62CAD165">
                  <w:pPr>
                    <w:jc w:val="center"/>
                    <w:rPr>
                      <w:rFonts w:hint="default"/>
                      <w:vertAlign w:val="baseline"/>
                      <w:lang w:val="en-US" w:eastAsia="zh-CN"/>
                    </w:rPr>
                  </w:pPr>
                  <w:r>
                    <w:rPr>
                      <w:rFonts w:hint="eastAsia"/>
                      <w:vertAlign w:val="baseline"/>
                      <w:lang w:val="en-US" w:eastAsia="zh-CN"/>
                    </w:rPr>
                    <w:t>资源开发利用效率要求</w:t>
                  </w:r>
                </w:p>
              </w:tc>
              <w:tc>
                <w:tcPr>
                  <w:tcW w:w="2763" w:type="dxa"/>
                </w:tcPr>
                <w:p w14:paraId="03C36161">
                  <w:pPr>
                    <w:rPr>
                      <w:rFonts w:hint="default"/>
                      <w:vertAlign w:val="baseline"/>
                      <w:lang w:val="en-US" w:eastAsia="zh-CN"/>
                    </w:rPr>
                  </w:pPr>
                  <w:r>
                    <w:rPr>
                      <w:rFonts w:hint="eastAsia"/>
                      <w:vertAlign w:val="baseline"/>
                      <w:lang w:val="en-US" w:eastAsia="zh-CN"/>
                    </w:rPr>
                    <w:t>1.提高工业用水循环利用率，减少工业新鲜水用量，提高企业中水回用率。</w:t>
                  </w:r>
                </w:p>
              </w:tc>
              <w:tc>
                <w:tcPr>
                  <w:tcW w:w="1761" w:type="dxa"/>
                </w:tcPr>
                <w:p w14:paraId="693CD973">
                  <w:pPr>
                    <w:rPr>
                      <w:rFonts w:hint="default"/>
                      <w:vertAlign w:val="baseline"/>
                      <w:lang w:val="en-US" w:eastAsia="zh-CN"/>
                    </w:rPr>
                  </w:pPr>
                  <w:r>
                    <w:rPr>
                      <w:rFonts w:hint="eastAsia"/>
                      <w:vertAlign w:val="baseline"/>
                      <w:lang w:val="en-US" w:eastAsia="zh-CN"/>
                    </w:rPr>
                    <w:t>本项目无生产废水外排</w:t>
                  </w:r>
                </w:p>
              </w:tc>
            </w:tr>
            <w:tr w14:paraId="3456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19" w:type="dxa"/>
                  <w:vMerge w:val="continue"/>
                  <w:vAlign w:val="center"/>
                </w:tcPr>
                <w:p w14:paraId="498D221B">
                  <w:pPr>
                    <w:rPr>
                      <w:rFonts w:hint="default"/>
                      <w:vertAlign w:val="baseline"/>
                      <w:lang w:val="en-US" w:eastAsia="zh-CN"/>
                    </w:rPr>
                  </w:pPr>
                </w:p>
              </w:tc>
              <w:tc>
                <w:tcPr>
                  <w:tcW w:w="717" w:type="dxa"/>
                  <w:vMerge w:val="continue"/>
                  <w:vAlign w:val="center"/>
                </w:tcPr>
                <w:p w14:paraId="7F671251">
                  <w:pPr>
                    <w:rPr>
                      <w:rFonts w:hint="default"/>
                      <w:vertAlign w:val="baseline"/>
                      <w:lang w:val="en-US" w:eastAsia="zh-CN"/>
                    </w:rPr>
                  </w:pPr>
                </w:p>
              </w:tc>
              <w:tc>
                <w:tcPr>
                  <w:tcW w:w="783" w:type="dxa"/>
                  <w:vMerge w:val="continue"/>
                </w:tcPr>
                <w:p w14:paraId="18647059">
                  <w:pPr>
                    <w:rPr>
                      <w:rFonts w:hint="default"/>
                      <w:vertAlign w:val="baseline"/>
                      <w:lang w:val="en-US" w:eastAsia="zh-CN"/>
                    </w:rPr>
                  </w:pPr>
                </w:p>
              </w:tc>
              <w:tc>
                <w:tcPr>
                  <w:tcW w:w="2763" w:type="dxa"/>
                </w:tcPr>
                <w:p w14:paraId="0BAE26C2">
                  <w:pPr>
                    <w:rPr>
                      <w:rFonts w:hint="default"/>
                      <w:vertAlign w:val="baseline"/>
                      <w:lang w:val="en-US" w:eastAsia="zh-CN"/>
                    </w:rPr>
                  </w:pPr>
                  <w:r>
                    <w:rPr>
                      <w:rFonts w:hint="eastAsia"/>
                      <w:vertAlign w:val="baseline"/>
                      <w:lang w:val="en-US" w:eastAsia="zh-CN"/>
                    </w:rPr>
                    <w:t>2.推进区域土地节约集约利用，优先保障区域主导产业发展用地。</w:t>
                  </w:r>
                </w:p>
              </w:tc>
              <w:tc>
                <w:tcPr>
                  <w:tcW w:w="1761" w:type="dxa"/>
                </w:tcPr>
                <w:p w14:paraId="75D3B456">
                  <w:pPr>
                    <w:rPr>
                      <w:rFonts w:hint="default"/>
                      <w:vertAlign w:val="baseline"/>
                      <w:lang w:val="en-US" w:eastAsia="zh-CN"/>
                    </w:rPr>
                  </w:pPr>
                  <w:r>
                    <w:rPr>
                      <w:rFonts w:hint="eastAsia"/>
                      <w:vertAlign w:val="baseline"/>
                      <w:lang w:val="en-US" w:eastAsia="zh-CN"/>
                    </w:rPr>
                    <w:t>本项目不涉及</w:t>
                  </w:r>
                </w:p>
              </w:tc>
            </w:tr>
          </w:tbl>
          <w:p w14:paraId="60CCD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综上所述，本项目符合《钦州市生态环境局关于印发实施钦州市生态环境分区管控动态更新成果（2023年）的通知》相关管控要求。</w:t>
            </w:r>
          </w:p>
          <w:p w14:paraId="51A5C5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4、与《中国（广西）自由贸易试验区钦州港片区国土空间分区规划（2023—2035年）》的相符性分析</w:t>
            </w:r>
          </w:p>
          <w:p w14:paraId="32213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根据《中国—马来西亚钦州产业园区管理委员会关于印发＜中国（广西）自由贸易试验区钦州港片区国土空间分区规划（2023—2035年）＞的通知》（中马园发〔2024〕20号），规划的范围为钦州港片区管理范围，总面积26209.41公顷。规划期限为2023年—2035年，基期年为2023年。发展定位为国际重要航运中心和贸易平台、国家重要的沿边临港产业园区、向海经济示范区、国内国际双循环市场经营便利的门户港。产业体系聚焦发展绿色石化、港航物流两大战略主导产业，重点发展化纤纺织、电子信息、生物医药、海洋装备制造、新能源材料及新能源汽车零部件五大重点培育产业，提升发展林浆纸加工、粮油食品产业。</w:t>
            </w:r>
          </w:p>
          <w:p w14:paraId="1720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根据产业空间分布图（附图6），项目位于港航物流区，主要用于有色金属矿的存放及周转，符合钦州港片区的产业空间规划。</w:t>
            </w:r>
          </w:p>
        </w:tc>
      </w:tr>
    </w:tbl>
    <w:p w14:paraId="386377CC">
      <w:pPr>
        <w:pStyle w:val="14"/>
        <w:ind w:left="0" w:leftChars="0" w:firstLine="0" w:firstLineChars="0"/>
        <w:sectPr>
          <w:footerReference r:id="rId4" w:type="default"/>
          <w:pgSz w:w="11906" w:h="16838"/>
          <w:pgMar w:top="1440" w:right="1800" w:bottom="1440" w:left="1800" w:header="851" w:footer="992" w:gutter="0"/>
          <w:pgNumType w:fmt="decimal" w:start="1"/>
          <w:cols w:space="425" w:num="1"/>
          <w:docGrid w:type="lines" w:linePitch="312" w:charSpace="0"/>
        </w:sectPr>
      </w:pPr>
    </w:p>
    <w:p w14:paraId="695D902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sz w:val="30"/>
          <w:szCs w:val="30"/>
          <w:lang w:val="en-US" w:eastAsia="zh-CN"/>
        </w:rPr>
      </w:pPr>
      <w:bookmarkStart w:id="5" w:name="_Toc24428"/>
      <w:r>
        <w:rPr>
          <w:rFonts w:hint="eastAsia" w:ascii="黑体" w:hAnsi="黑体" w:eastAsia="黑体"/>
          <w:snapToGrid w:val="0"/>
          <w:sz w:val="30"/>
          <w:szCs w:val="30"/>
          <w:lang w:val="en-US" w:eastAsia="zh-CN"/>
        </w:rPr>
        <w:t>二、建设项目工程分析</w:t>
      </w:r>
      <w:bookmarkEnd w:id="5"/>
    </w:p>
    <w:tbl>
      <w:tblPr>
        <w:tblStyle w:val="17"/>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921"/>
      </w:tblGrid>
      <w:tr w14:paraId="5E8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Align w:val="center"/>
          </w:tcPr>
          <w:p w14:paraId="284B9735">
            <w:pPr>
              <w:pStyle w:val="14"/>
              <w:numPr>
                <w:ilvl w:val="0"/>
                <w:numId w:val="0"/>
              </w:numPr>
              <w:jc w:val="center"/>
              <w:rPr>
                <w:rFonts w:hint="default"/>
                <w:vertAlign w:val="baseline"/>
                <w:lang w:val="en-US" w:eastAsia="zh-CN"/>
              </w:rPr>
            </w:pPr>
            <w:r>
              <w:rPr>
                <w:rFonts w:hint="eastAsia"/>
                <w:vertAlign w:val="baseline"/>
                <w:lang w:val="en-US" w:eastAsia="zh-CN"/>
              </w:rPr>
              <w:t>建设内容</w:t>
            </w:r>
          </w:p>
        </w:tc>
        <w:tc>
          <w:tcPr>
            <w:tcW w:w="7921" w:type="dxa"/>
          </w:tcPr>
          <w:p w14:paraId="417CCC57">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2" w:firstLineChars="200"/>
              <w:textAlignment w:val="auto"/>
              <w:rPr>
                <w:rFonts w:hint="eastAsia"/>
                <w:b/>
                <w:bCs/>
                <w:sz w:val="24"/>
                <w:szCs w:val="24"/>
                <w:vertAlign w:val="baseline"/>
                <w:lang w:val="en-US" w:eastAsia="zh-CN"/>
              </w:rPr>
            </w:pPr>
            <w:r>
              <w:rPr>
                <w:rFonts w:hint="eastAsia"/>
                <w:b/>
                <w:bCs/>
                <w:sz w:val="24"/>
                <w:szCs w:val="24"/>
                <w:vertAlign w:val="baseline"/>
                <w:lang w:val="en-US" w:eastAsia="zh-CN"/>
              </w:rPr>
              <w:t>项目由来</w:t>
            </w:r>
          </w:p>
          <w:p w14:paraId="3B155A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铜精矿是国家重要战略资源之一，但我国铜矿储量较少，因此全国 80%铜精矿依靠进口。为控制铜精矿利用过程中对环境的污染，我国对入境铜精矿中的有害元素</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铅、砷、氟、镉、汞</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严格管制，因此国外大量有害元素超标铜精矿无法直接进入我国。面 对我国严格的环保政策和矿山开采品位持续下降、杂质含量持续上升的大趋势，国外多家大型贸易公司已陆续开展铜精矿混矿业务，对各类铜精矿进行混配以满足我国环保要求和冶炼厂的个性化需求。 </w:t>
            </w:r>
          </w:p>
          <w:p w14:paraId="0D81B3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kern w:val="0"/>
                <w:sz w:val="24"/>
                <w:szCs w:val="24"/>
                <w:lang w:val="en-US" w:eastAsia="zh-CN" w:bidi="ar"/>
              </w:rPr>
              <w:t>为了积极响应国家战略号召，打造铜精矿集散中心，</w:t>
            </w:r>
            <w:r>
              <w:rPr>
                <w:rFonts w:hint="eastAsia" w:ascii="Times New Roman" w:hAnsi="Times New Roman" w:eastAsia="宋体" w:cs="Times New Roman"/>
                <w:color w:val="000000"/>
                <w:kern w:val="0"/>
                <w:sz w:val="24"/>
                <w:szCs w:val="24"/>
                <w:lang w:val="en-US" w:eastAsia="zh-CN" w:bidi="ar"/>
              </w:rPr>
              <w:t>中铜矿产资源有限公司拟在广西钦州开展铜精矿混矿项目。中铜公司拟投资</w:t>
            </w:r>
            <w:r>
              <w:rPr>
                <w:rFonts w:hint="eastAsia" w:cs="Times New Roman"/>
                <w:color w:val="000000"/>
                <w:kern w:val="0"/>
                <w:sz w:val="24"/>
                <w:szCs w:val="24"/>
                <w:lang w:val="en-US" w:eastAsia="zh-CN" w:bidi="ar"/>
              </w:rPr>
              <w:t>7979.28</w:t>
            </w:r>
            <w:r>
              <w:rPr>
                <w:rFonts w:hint="eastAsia" w:ascii="Times New Roman" w:hAnsi="Times New Roman" w:eastAsia="宋体" w:cs="Times New Roman"/>
                <w:color w:val="000000"/>
                <w:kern w:val="0"/>
                <w:sz w:val="24"/>
                <w:szCs w:val="24"/>
                <w:lang w:val="en-US" w:eastAsia="zh-CN" w:bidi="ar"/>
              </w:rPr>
              <w:t>万元在广西钦州综合保税区租赁钦州北部湾港务投资有限公司</w:t>
            </w:r>
            <w:r>
              <w:rPr>
                <w:rFonts w:hint="eastAsia" w:cs="Times New Roman"/>
                <w:color w:val="000000"/>
                <w:kern w:val="0"/>
                <w:sz w:val="24"/>
                <w:szCs w:val="24"/>
                <w:lang w:val="en-US" w:eastAsia="zh-CN" w:bidi="ar"/>
              </w:rPr>
              <w:t>建设</w:t>
            </w:r>
            <w:r>
              <w:rPr>
                <w:rFonts w:hint="eastAsia" w:ascii="Times New Roman" w:hAnsi="Times New Roman" w:eastAsia="宋体" w:cs="Times New Roman"/>
                <w:color w:val="000000"/>
                <w:kern w:val="0"/>
                <w:sz w:val="24"/>
                <w:szCs w:val="24"/>
                <w:lang w:val="en-US" w:eastAsia="zh-CN" w:bidi="ar"/>
              </w:rPr>
              <w:t>的仓库、</w:t>
            </w:r>
            <w:r>
              <w:rPr>
                <w:rFonts w:hint="eastAsia" w:cs="Times New Roman"/>
                <w:color w:val="000000"/>
                <w:kern w:val="0"/>
                <w:sz w:val="24"/>
                <w:szCs w:val="24"/>
                <w:lang w:val="en-US" w:eastAsia="zh-CN" w:bidi="ar"/>
              </w:rPr>
              <w:t>生产</w:t>
            </w:r>
            <w:r>
              <w:rPr>
                <w:rFonts w:hint="eastAsia" w:ascii="Times New Roman" w:hAnsi="Times New Roman" w:eastAsia="宋体" w:cs="Times New Roman"/>
                <w:color w:val="000000"/>
                <w:kern w:val="0"/>
                <w:sz w:val="24"/>
                <w:szCs w:val="24"/>
                <w:lang w:val="en-US" w:eastAsia="zh-CN" w:bidi="ar"/>
              </w:rPr>
              <w:t>用房、其他配套构建筑物</w:t>
            </w:r>
            <w:r>
              <w:rPr>
                <w:rFonts w:hint="eastAsia"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实施“中铜（</w:t>
            </w:r>
            <w:r>
              <w:rPr>
                <w:rFonts w:hint="eastAsia" w:cs="Times New Roman"/>
                <w:color w:val="000000"/>
                <w:kern w:val="0"/>
                <w:sz w:val="24"/>
                <w:szCs w:val="24"/>
                <w:lang w:val="en-US" w:eastAsia="zh-CN" w:bidi="ar"/>
              </w:rPr>
              <w:t>钦州</w:t>
            </w:r>
            <w:r>
              <w:rPr>
                <w:rFonts w:hint="eastAsia" w:ascii="Times New Roman" w:hAnsi="Times New Roman" w:eastAsia="宋体" w:cs="Times New Roman"/>
                <w:color w:val="000000"/>
                <w:kern w:val="0"/>
                <w:sz w:val="24"/>
                <w:szCs w:val="24"/>
                <w:lang w:val="en-US" w:eastAsia="zh-CN" w:bidi="ar"/>
              </w:rPr>
              <w:t>）铜精矿混矿项目”，从国外进口非标准散装铜精矿及标准散装铜精矿，按一定比例进行混配，从而获得满足我国标准的混合铜精矿。</w:t>
            </w:r>
            <w:r>
              <w:rPr>
                <w:rFonts w:hint="eastAsia" w:cs="Times New Roman"/>
                <w:color w:val="000000"/>
                <w:kern w:val="0"/>
                <w:sz w:val="24"/>
                <w:szCs w:val="24"/>
                <w:lang w:val="en-US" w:eastAsia="zh-CN" w:bidi="ar"/>
              </w:rPr>
              <w:t>根据《建设项目环境影响评价分类管理名录（2021年版）》，本项目属于“七、有色金属矿采选业09－常用有色金属矿采选091－单独的矿石破碎、集运”，需编制环境影响报告表。</w:t>
            </w:r>
          </w:p>
          <w:p w14:paraId="38AE23C7">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2" w:firstLineChars="200"/>
              <w:textAlignment w:val="auto"/>
              <w:rPr>
                <w:rFonts w:hint="default"/>
                <w:b/>
                <w:bCs/>
                <w:sz w:val="24"/>
                <w:szCs w:val="24"/>
                <w:vertAlign w:val="baseline"/>
                <w:lang w:val="en-US" w:eastAsia="zh-CN"/>
              </w:rPr>
            </w:pPr>
            <w:r>
              <w:rPr>
                <w:rFonts w:hint="eastAsia"/>
                <w:b/>
                <w:bCs/>
                <w:sz w:val="24"/>
                <w:szCs w:val="24"/>
                <w:vertAlign w:val="baseline"/>
                <w:lang w:val="en-US" w:eastAsia="zh-CN"/>
              </w:rPr>
              <w:t>建设内容及规模</w:t>
            </w:r>
          </w:p>
          <w:p w14:paraId="6803DFA7">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项目名称：中铜（钦州）铜精矿混矿项目</w:t>
            </w:r>
          </w:p>
          <w:p w14:paraId="1F424238">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建设单位：中铜矿产资源有限公司</w:t>
            </w:r>
          </w:p>
          <w:p w14:paraId="1571E1A9">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建设性质：新建</w:t>
            </w:r>
          </w:p>
          <w:p w14:paraId="5D20257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建设地点：钦州港综合保税区二号路东面、七大街北面</w:t>
            </w:r>
          </w:p>
          <w:p w14:paraId="4AD275D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建设规模及内容：项目占地面积约123333m</w:t>
            </w:r>
            <w:r>
              <w:rPr>
                <w:rFonts w:hint="eastAsia"/>
                <w:sz w:val="24"/>
                <w:szCs w:val="24"/>
                <w:vertAlign w:val="superscript"/>
                <w:lang w:val="en-US" w:eastAsia="zh-CN"/>
              </w:rPr>
              <w:t>2</w:t>
            </w:r>
            <w:r>
              <w:rPr>
                <w:rFonts w:hint="eastAsia"/>
                <w:sz w:val="24"/>
                <w:szCs w:val="24"/>
                <w:lang w:val="en-US" w:eastAsia="zh-CN"/>
              </w:rPr>
              <w:t>，其中卸矿站面积约8164m</w:t>
            </w:r>
            <w:r>
              <w:rPr>
                <w:rFonts w:hint="eastAsia"/>
                <w:sz w:val="24"/>
                <w:szCs w:val="24"/>
                <w:vertAlign w:val="superscript"/>
                <w:lang w:val="en-US" w:eastAsia="zh-CN"/>
              </w:rPr>
              <w:t>2</w:t>
            </w:r>
            <w:r>
              <w:rPr>
                <w:rFonts w:hint="eastAsia"/>
                <w:sz w:val="24"/>
                <w:szCs w:val="24"/>
                <w:lang w:val="en-US" w:eastAsia="zh-CN"/>
              </w:rPr>
              <w:t>，混矿库占地面积为50000m</w:t>
            </w:r>
            <w:r>
              <w:rPr>
                <w:rFonts w:hint="eastAsia"/>
                <w:sz w:val="24"/>
                <w:szCs w:val="24"/>
                <w:vertAlign w:val="superscript"/>
                <w:lang w:val="en-US" w:eastAsia="zh-CN"/>
              </w:rPr>
              <w:t>2</w:t>
            </w:r>
            <w:r>
              <w:rPr>
                <w:rFonts w:hint="eastAsia"/>
                <w:sz w:val="24"/>
                <w:szCs w:val="24"/>
                <w:lang w:val="en-US" w:eastAsia="zh-CN"/>
              </w:rPr>
              <w:t>，混矿调度中心占地面积约756m</w:t>
            </w:r>
            <w:r>
              <w:rPr>
                <w:rFonts w:hint="eastAsia"/>
                <w:sz w:val="24"/>
                <w:szCs w:val="24"/>
                <w:vertAlign w:val="superscript"/>
                <w:lang w:val="en-US" w:eastAsia="zh-CN"/>
              </w:rPr>
              <w:t>2</w:t>
            </w:r>
            <w:r>
              <w:rPr>
                <w:rFonts w:hint="eastAsia"/>
                <w:sz w:val="24"/>
                <w:szCs w:val="24"/>
                <w:lang w:val="en-US" w:eastAsia="zh-CN"/>
              </w:rPr>
              <w:t>。项目基本情况详见下表。</w:t>
            </w:r>
          </w:p>
          <w:p w14:paraId="6578C2B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表2-1 项目基本情况一览表</w:t>
            </w:r>
          </w:p>
          <w:tbl>
            <w:tblPr>
              <w:tblStyle w:val="17"/>
              <w:tblW w:w="7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225"/>
              <w:gridCol w:w="4255"/>
              <w:gridCol w:w="1175"/>
            </w:tblGrid>
            <w:tr w14:paraId="142E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99" w:type="dxa"/>
                  <w:vAlign w:val="center"/>
                </w:tcPr>
                <w:p w14:paraId="6F5D815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工程类别</w:t>
                  </w:r>
                </w:p>
              </w:tc>
              <w:tc>
                <w:tcPr>
                  <w:tcW w:w="1225" w:type="dxa"/>
                  <w:vAlign w:val="center"/>
                </w:tcPr>
                <w:p w14:paraId="00C7234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车间或设施名称</w:t>
                  </w:r>
                </w:p>
              </w:tc>
              <w:tc>
                <w:tcPr>
                  <w:tcW w:w="4255" w:type="dxa"/>
                  <w:vAlign w:val="center"/>
                </w:tcPr>
                <w:p w14:paraId="46B69B6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工程内容及规模</w:t>
                  </w:r>
                </w:p>
              </w:tc>
              <w:tc>
                <w:tcPr>
                  <w:tcW w:w="1175" w:type="dxa"/>
                  <w:vAlign w:val="center"/>
                </w:tcPr>
                <w:p w14:paraId="2D799E2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备注</w:t>
                  </w:r>
                </w:p>
              </w:tc>
            </w:tr>
            <w:tr w14:paraId="17A5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Align w:val="center"/>
                </w:tcPr>
                <w:p w14:paraId="2E1A39D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主体工程</w:t>
                  </w:r>
                </w:p>
              </w:tc>
              <w:tc>
                <w:tcPr>
                  <w:tcW w:w="1225" w:type="dxa"/>
                  <w:vAlign w:val="center"/>
                </w:tcPr>
                <w:p w14:paraId="5F02FCC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生产车间</w:t>
                  </w:r>
                </w:p>
              </w:tc>
              <w:tc>
                <w:tcPr>
                  <w:tcW w:w="4255" w:type="dxa"/>
                  <w:vAlign w:val="center"/>
                </w:tcPr>
                <w:p w14:paraId="54DD2E28">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sz w:val="21"/>
                      <w:szCs w:val="21"/>
                      <w:vertAlign w:val="baseline"/>
                      <w:lang w:val="en-US" w:eastAsia="zh-CN"/>
                    </w:rPr>
                  </w:pPr>
                  <w:r>
                    <w:rPr>
                      <w:rFonts w:hint="eastAsia"/>
                      <w:sz w:val="21"/>
                      <w:szCs w:val="21"/>
                      <w:vertAlign w:val="baseline"/>
                      <w:lang w:val="en-US" w:eastAsia="zh-CN"/>
                    </w:rPr>
                    <w:t>1#厂房（卸矿站）：钢结构排架的全封闭厂房，高度约为21m，占地面积为8164m</w:t>
                  </w:r>
                  <w:r>
                    <w:rPr>
                      <w:rFonts w:hint="eastAsia"/>
                      <w:sz w:val="21"/>
                      <w:szCs w:val="21"/>
                      <w:vertAlign w:val="superscript"/>
                      <w:lang w:val="en-US" w:eastAsia="zh-CN"/>
                    </w:rPr>
                    <w:t>2</w:t>
                  </w:r>
                  <w:r>
                    <w:rPr>
                      <w:rFonts w:hint="eastAsia"/>
                      <w:sz w:val="21"/>
                      <w:szCs w:val="21"/>
                      <w:vertAlign w:val="baseline"/>
                      <w:lang w:val="en-US" w:eastAsia="zh-CN"/>
                    </w:rPr>
                    <w:t>，主要负责原料装卸与成品装车，卸矿站北侧为卸料区域，南侧为成品装车区域；</w:t>
                  </w:r>
                </w:p>
                <w:p w14:paraId="1CAAD1C0">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r>
                    <w:rPr>
                      <w:rFonts w:hint="eastAsia"/>
                      <w:sz w:val="21"/>
                      <w:szCs w:val="21"/>
                      <w:vertAlign w:val="baseline"/>
                      <w:lang w:val="en-US" w:eastAsia="zh-CN"/>
                    </w:rPr>
                    <w:t>2#厂房（混矿库）：钢结构排架的全封闭式厂房，高度约为21m，占地面积为50000m</w:t>
                  </w:r>
                  <w:r>
                    <w:rPr>
                      <w:rFonts w:hint="eastAsia"/>
                      <w:sz w:val="21"/>
                      <w:szCs w:val="21"/>
                      <w:vertAlign w:val="superscript"/>
                      <w:lang w:val="en-US" w:eastAsia="zh-CN"/>
                    </w:rPr>
                    <w:t>2</w:t>
                  </w:r>
                  <w:r>
                    <w:rPr>
                      <w:rFonts w:hint="eastAsia"/>
                      <w:sz w:val="21"/>
                      <w:szCs w:val="21"/>
                      <w:vertAlign w:val="baseline"/>
                      <w:lang w:val="en-US" w:eastAsia="zh-CN"/>
                    </w:rPr>
                    <w:t>，主要设置有8个原料仓，1条混矿生产线、8个成品仓等</w:t>
                  </w:r>
                </w:p>
              </w:tc>
              <w:tc>
                <w:tcPr>
                  <w:tcW w:w="1175" w:type="dxa"/>
                  <w:vAlign w:val="center"/>
                </w:tcPr>
                <w:p w14:paraId="443A792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租赁钦州北部湾港务投资有限公司建设厂房</w:t>
                  </w:r>
                </w:p>
              </w:tc>
            </w:tr>
            <w:tr w14:paraId="2A4D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restart"/>
                  <w:vAlign w:val="center"/>
                </w:tcPr>
                <w:p w14:paraId="05CEA7D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储运工程</w:t>
                  </w:r>
                </w:p>
              </w:tc>
              <w:tc>
                <w:tcPr>
                  <w:tcW w:w="1225" w:type="dxa"/>
                  <w:vAlign w:val="center"/>
                </w:tcPr>
                <w:p w14:paraId="04ADC6D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原料仓</w:t>
                  </w:r>
                </w:p>
              </w:tc>
              <w:tc>
                <w:tcPr>
                  <w:tcW w:w="4255" w:type="dxa"/>
                  <w:vAlign w:val="center"/>
                </w:tcPr>
                <w:p w14:paraId="5403387F">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8个，位于混矿库内，四周设置有6m高挡墙</w:t>
                  </w:r>
                </w:p>
              </w:tc>
              <w:tc>
                <w:tcPr>
                  <w:tcW w:w="1175" w:type="dxa"/>
                  <w:vAlign w:val="center"/>
                </w:tcPr>
                <w:p w14:paraId="5BD74B9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72E1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continue"/>
                  <w:vAlign w:val="center"/>
                </w:tcPr>
                <w:p w14:paraId="53DC81B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225" w:type="dxa"/>
                  <w:vAlign w:val="center"/>
                </w:tcPr>
                <w:p w14:paraId="460408E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成品仓</w:t>
                  </w:r>
                </w:p>
              </w:tc>
              <w:tc>
                <w:tcPr>
                  <w:tcW w:w="4255" w:type="dxa"/>
                  <w:vAlign w:val="center"/>
                </w:tcPr>
                <w:p w14:paraId="5B52D279">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8个，位于混矿库内，四周设置有6m高挡墙</w:t>
                  </w:r>
                </w:p>
              </w:tc>
              <w:tc>
                <w:tcPr>
                  <w:tcW w:w="1175" w:type="dxa"/>
                  <w:vAlign w:val="center"/>
                </w:tcPr>
                <w:p w14:paraId="198B8C6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3913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99" w:type="dxa"/>
                  <w:vMerge w:val="restart"/>
                  <w:vAlign w:val="center"/>
                </w:tcPr>
                <w:p w14:paraId="0A1BF84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辅助工程</w:t>
                  </w:r>
                </w:p>
              </w:tc>
              <w:tc>
                <w:tcPr>
                  <w:tcW w:w="1225" w:type="dxa"/>
                  <w:vAlign w:val="center"/>
                </w:tcPr>
                <w:p w14:paraId="34ECCA2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混矿调度中心</w:t>
                  </w:r>
                </w:p>
              </w:tc>
              <w:tc>
                <w:tcPr>
                  <w:tcW w:w="4255" w:type="dxa"/>
                  <w:vAlign w:val="center"/>
                </w:tcPr>
                <w:p w14:paraId="2069F5F6">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占地面积约756m</w:t>
                  </w:r>
                  <w:r>
                    <w:rPr>
                      <w:rFonts w:hint="eastAsia"/>
                      <w:sz w:val="21"/>
                      <w:szCs w:val="21"/>
                      <w:vertAlign w:val="superscript"/>
                      <w:lang w:val="en-US" w:eastAsia="zh-CN"/>
                    </w:rPr>
                    <w:t>2</w:t>
                  </w:r>
                  <w:r>
                    <w:rPr>
                      <w:rFonts w:hint="eastAsia"/>
                      <w:sz w:val="21"/>
                      <w:szCs w:val="21"/>
                      <w:vertAlign w:val="baseline"/>
                      <w:lang w:val="en-US" w:eastAsia="zh-CN"/>
                    </w:rPr>
                    <w:t>，1栋2F（不含实验室）</w:t>
                  </w:r>
                </w:p>
              </w:tc>
              <w:tc>
                <w:tcPr>
                  <w:tcW w:w="1175" w:type="dxa"/>
                  <w:vMerge w:val="restart"/>
                  <w:vAlign w:val="center"/>
                </w:tcPr>
                <w:p w14:paraId="4AFBF9E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租赁钦州北部湾港务投资有限公司建设办公楼</w:t>
                  </w:r>
                </w:p>
              </w:tc>
            </w:tr>
            <w:tr w14:paraId="6253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99" w:type="dxa"/>
                  <w:vMerge w:val="continue"/>
                  <w:vAlign w:val="center"/>
                </w:tcPr>
                <w:p w14:paraId="77E64744">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pPr>
                </w:p>
              </w:tc>
              <w:tc>
                <w:tcPr>
                  <w:tcW w:w="1225" w:type="dxa"/>
                  <w:vAlign w:val="center"/>
                </w:tcPr>
                <w:p w14:paraId="143032A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制样室</w:t>
                  </w:r>
                </w:p>
              </w:tc>
              <w:tc>
                <w:tcPr>
                  <w:tcW w:w="4255" w:type="dxa"/>
                  <w:vAlign w:val="center"/>
                </w:tcPr>
                <w:p w14:paraId="76D08D08">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位于混矿调度中心内，主要用于对每批原料及产品进行采样，制样后外送至第三方检测单位进行检测</w:t>
                  </w:r>
                </w:p>
              </w:tc>
              <w:tc>
                <w:tcPr>
                  <w:tcW w:w="1175" w:type="dxa"/>
                  <w:vMerge w:val="continue"/>
                  <w:vAlign w:val="center"/>
                </w:tcPr>
                <w:p w14:paraId="1787458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r>
            <w:tr w14:paraId="0D5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restart"/>
                  <w:vAlign w:val="center"/>
                </w:tcPr>
                <w:p w14:paraId="1B7F12C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公用工程</w:t>
                  </w:r>
                </w:p>
              </w:tc>
              <w:tc>
                <w:tcPr>
                  <w:tcW w:w="1225" w:type="dxa"/>
                  <w:vAlign w:val="center"/>
                </w:tcPr>
                <w:p w14:paraId="439E5C8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给水</w:t>
                  </w:r>
                </w:p>
              </w:tc>
              <w:tc>
                <w:tcPr>
                  <w:tcW w:w="4255" w:type="dxa"/>
                  <w:vAlign w:val="center"/>
                </w:tcPr>
                <w:p w14:paraId="10986A7A">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由市政管网供水</w:t>
                  </w:r>
                </w:p>
              </w:tc>
              <w:tc>
                <w:tcPr>
                  <w:tcW w:w="1175" w:type="dxa"/>
                  <w:vAlign w:val="center"/>
                </w:tcPr>
                <w:p w14:paraId="1408359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w:t>
                  </w:r>
                </w:p>
              </w:tc>
            </w:tr>
            <w:tr w14:paraId="233E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continue"/>
                  <w:vAlign w:val="center"/>
                </w:tcPr>
                <w:p w14:paraId="0EBFD39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225" w:type="dxa"/>
                  <w:vAlign w:val="center"/>
                </w:tcPr>
                <w:p w14:paraId="5EC408A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排水</w:t>
                  </w:r>
                </w:p>
              </w:tc>
              <w:tc>
                <w:tcPr>
                  <w:tcW w:w="4255" w:type="dxa"/>
                  <w:vAlign w:val="center"/>
                </w:tcPr>
                <w:p w14:paraId="677F51E7">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雨污分流，生活污水经化粪池处理后排入市政污水管网，初期雨水进入初期雨水池沉淀后回用，生产废水全部回用，不外排</w:t>
                  </w:r>
                </w:p>
              </w:tc>
              <w:tc>
                <w:tcPr>
                  <w:tcW w:w="1175" w:type="dxa"/>
                  <w:vAlign w:val="center"/>
                </w:tcPr>
                <w:p w14:paraId="743D685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w:t>
                  </w:r>
                </w:p>
              </w:tc>
            </w:tr>
            <w:tr w14:paraId="19FB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continue"/>
                  <w:vAlign w:val="center"/>
                </w:tcPr>
                <w:p w14:paraId="3E6C69E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225" w:type="dxa"/>
                  <w:vAlign w:val="center"/>
                </w:tcPr>
                <w:p w14:paraId="3FD9184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消防泵站</w:t>
                  </w:r>
                </w:p>
              </w:tc>
              <w:tc>
                <w:tcPr>
                  <w:tcW w:w="4255" w:type="dxa"/>
                  <w:vAlign w:val="center"/>
                </w:tcPr>
                <w:p w14:paraId="09830BE9">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占地面积为144m</w:t>
                  </w:r>
                  <w:r>
                    <w:rPr>
                      <w:rFonts w:hint="eastAsia"/>
                      <w:sz w:val="21"/>
                      <w:szCs w:val="21"/>
                      <w:vertAlign w:val="superscript"/>
                      <w:lang w:val="en-US" w:eastAsia="zh-CN"/>
                    </w:rPr>
                    <w:t>2</w:t>
                  </w:r>
                  <w:r>
                    <w:rPr>
                      <w:rFonts w:hint="eastAsia"/>
                      <w:sz w:val="21"/>
                      <w:szCs w:val="21"/>
                      <w:vertAlign w:val="baseline"/>
                      <w:lang w:val="en-US" w:eastAsia="zh-CN"/>
                    </w:rPr>
                    <w:t>，主要用于预防突发火灾事故</w:t>
                  </w:r>
                </w:p>
              </w:tc>
              <w:tc>
                <w:tcPr>
                  <w:tcW w:w="1175" w:type="dxa"/>
                  <w:vAlign w:val="center"/>
                </w:tcPr>
                <w:p w14:paraId="680A6FF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w:t>
                  </w:r>
                </w:p>
              </w:tc>
            </w:tr>
            <w:tr w14:paraId="73C9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continue"/>
                  <w:vAlign w:val="center"/>
                </w:tcPr>
                <w:p w14:paraId="72E9CEE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225" w:type="dxa"/>
                  <w:vAlign w:val="center"/>
                </w:tcPr>
                <w:p w14:paraId="4D56C7A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供电</w:t>
                  </w:r>
                </w:p>
              </w:tc>
              <w:tc>
                <w:tcPr>
                  <w:tcW w:w="4255" w:type="dxa"/>
                  <w:vAlign w:val="center"/>
                </w:tcPr>
                <w:p w14:paraId="121235F1">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由市政电网供电</w:t>
                  </w:r>
                </w:p>
              </w:tc>
              <w:tc>
                <w:tcPr>
                  <w:tcW w:w="1175" w:type="dxa"/>
                  <w:vAlign w:val="center"/>
                </w:tcPr>
                <w:p w14:paraId="7BF8F61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w:t>
                  </w:r>
                </w:p>
              </w:tc>
            </w:tr>
            <w:tr w14:paraId="7813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99" w:type="dxa"/>
                  <w:vMerge w:val="restart"/>
                  <w:vAlign w:val="center"/>
                </w:tcPr>
                <w:p w14:paraId="3A26A32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环保工程</w:t>
                  </w:r>
                </w:p>
              </w:tc>
              <w:tc>
                <w:tcPr>
                  <w:tcW w:w="1225" w:type="dxa"/>
                  <w:vMerge w:val="restart"/>
                  <w:vAlign w:val="center"/>
                </w:tcPr>
                <w:p w14:paraId="37B10F6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废水</w:t>
                  </w:r>
                </w:p>
              </w:tc>
              <w:tc>
                <w:tcPr>
                  <w:tcW w:w="4255" w:type="dxa"/>
                  <w:vAlign w:val="center"/>
                </w:tcPr>
                <w:p w14:paraId="6900FAA8">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lang w:val="en-US" w:eastAsia="zh-CN"/>
                    </w:rPr>
                  </w:pPr>
                  <w:r>
                    <w:rPr>
                      <w:rFonts w:hint="eastAsia"/>
                      <w:sz w:val="21"/>
                      <w:szCs w:val="21"/>
                      <w:vertAlign w:val="baseline"/>
                      <w:lang w:val="en-US" w:eastAsia="zh-CN"/>
                    </w:rPr>
                    <w:t>生活污水经化粪池处理后经市政污水管网进入大榄坪污水处理厂处理</w:t>
                  </w:r>
                </w:p>
              </w:tc>
              <w:tc>
                <w:tcPr>
                  <w:tcW w:w="1175" w:type="dxa"/>
                  <w:vAlign w:val="center"/>
                </w:tcPr>
                <w:p w14:paraId="1C776D4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1886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99" w:type="dxa"/>
                  <w:vMerge w:val="continue"/>
                  <w:vAlign w:val="center"/>
                </w:tcPr>
                <w:p w14:paraId="2EE4DB8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sz w:val="21"/>
                      <w:szCs w:val="21"/>
                      <w:vertAlign w:val="baseline"/>
                      <w:lang w:val="en-US" w:eastAsia="zh-CN"/>
                    </w:rPr>
                  </w:pPr>
                </w:p>
              </w:tc>
              <w:tc>
                <w:tcPr>
                  <w:tcW w:w="1225" w:type="dxa"/>
                  <w:vMerge w:val="continue"/>
                  <w:vAlign w:val="center"/>
                </w:tcPr>
                <w:p w14:paraId="4DCA9F4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eastAsia"/>
                      <w:sz w:val="21"/>
                      <w:szCs w:val="21"/>
                      <w:vertAlign w:val="baseline"/>
                      <w:lang w:val="en-US" w:eastAsia="zh-CN"/>
                    </w:rPr>
                  </w:pPr>
                </w:p>
              </w:tc>
              <w:tc>
                <w:tcPr>
                  <w:tcW w:w="4255" w:type="dxa"/>
                  <w:vAlign w:val="center"/>
                </w:tcPr>
                <w:p w14:paraId="6F6529B7">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初期雨水收集至初期雨水池（400m</w:t>
                  </w:r>
                  <w:r>
                    <w:rPr>
                      <w:rFonts w:hint="eastAsia"/>
                      <w:sz w:val="21"/>
                      <w:szCs w:val="21"/>
                      <w:vertAlign w:val="superscript"/>
                      <w:lang w:val="en-US" w:eastAsia="zh-CN"/>
                    </w:rPr>
                    <w:t>3</w:t>
                  </w:r>
                  <w:r>
                    <w:rPr>
                      <w:rFonts w:hint="eastAsia"/>
                      <w:sz w:val="21"/>
                      <w:szCs w:val="21"/>
                      <w:vertAlign w:val="baseline"/>
                      <w:lang w:val="en-US" w:eastAsia="zh-CN"/>
                    </w:rPr>
                    <w:t>），经沉淀泵入污水处理系统（处理量为10m</w:t>
                  </w:r>
                  <w:r>
                    <w:rPr>
                      <w:rFonts w:hint="eastAsia"/>
                      <w:sz w:val="21"/>
                      <w:szCs w:val="21"/>
                      <w:vertAlign w:val="superscript"/>
                      <w:lang w:val="en-US" w:eastAsia="zh-CN"/>
                    </w:rPr>
                    <w:t>3</w:t>
                  </w:r>
                  <w:r>
                    <w:rPr>
                      <w:rFonts w:hint="eastAsia"/>
                      <w:sz w:val="21"/>
                      <w:szCs w:val="21"/>
                      <w:vertAlign w:val="baseline"/>
                      <w:lang w:val="en-US" w:eastAsia="zh-CN"/>
                    </w:rPr>
                    <w:t>/h），经絮凝+沉淀+过滤后回用</w:t>
                  </w:r>
                </w:p>
              </w:tc>
              <w:tc>
                <w:tcPr>
                  <w:tcW w:w="1175" w:type="dxa"/>
                  <w:vAlign w:val="center"/>
                </w:tcPr>
                <w:p w14:paraId="34793A0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7557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99" w:type="dxa"/>
                  <w:vMerge w:val="continue"/>
                  <w:vAlign w:val="center"/>
                </w:tcPr>
                <w:p w14:paraId="6AF7363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225" w:type="dxa"/>
                  <w:vMerge w:val="continue"/>
                  <w:vAlign w:val="center"/>
                </w:tcPr>
                <w:p w14:paraId="3599FE6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4255" w:type="dxa"/>
                  <w:vAlign w:val="center"/>
                </w:tcPr>
                <w:p w14:paraId="4EB45FA1">
                  <w:pPr>
                    <w:pStyle w:val="14"/>
                    <w:keepNext w:val="0"/>
                    <w:keepLines w:val="0"/>
                    <w:pageBreakBefore w:val="0"/>
                    <w:widowControl w:val="0"/>
                    <w:kinsoku/>
                    <w:wordWrap/>
                    <w:overflowPunct/>
                    <w:topLinePunct w:val="0"/>
                    <w:autoSpaceDE/>
                    <w:autoSpaceDN/>
                    <w:bidi w:val="0"/>
                    <w:adjustRightInd/>
                    <w:snapToGrid/>
                    <w:spacing w:after="0"/>
                    <w:ind w:firstLine="0" w:firstLineChars="0"/>
                    <w:jc w:val="left"/>
                    <w:textAlignment w:val="auto"/>
                    <w:rPr>
                      <w:rFonts w:hint="eastAsia"/>
                      <w:sz w:val="21"/>
                      <w:szCs w:val="21"/>
                      <w:vertAlign w:val="baseline"/>
                      <w:lang w:val="en-US" w:eastAsia="zh-CN"/>
                    </w:rPr>
                  </w:pPr>
                  <w:r>
                    <w:rPr>
                      <w:rFonts w:hint="eastAsia"/>
                      <w:sz w:val="21"/>
                      <w:szCs w:val="21"/>
                      <w:vertAlign w:val="baseline"/>
                      <w:lang w:val="en-US" w:eastAsia="zh-CN"/>
                    </w:rPr>
                    <w:t>地面冲洗废水与洗车废水经沉淀池（20m</w:t>
                  </w:r>
                  <w:r>
                    <w:rPr>
                      <w:rFonts w:hint="eastAsia"/>
                      <w:sz w:val="21"/>
                      <w:szCs w:val="21"/>
                      <w:vertAlign w:val="superscript"/>
                      <w:lang w:val="en-US" w:eastAsia="zh-CN"/>
                    </w:rPr>
                    <w:t>3</w:t>
                  </w:r>
                  <w:r>
                    <w:rPr>
                      <w:rFonts w:hint="eastAsia"/>
                      <w:sz w:val="21"/>
                      <w:szCs w:val="21"/>
                      <w:vertAlign w:val="baseline"/>
                      <w:lang w:val="en-US" w:eastAsia="zh-CN"/>
                    </w:rPr>
                    <w:t>）沉淀处理后循环使用，不外排。</w:t>
                  </w:r>
                </w:p>
              </w:tc>
              <w:tc>
                <w:tcPr>
                  <w:tcW w:w="1175" w:type="dxa"/>
                  <w:vAlign w:val="center"/>
                </w:tcPr>
                <w:p w14:paraId="5F32842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4EC5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1099" w:type="dxa"/>
                  <w:vMerge w:val="continue"/>
                  <w:vAlign w:val="center"/>
                </w:tcPr>
                <w:p w14:paraId="6BDE985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225" w:type="dxa"/>
                  <w:vAlign w:val="center"/>
                </w:tcPr>
                <w:p w14:paraId="76E5C32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废气</w:t>
                  </w:r>
                </w:p>
              </w:tc>
              <w:tc>
                <w:tcPr>
                  <w:tcW w:w="4255" w:type="dxa"/>
                  <w:vAlign w:val="center"/>
                </w:tcPr>
                <w:p w14:paraId="6C387422">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eastAsia"/>
                      <w:sz w:val="21"/>
                      <w:szCs w:val="21"/>
                      <w:vertAlign w:val="baseline"/>
                      <w:lang w:val="en-US" w:eastAsia="zh-CN"/>
                    </w:rPr>
                  </w:pPr>
                  <w:r>
                    <w:rPr>
                      <w:rFonts w:hint="eastAsia"/>
                      <w:sz w:val="21"/>
                      <w:szCs w:val="21"/>
                      <w:vertAlign w:val="baseline"/>
                      <w:lang w:val="en-US" w:eastAsia="zh-CN"/>
                    </w:rPr>
                    <w:t>1.配料混矿废气：设置局部封闭罩或封闭罩收集后经布袋除尘器处理后通过1根20m高排气筒排放；</w:t>
                  </w:r>
                </w:p>
                <w:p w14:paraId="4F2D8640">
                  <w:pPr>
                    <w:pStyle w:val="1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2.本项目原料及产品的运输均采用集装箱、吨袋袋装运输或封闭式自卸车运输。厂区内运输扬尘通过采取限速、冲洗车辆、路面洒水、定期冲洗露天地面及保护路面整洁、密闭运输、进出厂内车辆冲洗等抑尘措施；码头至厂内的运输严格按照海关等相关部门划定的道路进行，主要采取限速、进出码头车辆冲洗、车辆密闭运输等措施。</w:t>
                  </w:r>
                </w:p>
                <w:p w14:paraId="4BC8E4F0">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lang w:val="en-US" w:eastAsia="zh-CN"/>
                    </w:rPr>
                  </w:pPr>
                  <w:r>
                    <w:rPr>
                      <w:rFonts w:hint="eastAsia"/>
                      <w:lang w:val="en-US" w:eastAsia="zh-CN"/>
                    </w:rPr>
                    <w:t>3.各个厂房设置干雾抑尘装置进行洒水抑尘。</w:t>
                  </w:r>
                </w:p>
              </w:tc>
              <w:tc>
                <w:tcPr>
                  <w:tcW w:w="1175" w:type="dxa"/>
                  <w:vAlign w:val="center"/>
                </w:tcPr>
                <w:p w14:paraId="1527B07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0A84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99" w:type="dxa"/>
                  <w:vMerge w:val="continue"/>
                  <w:vAlign w:val="center"/>
                </w:tcPr>
                <w:p w14:paraId="6C92821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225" w:type="dxa"/>
                  <w:vAlign w:val="center"/>
                </w:tcPr>
                <w:p w14:paraId="0591694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噪声</w:t>
                  </w:r>
                </w:p>
              </w:tc>
              <w:tc>
                <w:tcPr>
                  <w:tcW w:w="4255" w:type="dxa"/>
                  <w:vAlign w:val="center"/>
                </w:tcPr>
                <w:p w14:paraId="5A2AE2DA">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厂房隔声，采取基础减震措施</w:t>
                  </w:r>
                </w:p>
              </w:tc>
              <w:tc>
                <w:tcPr>
                  <w:tcW w:w="1175" w:type="dxa"/>
                  <w:vAlign w:val="center"/>
                </w:tcPr>
                <w:p w14:paraId="2B507BF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r w14:paraId="1293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9" w:type="dxa"/>
                  <w:vMerge w:val="continue"/>
                  <w:vAlign w:val="center"/>
                </w:tcPr>
                <w:p w14:paraId="72F158D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225" w:type="dxa"/>
                  <w:vAlign w:val="center"/>
                </w:tcPr>
                <w:p w14:paraId="18EB1D8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固体废物</w:t>
                  </w:r>
                </w:p>
              </w:tc>
              <w:tc>
                <w:tcPr>
                  <w:tcW w:w="4255" w:type="dxa"/>
                  <w:vAlign w:val="center"/>
                </w:tcPr>
                <w:p w14:paraId="06D477DB">
                  <w:pPr>
                    <w:pStyle w:val="14"/>
                    <w:keepNext w:val="0"/>
                    <w:keepLines w:val="0"/>
                    <w:pageBreakBefore w:val="0"/>
                    <w:widowControl w:val="0"/>
                    <w:kinsoku/>
                    <w:wordWrap/>
                    <w:overflowPunct/>
                    <w:topLinePunct w:val="0"/>
                    <w:autoSpaceDE/>
                    <w:autoSpaceDN/>
                    <w:bidi w:val="0"/>
                    <w:adjustRightInd/>
                    <w:snapToGrid/>
                    <w:spacing w:after="0"/>
                    <w:ind w:firstLine="0" w:firstLineChars="0"/>
                    <w:jc w:val="both"/>
                    <w:textAlignment w:val="auto"/>
                    <w:rPr>
                      <w:rFonts w:hint="default"/>
                      <w:sz w:val="21"/>
                      <w:szCs w:val="21"/>
                      <w:vertAlign w:val="baseline"/>
                      <w:lang w:val="en-US" w:eastAsia="zh-CN"/>
                    </w:rPr>
                  </w:pPr>
                  <w:r>
                    <w:rPr>
                      <w:rFonts w:hint="eastAsia"/>
                      <w:sz w:val="21"/>
                      <w:szCs w:val="21"/>
                      <w:vertAlign w:val="baseline"/>
                      <w:lang w:val="en-US" w:eastAsia="zh-CN"/>
                    </w:rPr>
                    <w:t>生活垃圾收集后交由环卫部门清运处理；一般固废暂存间位于厂区北面，占地面积为90m</w:t>
                  </w:r>
                  <w:r>
                    <w:rPr>
                      <w:rFonts w:hint="eastAsia"/>
                      <w:sz w:val="21"/>
                      <w:szCs w:val="21"/>
                      <w:vertAlign w:val="superscript"/>
                      <w:lang w:val="en-US" w:eastAsia="zh-CN"/>
                    </w:rPr>
                    <w:t>2</w:t>
                  </w:r>
                  <w:r>
                    <w:rPr>
                      <w:rFonts w:hint="eastAsia"/>
                      <w:sz w:val="21"/>
                      <w:szCs w:val="21"/>
                      <w:vertAlign w:val="baseline"/>
                      <w:lang w:val="en-US" w:eastAsia="zh-CN"/>
                    </w:rPr>
                    <w:t>，除尘器收集粉尘与沉淀池沉渣收集至一般固废暂存间，回用于生产；化粪池污泥定期委托有资质的单位清掏处理；危废暂存间位于厂区北面，占地面积为90m</w:t>
                  </w:r>
                  <w:r>
                    <w:rPr>
                      <w:rFonts w:hint="eastAsia"/>
                      <w:sz w:val="21"/>
                      <w:szCs w:val="21"/>
                      <w:vertAlign w:val="superscript"/>
                      <w:lang w:val="en-US" w:eastAsia="zh-CN"/>
                    </w:rPr>
                    <w:t>2</w:t>
                  </w:r>
                  <w:r>
                    <w:rPr>
                      <w:rFonts w:hint="eastAsia"/>
                      <w:sz w:val="21"/>
                      <w:szCs w:val="21"/>
                      <w:vertAlign w:val="baseline"/>
                      <w:lang w:val="en-US" w:eastAsia="zh-CN"/>
                    </w:rPr>
                    <w:t>，废布袋、废机油等危险废物暂存于危废暂存间，定期委托有资质的单位处置。</w:t>
                  </w:r>
                </w:p>
              </w:tc>
              <w:tc>
                <w:tcPr>
                  <w:tcW w:w="1175" w:type="dxa"/>
                  <w:vAlign w:val="center"/>
                </w:tcPr>
                <w:p w14:paraId="59E6871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新建</w:t>
                  </w:r>
                </w:p>
              </w:tc>
            </w:tr>
          </w:tbl>
          <w:p w14:paraId="2ADA2572">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主要产品方案</w:t>
            </w:r>
          </w:p>
          <w:p w14:paraId="085E17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lang w:val="en-US"/>
              </w:rPr>
            </w:pPr>
            <w:r>
              <w:rPr>
                <w:rFonts w:hint="default" w:ascii="Times New Roman" w:hAnsi="Times New Roman" w:cs="Times New Roman"/>
                <w:sz w:val="24"/>
                <w:szCs w:val="24"/>
                <w:lang w:val="en-US" w:eastAsia="zh-CN"/>
              </w:rPr>
              <w:t>本项目将从海外购进的不同</w:t>
            </w:r>
            <w:r>
              <w:rPr>
                <w:rFonts w:hint="default" w:ascii="Times New Roman" w:hAnsi="Times New Roman" w:eastAsia="宋体" w:cs="Times New Roman"/>
                <w:color w:val="000000"/>
                <w:kern w:val="0"/>
                <w:sz w:val="24"/>
                <w:szCs w:val="24"/>
                <w:lang w:val="en-US" w:eastAsia="zh-CN" w:bidi="ar"/>
              </w:rPr>
              <w:t>品位的铜精矿，在海关监管条件下按比例进行简单物理混配，生产出符合海关进口标准的铜精矿，报关出区进口至国内</w:t>
            </w:r>
            <w:r>
              <w:rPr>
                <w:rFonts w:hint="eastAsia" w:cs="Times New Roman"/>
                <w:color w:val="000000"/>
                <w:kern w:val="0"/>
                <w:sz w:val="24"/>
                <w:szCs w:val="24"/>
                <w:lang w:val="en-US" w:eastAsia="zh-CN" w:bidi="ar"/>
              </w:rPr>
              <w:t>供集团内冶炼企业使用</w:t>
            </w:r>
            <w:r>
              <w:rPr>
                <w:rFonts w:hint="default" w:ascii="Times New Roman" w:hAnsi="Times New Roman" w:eastAsia="宋体" w:cs="Times New Roman"/>
                <w:color w:val="000000"/>
                <w:kern w:val="0"/>
                <w:sz w:val="24"/>
                <w:szCs w:val="24"/>
                <w:lang w:val="en-US" w:eastAsia="zh-CN" w:bidi="ar"/>
              </w:rPr>
              <w:t>。本项目年混矿规模为120万吨（湿重）</w:t>
            </w:r>
            <w:r>
              <w:rPr>
                <w:rFonts w:hint="eastAsia" w:ascii="Times New Roman" w:hAnsi="Times New Roman" w:eastAsia="宋体" w:cs="Times New Roman"/>
                <w:color w:val="000000"/>
                <w:kern w:val="0"/>
                <w:sz w:val="24"/>
                <w:szCs w:val="24"/>
                <w:lang w:val="en-US" w:eastAsia="zh-CN" w:bidi="ar"/>
              </w:rPr>
              <w:t>，铜精矿产品符合海关进口标准冶炼厂入炉要求的标准铜精矿原料。</w:t>
            </w:r>
          </w:p>
          <w:p w14:paraId="1288E2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国家质检总局、</w:t>
            </w:r>
            <w:r>
              <w:rPr>
                <w:rFonts w:hint="eastAsia" w:cs="Times New Roman"/>
                <w:color w:val="000000"/>
                <w:kern w:val="0"/>
                <w:sz w:val="24"/>
                <w:szCs w:val="24"/>
                <w:lang w:val="en-US" w:eastAsia="zh-CN" w:bidi="ar"/>
              </w:rPr>
              <w:t>生态环境部</w:t>
            </w:r>
            <w:r>
              <w:rPr>
                <w:rFonts w:hint="default" w:ascii="Times New Roman" w:hAnsi="Times New Roman" w:eastAsia="宋体" w:cs="Times New Roman"/>
                <w:color w:val="000000"/>
                <w:kern w:val="0"/>
                <w:sz w:val="24"/>
                <w:szCs w:val="24"/>
                <w:lang w:val="en-US" w:eastAsia="zh-CN" w:bidi="ar"/>
              </w:rPr>
              <w:t>、商务部公告2017年第106号（关于公布进口铜精矿中有毒有害元素限量的公告）中对有毒有害元素的限量要求，包括铅、砷、氟、镉、汞，具体要求如下：铅（Pb）不得大于6.00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；砷（As）不得大于0.50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；氟（F）不得大于 0.10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；镉（Cd）不得大于0.05</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；汞（Hg）不得大于0.01</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 </w:t>
            </w:r>
          </w:p>
          <w:p w14:paraId="7BE4E8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根据《铜精矿》（YS/T 318-20</w:t>
            </w:r>
            <w:r>
              <w:rPr>
                <w:rFonts w:hint="eastAsia" w:cs="Times New Roman"/>
                <w:color w:val="000000"/>
                <w:kern w:val="0"/>
                <w:sz w:val="24"/>
                <w:szCs w:val="24"/>
                <w:lang w:val="en-US" w:eastAsia="zh-CN" w:bidi="ar"/>
              </w:rPr>
              <w:t>23</w:t>
            </w:r>
            <w:r>
              <w:rPr>
                <w:rFonts w:hint="default" w:ascii="Times New Roman" w:hAnsi="Times New Roman" w:eastAsia="宋体" w:cs="Times New Roman"/>
                <w:color w:val="000000"/>
                <w:kern w:val="0"/>
                <w:sz w:val="24"/>
                <w:szCs w:val="24"/>
                <w:lang w:val="en-US" w:eastAsia="zh-CN" w:bidi="ar"/>
              </w:rPr>
              <w:t>）铜精矿化学成分见下表：</w:t>
            </w:r>
          </w:p>
          <w:p w14:paraId="6C33C75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表2-2 铜精矿的化学成分</w:t>
            </w:r>
          </w:p>
          <w:tbl>
            <w:tblPr>
              <w:tblStyle w:val="17"/>
              <w:tblW w:w="7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97"/>
              <w:gridCol w:w="1098"/>
              <w:gridCol w:w="1100"/>
              <w:gridCol w:w="1100"/>
              <w:gridCol w:w="1100"/>
              <w:gridCol w:w="1107"/>
            </w:tblGrid>
            <w:tr w14:paraId="6D98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Merge w:val="restart"/>
                  <w:vAlign w:val="center"/>
                </w:tcPr>
                <w:p w14:paraId="29C684F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品级</w:t>
                  </w:r>
                </w:p>
              </w:tc>
              <w:tc>
                <w:tcPr>
                  <w:tcW w:w="6602" w:type="dxa"/>
                  <w:gridSpan w:val="6"/>
                  <w:vAlign w:val="center"/>
                </w:tcPr>
                <w:p w14:paraId="5AF57B5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化学成分（质量分数%）</w:t>
                  </w:r>
                </w:p>
              </w:tc>
            </w:tr>
            <w:tr w14:paraId="75B2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Merge w:val="continue"/>
                  <w:vAlign w:val="center"/>
                </w:tcPr>
                <w:p w14:paraId="74F4A63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7" w:type="dxa"/>
                  <w:vMerge w:val="restart"/>
                  <w:vAlign w:val="center"/>
                </w:tcPr>
                <w:p w14:paraId="522ED3D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Cu不小于</w:t>
                  </w:r>
                </w:p>
              </w:tc>
              <w:tc>
                <w:tcPr>
                  <w:tcW w:w="5505" w:type="dxa"/>
                  <w:gridSpan w:val="5"/>
                  <w:vAlign w:val="center"/>
                </w:tcPr>
                <w:p w14:paraId="070C5B0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杂质含量，不大于</w:t>
                  </w:r>
                </w:p>
              </w:tc>
            </w:tr>
            <w:tr w14:paraId="744B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Merge w:val="continue"/>
                  <w:vAlign w:val="center"/>
                </w:tcPr>
                <w:p w14:paraId="34FFF59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7" w:type="dxa"/>
                  <w:vMerge w:val="continue"/>
                  <w:vAlign w:val="center"/>
                </w:tcPr>
                <w:p w14:paraId="76BE86E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8" w:type="dxa"/>
                  <w:vAlign w:val="center"/>
                </w:tcPr>
                <w:p w14:paraId="684ABA6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As</w:t>
                  </w:r>
                </w:p>
              </w:tc>
              <w:tc>
                <w:tcPr>
                  <w:tcW w:w="1100" w:type="dxa"/>
                  <w:vAlign w:val="center"/>
                </w:tcPr>
                <w:p w14:paraId="5E59496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Pb+Zn</w:t>
                  </w:r>
                </w:p>
              </w:tc>
              <w:tc>
                <w:tcPr>
                  <w:tcW w:w="1100" w:type="dxa"/>
                  <w:vAlign w:val="center"/>
                </w:tcPr>
                <w:p w14:paraId="11F1B1D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MgO</w:t>
                  </w:r>
                </w:p>
              </w:tc>
              <w:tc>
                <w:tcPr>
                  <w:tcW w:w="1100" w:type="dxa"/>
                  <w:vAlign w:val="center"/>
                </w:tcPr>
                <w:p w14:paraId="228D8D9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Bi+Sb</w:t>
                  </w:r>
                </w:p>
              </w:tc>
              <w:tc>
                <w:tcPr>
                  <w:tcW w:w="1107" w:type="dxa"/>
                  <w:vAlign w:val="center"/>
                </w:tcPr>
                <w:p w14:paraId="2039CA5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Cl</w:t>
                  </w:r>
                </w:p>
              </w:tc>
            </w:tr>
            <w:tr w14:paraId="55D1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Align w:val="center"/>
                </w:tcPr>
                <w:p w14:paraId="17E55CF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一级品</w:t>
                  </w:r>
                </w:p>
              </w:tc>
              <w:tc>
                <w:tcPr>
                  <w:tcW w:w="1097" w:type="dxa"/>
                  <w:vAlign w:val="center"/>
                </w:tcPr>
                <w:p w14:paraId="264430C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26</w:t>
                  </w:r>
                </w:p>
              </w:tc>
              <w:tc>
                <w:tcPr>
                  <w:tcW w:w="1098" w:type="dxa"/>
                  <w:vAlign w:val="center"/>
                </w:tcPr>
                <w:p w14:paraId="2CD74D8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0.18</w:t>
                  </w:r>
                </w:p>
              </w:tc>
              <w:tc>
                <w:tcPr>
                  <w:tcW w:w="1100" w:type="dxa"/>
                  <w:vAlign w:val="center"/>
                </w:tcPr>
                <w:p w14:paraId="64ED5D2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2.00</w:t>
                  </w:r>
                </w:p>
              </w:tc>
              <w:tc>
                <w:tcPr>
                  <w:tcW w:w="1100" w:type="dxa"/>
                  <w:vAlign w:val="center"/>
                </w:tcPr>
                <w:p w14:paraId="064AB14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1.00</w:t>
                  </w:r>
                </w:p>
              </w:tc>
              <w:tc>
                <w:tcPr>
                  <w:tcW w:w="1100" w:type="dxa"/>
                  <w:vAlign w:val="center"/>
                </w:tcPr>
                <w:p w14:paraId="15A86AE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0.15</w:t>
                  </w:r>
                </w:p>
              </w:tc>
              <w:tc>
                <w:tcPr>
                  <w:tcW w:w="1107" w:type="dxa"/>
                  <w:vAlign w:val="center"/>
                </w:tcPr>
                <w:p w14:paraId="035C7A2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0.10</w:t>
                  </w:r>
                </w:p>
              </w:tc>
            </w:tr>
            <w:tr w14:paraId="10B2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Align w:val="center"/>
                </w:tcPr>
                <w:p w14:paraId="1E9737F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二级品</w:t>
                  </w:r>
                </w:p>
              </w:tc>
              <w:tc>
                <w:tcPr>
                  <w:tcW w:w="1097" w:type="dxa"/>
                  <w:vAlign w:val="center"/>
                </w:tcPr>
                <w:p w14:paraId="6D9DF65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20</w:t>
                  </w:r>
                </w:p>
              </w:tc>
              <w:tc>
                <w:tcPr>
                  <w:tcW w:w="1098" w:type="dxa"/>
                  <w:vAlign w:val="center"/>
                </w:tcPr>
                <w:p w14:paraId="5C103D0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0.23</w:t>
                  </w:r>
                </w:p>
              </w:tc>
              <w:tc>
                <w:tcPr>
                  <w:tcW w:w="1100" w:type="dxa"/>
                  <w:vAlign w:val="center"/>
                </w:tcPr>
                <w:p w14:paraId="16B0149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4.50</w:t>
                  </w:r>
                </w:p>
              </w:tc>
              <w:tc>
                <w:tcPr>
                  <w:tcW w:w="1100" w:type="dxa"/>
                  <w:vAlign w:val="center"/>
                </w:tcPr>
                <w:p w14:paraId="2B0DDEE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2.00</w:t>
                  </w:r>
                </w:p>
              </w:tc>
              <w:tc>
                <w:tcPr>
                  <w:tcW w:w="1100" w:type="dxa"/>
                  <w:vAlign w:val="center"/>
                </w:tcPr>
                <w:p w14:paraId="53B66A6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0.20</w:t>
                  </w:r>
                </w:p>
              </w:tc>
              <w:tc>
                <w:tcPr>
                  <w:tcW w:w="1107" w:type="dxa"/>
                  <w:vAlign w:val="center"/>
                </w:tcPr>
                <w:p w14:paraId="106CBBE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0.16</w:t>
                  </w:r>
                </w:p>
              </w:tc>
            </w:tr>
            <w:tr w14:paraId="37D5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97" w:type="dxa"/>
                  <w:vAlign w:val="center"/>
                </w:tcPr>
                <w:p w14:paraId="7ABEF52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三级品</w:t>
                  </w:r>
                </w:p>
              </w:tc>
              <w:tc>
                <w:tcPr>
                  <w:tcW w:w="1097" w:type="dxa"/>
                  <w:vAlign w:val="center"/>
                </w:tcPr>
                <w:p w14:paraId="62A854D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16</w:t>
                  </w:r>
                </w:p>
              </w:tc>
              <w:tc>
                <w:tcPr>
                  <w:tcW w:w="1098" w:type="dxa"/>
                  <w:vAlign w:val="center"/>
                </w:tcPr>
                <w:p w14:paraId="746CE3B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0.30</w:t>
                  </w:r>
                </w:p>
              </w:tc>
              <w:tc>
                <w:tcPr>
                  <w:tcW w:w="1100" w:type="dxa"/>
                  <w:vAlign w:val="center"/>
                </w:tcPr>
                <w:p w14:paraId="5593C80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6.50</w:t>
                  </w:r>
                </w:p>
              </w:tc>
              <w:tc>
                <w:tcPr>
                  <w:tcW w:w="1100" w:type="dxa"/>
                  <w:vAlign w:val="center"/>
                </w:tcPr>
                <w:p w14:paraId="272EFEC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3.00</w:t>
                  </w:r>
                </w:p>
              </w:tc>
              <w:tc>
                <w:tcPr>
                  <w:tcW w:w="1100" w:type="dxa"/>
                  <w:vAlign w:val="center"/>
                </w:tcPr>
                <w:p w14:paraId="5919378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0.30</w:t>
                  </w:r>
                </w:p>
              </w:tc>
              <w:tc>
                <w:tcPr>
                  <w:tcW w:w="1107" w:type="dxa"/>
                  <w:vAlign w:val="center"/>
                </w:tcPr>
                <w:p w14:paraId="68D22D8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0.24</w:t>
                  </w:r>
                </w:p>
              </w:tc>
            </w:tr>
            <w:tr w14:paraId="5D40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7" w:type="dxa"/>
                  <w:vAlign w:val="center"/>
                </w:tcPr>
                <w:p w14:paraId="20D2FC5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四级品</w:t>
                  </w:r>
                </w:p>
              </w:tc>
              <w:tc>
                <w:tcPr>
                  <w:tcW w:w="1097" w:type="dxa"/>
                  <w:vAlign w:val="center"/>
                </w:tcPr>
                <w:p w14:paraId="707B865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13</w:t>
                  </w:r>
                </w:p>
              </w:tc>
              <w:tc>
                <w:tcPr>
                  <w:tcW w:w="1098" w:type="dxa"/>
                  <w:vAlign w:val="center"/>
                </w:tcPr>
                <w:p w14:paraId="4CA98FC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0.40</w:t>
                  </w:r>
                </w:p>
              </w:tc>
              <w:tc>
                <w:tcPr>
                  <w:tcW w:w="1100" w:type="dxa"/>
                  <w:vAlign w:val="center"/>
                </w:tcPr>
                <w:p w14:paraId="206373E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10.00</w:t>
                  </w:r>
                </w:p>
              </w:tc>
              <w:tc>
                <w:tcPr>
                  <w:tcW w:w="1100" w:type="dxa"/>
                  <w:vAlign w:val="center"/>
                </w:tcPr>
                <w:p w14:paraId="5396919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4.00</w:t>
                  </w:r>
                </w:p>
              </w:tc>
              <w:tc>
                <w:tcPr>
                  <w:tcW w:w="1100" w:type="dxa"/>
                  <w:vAlign w:val="center"/>
                </w:tcPr>
                <w:p w14:paraId="3FBAF4F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0.40</w:t>
                  </w:r>
                </w:p>
              </w:tc>
              <w:tc>
                <w:tcPr>
                  <w:tcW w:w="1107" w:type="dxa"/>
                  <w:vAlign w:val="center"/>
                </w:tcPr>
                <w:p w14:paraId="433D323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0.35</w:t>
                  </w:r>
                </w:p>
              </w:tc>
            </w:tr>
          </w:tbl>
          <w:p w14:paraId="644918A6">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lang w:val="en-US" w:eastAsia="zh-CN"/>
              </w:rPr>
            </w:pPr>
            <w:r>
              <w:rPr>
                <w:rFonts w:hint="eastAsia"/>
                <w:b/>
                <w:bCs/>
                <w:lang w:val="en-US" w:eastAsia="zh-CN"/>
              </w:rPr>
              <w:t>备注：</w:t>
            </w:r>
            <w:r>
              <w:rPr>
                <w:rFonts w:hint="eastAsia"/>
                <w:lang w:val="en-US" w:eastAsia="zh-CN"/>
              </w:rPr>
              <w:t>Hg、F、Cd等杂质限量执行《重金属精矿产品中有害元素的限量规范》（GB20424-2025）。</w:t>
            </w:r>
          </w:p>
          <w:p w14:paraId="34C76F8D">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sz w:val="24"/>
                <w:szCs w:val="24"/>
                <w:lang w:val="en-US" w:eastAsia="zh-CN"/>
              </w:rPr>
            </w:pPr>
            <w:r>
              <w:rPr>
                <w:rFonts w:hint="eastAsia"/>
                <w:b/>
                <w:bCs/>
                <w:sz w:val="24"/>
                <w:szCs w:val="24"/>
                <w:lang w:val="en-US" w:eastAsia="zh-CN"/>
              </w:rPr>
              <w:t>主要原辅材料</w:t>
            </w:r>
          </w:p>
          <w:p w14:paraId="5F6AEA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本项目主要原辅材料及用量如下表所示：</w:t>
            </w:r>
          </w:p>
          <w:p w14:paraId="5640941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表2-3 项目主要原辅材料一览表</w:t>
            </w:r>
          </w:p>
          <w:tbl>
            <w:tblPr>
              <w:tblStyle w:val="17"/>
              <w:tblW w:w="7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74"/>
              <w:gridCol w:w="1635"/>
              <w:gridCol w:w="2020"/>
              <w:gridCol w:w="1092"/>
            </w:tblGrid>
            <w:tr w14:paraId="421E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7" w:type="dxa"/>
                  <w:vAlign w:val="center"/>
                </w:tcPr>
                <w:p w14:paraId="7965AFB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2274" w:type="dxa"/>
                  <w:vAlign w:val="center"/>
                </w:tcPr>
                <w:p w14:paraId="66A553B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名称</w:t>
                  </w:r>
                </w:p>
              </w:tc>
              <w:tc>
                <w:tcPr>
                  <w:tcW w:w="1635" w:type="dxa"/>
                  <w:vAlign w:val="center"/>
                </w:tcPr>
                <w:p w14:paraId="3D903B8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年用量</w:t>
                  </w:r>
                </w:p>
              </w:tc>
              <w:tc>
                <w:tcPr>
                  <w:tcW w:w="2020" w:type="dxa"/>
                  <w:vAlign w:val="center"/>
                </w:tcPr>
                <w:p w14:paraId="531B1C3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来源</w:t>
                  </w:r>
                </w:p>
              </w:tc>
              <w:tc>
                <w:tcPr>
                  <w:tcW w:w="1092" w:type="dxa"/>
                  <w:vAlign w:val="center"/>
                </w:tcPr>
                <w:p w14:paraId="7009D47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备注</w:t>
                  </w:r>
                </w:p>
              </w:tc>
            </w:tr>
            <w:tr w14:paraId="2D7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7" w:type="dxa"/>
                  <w:vAlign w:val="center"/>
                </w:tcPr>
                <w:p w14:paraId="4AAE656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1</w:t>
                  </w:r>
                </w:p>
              </w:tc>
              <w:tc>
                <w:tcPr>
                  <w:tcW w:w="2274" w:type="dxa"/>
                  <w:vAlign w:val="center"/>
                </w:tcPr>
                <w:p w14:paraId="7121D90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0D6A4DB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19F3F53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28A3366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r w14:paraId="2B9A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7" w:type="dxa"/>
                  <w:vAlign w:val="center"/>
                </w:tcPr>
                <w:p w14:paraId="27E67B8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2</w:t>
                  </w:r>
                </w:p>
              </w:tc>
              <w:tc>
                <w:tcPr>
                  <w:tcW w:w="2274" w:type="dxa"/>
                  <w:vAlign w:val="center"/>
                </w:tcPr>
                <w:p w14:paraId="303F79FB">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75FCACA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7441A36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2764A5E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r w14:paraId="0734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7" w:type="dxa"/>
                  <w:vAlign w:val="center"/>
                </w:tcPr>
                <w:p w14:paraId="65BD6ED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3</w:t>
                  </w:r>
                </w:p>
              </w:tc>
              <w:tc>
                <w:tcPr>
                  <w:tcW w:w="2274" w:type="dxa"/>
                  <w:vAlign w:val="center"/>
                </w:tcPr>
                <w:p w14:paraId="1A5C691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51A4959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6D1A44E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27ECC8C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r w14:paraId="03B8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7" w:type="dxa"/>
                  <w:vAlign w:val="center"/>
                </w:tcPr>
                <w:p w14:paraId="09BE31A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4</w:t>
                  </w:r>
                </w:p>
              </w:tc>
              <w:tc>
                <w:tcPr>
                  <w:tcW w:w="2274" w:type="dxa"/>
                  <w:vAlign w:val="center"/>
                </w:tcPr>
                <w:p w14:paraId="004199C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3131BE5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7C9E994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0AD4F99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r w14:paraId="5EDB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7" w:type="dxa"/>
                  <w:vAlign w:val="center"/>
                </w:tcPr>
                <w:p w14:paraId="1159BC4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5</w:t>
                  </w:r>
                </w:p>
              </w:tc>
              <w:tc>
                <w:tcPr>
                  <w:tcW w:w="2274" w:type="dxa"/>
                  <w:vAlign w:val="center"/>
                </w:tcPr>
                <w:p w14:paraId="53BBB2D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12585FA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7E65E26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3CE6AED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r w14:paraId="4502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57" w:type="dxa"/>
                  <w:vAlign w:val="center"/>
                </w:tcPr>
                <w:p w14:paraId="707DFEC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6</w:t>
                  </w:r>
                </w:p>
              </w:tc>
              <w:tc>
                <w:tcPr>
                  <w:tcW w:w="2274" w:type="dxa"/>
                  <w:vAlign w:val="center"/>
                </w:tcPr>
                <w:p w14:paraId="68E2ABF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635" w:type="dxa"/>
                  <w:vAlign w:val="center"/>
                </w:tcPr>
                <w:p w14:paraId="4F75DB8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020" w:type="dxa"/>
                  <w:vAlign w:val="center"/>
                </w:tcPr>
                <w:p w14:paraId="06D72AB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1092" w:type="dxa"/>
                  <w:vAlign w:val="center"/>
                </w:tcPr>
                <w:p w14:paraId="3A5A828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r>
          </w:tbl>
          <w:p w14:paraId="689AFC48">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表2-4 铜精矿原料主要成分表</w:t>
            </w:r>
          </w:p>
          <w:tbl>
            <w:tblPr>
              <w:tblStyle w:val="17"/>
              <w:tblW w:w="7822"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11"/>
              <w:gridCol w:w="711"/>
              <w:gridCol w:w="711"/>
              <w:gridCol w:w="711"/>
              <w:gridCol w:w="711"/>
              <w:gridCol w:w="711"/>
              <w:gridCol w:w="711"/>
              <w:gridCol w:w="711"/>
              <w:gridCol w:w="711"/>
              <w:gridCol w:w="712"/>
            </w:tblGrid>
            <w:tr w14:paraId="226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6C76970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w:t>
                  </w:r>
                </w:p>
              </w:tc>
              <w:tc>
                <w:tcPr>
                  <w:tcW w:w="711" w:type="dxa"/>
                  <w:vAlign w:val="center"/>
                </w:tcPr>
                <w:p w14:paraId="75F52E8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产地</w:t>
                  </w:r>
                </w:p>
              </w:tc>
              <w:tc>
                <w:tcPr>
                  <w:tcW w:w="711" w:type="dxa"/>
                  <w:vAlign w:val="center"/>
                </w:tcPr>
                <w:p w14:paraId="04FB287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含水率（%）</w:t>
                  </w:r>
                </w:p>
              </w:tc>
              <w:tc>
                <w:tcPr>
                  <w:tcW w:w="711" w:type="dxa"/>
                  <w:vAlign w:val="center"/>
                </w:tcPr>
                <w:p w14:paraId="738B754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Cu(%)</w:t>
                  </w:r>
                </w:p>
              </w:tc>
              <w:tc>
                <w:tcPr>
                  <w:tcW w:w="711" w:type="dxa"/>
                  <w:vAlign w:val="center"/>
                </w:tcPr>
                <w:p w14:paraId="02FE910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S(%)</w:t>
                  </w:r>
                </w:p>
              </w:tc>
              <w:tc>
                <w:tcPr>
                  <w:tcW w:w="711" w:type="dxa"/>
                  <w:vAlign w:val="center"/>
                </w:tcPr>
                <w:p w14:paraId="24D947B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Fe(%)</w:t>
                  </w:r>
                </w:p>
              </w:tc>
              <w:tc>
                <w:tcPr>
                  <w:tcW w:w="711" w:type="dxa"/>
                  <w:vAlign w:val="center"/>
                </w:tcPr>
                <w:p w14:paraId="4219FBF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As(%)</w:t>
                  </w:r>
                </w:p>
              </w:tc>
              <w:tc>
                <w:tcPr>
                  <w:tcW w:w="711" w:type="dxa"/>
                  <w:vAlign w:val="center"/>
                </w:tcPr>
                <w:p w14:paraId="7C8F388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Pb(%)</w:t>
                  </w:r>
                </w:p>
              </w:tc>
              <w:tc>
                <w:tcPr>
                  <w:tcW w:w="711" w:type="dxa"/>
                  <w:vAlign w:val="center"/>
                </w:tcPr>
                <w:p w14:paraId="042CA83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F(%)</w:t>
                  </w:r>
                </w:p>
              </w:tc>
              <w:tc>
                <w:tcPr>
                  <w:tcW w:w="711" w:type="dxa"/>
                  <w:vAlign w:val="center"/>
                </w:tcPr>
                <w:p w14:paraId="5723066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Cd(%)</w:t>
                  </w:r>
                </w:p>
              </w:tc>
              <w:tc>
                <w:tcPr>
                  <w:tcW w:w="712" w:type="dxa"/>
                  <w:vAlign w:val="center"/>
                </w:tcPr>
                <w:p w14:paraId="0770F70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Hg(%)</w:t>
                  </w:r>
                </w:p>
              </w:tc>
            </w:tr>
            <w:tr w14:paraId="0F08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822" w:type="dxa"/>
                  <w:gridSpan w:val="11"/>
                  <w:vAlign w:val="center"/>
                </w:tcPr>
                <w:p w14:paraId="66D6C89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标准铜精矿</w:t>
                  </w:r>
                </w:p>
              </w:tc>
            </w:tr>
            <w:tr w14:paraId="70F4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2EB25B4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原料1</w:t>
                  </w:r>
                </w:p>
              </w:tc>
              <w:tc>
                <w:tcPr>
                  <w:tcW w:w="711" w:type="dxa"/>
                  <w:vAlign w:val="center"/>
                </w:tcPr>
                <w:p w14:paraId="083A094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4D2B7D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612280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E9D6E0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3F0687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3E3FD9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EBE0AE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9F9BDF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419468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40A1E42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1EAD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6820099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原料2</w:t>
                  </w:r>
                </w:p>
              </w:tc>
              <w:tc>
                <w:tcPr>
                  <w:tcW w:w="711" w:type="dxa"/>
                  <w:vAlign w:val="center"/>
                </w:tcPr>
                <w:p w14:paraId="16EBDE5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5F7839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795D26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D8C80E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48CF45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526838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65A4C4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73F2CC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CDADD5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209044F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0F09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185834F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原料3</w:t>
                  </w:r>
                </w:p>
              </w:tc>
              <w:tc>
                <w:tcPr>
                  <w:tcW w:w="711" w:type="dxa"/>
                  <w:vAlign w:val="center"/>
                </w:tcPr>
                <w:p w14:paraId="02732AF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68F007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A0C776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D2C65F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64B8ED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9C13F7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827101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BFCE2A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829C54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3BA6670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7B0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2D6EB00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原料4</w:t>
                  </w:r>
                </w:p>
              </w:tc>
              <w:tc>
                <w:tcPr>
                  <w:tcW w:w="711" w:type="dxa"/>
                  <w:vAlign w:val="center"/>
                </w:tcPr>
                <w:p w14:paraId="68E220B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1812D0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C45FD0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B49D51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5B352A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7FB25E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D1DB08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4CB586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7148A6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3AC7859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22E9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28D7E45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原料5</w:t>
                  </w:r>
                </w:p>
              </w:tc>
              <w:tc>
                <w:tcPr>
                  <w:tcW w:w="711" w:type="dxa"/>
                  <w:vAlign w:val="center"/>
                </w:tcPr>
                <w:p w14:paraId="516AFD4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A61FC9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C4EC37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5CFDA2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B1D374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0FE45E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805876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80AF25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56098E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0FB5CF6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68CA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55EF72A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原料6</w:t>
                  </w:r>
                </w:p>
              </w:tc>
              <w:tc>
                <w:tcPr>
                  <w:tcW w:w="711" w:type="dxa"/>
                  <w:vAlign w:val="center"/>
                </w:tcPr>
                <w:p w14:paraId="7CCD8F1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6BF89B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617D22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03D9EB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4491D3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5513EE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8FF73E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8A1805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DCDFC3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584660A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24D0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6B5D711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原料7</w:t>
                  </w:r>
                </w:p>
              </w:tc>
              <w:tc>
                <w:tcPr>
                  <w:tcW w:w="711" w:type="dxa"/>
                  <w:vAlign w:val="center"/>
                </w:tcPr>
                <w:p w14:paraId="614530D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D157CF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B915FF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2E8817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21CCD4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8A34EC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3FEFD4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C22703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A1F3EB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63C184F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4248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07E935E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原料8</w:t>
                  </w:r>
                </w:p>
              </w:tc>
              <w:tc>
                <w:tcPr>
                  <w:tcW w:w="711" w:type="dxa"/>
                  <w:vAlign w:val="center"/>
                </w:tcPr>
                <w:p w14:paraId="1F3C109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7ED024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2AB1B6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2456C6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BCB24C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CE7F76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75BF07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BD2E1B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F1BD12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2402F2C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1159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62DBBB6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原料9</w:t>
                  </w:r>
                </w:p>
              </w:tc>
              <w:tc>
                <w:tcPr>
                  <w:tcW w:w="711" w:type="dxa"/>
                  <w:vAlign w:val="center"/>
                </w:tcPr>
                <w:p w14:paraId="00B0172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B1DB9E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CD978E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1ED2DE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E25966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4343F1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694C4F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9BD0BA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9AE12E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06113BB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5BB6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5CF649C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原料10</w:t>
                  </w:r>
                </w:p>
              </w:tc>
              <w:tc>
                <w:tcPr>
                  <w:tcW w:w="711" w:type="dxa"/>
                  <w:vAlign w:val="center"/>
                </w:tcPr>
                <w:p w14:paraId="2BFC1A8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5D7BDE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A382C5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15BADA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4518A4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D18C19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4AC2E3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F96755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C65DBC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7C66C3E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3D0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11" w:type="dxa"/>
                  <w:vAlign w:val="center"/>
                </w:tcPr>
                <w:p w14:paraId="5D87184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原料11</w:t>
                  </w:r>
                </w:p>
              </w:tc>
              <w:tc>
                <w:tcPr>
                  <w:tcW w:w="711" w:type="dxa"/>
                  <w:vAlign w:val="center"/>
                </w:tcPr>
                <w:p w14:paraId="5496732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C02FCC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6C8D9E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4428A4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C268C8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FD35B0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EDFFB1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793D1BA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EF7396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07465BB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470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1" w:type="dxa"/>
                  <w:vAlign w:val="center"/>
                </w:tcPr>
                <w:p w14:paraId="111A97C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原料12</w:t>
                  </w:r>
                </w:p>
              </w:tc>
              <w:tc>
                <w:tcPr>
                  <w:tcW w:w="711" w:type="dxa"/>
                  <w:vAlign w:val="center"/>
                </w:tcPr>
                <w:p w14:paraId="297F008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706C8B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2E5D87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E32BA8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3F863E2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087539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592967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3F0AAE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0BF59E6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244F1EE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256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22" w:type="dxa"/>
                  <w:gridSpan w:val="11"/>
                  <w:vAlign w:val="center"/>
                </w:tcPr>
                <w:p w14:paraId="3D367BC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非标准铜精矿</w:t>
                  </w:r>
                </w:p>
              </w:tc>
            </w:tr>
            <w:tr w14:paraId="11B1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1" w:type="dxa"/>
                  <w:vAlign w:val="center"/>
                </w:tcPr>
                <w:p w14:paraId="33174D9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原料1</w:t>
                  </w:r>
                </w:p>
              </w:tc>
              <w:tc>
                <w:tcPr>
                  <w:tcW w:w="711" w:type="dxa"/>
                  <w:vAlign w:val="center"/>
                </w:tcPr>
                <w:p w14:paraId="70E509E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D1D3A2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195271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8790E6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1538E54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CDCD2D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E947C2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2A719A6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01CD68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49B71E3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r w14:paraId="1849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1" w:type="dxa"/>
                  <w:vAlign w:val="center"/>
                </w:tcPr>
                <w:p w14:paraId="7692561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原料2</w:t>
                  </w:r>
                </w:p>
              </w:tc>
              <w:tc>
                <w:tcPr>
                  <w:tcW w:w="711" w:type="dxa"/>
                  <w:vAlign w:val="center"/>
                </w:tcPr>
                <w:p w14:paraId="0C33A61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ED8AE5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9A7F48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2DD22D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86D22E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EBD5FC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582B11A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61BF453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1" w:type="dxa"/>
                  <w:vAlign w:val="center"/>
                </w:tcPr>
                <w:p w14:paraId="4C14E62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c>
                <w:tcPr>
                  <w:tcW w:w="712" w:type="dxa"/>
                  <w:vAlign w:val="center"/>
                </w:tcPr>
                <w:p w14:paraId="708B260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b w:val="0"/>
                      <w:bCs w:val="0"/>
                      <w:sz w:val="21"/>
                      <w:szCs w:val="21"/>
                      <w:vertAlign w:val="baseline"/>
                      <w:lang w:val="en-US" w:eastAsia="zh-CN"/>
                    </w:rPr>
                  </w:pPr>
                </w:p>
              </w:tc>
            </w:tr>
          </w:tbl>
          <w:p w14:paraId="3ED7344E">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b/>
                <w:bCs/>
                <w:sz w:val="24"/>
                <w:szCs w:val="24"/>
                <w:lang w:val="en-US" w:eastAsia="zh-CN"/>
              </w:rPr>
            </w:pPr>
            <w:r>
              <w:rPr>
                <w:rFonts w:hint="eastAsia"/>
                <w:b/>
                <w:bCs/>
                <w:sz w:val="24"/>
                <w:szCs w:val="24"/>
                <w:lang w:val="en-US" w:eastAsia="zh-CN"/>
              </w:rPr>
              <w:t>表2-5 PAC和PAM理化性质一览表</w:t>
            </w:r>
          </w:p>
          <w:tbl>
            <w:tblPr>
              <w:tblStyle w:val="17"/>
              <w:tblW w:w="7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88"/>
              <w:gridCol w:w="5406"/>
            </w:tblGrid>
            <w:tr w14:paraId="5E73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63DD80E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1588" w:type="dxa"/>
                  <w:vAlign w:val="center"/>
                </w:tcPr>
                <w:p w14:paraId="1D04F37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名称</w:t>
                  </w:r>
                </w:p>
              </w:tc>
              <w:tc>
                <w:tcPr>
                  <w:tcW w:w="5406" w:type="dxa"/>
                  <w:vAlign w:val="center"/>
                </w:tcPr>
                <w:p w14:paraId="3645AF0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理化性质</w:t>
                  </w:r>
                </w:p>
              </w:tc>
            </w:tr>
            <w:tr w14:paraId="25B8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6BB38A5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588" w:type="dxa"/>
                  <w:vAlign w:val="center"/>
                </w:tcPr>
                <w:p w14:paraId="5F149FFA">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PAC</w:t>
                  </w:r>
                </w:p>
              </w:tc>
              <w:tc>
                <w:tcPr>
                  <w:tcW w:w="5406" w:type="dxa"/>
                  <w:vAlign w:val="center"/>
                </w:tcPr>
                <w:p w14:paraId="20A8A38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无色或黄色固体，熔点190℃（253kPa），易溶于水，液体密度≥1.12g/cm</w:t>
                  </w:r>
                  <w:r>
                    <w:rPr>
                      <w:rFonts w:hint="eastAsia"/>
                      <w:vertAlign w:val="superscript"/>
                      <w:lang w:val="en-US" w:eastAsia="zh-CN"/>
                    </w:rPr>
                    <w:t>3</w:t>
                  </w:r>
                  <w:r>
                    <w:rPr>
                      <w:rFonts w:hint="eastAsia"/>
                      <w:vertAlign w:val="baseline"/>
                      <w:lang w:val="en-US" w:eastAsia="zh-CN"/>
                    </w:rPr>
                    <w:t>。</w:t>
                  </w:r>
                </w:p>
              </w:tc>
            </w:tr>
            <w:tr w14:paraId="50F9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328B6F1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588" w:type="dxa"/>
                  <w:vAlign w:val="center"/>
                </w:tcPr>
                <w:p w14:paraId="3D2BF139">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PAM</w:t>
                  </w:r>
                </w:p>
              </w:tc>
              <w:tc>
                <w:tcPr>
                  <w:tcW w:w="5406" w:type="dxa"/>
                  <w:vAlign w:val="center"/>
                </w:tcPr>
                <w:p w14:paraId="4E40700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vertAlign w:val="baseline"/>
                      <w:lang w:val="en-US" w:eastAsia="zh-CN"/>
                    </w:rPr>
                  </w:pPr>
                  <w:r>
                    <w:rPr>
                      <w:rFonts w:hint="eastAsia"/>
                      <w:vertAlign w:val="baseline"/>
                      <w:lang w:val="en-US" w:eastAsia="zh-CN"/>
                    </w:rPr>
                    <w:t>白色粉末或半透明颗粒，无臭，密度1.302g/cm</w:t>
                  </w:r>
                  <w:r>
                    <w:rPr>
                      <w:rFonts w:hint="eastAsia"/>
                      <w:vertAlign w:val="superscript"/>
                      <w:lang w:val="en-US" w:eastAsia="zh-CN"/>
                    </w:rPr>
                    <w:t>3</w:t>
                  </w:r>
                  <w:r>
                    <w:rPr>
                      <w:rFonts w:hint="eastAsia"/>
                      <w:vertAlign w:val="baseline"/>
                      <w:lang w:val="en-US" w:eastAsia="zh-CN"/>
                    </w:rPr>
                    <w:t>，如哪壶温度210℃，易溶于水。</w:t>
                  </w:r>
                </w:p>
              </w:tc>
            </w:tr>
          </w:tbl>
          <w:p w14:paraId="0D925B37">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主要生产设备</w:t>
            </w:r>
          </w:p>
          <w:p w14:paraId="66890E67">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本项目主要生产设备详见下表。</w:t>
            </w:r>
          </w:p>
          <w:p w14:paraId="429AAA79">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表2-6 项目主要生产设备一览表</w:t>
            </w:r>
          </w:p>
          <w:tbl>
            <w:tblPr>
              <w:tblStyle w:val="17"/>
              <w:tblW w:w="7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3491"/>
              <w:gridCol w:w="900"/>
              <w:gridCol w:w="893"/>
            </w:tblGrid>
            <w:tr w14:paraId="66B8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21BF1609">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序号</w:t>
                  </w:r>
                </w:p>
              </w:tc>
              <w:tc>
                <w:tcPr>
                  <w:tcW w:w="1701" w:type="dxa"/>
                  <w:vAlign w:val="center"/>
                </w:tcPr>
                <w:p w14:paraId="3B0C9689">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设备名称</w:t>
                  </w:r>
                </w:p>
              </w:tc>
              <w:tc>
                <w:tcPr>
                  <w:tcW w:w="3491" w:type="dxa"/>
                  <w:vAlign w:val="center"/>
                </w:tcPr>
                <w:p w14:paraId="017DA60D">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型号</w:t>
                  </w:r>
                </w:p>
              </w:tc>
              <w:tc>
                <w:tcPr>
                  <w:tcW w:w="900" w:type="dxa"/>
                  <w:vAlign w:val="center"/>
                </w:tcPr>
                <w:p w14:paraId="16B8281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数量</w:t>
                  </w:r>
                </w:p>
              </w:tc>
              <w:tc>
                <w:tcPr>
                  <w:tcW w:w="893" w:type="dxa"/>
                  <w:vAlign w:val="center"/>
                </w:tcPr>
                <w:p w14:paraId="5D361AA5">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备注</w:t>
                  </w:r>
                </w:p>
              </w:tc>
            </w:tr>
            <w:tr w14:paraId="359F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7A60F514">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1701" w:type="dxa"/>
                  <w:vAlign w:val="center"/>
                </w:tcPr>
                <w:p w14:paraId="5E31D6FF">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579CFAEE">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08DD2DBF">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1F2C2E02">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3261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1E2B1F90">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1701" w:type="dxa"/>
                  <w:vAlign w:val="center"/>
                </w:tcPr>
                <w:p w14:paraId="1AD0ADE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607FF9E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7E085793">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7255582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0BC5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495F7D6D">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1701" w:type="dxa"/>
                  <w:vAlign w:val="center"/>
                </w:tcPr>
                <w:p w14:paraId="2FCD8F64">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40DCCD5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5EF02DA8">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50D3BB33">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6870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04115B8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1701" w:type="dxa"/>
                  <w:vAlign w:val="center"/>
                </w:tcPr>
                <w:p w14:paraId="10B5D7F0">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2F1C2B3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3C436CA6">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7751AC43">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0C53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2BCEE7DA">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1701" w:type="dxa"/>
                  <w:vAlign w:val="center"/>
                </w:tcPr>
                <w:p w14:paraId="40E70373">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3A43E2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4F36BC0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59C8E28E">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4D7E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3" w:type="dxa"/>
                  <w:vAlign w:val="center"/>
                </w:tcPr>
                <w:p w14:paraId="0EEA331D">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6</w:t>
                  </w:r>
                </w:p>
              </w:tc>
              <w:tc>
                <w:tcPr>
                  <w:tcW w:w="1701" w:type="dxa"/>
                  <w:vAlign w:val="center"/>
                </w:tcPr>
                <w:p w14:paraId="7D737BB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426D1FF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lang w:val="en-US" w:eastAsia="zh-CN"/>
                    </w:rPr>
                  </w:pPr>
                </w:p>
              </w:tc>
              <w:tc>
                <w:tcPr>
                  <w:tcW w:w="900" w:type="dxa"/>
                  <w:vAlign w:val="center"/>
                </w:tcPr>
                <w:p w14:paraId="40710B1E">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3BDBB617">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721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Align w:val="center"/>
                </w:tcPr>
                <w:p w14:paraId="1AB917FC">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7</w:t>
                  </w:r>
                </w:p>
              </w:tc>
              <w:tc>
                <w:tcPr>
                  <w:tcW w:w="1701" w:type="dxa"/>
                  <w:vAlign w:val="center"/>
                </w:tcPr>
                <w:p w14:paraId="19C59467">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292835C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3811AE41">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893" w:type="dxa"/>
                  <w:vAlign w:val="center"/>
                </w:tcPr>
                <w:p w14:paraId="7EF8C45F">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50B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Align w:val="center"/>
                </w:tcPr>
                <w:p w14:paraId="74640AC1">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8</w:t>
                  </w:r>
                </w:p>
              </w:tc>
              <w:tc>
                <w:tcPr>
                  <w:tcW w:w="1701" w:type="dxa"/>
                  <w:vAlign w:val="center"/>
                </w:tcPr>
                <w:p w14:paraId="04E98E4C">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3475D7B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p>
              </w:tc>
              <w:tc>
                <w:tcPr>
                  <w:tcW w:w="900" w:type="dxa"/>
                  <w:vAlign w:val="center"/>
                </w:tcPr>
                <w:p w14:paraId="05CC3C79">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FF0000"/>
                      <w:sz w:val="21"/>
                      <w:szCs w:val="21"/>
                      <w:vertAlign w:val="baseline"/>
                      <w:lang w:val="en-US" w:eastAsia="zh-CN"/>
                    </w:rPr>
                  </w:pPr>
                </w:p>
              </w:tc>
              <w:tc>
                <w:tcPr>
                  <w:tcW w:w="893" w:type="dxa"/>
                  <w:vAlign w:val="center"/>
                </w:tcPr>
                <w:p w14:paraId="242AB721">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156D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Align w:val="center"/>
                </w:tcPr>
                <w:p w14:paraId="75C50469">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9</w:t>
                  </w:r>
                </w:p>
              </w:tc>
              <w:tc>
                <w:tcPr>
                  <w:tcW w:w="1701" w:type="dxa"/>
                  <w:vAlign w:val="center"/>
                </w:tcPr>
                <w:p w14:paraId="65DE8CBB">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13B7CC2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sz w:val="21"/>
                      <w:szCs w:val="21"/>
                      <w:vertAlign w:val="baseline"/>
                      <w:lang w:val="en-US" w:eastAsia="zh-CN"/>
                    </w:rPr>
                  </w:pPr>
                </w:p>
              </w:tc>
              <w:tc>
                <w:tcPr>
                  <w:tcW w:w="900" w:type="dxa"/>
                  <w:vAlign w:val="center"/>
                </w:tcPr>
                <w:p w14:paraId="1D2E204A">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vertAlign w:val="baseline"/>
                      <w:lang w:val="en-US" w:eastAsia="zh-CN"/>
                    </w:rPr>
                  </w:pPr>
                </w:p>
              </w:tc>
              <w:tc>
                <w:tcPr>
                  <w:tcW w:w="893" w:type="dxa"/>
                  <w:vAlign w:val="center"/>
                </w:tcPr>
                <w:p w14:paraId="3512D8FE">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3400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Align w:val="center"/>
                </w:tcPr>
                <w:p w14:paraId="6C965A69">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c>
                <w:tcPr>
                  <w:tcW w:w="1701" w:type="dxa"/>
                  <w:vAlign w:val="center"/>
                </w:tcPr>
                <w:p w14:paraId="0EE688C4">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3D3302E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sz w:val="21"/>
                      <w:szCs w:val="21"/>
                      <w:vertAlign w:val="baseline"/>
                      <w:lang w:val="en-US" w:eastAsia="zh-CN"/>
                    </w:rPr>
                  </w:pPr>
                </w:p>
              </w:tc>
              <w:tc>
                <w:tcPr>
                  <w:tcW w:w="900" w:type="dxa"/>
                  <w:vAlign w:val="center"/>
                </w:tcPr>
                <w:p w14:paraId="27D00ACC">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vertAlign w:val="baseline"/>
                      <w:lang w:val="en-US" w:eastAsia="zh-CN"/>
                    </w:rPr>
                  </w:pPr>
                </w:p>
              </w:tc>
              <w:tc>
                <w:tcPr>
                  <w:tcW w:w="893" w:type="dxa"/>
                  <w:vAlign w:val="center"/>
                </w:tcPr>
                <w:p w14:paraId="7C8EAAA0">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r w14:paraId="32E4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3" w:type="dxa"/>
                  <w:vAlign w:val="center"/>
                </w:tcPr>
                <w:p w14:paraId="3EF8B702">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11</w:t>
                  </w:r>
                </w:p>
              </w:tc>
              <w:tc>
                <w:tcPr>
                  <w:tcW w:w="1701" w:type="dxa"/>
                  <w:vAlign w:val="center"/>
                </w:tcPr>
                <w:p w14:paraId="2546633C">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3491" w:type="dxa"/>
                  <w:vAlign w:val="center"/>
                </w:tcPr>
                <w:p w14:paraId="2309BD5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sz w:val="21"/>
                      <w:szCs w:val="21"/>
                      <w:vertAlign w:val="baseline"/>
                      <w:lang w:val="en-US" w:eastAsia="zh-CN"/>
                    </w:rPr>
                  </w:pPr>
                </w:p>
              </w:tc>
              <w:tc>
                <w:tcPr>
                  <w:tcW w:w="900" w:type="dxa"/>
                  <w:vAlign w:val="center"/>
                </w:tcPr>
                <w:p w14:paraId="04262744">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vertAlign w:val="baseline"/>
                      <w:lang w:val="en-US" w:eastAsia="zh-CN"/>
                    </w:rPr>
                  </w:pPr>
                </w:p>
              </w:tc>
              <w:tc>
                <w:tcPr>
                  <w:tcW w:w="893" w:type="dxa"/>
                  <w:vAlign w:val="center"/>
                </w:tcPr>
                <w:p w14:paraId="6DCCF514">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r>
          </w:tbl>
          <w:p w14:paraId="1174FDC2">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公用工程</w:t>
            </w:r>
          </w:p>
          <w:p w14:paraId="6A0003DE">
            <w:pPr>
              <w:pStyle w:val="1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给水</w:t>
            </w:r>
          </w:p>
          <w:p w14:paraId="2E56DC9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本项目生活、生产、洗车用水来源于市政管网供水。</w:t>
            </w:r>
          </w:p>
          <w:p w14:paraId="0049C0D5">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①员工生活用水</w:t>
            </w:r>
          </w:p>
          <w:p w14:paraId="5796EFA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本项目员工人数为</w:t>
            </w:r>
            <w:r>
              <w:rPr>
                <w:rFonts w:hint="eastAsia"/>
                <w:color w:val="auto"/>
                <w:sz w:val="24"/>
                <w:szCs w:val="24"/>
                <w:lang w:val="en-US" w:eastAsia="zh-CN"/>
              </w:rPr>
              <w:t>28</w:t>
            </w:r>
            <w:r>
              <w:rPr>
                <w:rFonts w:hint="eastAsia"/>
                <w:sz w:val="24"/>
                <w:szCs w:val="24"/>
                <w:lang w:val="en-US" w:eastAsia="zh-CN"/>
              </w:rPr>
              <w:t>人，职工生活用水量按100L/d计算，则生活用水量为2.8m</w:t>
            </w:r>
            <w:r>
              <w:rPr>
                <w:rFonts w:hint="eastAsia"/>
                <w:sz w:val="24"/>
                <w:szCs w:val="24"/>
                <w:vertAlign w:val="superscript"/>
                <w:lang w:val="en-US" w:eastAsia="zh-CN"/>
              </w:rPr>
              <w:t>3</w:t>
            </w:r>
            <w:r>
              <w:rPr>
                <w:rFonts w:hint="eastAsia"/>
                <w:sz w:val="24"/>
                <w:szCs w:val="24"/>
                <w:lang w:val="en-US" w:eastAsia="zh-CN"/>
              </w:rPr>
              <w:t>/d，924m</w:t>
            </w:r>
            <w:r>
              <w:rPr>
                <w:rFonts w:hint="eastAsia"/>
                <w:sz w:val="24"/>
                <w:szCs w:val="24"/>
                <w:vertAlign w:val="superscript"/>
                <w:lang w:val="en-US" w:eastAsia="zh-CN"/>
              </w:rPr>
              <w:t>3</w:t>
            </w:r>
            <w:r>
              <w:rPr>
                <w:rFonts w:hint="eastAsia"/>
                <w:sz w:val="24"/>
                <w:szCs w:val="24"/>
                <w:lang w:val="en-US" w:eastAsia="zh-CN"/>
              </w:rPr>
              <w:t>/a。</w:t>
            </w:r>
          </w:p>
          <w:p w14:paraId="0E204E22">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②干雾抑尘用水</w:t>
            </w:r>
          </w:p>
          <w:p w14:paraId="13573F4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根据建设单位提供资料，本项目在混料库与卸矿站分别设置有9套干雾抑尘装置，单个装置用水流量为3m</w:t>
            </w:r>
            <w:r>
              <w:rPr>
                <w:rFonts w:hint="eastAsia"/>
                <w:sz w:val="24"/>
                <w:szCs w:val="24"/>
                <w:vertAlign w:val="superscript"/>
                <w:lang w:val="en-US" w:eastAsia="zh-CN"/>
              </w:rPr>
              <w:t>3</w:t>
            </w:r>
            <w:r>
              <w:rPr>
                <w:rFonts w:hint="eastAsia"/>
                <w:sz w:val="24"/>
                <w:szCs w:val="24"/>
                <w:lang w:val="en-US" w:eastAsia="zh-CN"/>
              </w:rPr>
              <w:t>/h，每次作业全部开启，每天开启24次，每次喷淋时间为15min，则干雾抑尘用水量为162m</w:t>
            </w:r>
            <w:r>
              <w:rPr>
                <w:rFonts w:hint="eastAsia"/>
                <w:sz w:val="24"/>
                <w:szCs w:val="24"/>
                <w:vertAlign w:val="superscript"/>
                <w:lang w:val="en-US" w:eastAsia="zh-CN"/>
              </w:rPr>
              <w:t>3</w:t>
            </w:r>
            <w:r>
              <w:rPr>
                <w:rFonts w:hint="eastAsia"/>
                <w:sz w:val="24"/>
                <w:szCs w:val="24"/>
                <w:lang w:val="en-US" w:eastAsia="zh-CN"/>
              </w:rPr>
              <w:t>/d，53460m</w:t>
            </w:r>
            <w:r>
              <w:rPr>
                <w:rFonts w:hint="eastAsia"/>
                <w:sz w:val="24"/>
                <w:szCs w:val="24"/>
                <w:vertAlign w:val="superscript"/>
                <w:lang w:val="en-US" w:eastAsia="zh-CN"/>
              </w:rPr>
              <w:t>3</w:t>
            </w:r>
            <w:r>
              <w:rPr>
                <w:rFonts w:hint="eastAsia"/>
                <w:sz w:val="24"/>
                <w:szCs w:val="24"/>
                <w:lang w:val="en-US" w:eastAsia="zh-CN"/>
              </w:rPr>
              <w:t>/a，一部分附着在原料矿及产品矿，一部分挥发，不产生废水。</w:t>
            </w:r>
          </w:p>
          <w:p w14:paraId="4557BC0F">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③洗车用水</w:t>
            </w:r>
          </w:p>
          <w:p w14:paraId="6A979B7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为防止项目混矿粉尘附着在汽车出厂区，项目需对运输车辆在出厂区前新增车轮车身冲洗。根据《建筑给水排水规范》（GB50015-2009）中载重车辆采用高压水冲洗，用水量为100L/（辆•次）。根据建设单位提供资料，运输车辆平均载重量为55t，本项目建成运营后外出车辆约为67台/天，经计算，车辆冲洗用水量为6.7m</w:t>
            </w:r>
            <w:r>
              <w:rPr>
                <w:rFonts w:hint="eastAsia"/>
                <w:sz w:val="24"/>
                <w:szCs w:val="24"/>
                <w:vertAlign w:val="superscript"/>
                <w:lang w:val="en-US" w:eastAsia="zh-CN"/>
              </w:rPr>
              <w:t>3</w:t>
            </w:r>
            <w:r>
              <w:rPr>
                <w:rFonts w:hint="eastAsia"/>
                <w:sz w:val="24"/>
                <w:szCs w:val="24"/>
                <w:lang w:val="en-US" w:eastAsia="zh-CN"/>
              </w:rPr>
              <w:t>/d，2211m</w:t>
            </w:r>
            <w:r>
              <w:rPr>
                <w:rFonts w:hint="eastAsia"/>
                <w:sz w:val="24"/>
                <w:szCs w:val="24"/>
                <w:vertAlign w:val="superscript"/>
                <w:lang w:val="en-US" w:eastAsia="zh-CN"/>
              </w:rPr>
              <w:t>3</w:t>
            </w:r>
            <w:r>
              <w:rPr>
                <w:rFonts w:hint="eastAsia"/>
                <w:sz w:val="24"/>
                <w:szCs w:val="24"/>
                <w:lang w:val="en-US" w:eastAsia="zh-CN"/>
              </w:rPr>
              <w:t>/a，经沉淀后循环利用，不外排。</w:t>
            </w:r>
          </w:p>
          <w:p w14:paraId="6AB123ED">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④厂区地面冲洗用水</w:t>
            </w:r>
          </w:p>
          <w:p w14:paraId="606CC1B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厂区内露天地面会有少量矿粉散落，需定期对露天地面进行冲洗，露天地面面积为12000m</w:t>
            </w:r>
            <w:r>
              <w:rPr>
                <w:rFonts w:hint="eastAsia"/>
                <w:sz w:val="24"/>
                <w:szCs w:val="24"/>
                <w:vertAlign w:val="superscript"/>
                <w:lang w:val="en-US" w:eastAsia="zh-CN"/>
              </w:rPr>
              <w:t>2</w:t>
            </w:r>
            <w:r>
              <w:rPr>
                <w:rFonts w:hint="eastAsia"/>
                <w:sz w:val="24"/>
                <w:szCs w:val="24"/>
                <w:lang w:val="en-US" w:eastAsia="zh-CN"/>
              </w:rPr>
              <w:t>，地面冲洗用水量约为1L/m</w:t>
            </w:r>
            <w:r>
              <w:rPr>
                <w:rFonts w:hint="eastAsia"/>
                <w:sz w:val="24"/>
                <w:szCs w:val="24"/>
                <w:vertAlign w:val="superscript"/>
                <w:lang w:val="en-US" w:eastAsia="zh-CN"/>
              </w:rPr>
              <w:t>2</w:t>
            </w:r>
            <w:r>
              <w:rPr>
                <w:rFonts w:hint="eastAsia"/>
                <w:sz w:val="24"/>
                <w:szCs w:val="24"/>
                <w:lang w:val="en-US" w:eastAsia="zh-CN"/>
              </w:rPr>
              <w:t>，冲洗频率为1次/周，则冲洗用水产生量为12m</w:t>
            </w:r>
            <w:r>
              <w:rPr>
                <w:rFonts w:hint="eastAsia"/>
                <w:sz w:val="24"/>
                <w:szCs w:val="24"/>
                <w:vertAlign w:val="superscript"/>
                <w:lang w:val="en-US" w:eastAsia="zh-CN"/>
              </w:rPr>
              <w:t>3</w:t>
            </w:r>
            <w:r>
              <w:rPr>
                <w:rFonts w:hint="eastAsia"/>
                <w:sz w:val="24"/>
                <w:szCs w:val="24"/>
                <w:lang w:val="en-US" w:eastAsia="zh-CN"/>
              </w:rPr>
              <w:t>/次，576m</w:t>
            </w:r>
            <w:r>
              <w:rPr>
                <w:rFonts w:hint="eastAsia"/>
                <w:sz w:val="24"/>
                <w:szCs w:val="24"/>
                <w:vertAlign w:val="superscript"/>
                <w:lang w:val="en-US" w:eastAsia="zh-CN"/>
              </w:rPr>
              <w:t>3</w:t>
            </w:r>
            <w:r>
              <w:rPr>
                <w:rFonts w:hint="eastAsia"/>
                <w:sz w:val="24"/>
                <w:szCs w:val="24"/>
                <w:lang w:val="en-US" w:eastAsia="zh-CN"/>
              </w:rPr>
              <w:t>/a。本项目地面冲洗水经厂区内沟槽收集至沉淀池沉淀后回用，不外排。</w:t>
            </w:r>
          </w:p>
          <w:p w14:paraId="14B4ABD6">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⑤初期雨水</w:t>
            </w:r>
          </w:p>
          <w:p w14:paraId="43D4DC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本项目建设一座容积为400m</w:t>
            </w:r>
            <w:r>
              <w:rPr>
                <w:rFonts w:hint="eastAsia"/>
                <w:sz w:val="24"/>
                <w:szCs w:val="24"/>
                <w:vertAlign w:val="superscript"/>
                <w:lang w:val="en-US" w:eastAsia="zh-CN"/>
              </w:rPr>
              <w:t>3</w:t>
            </w:r>
            <w:r>
              <w:rPr>
                <w:rFonts w:hint="eastAsia"/>
                <w:sz w:val="24"/>
                <w:szCs w:val="24"/>
                <w:lang w:val="en-US" w:eastAsia="zh-CN"/>
              </w:rPr>
              <w:t>的初期雨水池。根据第四章节初期雨水源强核算可知，本项目初期雨水产生量为350.9m</w:t>
            </w:r>
            <w:r>
              <w:rPr>
                <w:rFonts w:hint="eastAsia"/>
                <w:sz w:val="24"/>
                <w:szCs w:val="24"/>
                <w:vertAlign w:val="superscript"/>
                <w:lang w:val="en-US" w:eastAsia="zh-CN"/>
              </w:rPr>
              <w:t>3</w:t>
            </w:r>
            <w:r>
              <w:rPr>
                <w:rFonts w:hint="eastAsia"/>
                <w:sz w:val="24"/>
                <w:szCs w:val="24"/>
                <w:lang w:val="en-US" w:eastAsia="zh-CN"/>
              </w:rPr>
              <w:t>。</w:t>
            </w:r>
            <w:r>
              <w:rPr>
                <w:rFonts w:hint="eastAsia" w:ascii="宋体" w:hAnsi="宋体" w:eastAsia="宋体" w:cs="宋体"/>
                <w:color w:val="000000"/>
                <w:kern w:val="0"/>
                <w:sz w:val="24"/>
                <w:szCs w:val="24"/>
                <w:lang w:val="en-US" w:eastAsia="zh-CN" w:bidi="ar"/>
              </w:rPr>
              <w:t>根据《有色金属工业环境保护工程设计》（</w:t>
            </w:r>
            <w:r>
              <w:rPr>
                <w:rFonts w:hint="default" w:ascii="Times New Roman" w:hAnsi="Times New Roman" w:eastAsia="宋体" w:cs="Times New Roman"/>
                <w:color w:val="000000"/>
                <w:kern w:val="0"/>
                <w:sz w:val="24"/>
                <w:szCs w:val="24"/>
                <w:lang w:val="en-US" w:eastAsia="zh-CN" w:bidi="ar"/>
              </w:rPr>
              <w:t>GB50988-2014</w:t>
            </w:r>
            <w:r>
              <w:rPr>
                <w:rFonts w:hint="eastAsia" w:ascii="宋体" w:hAnsi="宋体" w:eastAsia="宋体" w:cs="宋体"/>
                <w:color w:val="000000"/>
                <w:kern w:val="0"/>
                <w:sz w:val="24"/>
                <w:szCs w:val="24"/>
                <w:lang w:val="en-US" w:eastAsia="zh-CN" w:bidi="ar"/>
              </w:rPr>
              <w:t>）的相关要求，收集的初期雨水应当在</w:t>
            </w: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日内全部利用。</w:t>
            </w:r>
          </w:p>
          <w:p w14:paraId="406DBF96">
            <w:pPr>
              <w:pStyle w:val="15"/>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eastAsia"/>
                <w:sz w:val="24"/>
                <w:szCs w:val="24"/>
                <w:lang w:val="en-US" w:eastAsia="zh-CN"/>
              </w:rPr>
              <w:t>排水</w:t>
            </w:r>
          </w:p>
          <w:p w14:paraId="0DDA13E4">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本项目废水为生活污水、洗车废水、地面冲洗废水等。本项目雨污分流，干雾抑尘用水经蒸发、原料和产品附着全部消耗，不会形成废水径流，无废水外排，初期雨水经初期雨水池沉淀后进入污水处理系统进一步处理，回用于车辆、地面冲洗等用水。</w:t>
            </w:r>
          </w:p>
          <w:p w14:paraId="34AC43C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①生活污水</w:t>
            </w:r>
          </w:p>
          <w:p w14:paraId="2904D3A8">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本项目生活用水产生量为2.8m</w:t>
            </w:r>
            <w:r>
              <w:rPr>
                <w:rFonts w:hint="eastAsia"/>
                <w:sz w:val="24"/>
                <w:szCs w:val="24"/>
                <w:vertAlign w:val="superscript"/>
                <w:lang w:val="en-US" w:eastAsia="zh-CN"/>
              </w:rPr>
              <w:t>3</w:t>
            </w:r>
            <w:r>
              <w:rPr>
                <w:rFonts w:hint="eastAsia"/>
                <w:sz w:val="24"/>
                <w:szCs w:val="24"/>
                <w:lang w:val="en-US" w:eastAsia="zh-CN"/>
              </w:rPr>
              <w:t>/d，924m</w:t>
            </w:r>
            <w:r>
              <w:rPr>
                <w:rFonts w:hint="eastAsia"/>
                <w:sz w:val="24"/>
                <w:szCs w:val="24"/>
                <w:vertAlign w:val="superscript"/>
                <w:lang w:val="en-US" w:eastAsia="zh-CN"/>
              </w:rPr>
              <w:t>3</w:t>
            </w:r>
            <w:r>
              <w:rPr>
                <w:rFonts w:hint="eastAsia"/>
                <w:sz w:val="24"/>
                <w:szCs w:val="24"/>
                <w:lang w:val="en-US" w:eastAsia="zh-CN"/>
              </w:rPr>
              <w:t>/a，排污系数按0.8计，则生活污水产生量为2.24m</w:t>
            </w:r>
            <w:r>
              <w:rPr>
                <w:rFonts w:hint="eastAsia"/>
                <w:sz w:val="24"/>
                <w:szCs w:val="24"/>
                <w:vertAlign w:val="superscript"/>
                <w:lang w:val="en-US" w:eastAsia="zh-CN"/>
              </w:rPr>
              <w:t>3</w:t>
            </w:r>
            <w:r>
              <w:rPr>
                <w:rFonts w:hint="eastAsia"/>
                <w:sz w:val="24"/>
                <w:szCs w:val="24"/>
                <w:lang w:val="en-US" w:eastAsia="zh-CN"/>
              </w:rPr>
              <w:t>/d，739.2m</w:t>
            </w:r>
            <w:r>
              <w:rPr>
                <w:rFonts w:hint="eastAsia"/>
                <w:sz w:val="24"/>
                <w:szCs w:val="24"/>
                <w:vertAlign w:val="superscript"/>
                <w:lang w:val="en-US" w:eastAsia="zh-CN"/>
              </w:rPr>
              <w:t>3</w:t>
            </w:r>
            <w:r>
              <w:rPr>
                <w:rFonts w:hint="eastAsia"/>
                <w:sz w:val="24"/>
                <w:szCs w:val="24"/>
                <w:lang w:val="en-US" w:eastAsia="zh-CN"/>
              </w:rPr>
              <w:t>/a。</w:t>
            </w:r>
          </w:p>
          <w:p w14:paraId="3A9A7E3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②洗车废水</w:t>
            </w:r>
          </w:p>
          <w:p w14:paraId="10363464">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本项目洗车用水量为6.7m</w:t>
            </w:r>
            <w:r>
              <w:rPr>
                <w:rFonts w:hint="eastAsia"/>
                <w:sz w:val="24"/>
                <w:szCs w:val="24"/>
                <w:vertAlign w:val="superscript"/>
                <w:lang w:val="en-US" w:eastAsia="zh-CN"/>
              </w:rPr>
              <w:t>3</w:t>
            </w:r>
            <w:r>
              <w:rPr>
                <w:rFonts w:hint="eastAsia"/>
                <w:sz w:val="24"/>
                <w:szCs w:val="24"/>
                <w:lang w:val="en-US" w:eastAsia="zh-CN"/>
              </w:rPr>
              <w:t>/d，2211m</w:t>
            </w:r>
            <w:r>
              <w:rPr>
                <w:rFonts w:hint="eastAsia"/>
                <w:sz w:val="24"/>
                <w:szCs w:val="24"/>
                <w:vertAlign w:val="superscript"/>
                <w:lang w:val="en-US" w:eastAsia="zh-CN"/>
              </w:rPr>
              <w:t>3</w:t>
            </w:r>
            <w:r>
              <w:rPr>
                <w:rFonts w:hint="eastAsia"/>
                <w:sz w:val="24"/>
                <w:szCs w:val="24"/>
                <w:lang w:val="en-US" w:eastAsia="zh-CN"/>
              </w:rPr>
              <w:t>/a，蒸发损耗量约为20%，则洗车废水产生量为5.36m</w:t>
            </w:r>
            <w:r>
              <w:rPr>
                <w:rFonts w:hint="eastAsia"/>
                <w:sz w:val="24"/>
                <w:szCs w:val="24"/>
                <w:vertAlign w:val="superscript"/>
                <w:lang w:val="en-US" w:eastAsia="zh-CN"/>
              </w:rPr>
              <w:t>3</w:t>
            </w:r>
            <w:r>
              <w:rPr>
                <w:rFonts w:hint="eastAsia"/>
                <w:sz w:val="24"/>
                <w:szCs w:val="24"/>
                <w:lang w:val="en-US" w:eastAsia="zh-CN"/>
              </w:rPr>
              <w:t>/d，1768.8m</w:t>
            </w:r>
            <w:r>
              <w:rPr>
                <w:rFonts w:hint="eastAsia"/>
                <w:sz w:val="24"/>
                <w:szCs w:val="24"/>
                <w:vertAlign w:val="superscript"/>
                <w:lang w:val="en-US" w:eastAsia="zh-CN"/>
              </w:rPr>
              <w:t>3</w:t>
            </w:r>
            <w:r>
              <w:rPr>
                <w:rFonts w:hint="eastAsia"/>
                <w:sz w:val="24"/>
                <w:szCs w:val="24"/>
                <w:lang w:val="en-US" w:eastAsia="zh-CN"/>
              </w:rPr>
              <w:t>/a，经沉淀池沉淀后循环利用，不外排。</w:t>
            </w:r>
          </w:p>
          <w:p w14:paraId="619BD76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③厂区地面冲洗废水</w:t>
            </w:r>
          </w:p>
          <w:p w14:paraId="1243B5B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本项目地面冲洗用水量为12m</w:t>
            </w:r>
            <w:r>
              <w:rPr>
                <w:rFonts w:hint="eastAsia"/>
                <w:sz w:val="24"/>
                <w:szCs w:val="24"/>
                <w:vertAlign w:val="superscript"/>
                <w:lang w:val="en-US" w:eastAsia="zh-CN"/>
              </w:rPr>
              <w:t>3</w:t>
            </w:r>
            <w:r>
              <w:rPr>
                <w:rFonts w:hint="eastAsia"/>
                <w:sz w:val="24"/>
                <w:szCs w:val="24"/>
                <w:lang w:val="en-US" w:eastAsia="zh-CN"/>
              </w:rPr>
              <w:t>/次，240m</w:t>
            </w:r>
            <w:r>
              <w:rPr>
                <w:rFonts w:hint="eastAsia"/>
                <w:sz w:val="24"/>
                <w:szCs w:val="24"/>
                <w:vertAlign w:val="superscript"/>
                <w:lang w:val="en-US" w:eastAsia="zh-CN"/>
              </w:rPr>
              <w:t>3</w:t>
            </w:r>
            <w:r>
              <w:rPr>
                <w:rFonts w:hint="eastAsia"/>
                <w:sz w:val="24"/>
                <w:szCs w:val="24"/>
                <w:lang w:val="en-US" w:eastAsia="zh-CN"/>
              </w:rPr>
              <w:t>/a，损耗量以10%计算，则地面冲洗废水产生量为10.8m</w:t>
            </w:r>
            <w:r>
              <w:rPr>
                <w:rFonts w:hint="eastAsia"/>
                <w:sz w:val="24"/>
                <w:szCs w:val="24"/>
                <w:vertAlign w:val="superscript"/>
                <w:lang w:val="en-US" w:eastAsia="zh-CN"/>
              </w:rPr>
              <w:t>3</w:t>
            </w:r>
            <w:r>
              <w:rPr>
                <w:rFonts w:hint="eastAsia"/>
                <w:sz w:val="24"/>
                <w:szCs w:val="24"/>
                <w:lang w:val="en-US" w:eastAsia="zh-CN"/>
              </w:rPr>
              <w:t>/次，518.4m</w:t>
            </w:r>
            <w:r>
              <w:rPr>
                <w:rFonts w:hint="eastAsia"/>
                <w:sz w:val="24"/>
                <w:szCs w:val="24"/>
                <w:vertAlign w:val="superscript"/>
                <w:lang w:val="en-US" w:eastAsia="zh-CN"/>
              </w:rPr>
              <w:t>3</w:t>
            </w:r>
            <w:r>
              <w:rPr>
                <w:rFonts w:hint="eastAsia"/>
                <w:sz w:val="24"/>
                <w:szCs w:val="24"/>
                <w:lang w:val="en-US" w:eastAsia="zh-CN"/>
              </w:rPr>
              <w:t>/a，经沉淀池沉淀后回用，不外排。</w:t>
            </w:r>
          </w:p>
          <w:p w14:paraId="0ACA3762">
            <w:pPr>
              <w:pStyle w:val="15"/>
              <w:ind w:left="0" w:leftChars="0" w:firstLine="0" w:firstLineChars="0"/>
              <w:jc w:val="center"/>
              <w:rPr>
                <w:rFonts w:hint="default"/>
                <w:lang w:val="en-US" w:eastAsia="zh-CN"/>
              </w:rPr>
            </w:pPr>
            <w:r>
              <w:rPr>
                <w:rFonts w:hint="default"/>
                <w:lang w:val="en-US" w:eastAsia="zh-CN"/>
              </w:rPr>
              <w:drawing>
                <wp:inline distT="0" distB="0" distL="114300" distR="114300">
                  <wp:extent cx="4671060" cy="3449955"/>
                  <wp:effectExtent l="0" t="0" r="0" b="0"/>
                  <wp:docPr id="1" name="ECB019B1-382A-4266-B25C-5B523AA43C14-1" descr="C:/Users/蒋文平/AppData/Local/Temp/wps.vcvOt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蒋文平/AppData/Local/Temp/wps.vcvOtNwps"/>
                          <pic:cNvPicPr>
                            <a:picLocks noChangeAspect="1"/>
                          </pic:cNvPicPr>
                        </pic:nvPicPr>
                        <pic:blipFill>
                          <a:blip r:embed="rId6"/>
                          <a:stretch>
                            <a:fillRect/>
                          </a:stretch>
                        </pic:blipFill>
                        <pic:spPr>
                          <a:xfrm>
                            <a:off x="0" y="0"/>
                            <a:ext cx="4671060" cy="3449955"/>
                          </a:xfrm>
                          <a:prstGeom prst="rect">
                            <a:avLst/>
                          </a:prstGeom>
                        </pic:spPr>
                      </pic:pic>
                    </a:graphicData>
                  </a:graphic>
                </wp:inline>
              </w:drawing>
            </w:r>
          </w:p>
          <w:p w14:paraId="3920C73E">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t>图2-1 项目水平衡图（非雨天）  单位：m</w:t>
            </w:r>
            <w:r>
              <w:rPr>
                <w:rFonts w:hint="eastAsia"/>
                <w:b/>
                <w:bCs/>
                <w:color w:val="auto"/>
                <w:sz w:val="24"/>
                <w:szCs w:val="24"/>
                <w:vertAlign w:val="superscript"/>
                <w:lang w:val="en-US" w:eastAsia="zh-CN"/>
              </w:rPr>
              <w:t>3</w:t>
            </w:r>
            <w:r>
              <w:rPr>
                <w:rFonts w:hint="eastAsia"/>
                <w:b/>
                <w:bCs/>
                <w:color w:val="auto"/>
                <w:sz w:val="24"/>
                <w:szCs w:val="24"/>
                <w:lang w:val="en-US" w:eastAsia="zh-CN"/>
              </w:rPr>
              <w:t>/d</w:t>
            </w:r>
          </w:p>
          <w:p w14:paraId="01F1806E">
            <w:pPr>
              <w:pStyle w:val="15"/>
              <w:ind w:left="0" w:leftChars="0" w:firstLine="0" w:firstLineChars="0"/>
              <w:jc w:val="cente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4521200" cy="3728085"/>
                  <wp:effectExtent l="0" t="0" r="0" b="0"/>
                  <wp:docPr id="4" name="ECB019B1-382A-4266-B25C-5B523AA43C14-2" descr="C:/Users/Administrator/AppData/Local/Temp/wps.vELaZ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Administrator/AppData/Local/Temp/wps.vELaZIwps"/>
                          <pic:cNvPicPr>
                            <a:picLocks noChangeAspect="1"/>
                          </pic:cNvPicPr>
                        </pic:nvPicPr>
                        <pic:blipFill>
                          <a:blip r:embed="rId7"/>
                          <a:stretch>
                            <a:fillRect/>
                          </a:stretch>
                        </pic:blipFill>
                        <pic:spPr>
                          <a:xfrm>
                            <a:off x="0" y="0"/>
                            <a:ext cx="4521200" cy="3728085"/>
                          </a:xfrm>
                          <a:prstGeom prst="rect">
                            <a:avLst/>
                          </a:prstGeom>
                        </pic:spPr>
                      </pic:pic>
                    </a:graphicData>
                  </a:graphic>
                </wp:inline>
              </w:drawing>
            </w:r>
          </w:p>
          <w:p w14:paraId="133D728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b/>
                <w:bCs/>
                <w:color w:val="auto"/>
                <w:sz w:val="24"/>
                <w:szCs w:val="24"/>
                <w:lang w:val="en-US" w:eastAsia="zh-CN"/>
              </w:rPr>
            </w:pPr>
            <w:r>
              <w:rPr>
                <w:rFonts w:hint="eastAsia"/>
                <w:b/>
                <w:bCs/>
                <w:color w:val="auto"/>
                <w:sz w:val="24"/>
                <w:szCs w:val="24"/>
                <w:lang w:val="en-US" w:eastAsia="zh-CN"/>
              </w:rPr>
              <w:t>图2-2 项目水平衡图（雨天）  单位：m</w:t>
            </w:r>
            <w:r>
              <w:rPr>
                <w:rFonts w:hint="eastAsia"/>
                <w:b/>
                <w:bCs/>
                <w:color w:val="auto"/>
                <w:sz w:val="24"/>
                <w:szCs w:val="24"/>
                <w:vertAlign w:val="superscript"/>
                <w:lang w:val="en-US" w:eastAsia="zh-CN"/>
              </w:rPr>
              <w:t>3</w:t>
            </w:r>
            <w:r>
              <w:rPr>
                <w:rFonts w:hint="eastAsia"/>
                <w:b/>
                <w:bCs/>
                <w:color w:val="auto"/>
                <w:sz w:val="24"/>
                <w:szCs w:val="24"/>
                <w:lang w:val="en-US" w:eastAsia="zh-CN"/>
              </w:rPr>
              <w:t>/d</w:t>
            </w:r>
          </w:p>
          <w:p w14:paraId="16C2A05D">
            <w:pPr>
              <w:pStyle w:val="1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供电</w:t>
            </w:r>
          </w:p>
          <w:p w14:paraId="7BB0D061">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本项目供电由市政电网提供。</w:t>
            </w:r>
          </w:p>
          <w:p w14:paraId="0D9E4A15">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储运工程</w:t>
            </w:r>
          </w:p>
          <w:p w14:paraId="493A511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（1）原料的储运</w:t>
            </w:r>
          </w:p>
          <w:p w14:paraId="76DE49F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cs="Times New Roman"/>
                <w:color w:val="auto"/>
                <w:sz w:val="24"/>
                <w:szCs w:val="24"/>
                <w:lang w:val="en-US" w:eastAsia="zh-CN"/>
              </w:rPr>
            </w:pPr>
            <w:r>
              <w:rPr>
                <w:rFonts w:hint="eastAsia" w:cs="Times New Roman"/>
                <w:color w:val="auto"/>
                <w:sz w:val="24"/>
                <w:szCs w:val="24"/>
                <w:lang w:val="en-US" w:eastAsia="zh-CN"/>
              </w:rPr>
              <w:t>原料分批次进入卸矿站，合格矿和高杂矿原料均采用集装箱卡车或封闭式自卸车运输，包装形式主要为集装箱散装、吨袋袋装、封闭式自卸车散装，经由地磅称重后进入卸矿站进行卸料。卸料后车辆先后经过洗车、洗轮作业，然后称重出厂。各批次原料矿及混成矿按批次分区域存放并做好标识，建立各批次原料矿进出仓库登记管理。</w:t>
            </w:r>
          </w:p>
          <w:p w14:paraId="6BCA8B70">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sz w:val="24"/>
                <w:szCs w:val="24"/>
                <w:lang w:val="en-US" w:eastAsia="zh-CN"/>
              </w:rPr>
              <w:t>）成品转运</w:t>
            </w:r>
          </w:p>
          <w:p w14:paraId="2D910ED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cs="Times New Roman"/>
                <w:color w:val="auto"/>
                <w:sz w:val="24"/>
                <w:szCs w:val="24"/>
                <w:lang w:val="en-US" w:eastAsia="zh-CN"/>
              </w:rPr>
            </w:pPr>
            <w:r>
              <w:rPr>
                <w:rFonts w:hint="eastAsia" w:cs="Times New Roman"/>
                <w:color w:val="auto"/>
                <w:sz w:val="24"/>
                <w:szCs w:val="24"/>
                <w:lang w:val="en-US" w:eastAsia="zh-CN"/>
              </w:rPr>
              <w:t>混矿后的铜精矿产品按批次分区域存放并做好标识、建立各批次混矿出入库登记。铜精矿产品出监管区前需向海关提出出库报关申请，由海关对精铜矿按批次进行取样检测，化验合格，该批次铜精矿产品得到出库批示后均采用封闭式自卸车或集装箱运输出库外售。包装形式主要为集装箱散装、集装箱袋装、封闭式自卸车散装。</w:t>
            </w:r>
          </w:p>
          <w:p w14:paraId="02C9F037">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lang w:val="en-US" w:eastAsia="zh-CN"/>
              </w:rPr>
            </w:pPr>
            <w:r>
              <w:rPr>
                <w:rFonts w:hint="eastAsia"/>
                <w:b/>
                <w:bCs/>
                <w:sz w:val="24"/>
                <w:szCs w:val="24"/>
                <w:lang w:val="en-US" w:eastAsia="zh-CN"/>
              </w:rPr>
              <w:t>劳动定员</w:t>
            </w:r>
          </w:p>
          <w:p w14:paraId="5C4EC48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本项目劳动定员为28人，均不在厂区食宿，年工作330d，每天3班制，每班工作8h，24h不间断生产。</w:t>
            </w:r>
          </w:p>
          <w:p w14:paraId="2E7ACDAD">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总平面布置</w:t>
            </w:r>
          </w:p>
          <w:p w14:paraId="7576745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卸矿站布置于地块西北侧，混矿库布置于卸矿站南侧，通过皮带衔接，原料由场地东侧东北角物流大门过磅后进入卸矿站卸料，后由皮带完成与混矿库间的内部运输，成品由卸矿站运出，经过地磅称量后由物流大门运出；危废暂存间、一般固废暂存间、消防泵站、污水处理系统及初期雨水池集中布置于卸矿站东侧；混矿调度中心布置于污水处理系统南侧，与人流</w:t>
            </w:r>
            <w:r>
              <w:rPr>
                <w:rFonts w:hint="eastAsia" w:cs="Times New Roman"/>
                <w:color w:val="auto"/>
                <w:sz w:val="24"/>
                <w:szCs w:val="24"/>
                <w:lang w:val="en-US" w:eastAsia="zh-CN"/>
              </w:rPr>
              <w:t>出入口</w:t>
            </w:r>
            <w:r>
              <w:rPr>
                <w:rFonts w:hint="eastAsia" w:ascii="Times New Roman" w:hAnsi="Times New Roman" w:eastAsia="宋体" w:cs="Times New Roman"/>
                <w:color w:val="auto"/>
                <w:sz w:val="24"/>
                <w:szCs w:val="24"/>
                <w:lang w:val="en-US" w:eastAsia="zh-CN"/>
              </w:rPr>
              <w:t>衔接；地磅房布置于北侧物流主路上。</w:t>
            </w:r>
          </w:p>
          <w:p w14:paraId="71F4CBA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lang w:val="en-US" w:eastAsia="zh-CN"/>
              </w:rPr>
            </w:pPr>
            <w:r>
              <w:rPr>
                <w:rFonts w:hint="eastAsia" w:ascii="Times New Roman" w:hAnsi="Times New Roman" w:eastAsia="宋体" w:cs="Times New Roman"/>
                <w:color w:val="auto"/>
                <w:sz w:val="24"/>
                <w:szCs w:val="24"/>
                <w:lang w:val="en-US" w:eastAsia="zh-CN"/>
              </w:rPr>
              <w:t>厂区共设计物流、人流两处出入口，均位于场地东侧，衔接东海路。</w:t>
            </w:r>
          </w:p>
        </w:tc>
      </w:tr>
      <w:tr w14:paraId="3C83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Align w:val="center"/>
          </w:tcPr>
          <w:p w14:paraId="40F66BF7">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vertAlign w:val="baseline"/>
                <w:lang w:val="en-US" w:eastAsia="zh-CN"/>
              </w:rPr>
            </w:pPr>
            <w:r>
              <w:rPr>
                <w:rFonts w:hint="eastAsia"/>
                <w:vertAlign w:val="baseline"/>
                <w:lang w:val="en-US" w:eastAsia="zh-CN"/>
              </w:rPr>
              <w:t>工艺流程和产排污环节</w:t>
            </w:r>
          </w:p>
        </w:tc>
        <w:tc>
          <w:tcPr>
            <w:tcW w:w="7921" w:type="dxa"/>
          </w:tcPr>
          <w:p w14:paraId="3FAE85DF">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b/>
                <w:bCs/>
                <w:sz w:val="24"/>
                <w:szCs w:val="24"/>
                <w:vertAlign w:val="baseline"/>
                <w:lang w:val="en-US" w:eastAsia="zh-CN"/>
              </w:rPr>
            </w:pPr>
            <w:r>
              <w:rPr>
                <w:rFonts w:hint="default" w:ascii="Times New Roman" w:hAnsi="Times New Roman" w:eastAsia="宋体" w:cs="Times New Roman"/>
                <w:b/>
                <w:bCs/>
                <w:kern w:val="2"/>
                <w:sz w:val="24"/>
                <w:szCs w:val="24"/>
                <w:vertAlign w:val="baseline"/>
                <w:lang w:val="en-US" w:eastAsia="zh-CN" w:bidi="ar-SA"/>
              </w:rPr>
              <w:t>1、</w:t>
            </w:r>
            <w:r>
              <w:rPr>
                <w:rFonts w:hint="eastAsia"/>
                <w:b/>
                <w:bCs/>
                <w:sz w:val="24"/>
                <w:szCs w:val="24"/>
                <w:vertAlign w:val="baseline"/>
                <w:lang w:val="en-US" w:eastAsia="zh-CN"/>
              </w:rPr>
              <w:t>生产工艺流程分析</w:t>
            </w:r>
          </w:p>
          <w:p w14:paraId="787BB8BF">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①施工期工艺流程及产污节点如下：</w:t>
            </w:r>
          </w:p>
          <w:p w14:paraId="2EE21D9B">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cs="Times New Roman"/>
                <w:sz w:val="24"/>
                <w:szCs w:val="24"/>
                <w:lang w:val="en-US" w:eastAsia="zh-CN"/>
              </w:rPr>
            </w:pPr>
            <w:r>
              <w:rPr>
                <w:rFonts w:hint="default" w:ascii="Times New Roman" w:cs="Times New Roman"/>
                <w:sz w:val="24"/>
                <w:szCs w:val="24"/>
                <w:lang w:val="en-US" w:eastAsia="zh-CN"/>
              </w:rPr>
              <w:drawing>
                <wp:inline distT="0" distB="0" distL="114300" distR="114300">
                  <wp:extent cx="4180840" cy="1814830"/>
                  <wp:effectExtent l="0" t="0" r="0" b="0"/>
                  <wp:docPr id="5" name="ECB019B1-382A-4266-B25C-5B523AA43C14-3" descr="C:/Users/Administrator/AppData/Local/Temp/wps.QJpkU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3" descr="C:/Users/Administrator/AppData/Local/Temp/wps.QJpkUrwps"/>
                          <pic:cNvPicPr>
                            <a:picLocks noChangeAspect="1"/>
                          </pic:cNvPicPr>
                        </pic:nvPicPr>
                        <pic:blipFill>
                          <a:blip r:embed="rId8"/>
                          <a:stretch>
                            <a:fillRect/>
                          </a:stretch>
                        </pic:blipFill>
                        <pic:spPr>
                          <a:xfrm>
                            <a:off x="0" y="0"/>
                            <a:ext cx="4180840" cy="1814830"/>
                          </a:xfrm>
                          <a:prstGeom prst="rect">
                            <a:avLst/>
                          </a:prstGeom>
                        </pic:spPr>
                      </pic:pic>
                    </a:graphicData>
                  </a:graphic>
                </wp:inline>
              </w:drawing>
            </w:r>
          </w:p>
          <w:p w14:paraId="1F5E5E48">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cs="Times New Roman"/>
                <w:b/>
                <w:bCs/>
                <w:sz w:val="24"/>
                <w:szCs w:val="24"/>
                <w:lang w:val="en-US" w:eastAsia="zh-CN"/>
              </w:rPr>
            </w:pPr>
            <w:r>
              <w:rPr>
                <w:rFonts w:hint="eastAsia" w:cs="Times New Roman"/>
                <w:b/>
                <w:bCs/>
                <w:sz w:val="24"/>
                <w:szCs w:val="24"/>
                <w:lang w:val="en-US" w:eastAsia="zh-CN"/>
              </w:rPr>
              <w:t>图2-3 施工期工艺流程及产污节点图</w:t>
            </w:r>
          </w:p>
          <w:p w14:paraId="291586A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default" w:cs="Times New Roman"/>
                <w:sz w:val="24"/>
                <w:szCs w:val="24"/>
                <w:lang w:val="en-US" w:eastAsia="zh-CN"/>
              </w:rPr>
              <w:t>施工期工艺流程简述：</w:t>
            </w:r>
          </w:p>
          <w:p w14:paraId="36AF91B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eastAsia"/>
                <w:sz w:val="24"/>
                <w:szCs w:val="24"/>
                <w:lang w:val="en-US" w:eastAsia="zh-CN"/>
              </w:rPr>
              <w:t>本项目施工期土地平整与厂房建设均由钦州北部湾港务投资有限公司负责，待厂房建设完成后，建设单位负责安装设备并进行设备调试。</w:t>
            </w:r>
          </w:p>
          <w:p w14:paraId="61E0C8B1">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default" w:cs="Times New Roman"/>
                <w:sz w:val="24"/>
                <w:szCs w:val="24"/>
                <w:lang w:val="en-US" w:eastAsia="zh-CN"/>
              </w:rPr>
              <w:t>设备安装：土建工程完成后进行设备安装，设备安装过程中会产生噪声以及废包装材料等一般工业固体废物。</w:t>
            </w:r>
          </w:p>
          <w:p w14:paraId="56470714">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cs="Times New Roman"/>
                <w:sz w:val="24"/>
                <w:szCs w:val="24"/>
                <w:lang w:val="en-US" w:eastAsia="zh-CN"/>
              </w:rPr>
            </w:pPr>
            <w:r>
              <w:rPr>
                <w:rFonts w:hint="eastAsia" w:cs="Times New Roman"/>
                <w:sz w:val="24"/>
                <w:szCs w:val="24"/>
                <w:lang w:val="en-US" w:eastAsia="zh-CN"/>
              </w:rPr>
              <w:t>②运营期工艺流程及产污节点如下：</w:t>
            </w:r>
          </w:p>
          <w:p w14:paraId="1120E34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imes New Roman"/>
                <w:sz w:val="24"/>
                <w:szCs w:val="24"/>
                <w:lang w:val="en-US" w:eastAsia="zh-CN"/>
              </w:rPr>
            </w:pPr>
            <w:r>
              <w:rPr>
                <w:rFonts w:hint="default" w:cs="Times New Roman"/>
                <w:sz w:val="24"/>
                <w:szCs w:val="24"/>
                <w:lang w:val="en-US" w:eastAsia="zh-CN"/>
              </w:rPr>
              <w:drawing>
                <wp:inline distT="0" distB="0" distL="114300" distR="114300">
                  <wp:extent cx="4030345" cy="5941695"/>
                  <wp:effectExtent l="0" t="0" r="0" b="0"/>
                  <wp:docPr id="2" name="ECB019B1-382A-4266-B25C-5B523AA43C14-4" descr="C:/Users/蒋文平/AppData/Local/Temp/wps.mISZc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4" descr="C:/Users/蒋文平/AppData/Local/Temp/wps.mISZclwps"/>
                          <pic:cNvPicPr>
                            <a:picLocks noChangeAspect="1"/>
                          </pic:cNvPicPr>
                        </pic:nvPicPr>
                        <pic:blipFill>
                          <a:blip r:embed="rId9"/>
                          <a:stretch>
                            <a:fillRect/>
                          </a:stretch>
                        </pic:blipFill>
                        <pic:spPr>
                          <a:xfrm>
                            <a:off x="0" y="0"/>
                            <a:ext cx="4030345" cy="5941695"/>
                          </a:xfrm>
                          <a:prstGeom prst="rect">
                            <a:avLst/>
                          </a:prstGeom>
                        </pic:spPr>
                      </pic:pic>
                    </a:graphicData>
                  </a:graphic>
                </wp:inline>
              </w:drawing>
            </w:r>
          </w:p>
          <w:p w14:paraId="7F5EB132">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cs="Times New Roman"/>
                <w:b/>
                <w:bCs/>
                <w:sz w:val="24"/>
                <w:szCs w:val="24"/>
                <w:lang w:val="en-US" w:eastAsia="zh-CN"/>
              </w:rPr>
            </w:pPr>
            <w:r>
              <w:rPr>
                <w:rFonts w:hint="eastAsia" w:cs="Times New Roman"/>
                <w:b/>
                <w:bCs/>
                <w:sz w:val="24"/>
                <w:szCs w:val="24"/>
                <w:lang w:val="en-US" w:eastAsia="zh-CN"/>
              </w:rPr>
              <w:t>图2-4 运营期工艺流程及产污节点图</w:t>
            </w:r>
          </w:p>
          <w:p w14:paraId="23171093">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cs="Times New Roman"/>
                <w:sz w:val="24"/>
                <w:szCs w:val="24"/>
                <w:lang w:val="en-US" w:eastAsia="zh-CN"/>
              </w:rPr>
            </w:pPr>
            <w:r>
              <w:rPr>
                <w:rFonts w:hint="eastAsia" w:cs="Times New Roman"/>
                <w:sz w:val="24"/>
                <w:szCs w:val="24"/>
                <w:lang w:val="en-US" w:eastAsia="zh-CN"/>
              </w:rPr>
              <w:t>运营期工艺流程简述：</w:t>
            </w:r>
          </w:p>
          <w:p w14:paraId="28DE1901">
            <w:pPr>
              <w:pStyle w:val="1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firstLine="480" w:firstLineChars="200"/>
              <w:jc w:val="both"/>
              <w:textAlignment w:val="auto"/>
              <w:rPr>
                <w:rFonts w:hint="eastAsia" w:cs="Times New Roman"/>
                <w:sz w:val="24"/>
                <w:szCs w:val="24"/>
                <w:lang w:val="en-US" w:eastAsia="zh-CN"/>
              </w:rPr>
            </w:pPr>
            <w:r>
              <w:rPr>
                <w:rFonts w:hint="eastAsia" w:cs="Times New Roman"/>
                <w:sz w:val="24"/>
                <w:szCs w:val="24"/>
                <w:lang w:val="en-US" w:eastAsia="zh-CN"/>
              </w:rPr>
              <w:t>原料矿A矿、B矿从国外运送至钦州港码头，经海关检测后通过集装箱散装、集装箱吨袋袋装或封闭式自卸车散装运输至项目厂区卸矿站，运输、卸矿过程中会产生运输扬尘、洗车废水。本项目在运输道路上定期洒水抑尘，运输车辆减速行驶，减少道路运输扬尘产生量，洗车废水经沉淀池沉淀后回用。</w:t>
            </w:r>
          </w:p>
          <w:p w14:paraId="3C255D55">
            <w:pPr>
              <w:pStyle w:val="1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eastAsia" w:cs="Times New Roman"/>
                <w:sz w:val="24"/>
                <w:szCs w:val="24"/>
                <w:lang w:val="en-US" w:eastAsia="zh-CN"/>
              </w:rPr>
              <w:t>原料矿A矿、B矿经胶带运输机、横向布料机运送至混料库原料仓内，输送过程全封闭，上料及落料过程中会产生少量的粉尘，本项目在上料、落料口设置干雾抑尘装置，定期进行洒水抑尘。</w:t>
            </w:r>
          </w:p>
          <w:p w14:paraId="722CCF76">
            <w:pPr>
              <w:pStyle w:val="1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eastAsia" w:cs="Times New Roman"/>
                <w:sz w:val="24"/>
                <w:szCs w:val="24"/>
                <w:lang w:val="en-US" w:eastAsia="zh-CN"/>
              </w:rPr>
              <w:t>原料矿A矿、B矿经胶带运输机、电子皮带秤输送至圆筒混料机根据1:3的配比进行混料。混料过程中会产生一定量的混料废气，经密闭吸尘罩收集+布袋除尘器处理后通过1根20m高排气筒（DA001）排放。</w:t>
            </w:r>
          </w:p>
          <w:p w14:paraId="5C48D333">
            <w:pPr>
              <w:pStyle w:val="1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eastAsia" w:cs="Times New Roman"/>
                <w:sz w:val="24"/>
                <w:szCs w:val="24"/>
                <w:lang w:val="en-US" w:eastAsia="zh-CN"/>
              </w:rPr>
              <w:t>混合后的标准铜精矿经胶带运输机和横向布料机输送至成品仓中。成品上料和落料过程中会产生少量的粉尘，本项目在上料口、落料口设置干雾抑尘装置，定期采取洒水抑尘措施。</w:t>
            </w:r>
          </w:p>
          <w:p w14:paraId="5DD9F1BA">
            <w:pPr>
              <w:pStyle w:val="1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firstLine="480" w:firstLineChars="200"/>
              <w:jc w:val="both"/>
              <w:textAlignment w:val="auto"/>
              <w:rPr>
                <w:rFonts w:hint="default" w:cs="Times New Roman"/>
                <w:sz w:val="24"/>
                <w:szCs w:val="24"/>
                <w:lang w:val="en-US" w:eastAsia="zh-CN"/>
              </w:rPr>
            </w:pPr>
            <w:r>
              <w:rPr>
                <w:rFonts w:hint="eastAsia" w:cs="Times New Roman"/>
                <w:sz w:val="24"/>
                <w:szCs w:val="24"/>
                <w:lang w:val="en-US" w:eastAsia="zh-CN"/>
              </w:rPr>
              <w:t>混合后的成品铜精矿经取样检测合格后，通过胶带运输机输送至卸矿站，通过集装箱自动装箱设备进行装车，外运。期间会产生上料及落料粉尘及洗车废水，本项目在上料口、落料口设置干雾抑尘装置，定期洒水抑尘；洗车废水经沉淀池沉淀后回用。</w:t>
            </w:r>
          </w:p>
          <w:p w14:paraId="0B8EAA8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default"/>
                <w:b/>
                <w:bCs/>
                <w:vertAlign w:val="baseline"/>
                <w:lang w:val="en-US" w:eastAsia="zh-CN"/>
              </w:rPr>
            </w:pPr>
            <w:r>
              <w:rPr>
                <w:rFonts w:hint="default" w:ascii="Times New Roman" w:hAnsi="Times New Roman" w:eastAsia="宋体" w:cs="Times New Roman"/>
                <w:b/>
                <w:bCs/>
                <w:kern w:val="2"/>
                <w:sz w:val="24"/>
                <w:szCs w:val="24"/>
                <w:vertAlign w:val="baseline"/>
                <w:lang w:val="en-US" w:eastAsia="zh-CN" w:bidi="ar-SA"/>
              </w:rPr>
              <w:t>2、</w:t>
            </w:r>
            <w:r>
              <w:rPr>
                <w:rFonts w:hint="eastAsia"/>
                <w:b/>
                <w:bCs/>
                <w:sz w:val="24"/>
                <w:szCs w:val="24"/>
                <w:vertAlign w:val="baseline"/>
                <w:lang w:val="en-US" w:eastAsia="zh-CN"/>
              </w:rPr>
              <w:t>项目生产过程中污染工序及污染因子</w:t>
            </w:r>
          </w:p>
          <w:p w14:paraId="26DC48F1">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表2-7 项目主要污染源产排污节点及治理措施一览表</w:t>
            </w:r>
          </w:p>
          <w:tbl>
            <w:tblPr>
              <w:tblStyle w:val="17"/>
              <w:tblW w:w="7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40"/>
              <w:gridCol w:w="2620"/>
              <w:gridCol w:w="2817"/>
            </w:tblGrid>
            <w:tr w14:paraId="1DB6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60" w:type="dxa"/>
                  <w:vAlign w:val="center"/>
                </w:tcPr>
                <w:p w14:paraId="3056A9B6">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污染源</w:t>
                  </w:r>
                </w:p>
              </w:tc>
              <w:tc>
                <w:tcPr>
                  <w:tcW w:w="1240" w:type="dxa"/>
                  <w:vAlign w:val="center"/>
                </w:tcPr>
                <w:p w14:paraId="56C63DBD">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产生工序</w:t>
                  </w:r>
                </w:p>
              </w:tc>
              <w:tc>
                <w:tcPr>
                  <w:tcW w:w="2620" w:type="dxa"/>
                  <w:vAlign w:val="center"/>
                </w:tcPr>
                <w:p w14:paraId="6D924F43">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污染因子</w:t>
                  </w:r>
                </w:p>
              </w:tc>
              <w:tc>
                <w:tcPr>
                  <w:tcW w:w="2817" w:type="dxa"/>
                  <w:vAlign w:val="center"/>
                </w:tcPr>
                <w:p w14:paraId="0DF6EA8F">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治理措施</w:t>
                  </w:r>
                </w:p>
              </w:tc>
            </w:tr>
            <w:tr w14:paraId="12B9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60" w:type="dxa"/>
                  <w:vMerge w:val="restart"/>
                  <w:vAlign w:val="center"/>
                </w:tcPr>
                <w:p w14:paraId="12A0014B">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废气</w:t>
                  </w:r>
                </w:p>
              </w:tc>
              <w:tc>
                <w:tcPr>
                  <w:tcW w:w="1240" w:type="dxa"/>
                  <w:vAlign w:val="center"/>
                </w:tcPr>
                <w:p w14:paraId="66279DE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堆存废气</w:t>
                  </w:r>
                </w:p>
              </w:tc>
              <w:tc>
                <w:tcPr>
                  <w:tcW w:w="2620" w:type="dxa"/>
                  <w:vAlign w:val="center"/>
                </w:tcPr>
                <w:p w14:paraId="1ECF4C4F">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2817" w:type="dxa"/>
                  <w:vAlign w:val="center"/>
                </w:tcPr>
                <w:p w14:paraId="2B4BDD1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洒水抑尘</w:t>
                  </w:r>
                </w:p>
              </w:tc>
            </w:tr>
            <w:tr w14:paraId="0FA1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6F96E90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4391141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卸矿扬尘</w:t>
                  </w:r>
                </w:p>
              </w:tc>
              <w:tc>
                <w:tcPr>
                  <w:tcW w:w="2620" w:type="dxa"/>
                  <w:vAlign w:val="center"/>
                </w:tcPr>
                <w:p w14:paraId="7B86D341">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2817" w:type="dxa"/>
                  <w:vAlign w:val="center"/>
                </w:tcPr>
                <w:p w14:paraId="4437B1F8">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洒水抑尘</w:t>
                  </w:r>
                </w:p>
              </w:tc>
            </w:tr>
            <w:tr w14:paraId="168B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0474821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47740A90">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配料混矿废气</w:t>
                  </w:r>
                </w:p>
              </w:tc>
              <w:tc>
                <w:tcPr>
                  <w:tcW w:w="2620" w:type="dxa"/>
                  <w:vAlign w:val="center"/>
                </w:tcPr>
                <w:p w14:paraId="6B81F944">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2817" w:type="dxa"/>
                  <w:vAlign w:val="center"/>
                </w:tcPr>
                <w:p w14:paraId="62A1AC12">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密闭吸尘罩+布袋除尘器+20m排气筒</w:t>
                  </w:r>
                </w:p>
              </w:tc>
            </w:tr>
            <w:tr w14:paraId="27C3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60" w:type="dxa"/>
                  <w:vMerge w:val="restart"/>
                  <w:vAlign w:val="center"/>
                </w:tcPr>
                <w:p w14:paraId="055E0969">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废水</w:t>
                  </w:r>
                </w:p>
              </w:tc>
              <w:tc>
                <w:tcPr>
                  <w:tcW w:w="1240" w:type="dxa"/>
                  <w:vAlign w:val="center"/>
                </w:tcPr>
                <w:p w14:paraId="4A02BCE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生活污水</w:t>
                  </w:r>
                </w:p>
              </w:tc>
              <w:tc>
                <w:tcPr>
                  <w:tcW w:w="2620" w:type="dxa"/>
                  <w:vAlign w:val="center"/>
                </w:tcPr>
                <w:p w14:paraId="33E9D736">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COD、BOD</w:t>
                  </w:r>
                  <w:r>
                    <w:rPr>
                      <w:rFonts w:hint="eastAsia"/>
                      <w:sz w:val="21"/>
                      <w:szCs w:val="21"/>
                      <w:vertAlign w:val="subscript"/>
                      <w:lang w:val="en-US" w:eastAsia="zh-CN"/>
                    </w:rPr>
                    <w:t>5</w:t>
                  </w:r>
                  <w:r>
                    <w:rPr>
                      <w:rFonts w:hint="eastAsia"/>
                      <w:sz w:val="21"/>
                      <w:szCs w:val="21"/>
                      <w:vertAlign w:val="baseline"/>
                      <w:lang w:val="en-US" w:eastAsia="zh-CN"/>
                    </w:rPr>
                    <w:t>、SS、NH</w:t>
                  </w:r>
                  <w:r>
                    <w:rPr>
                      <w:rFonts w:hint="eastAsia"/>
                      <w:sz w:val="21"/>
                      <w:szCs w:val="21"/>
                      <w:vertAlign w:val="subscript"/>
                      <w:lang w:val="en-US" w:eastAsia="zh-CN"/>
                    </w:rPr>
                    <w:t>3</w:t>
                  </w:r>
                  <w:r>
                    <w:rPr>
                      <w:rFonts w:hint="eastAsia"/>
                      <w:sz w:val="21"/>
                      <w:szCs w:val="21"/>
                      <w:vertAlign w:val="baseline"/>
                      <w:lang w:val="en-US" w:eastAsia="zh-CN"/>
                    </w:rPr>
                    <w:t>-N</w:t>
                  </w:r>
                </w:p>
              </w:tc>
              <w:tc>
                <w:tcPr>
                  <w:tcW w:w="2817" w:type="dxa"/>
                  <w:vAlign w:val="center"/>
                </w:tcPr>
                <w:p w14:paraId="408DE999">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经化粪池处理后经市政污水管网进入大榄坪污水处理厂进一步处理</w:t>
                  </w:r>
                </w:p>
              </w:tc>
            </w:tr>
            <w:tr w14:paraId="23CB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60" w:type="dxa"/>
                  <w:vMerge w:val="continue"/>
                  <w:vAlign w:val="center"/>
                </w:tcPr>
                <w:p w14:paraId="023CAA2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6B95572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洗车废水</w:t>
                  </w:r>
                </w:p>
              </w:tc>
              <w:tc>
                <w:tcPr>
                  <w:tcW w:w="2620" w:type="dxa"/>
                  <w:vAlign w:val="center"/>
                </w:tcPr>
                <w:p w14:paraId="5F7C101C">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SS</w:t>
                  </w:r>
                </w:p>
              </w:tc>
              <w:tc>
                <w:tcPr>
                  <w:tcW w:w="2817" w:type="dxa"/>
                  <w:vAlign w:val="center"/>
                </w:tcPr>
                <w:p w14:paraId="7D2DE262">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经沉淀池沉淀后循环利用</w:t>
                  </w:r>
                </w:p>
              </w:tc>
            </w:tr>
            <w:tr w14:paraId="65C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34C43EF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19DEF94F">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地面冲洗废水</w:t>
                  </w:r>
                </w:p>
              </w:tc>
              <w:tc>
                <w:tcPr>
                  <w:tcW w:w="2620" w:type="dxa"/>
                  <w:vAlign w:val="center"/>
                </w:tcPr>
                <w:p w14:paraId="7541F444">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SS</w:t>
                  </w:r>
                </w:p>
              </w:tc>
              <w:tc>
                <w:tcPr>
                  <w:tcW w:w="2817" w:type="dxa"/>
                  <w:vAlign w:val="center"/>
                </w:tcPr>
                <w:p w14:paraId="51DA20E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经沉淀池沉淀后循环利用</w:t>
                  </w:r>
                </w:p>
              </w:tc>
            </w:tr>
            <w:tr w14:paraId="53D3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Align w:val="center"/>
                </w:tcPr>
                <w:p w14:paraId="06C6D92D">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噪声</w:t>
                  </w:r>
                </w:p>
              </w:tc>
              <w:tc>
                <w:tcPr>
                  <w:tcW w:w="1240" w:type="dxa"/>
                  <w:vAlign w:val="center"/>
                </w:tcPr>
                <w:p w14:paraId="42F753B9">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设备运行噪声</w:t>
                  </w:r>
                </w:p>
              </w:tc>
              <w:tc>
                <w:tcPr>
                  <w:tcW w:w="2620" w:type="dxa"/>
                  <w:vAlign w:val="center"/>
                </w:tcPr>
                <w:p w14:paraId="24B6F083">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噪声</w:t>
                  </w:r>
                </w:p>
              </w:tc>
              <w:tc>
                <w:tcPr>
                  <w:tcW w:w="2817" w:type="dxa"/>
                  <w:vAlign w:val="center"/>
                </w:tcPr>
                <w:p w14:paraId="3647817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厂房隔声、基础减震等</w:t>
                  </w:r>
                </w:p>
              </w:tc>
            </w:tr>
            <w:tr w14:paraId="0573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restart"/>
                  <w:vAlign w:val="center"/>
                </w:tcPr>
                <w:p w14:paraId="74BB6B4A">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固体废物</w:t>
                  </w:r>
                </w:p>
              </w:tc>
              <w:tc>
                <w:tcPr>
                  <w:tcW w:w="1240" w:type="dxa"/>
                  <w:vAlign w:val="center"/>
                </w:tcPr>
                <w:p w14:paraId="1021DBF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生活垃圾</w:t>
                  </w:r>
                </w:p>
              </w:tc>
              <w:tc>
                <w:tcPr>
                  <w:tcW w:w="2620" w:type="dxa"/>
                  <w:vAlign w:val="center"/>
                </w:tcPr>
                <w:p w14:paraId="01A1E7E8">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生活垃圾</w:t>
                  </w:r>
                </w:p>
              </w:tc>
              <w:tc>
                <w:tcPr>
                  <w:tcW w:w="2817" w:type="dxa"/>
                  <w:vAlign w:val="center"/>
                </w:tcPr>
                <w:p w14:paraId="4E678DE0">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收集后交由环卫部门清运处理</w:t>
                  </w:r>
                </w:p>
              </w:tc>
            </w:tr>
            <w:tr w14:paraId="3236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0D111B72">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1B51217B">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除尘器收集粉尘</w:t>
                  </w:r>
                </w:p>
              </w:tc>
              <w:tc>
                <w:tcPr>
                  <w:tcW w:w="2620" w:type="dxa"/>
                  <w:vAlign w:val="center"/>
                </w:tcPr>
                <w:p w14:paraId="2459142E">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矿粉</w:t>
                  </w:r>
                </w:p>
              </w:tc>
              <w:tc>
                <w:tcPr>
                  <w:tcW w:w="2817" w:type="dxa"/>
                  <w:vAlign w:val="center"/>
                </w:tcPr>
                <w:p w14:paraId="1C211577">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暂存于一般工业固体废物暂存间，回用于生产</w:t>
                  </w:r>
                </w:p>
              </w:tc>
            </w:tr>
            <w:tr w14:paraId="326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2C6EB281">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7C992C30">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化粪池污泥</w:t>
                  </w:r>
                </w:p>
              </w:tc>
              <w:tc>
                <w:tcPr>
                  <w:tcW w:w="2620" w:type="dxa"/>
                  <w:vAlign w:val="center"/>
                </w:tcPr>
                <w:p w14:paraId="7BFBBC21">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污泥</w:t>
                  </w:r>
                </w:p>
              </w:tc>
              <w:tc>
                <w:tcPr>
                  <w:tcW w:w="2817" w:type="dxa"/>
                  <w:vAlign w:val="center"/>
                </w:tcPr>
                <w:p w14:paraId="1295B7E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委托有资质的单位定期清掏</w:t>
                  </w:r>
                </w:p>
              </w:tc>
            </w:tr>
            <w:tr w14:paraId="6C34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60" w:type="dxa"/>
                  <w:vMerge w:val="continue"/>
                  <w:vAlign w:val="center"/>
                </w:tcPr>
                <w:p w14:paraId="16EF458C">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644F3E69">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沉淀池沉渣</w:t>
                  </w:r>
                </w:p>
              </w:tc>
              <w:tc>
                <w:tcPr>
                  <w:tcW w:w="2620" w:type="dxa"/>
                  <w:vAlign w:val="center"/>
                </w:tcPr>
                <w:p w14:paraId="562D2251">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矿粉</w:t>
                  </w:r>
                </w:p>
              </w:tc>
              <w:tc>
                <w:tcPr>
                  <w:tcW w:w="2817" w:type="dxa"/>
                  <w:vAlign w:val="center"/>
                </w:tcPr>
                <w:p w14:paraId="6FB6A702">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收集后直接回用于生产</w:t>
                  </w:r>
                </w:p>
              </w:tc>
            </w:tr>
            <w:tr w14:paraId="6C1F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0" w:type="dxa"/>
                  <w:vMerge w:val="continue"/>
                  <w:vAlign w:val="center"/>
                </w:tcPr>
                <w:p w14:paraId="21C828D3">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3F86E6B8">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废机油、废润滑油、废油桶</w:t>
                  </w:r>
                </w:p>
              </w:tc>
              <w:tc>
                <w:tcPr>
                  <w:tcW w:w="2620" w:type="dxa"/>
                  <w:vAlign w:val="center"/>
                </w:tcPr>
                <w:p w14:paraId="2C772B1A">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废机油、废润滑油、废油桶</w:t>
                  </w:r>
                </w:p>
              </w:tc>
              <w:tc>
                <w:tcPr>
                  <w:tcW w:w="2817" w:type="dxa"/>
                  <w:vMerge w:val="restart"/>
                  <w:vAlign w:val="center"/>
                </w:tcPr>
                <w:p w14:paraId="34110464">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暂存于危险废物暂存间，委托有资质的单位处置</w:t>
                  </w:r>
                </w:p>
              </w:tc>
            </w:tr>
            <w:tr w14:paraId="551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0" w:type="dxa"/>
                  <w:vMerge w:val="continue"/>
                  <w:vAlign w:val="center"/>
                </w:tcPr>
                <w:p w14:paraId="39DF7615">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0D7F395D">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废吨袋</w:t>
                  </w:r>
                </w:p>
              </w:tc>
              <w:tc>
                <w:tcPr>
                  <w:tcW w:w="2620" w:type="dxa"/>
                  <w:vAlign w:val="center"/>
                </w:tcPr>
                <w:p w14:paraId="0F85F7AF">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废吨袋</w:t>
                  </w:r>
                </w:p>
              </w:tc>
              <w:tc>
                <w:tcPr>
                  <w:tcW w:w="2817" w:type="dxa"/>
                  <w:vMerge w:val="continue"/>
                  <w:vAlign w:val="center"/>
                </w:tcPr>
                <w:p w14:paraId="5CBB5AAD">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sz w:val="21"/>
                      <w:szCs w:val="21"/>
                      <w:vertAlign w:val="baseline"/>
                      <w:lang w:val="en-US" w:eastAsia="zh-CN"/>
                    </w:rPr>
                  </w:pPr>
                </w:p>
              </w:tc>
            </w:tr>
            <w:tr w14:paraId="17B2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60" w:type="dxa"/>
                  <w:vMerge w:val="continue"/>
                  <w:vAlign w:val="center"/>
                </w:tcPr>
                <w:p w14:paraId="6AC1E7A0">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c>
                <w:tcPr>
                  <w:tcW w:w="1240" w:type="dxa"/>
                  <w:vAlign w:val="center"/>
                </w:tcPr>
                <w:p w14:paraId="5921831F">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废布袋</w:t>
                  </w:r>
                </w:p>
              </w:tc>
              <w:tc>
                <w:tcPr>
                  <w:tcW w:w="2620" w:type="dxa"/>
                  <w:vAlign w:val="center"/>
                </w:tcPr>
                <w:p w14:paraId="12A3DD5D">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废布袋</w:t>
                  </w:r>
                </w:p>
              </w:tc>
              <w:tc>
                <w:tcPr>
                  <w:tcW w:w="2817" w:type="dxa"/>
                  <w:vMerge w:val="continue"/>
                  <w:vAlign w:val="center"/>
                </w:tcPr>
                <w:p w14:paraId="369E8D3E">
                  <w:pPr>
                    <w:pStyle w:val="14"/>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sz w:val="21"/>
                      <w:szCs w:val="21"/>
                      <w:vertAlign w:val="baseline"/>
                      <w:lang w:val="en-US" w:eastAsia="zh-CN"/>
                    </w:rPr>
                  </w:pPr>
                </w:p>
              </w:tc>
            </w:tr>
          </w:tbl>
          <w:p w14:paraId="7FA27352">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vertAlign w:val="baseline"/>
                <w:lang w:val="en-US" w:eastAsia="zh-CN"/>
              </w:rPr>
            </w:pPr>
          </w:p>
        </w:tc>
      </w:tr>
      <w:tr w14:paraId="41D2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4" w:hRule="atLeast"/>
        </w:trPr>
        <w:tc>
          <w:tcPr>
            <w:tcW w:w="638" w:type="dxa"/>
            <w:vAlign w:val="center"/>
          </w:tcPr>
          <w:p w14:paraId="7970AE3E">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vertAlign w:val="baseline"/>
                <w:lang w:val="en-US" w:eastAsia="zh-CN"/>
              </w:rPr>
            </w:pPr>
            <w:r>
              <w:rPr>
                <w:rFonts w:hint="eastAsia"/>
                <w:vertAlign w:val="baseline"/>
                <w:lang w:val="en-US" w:eastAsia="zh-CN"/>
              </w:rPr>
              <w:t>与项目有关的原有环境污染问题</w:t>
            </w:r>
          </w:p>
        </w:tc>
        <w:tc>
          <w:tcPr>
            <w:tcW w:w="7921" w:type="dxa"/>
          </w:tcPr>
          <w:p w14:paraId="63CF5948">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eastAsia"/>
                <w:sz w:val="24"/>
                <w:szCs w:val="24"/>
                <w:vertAlign w:val="baseline"/>
                <w:lang w:val="en-US" w:eastAsia="zh-CN"/>
              </w:rPr>
              <w:t>本项目为新建项目，租赁钦州港综合保税区二号路东面、七大街北面地块厂房。根据现场踏勘，目前该地块为空地，待钦州北部湾港务投资有限公司根据建设单位提供的相关资料建设好厂房后租赁给本项目建设单位使用，无原有污染源。</w:t>
            </w:r>
          </w:p>
        </w:tc>
      </w:tr>
    </w:tbl>
    <w:p w14:paraId="21BD5979">
      <w:pPr>
        <w:pStyle w:val="14"/>
        <w:numPr>
          <w:ilvl w:val="0"/>
          <w:numId w:val="0"/>
        </w:numPr>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3B55383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snapToGrid w:val="0"/>
          <w:sz w:val="30"/>
          <w:szCs w:val="30"/>
          <w:lang w:val="en-US" w:eastAsia="zh-CN"/>
        </w:rPr>
      </w:pPr>
      <w:bookmarkStart w:id="6" w:name="_Toc21106"/>
      <w:bookmarkStart w:id="7" w:name="_Toc23600"/>
      <w:r>
        <w:rPr>
          <w:rFonts w:hint="eastAsia" w:ascii="黑体" w:hAnsi="黑体" w:eastAsia="黑体"/>
          <w:snapToGrid w:val="0"/>
          <w:sz w:val="30"/>
          <w:szCs w:val="30"/>
          <w:lang w:val="en-US" w:eastAsia="zh-CN"/>
        </w:rPr>
        <w:t>三、区域环境质量现状、环境保护目标及评价标准</w:t>
      </w:r>
      <w:bookmarkEnd w:id="6"/>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067"/>
      </w:tblGrid>
      <w:tr w14:paraId="10D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126B813">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区域环境质量现状</w:t>
            </w:r>
          </w:p>
        </w:tc>
        <w:tc>
          <w:tcPr>
            <w:tcW w:w="7907" w:type="dxa"/>
          </w:tcPr>
          <w:p w14:paraId="2F618C9E">
            <w:pPr>
              <w:pStyle w:val="1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firstLine="482" w:firstLineChars="200"/>
              <w:textAlignment w:val="auto"/>
              <w:rPr>
                <w:rFonts w:hint="eastAsia"/>
                <w:b/>
                <w:bCs/>
                <w:sz w:val="24"/>
                <w:szCs w:val="24"/>
                <w:vertAlign w:val="baseline"/>
                <w:lang w:val="en-US" w:eastAsia="zh-CN"/>
              </w:rPr>
            </w:pPr>
            <w:r>
              <w:rPr>
                <w:rFonts w:hint="eastAsia"/>
                <w:b/>
                <w:bCs/>
                <w:sz w:val="24"/>
                <w:szCs w:val="24"/>
                <w:vertAlign w:val="baseline"/>
                <w:lang w:val="en-US" w:eastAsia="zh-CN"/>
              </w:rPr>
              <w:t>环境空气质量现状</w:t>
            </w:r>
          </w:p>
          <w:p w14:paraId="27FE2D73">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项目所在区域环境空气执行《环境空气质量标准》（GB3095-2026）二级标准。</w:t>
            </w:r>
          </w:p>
          <w:p w14:paraId="4965BC26">
            <w:pPr>
              <w:pStyle w:val="14"/>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区域达标现状</w:t>
            </w:r>
          </w:p>
          <w:p w14:paraId="63CBF5F2">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根据广西壮族自治区生态环境厅发布的《自治区生态环境厅关于通报2025年设区城市及各县（市、区）环境空气质量的函》（桂环函</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2026</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110号），2025年钦州市六项基本污染物均符合《环境空气质量标准》（GB3095-2026）的二级标准限值（见表3-1），因此，项目所在区域属于达标区。</w:t>
            </w:r>
          </w:p>
          <w:p w14:paraId="227653B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表3-1 区域环境空气质量现状评价表</w:t>
            </w:r>
          </w:p>
          <w:tbl>
            <w:tblPr>
              <w:tblStyle w:val="16"/>
              <w:tblW w:w="7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798"/>
              <w:gridCol w:w="1264"/>
              <w:gridCol w:w="1163"/>
              <w:gridCol w:w="1057"/>
              <w:gridCol w:w="1107"/>
            </w:tblGrid>
            <w:tr w14:paraId="3872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1" w:type="dxa"/>
                  <w:vMerge w:val="restart"/>
                  <w:tcBorders>
                    <w:top w:val="single" w:color="auto" w:sz="4" w:space="0"/>
                    <w:left w:val="single" w:color="auto" w:sz="4" w:space="0"/>
                    <w:bottom w:val="single" w:color="auto" w:sz="4" w:space="0"/>
                    <w:right w:val="single" w:color="auto" w:sz="4" w:space="0"/>
                  </w:tcBorders>
                  <w:vAlign w:val="center"/>
                </w:tcPr>
                <w:p w14:paraId="336547AD">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污染物</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14:paraId="038CB671">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年评价指标</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69B9D057">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平均浓度</w:t>
                  </w:r>
                </w:p>
                <w:p w14:paraId="1CF7EFB0">
                  <w:pPr>
                    <w:pStyle w:val="14"/>
                    <w:spacing w:after="0"/>
                    <w:ind w:firstLine="210"/>
                    <w:rPr>
                      <w:b/>
                      <w:bCs/>
                    </w:rPr>
                  </w:pPr>
                  <w:r>
                    <w:rPr>
                      <w:rFonts w:hint="eastAsia" w:cs="Times New Roman"/>
                      <w:b/>
                      <w:bCs/>
                      <w:lang w:eastAsia="zh-CN"/>
                    </w:rPr>
                    <w:t>(</w:t>
                  </w:r>
                  <w:r>
                    <w:rPr>
                      <w:rFonts w:ascii="Times New Roman" w:hAnsi="Times New Roman" w:cs="Times New Roman"/>
                      <w:b/>
                      <w:bCs/>
                    </w:rPr>
                    <w:t>μg/m</w:t>
                  </w:r>
                  <w:r>
                    <w:rPr>
                      <w:rFonts w:ascii="Times New Roman" w:hAnsi="Times New Roman" w:cs="Times New Roman"/>
                      <w:b/>
                      <w:bCs/>
                      <w:vertAlign w:val="superscript"/>
                    </w:rPr>
                    <w:t>3</w:t>
                  </w:r>
                  <w:r>
                    <w:rPr>
                      <w:rFonts w:hint="eastAsia" w:cs="Times New Roman"/>
                      <w:b/>
                      <w:bCs/>
                      <w:vertAlign w:val="baseline"/>
                      <w:lang w:eastAsia="zh-CN"/>
                    </w:rPr>
                    <w:t>)</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A1570ED">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标准限</w:t>
                  </w:r>
                  <w:r>
                    <w:rPr>
                      <w:rFonts w:hint="eastAsia" w:ascii="Times New Roman" w:hAnsi="Times New Roman" w:cs="Times New Roman"/>
                      <w:b/>
                      <w:bCs/>
                      <w:sz w:val="21"/>
                      <w:szCs w:val="21"/>
                    </w:rPr>
                    <w:t>值（</w:t>
                  </w:r>
                  <w:r>
                    <w:rPr>
                      <w:rFonts w:ascii="Times New Roman" w:hAnsi="Times New Roman" w:cs="Times New Roman"/>
                      <w:b/>
                      <w:bCs/>
                      <w:sz w:val="21"/>
                      <w:szCs w:val="21"/>
                    </w:rPr>
                    <w:t>μg/m</w:t>
                  </w:r>
                  <w:r>
                    <w:rPr>
                      <w:rFonts w:ascii="Times New Roman" w:hAnsi="Times New Roman" w:cs="Times New Roman"/>
                      <w:b/>
                      <w:bCs/>
                      <w:sz w:val="21"/>
                      <w:szCs w:val="21"/>
                      <w:vertAlign w:val="superscript"/>
                    </w:rPr>
                    <w:t>3</w:t>
                  </w:r>
                  <w:r>
                    <w:rPr>
                      <w:rFonts w:hint="eastAsia" w:ascii="Times New Roman" w:hAnsi="Times New Roman" w:cs="Times New Roman"/>
                      <w:b/>
                      <w:bCs/>
                      <w:sz w:val="21"/>
                      <w:szCs w:val="21"/>
                    </w:rPr>
                    <w:t>）</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531EEF08">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占标率％</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16B5C9AF">
                  <w:pPr>
                    <w:autoSpaceDE w:val="0"/>
                    <w:autoSpaceDN w:val="0"/>
                    <w:jc w:val="center"/>
                    <w:rPr>
                      <w:rFonts w:ascii="Times New Roman" w:hAnsi="Times New Roman" w:cs="Times New Roman"/>
                      <w:b/>
                      <w:bCs/>
                      <w:sz w:val="21"/>
                      <w:szCs w:val="21"/>
                    </w:rPr>
                  </w:pPr>
                  <w:r>
                    <w:rPr>
                      <w:rFonts w:ascii="Times New Roman" w:hAnsi="Times New Roman" w:cs="Times New Roman"/>
                      <w:b/>
                      <w:bCs/>
                      <w:sz w:val="21"/>
                      <w:szCs w:val="21"/>
                    </w:rPr>
                    <w:t>达标情况</w:t>
                  </w:r>
                </w:p>
              </w:tc>
            </w:tr>
            <w:tr w14:paraId="47C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03BF52D9">
                  <w:pPr>
                    <w:jc w:val="center"/>
                    <w:rPr>
                      <w:rFonts w:ascii="Times New Roman" w:hAnsi="Times New Roman" w:cs="Times New Roman"/>
                      <w:b/>
                      <w:bCs/>
                      <w:sz w:val="21"/>
                      <w:szCs w:val="21"/>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14:paraId="2948CE08">
                  <w:pPr>
                    <w:jc w:val="center"/>
                    <w:rPr>
                      <w:rFonts w:ascii="Times New Roman" w:hAnsi="Times New Roman" w:cs="Times New Roman"/>
                      <w:b/>
                      <w:bCs/>
                      <w:sz w:val="21"/>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78C65E3">
                  <w:pPr>
                    <w:jc w:val="center"/>
                    <w:rPr>
                      <w:rFonts w:ascii="Times New Roman" w:hAnsi="Times New Roman" w:cs="Times New Roman"/>
                      <w:b/>
                      <w:bCs/>
                      <w:sz w:val="21"/>
                      <w:szCs w:val="21"/>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16D99DD">
                  <w:pPr>
                    <w:jc w:val="center"/>
                    <w:rPr>
                      <w:rFonts w:ascii="Times New Roman" w:hAnsi="Times New Roman" w:cs="Times New Roman"/>
                      <w:b/>
                      <w:bCs/>
                      <w:sz w:val="21"/>
                      <w:szCs w:val="21"/>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6FC4D453">
                  <w:pPr>
                    <w:jc w:val="center"/>
                    <w:rPr>
                      <w:rFonts w:ascii="Times New Roman" w:hAnsi="Times New Roman" w:cs="Times New Roman"/>
                      <w:b/>
                      <w:bCs/>
                      <w:sz w:val="21"/>
                      <w:szCs w:val="21"/>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785F274E">
                  <w:pPr>
                    <w:jc w:val="center"/>
                    <w:rPr>
                      <w:rFonts w:ascii="Times New Roman" w:hAnsi="Times New Roman" w:cs="Times New Roman"/>
                      <w:b/>
                      <w:bCs/>
                      <w:sz w:val="21"/>
                      <w:szCs w:val="21"/>
                    </w:rPr>
                  </w:pPr>
                </w:p>
              </w:tc>
            </w:tr>
            <w:tr w14:paraId="4014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5AAFDDBD">
                  <w:pPr>
                    <w:autoSpaceDE w:val="0"/>
                    <w:autoSpaceDN w:val="0"/>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825" w:type="dxa"/>
                  <w:tcBorders>
                    <w:top w:val="single" w:color="auto" w:sz="4" w:space="0"/>
                    <w:left w:val="single" w:color="auto" w:sz="4" w:space="0"/>
                    <w:bottom w:val="single" w:color="auto" w:sz="4" w:space="0"/>
                    <w:right w:val="single" w:color="auto" w:sz="4" w:space="0"/>
                  </w:tcBorders>
                  <w:vAlign w:val="center"/>
                </w:tcPr>
                <w:p w14:paraId="63D8C1B3">
                  <w:pPr>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年平均质量浓度</w:t>
                  </w:r>
                </w:p>
              </w:tc>
              <w:tc>
                <w:tcPr>
                  <w:tcW w:w="1267" w:type="dxa"/>
                  <w:tcBorders>
                    <w:top w:val="single" w:color="auto" w:sz="4" w:space="0"/>
                    <w:left w:val="single" w:color="auto" w:sz="4" w:space="0"/>
                    <w:bottom w:val="single" w:color="auto" w:sz="4" w:space="0"/>
                    <w:right w:val="single" w:color="auto" w:sz="4" w:space="0"/>
                  </w:tcBorders>
                  <w:vAlign w:val="center"/>
                </w:tcPr>
                <w:p w14:paraId="7055FF70">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w:t>
                  </w:r>
                </w:p>
              </w:tc>
              <w:tc>
                <w:tcPr>
                  <w:tcW w:w="1096" w:type="dxa"/>
                  <w:tcBorders>
                    <w:top w:val="single" w:color="auto" w:sz="4" w:space="0"/>
                    <w:left w:val="single" w:color="auto" w:sz="4" w:space="0"/>
                    <w:bottom w:val="single" w:color="auto" w:sz="4" w:space="0"/>
                    <w:right w:val="single" w:color="auto" w:sz="4" w:space="0"/>
                  </w:tcBorders>
                  <w:vAlign w:val="center"/>
                </w:tcPr>
                <w:p w14:paraId="3FD469F9">
                  <w:pPr>
                    <w:spacing w:line="32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60</w:t>
                  </w:r>
                </w:p>
              </w:tc>
              <w:tc>
                <w:tcPr>
                  <w:tcW w:w="1069" w:type="dxa"/>
                  <w:tcBorders>
                    <w:top w:val="single" w:color="auto" w:sz="4" w:space="0"/>
                    <w:left w:val="single" w:color="auto" w:sz="4" w:space="0"/>
                    <w:bottom w:val="single" w:color="auto" w:sz="4" w:space="0"/>
                    <w:right w:val="single" w:color="auto" w:sz="4" w:space="0"/>
                  </w:tcBorders>
                  <w:vAlign w:val="center"/>
                </w:tcPr>
                <w:p w14:paraId="7A48D3B4">
                  <w:pPr>
                    <w:autoSpaceDE w:val="0"/>
                    <w:autoSpaceDN w:val="0"/>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120" w:type="dxa"/>
                  <w:tcBorders>
                    <w:top w:val="single" w:color="auto" w:sz="4" w:space="0"/>
                    <w:left w:val="single" w:color="auto" w:sz="4" w:space="0"/>
                    <w:bottom w:val="single" w:color="auto" w:sz="4" w:space="0"/>
                    <w:right w:val="single" w:color="auto" w:sz="4" w:space="0"/>
                  </w:tcBorders>
                  <w:vAlign w:val="center"/>
                </w:tcPr>
                <w:p w14:paraId="6619D20D">
                  <w:pPr>
                    <w:autoSpaceDE w:val="0"/>
                    <w:autoSpaceDN w:val="0"/>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r w14:paraId="620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2F67A16F">
                  <w:pPr>
                    <w:autoSpaceDE w:val="0"/>
                    <w:autoSpaceDN w:val="0"/>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825" w:type="dxa"/>
                  <w:tcBorders>
                    <w:top w:val="single" w:color="auto" w:sz="4" w:space="0"/>
                    <w:left w:val="single" w:color="auto" w:sz="4" w:space="0"/>
                    <w:bottom w:val="single" w:color="auto" w:sz="4" w:space="0"/>
                    <w:right w:val="single" w:color="auto" w:sz="4" w:space="0"/>
                  </w:tcBorders>
                  <w:vAlign w:val="center"/>
                </w:tcPr>
                <w:p w14:paraId="585B6061">
                  <w:pPr>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年平均质量浓度</w:t>
                  </w:r>
                </w:p>
              </w:tc>
              <w:tc>
                <w:tcPr>
                  <w:tcW w:w="1267" w:type="dxa"/>
                  <w:tcBorders>
                    <w:top w:val="single" w:color="auto" w:sz="4" w:space="0"/>
                    <w:left w:val="single" w:color="auto" w:sz="4" w:space="0"/>
                    <w:bottom w:val="single" w:color="auto" w:sz="4" w:space="0"/>
                    <w:right w:val="single" w:color="auto" w:sz="4" w:space="0"/>
                  </w:tcBorders>
                  <w:vAlign w:val="center"/>
                </w:tcPr>
                <w:p w14:paraId="61F4488E">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19</w:t>
                  </w:r>
                </w:p>
              </w:tc>
              <w:tc>
                <w:tcPr>
                  <w:tcW w:w="1096" w:type="dxa"/>
                  <w:tcBorders>
                    <w:top w:val="single" w:color="auto" w:sz="4" w:space="0"/>
                    <w:left w:val="single" w:color="auto" w:sz="4" w:space="0"/>
                    <w:bottom w:val="single" w:color="auto" w:sz="4" w:space="0"/>
                    <w:right w:val="single" w:color="auto" w:sz="4" w:space="0"/>
                  </w:tcBorders>
                  <w:vAlign w:val="center"/>
                </w:tcPr>
                <w:p w14:paraId="2CA40E9D">
                  <w:pPr>
                    <w:spacing w:line="32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w:t>
                  </w:r>
                </w:p>
              </w:tc>
              <w:tc>
                <w:tcPr>
                  <w:tcW w:w="1069" w:type="dxa"/>
                  <w:tcBorders>
                    <w:top w:val="single" w:color="auto" w:sz="4" w:space="0"/>
                    <w:left w:val="single" w:color="auto" w:sz="4" w:space="0"/>
                    <w:bottom w:val="single" w:color="auto" w:sz="4" w:space="0"/>
                    <w:right w:val="single" w:color="auto" w:sz="4" w:space="0"/>
                  </w:tcBorders>
                  <w:vAlign w:val="center"/>
                </w:tcPr>
                <w:p w14:paraId="402E4CA8">
                  <w:pPr>
                    <w:autoSpaceDE w:val="0"/>
                    <w:autoSpaceDN w:val="0"/>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47.5</w:t>
                  </w:r>
                </w:p>
              </w:tc>
              <w:tc>
                <w:tcPr>
                  <w:tcW w:w="1120" w:type="dxa"/>
                  <w:tcBorders>
                    <w:top w:val="single" w:color="auto" w:sz="4" w:space="0"/>
                    <w:left w:val="single" w:color="auto" w:sz="4" w:space="0"/>
                    <w:bottom w:val="single" w:color="auto" w:sz="4" w:space="0"/>
                    <w:right w:val="single" w:color="auto" w:sz="4" w:space="0"/>
                  </w:tcBorders>
                  <w:vAlign w:val="center"/>
                </w:tcPr>
                <w:p w14:paraId="6140B42D">
                  <w:pPr>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r w14:paraId="006C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2AB2B2B7">
                  <w:pPr>
                    <w:autoSpaceDE w:val="0"/>
                    <w:autoSpaceDN w:val="0"/>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2.5</w:t>
                  </w:r>
                </w:p>
              </w:tc>
              <w:tc>
                <w:tcPr>
                  <w:tcW w:w="1825" w:type="dxa"/>
                  <w:tcBorders>
                    <w:top w:val="single" w:color="auto" w:sz="4" w:space="0"/>
                    <w:left w:val="single" w:color="auto" w:sz="4" w:space="0"/>
                    <w:bottom w:val="single" w:color="auto" w:sz="4" w:space="0"/>
                    <w:right w:val="single" w:color="auto" w:sz="4" w:space="0"/>
                  </w:tcBorders>
                  <w:vAlign w:val="center"/>
                </w:tcPr>
                <w:p w14:paraId="122D3B36">
                  <w:pPr>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年平均质量浓度</w:t>
                  </w:r>
                </w:p>
              </w:tc>
              <w:tc>
                <w:tcPr>
                  <w:tcW w:w="1267" w:type="dxa"/>
                  <w:tcBorders>
                    <w:top w:val="single" w:color="auto" w:sz="4" w:space="0"/>
                    <w:left w:val="single" w:color="auto" w:sz="4" w:space="0"/>
                    <w:bottom w:val="single" w:color="auto" w:sz="4" w:space="0"/>
                    <w:right w:val="single" w:color="auto" w:sz="4" w:space="0"/>
                  </w:tcBorders>
                  <w:vAlign w:val="center"/>
                </w:tcPr>
                <w:p w14:paraId="14417E5A">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24.9</w:t>
                  </w:r>
                </w:p>
              </w:tc>
              <w:tc>
                <w:tcPr>
                  <w:tcW w:w="1096" w:type="dxa"/>
                  <w:tcBorders>
                    <w:top w:val="single" w:color="auto" w:sz="4" w:space="0"/>
                    <w:left w:val="single" w:color="auto" w:sz="4" w:space="0"/>
                    <w:bottom w:val="single" w:color="auto" w:sz="4" w:space="0"/>
                    <w:right w:val="single" w:color="auto" w:sz="4" w:space="0"/>
                  </w:tcBorders>
                  <w:vAlign w:val="center"/>
                </w:tcPr>
                <w:p w14:paraId="5C244C42">
                  <w:pPr>
                    <w:spacing w:line="32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w:t>
                  </w:r>
                </w:p>
              </w:tc>
              <w:tc>
                <w:tcPr>
                  <w:tcW w:w="1069" w:type="dxa"/>
                  <w:tcBorders>
                    <w:top w:val="single" w:color="auto" w:sz="4" w:space="0"/>
                    <w:left w:val="single" w:color="auto" w:sz="4" w:space="0"/>
                    <w:bottom w:val="single" w:color="auto" w:sz="4" w:space="0"/>
                    <w:right w:val="single" w:color="auto" w:sz="4" w:space="0"/>
                  </w:tcBorders>
                  <w:vAlign w:val="center"/>
                </w:tcPr>
                <w:p w14:paraId="5F4E0B8A">
                  <w:pPr>
                    <w:autoSpaceDE w:val="0"/>
                    <w:autoSpaceDN w:val="0"/>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71.1</w:t>
                  </w:r>
                </w:p>
              </w:tc>
              <w:tc>
                <w:tcPr>
                  <w:tcW w:w="1120" w:type="dxa"/>
                  <w:tcBorders>
                    <w:top w:val="single" w:color="auto" w:sz="4" w:space="0"/>
                    <w:left w:val="single" w:color="auto" w:sz="4" w:space="0"/>
                    <w:bottom w:val="single" w:color="auto" w:sz="4" w:space="0"/>
                    <w:right w:val="single" w:color="auto" w:sz="4" w:space="0"/>
                  </w:tcBorders>
                  <w:vAlign w:val="center"/>
                </w:tcPr>
                <w:p w14:paraId="09CB649D">
                  <w:pPr>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r w14:paraId="4B9C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7EF7E279">
                  <w:pPr>
                    <w:autoSpaceDE w:val="0"/>
                    <w:autoSpaceDN w:val="0"/>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825" w:type="dxa"/>
                  <w:tcBorders>
                    <w:top w:val="single" w:color="auto" w:sz="4" w:space="0"/>
                    <w:left w:val="single" w:color="auto" w:sz="4" w:space="0"/>
                    <w:bottom w:val="single" w:color="auto" w:sz="4" w:space="0"/>
                    <w:right w:val="single" w:color="auto" w:sz="4" w:space="0"/>
                  </w:tcBorders>
                  <w:vAlign w:val="center"/>
                </w:tcPr>
                <w:p w14:paraId="64D6385A">
                  <w:pPr>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年平均质量浓度</w:t>
                  </w:r>
                </w:p>
              </w:tc>
              <w:tc>
                <w:tcPr>
                  <w:tcW w:w="1267" w:type="dxa"/>
                  <w:tcBorders>
                    <w:top w:val="single" w:color="auto" w:sz="4" w:space="0"/>
                    <w:left w:val="single" w:color="auto" w:sz="4" w:space="0"/>
                    <w:bottom w:val="single" w:color="auto" w:sz="4" w:space="0"/>
                    <w:right w:val="single" w:color="auto" w:sz="4" w:space="0"/>
                  </w:tcBorders>
                  <w:vAlign w:val="center"/>
                </w:tcPr>
                <w:p w14:paraId="211731CB">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47</w:t>
                  </w:r>
                </w:p>
              </w:tc>
              <w:tc>
                <w:tcPr>
                  <w:tcW w:w="1096" w:type="dxa"/>
                  <w:tcBorders>
                    <w:top w:val="single" w:color="auto" w:sz="4" w:space="0"/>
                    <w:left w:val="single" w:color="auto" w:sz="4" w:space="0"/>
                    <w:bottom w:val="single" w:color="auto" w:sz="4" w:space="0"/>
                    <w:right w:val="single" w:color="auto" w:sz="4" w:space="0"/>
                  </w:tcBorders>
                  <w:vAlign w:val="center"/>
                </w:tcPr>
                <w:p w14:paraId="61B85F48">
                  <w:pPr>
                    <w:spacing w:line="32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70</w:t>
                  </w:r>
                </w:p>
              </w:tc>
              <w:tc>
                <w:tcPr>
                  <w:tcW w:w="1069" w:type="dxa"/>
                  <w:tcBorders>
                    <w:top w:val="single" w:color="auto" w:sz="4" w:space="0"/>
                    <w:left w:val="single" w:color="auto" w:sz="4" w:space="0"/>
                    <w:bottom w:val="single" w:color="auto" w:sz="4" w:space="0"/>
                    <w:right w:val="single" w:color="auto" w:sz="4" w:space="0"/>
                  </w:tcBorders>
                  <w:vAlign w:val="center"/>
                </w:tcPr>
                <w:p w14:paraId="372006B8">
                  <w:pPr>
                    <w:autoSpaceDE w:val="0"/>
                    <w:autoSpaceDN w:val="0"/>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67.1</w:t>
                  </w:r>
                </w:p>
              </w:tc>
              <w:tc>
                <w:tcPr>
                  <w:tcW w:w="1120" w:type="dxa"/>
                  <w:tcBorders>
                    <w:top w:val="single" w:color="auto" w:sz="4" w:space="0"/>
                    <w:left w:val="single" w:color="auto" w:sz="4" w:space="0"/>
                    <w:bottom w:val="single" w:color="auto" w:sz="4" w:space="0"/>
                    <w:right w:val="single" w:color="auto" w:sz="4" w:space="0"/>
                  </w:tcBorders>
                  <w:vAlign w:val="center"/>
                </w:tcPr>
                <w:p w14:paraId="3DB06C13">
                  <w:pPr>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r w14:paraId="2D8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09978A68">
                  <w:pPr>
                    <w:autoSpaceDE w:val="0"/>
                    <w:autoSpaceDN w:val="0"/>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CO</w:t>
                  </w:r>
                </w:p>
              </w:tc>
              <w:tc>
                <w:tcPr>
                  <w:tcW w:w="1825" w:type="dxa"/>
                  <w:tcBorders>
                    <w:top w:val="single" w:color="auto" w:sz="4" w:space="0"/>
                    <w:left w:val="single" w:color="auto" w:sz="4" w:space="0"/>
                    <w:bottom w:val="single" w:color="auto" w:sz="4" w:space="0"/>
                    <w:right w:val="single" w:color="auto" w:sz="4" w:space="0"/>
                  </w:tcBorders>
                  <w:vAlign w:val="center"/>
                </w:tcPr>
                <w:p w14:paraId="6D8FFCE4">
                  <w:pPr>
                    <w:spacing w:line="240" w:lineRule="exact"/>
                    <w:ind w:left="-48" w:leftChars="-23" w:right="-65" w:rightChars="-31"/>
                    <w:jc w:val="center"/>
                    <w:rPr>
                      <w:rFonts w:ascii="Times New Roman" w:hAnsi="Times New Roman" w:cs="Times New Roman"/>
                      <w:sz w:val="21"/>
                      <w:szCs w:val="21"/>
                    </w:rPr>
                  </w:pPr>
                  <w:r>
                    <w:rPr>
                      <w:rFonts w:ascii="Times New Roman" w:hAnsi="Times New Roman" w:cs="Times New Roman"/>
                      <w:sz w:val="21"/>
                      <w:szCs w:val="21"/>
                    </w:rPr>
                    <w:t>24小时平均第95位百分位数</w:t>
                  </w:r>
                </w:p>
              </w:tc>
              <w:tc>
                <w:tcPr>
                  <w:tcW w:w="1267" w:type="dxa"/>
                  <w:tcBorders>
                    <w:top w:val="single" w:color="auto" w:sz="4" w:space="0"/>
                    <w:left w:val="single" w:color="auto" w:sz="4" w:space="0"/>
                    <w:bottom w:val="single" w:color="auto" w:sz="4" w:space="0"/>
                    <w:right w:val="single" w:color="auto" w:sz="4" w:space="0"/>
                  </w:tcBorders>
                  <w:vAlign w:val="center"/>
                </w:tcPr>
                <w:p w14:paraId="6A28EDBB">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1000</w:t>
                  </w:r>
                </w:p>
              </w:tc>
              <w:tc>
                <w:tcPr>
                  <w:tcW w:w="1096" w:type="dxa"/>
                  <w:tcBorders>
                    <w:top w:val="single" w:color="auto" w:sz="4" w:space="0"/>
                    <w:left w:val="single" w:color="auto" w:sz="4" w:space="0"/>
                    <w:bottom w:val="single" w:color="auto" w:sz="4" w:space="0"/>
                    <w:right w:val="single" w:color="auto" w:sz="4" w:space="0"/>
                  </w:tcBorders>
                  <w:vAlign w:val="center"/>
                </w:tcPr>
                <w:p w14:paraId="6C2B581D">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4000</w:t>
                  </w:r>
                </w:p>
              </w:tc>
              <w:tc>
                <w:tcPr>
                  <w:tcW w:w="1069" w:type="dxa"/>
                  <w:tcBorders>
                    <w:top w:val="single" w:color="auto" w:sz="4" w:space="0"/>
                    <w:left w:val="single" w:color="auto" w:sz="4" w:space="0"/>
                    <w:bottom w:val="single" w:color="auto" w:sz="4" w:space="0"/>
                    <w:right w:val="single" w:color="auto" w:sz="4" w:space="0"/>
                  </w:tcBorders>
                  <w:vAlign w:val="center"/>
                </w:tcPr>
                <w:p w14:paraId="1DAECA75">
                  <w:pPr>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25</w:t>
                  </w:r>
                </w:p>
              </w:tc>
              <w:tc>
                <w:tcPr>
                  <w:tcW w:w="1120" w:type="dxa"/>
                  <w:tcBorders>
                    <w:top w:val="single" w:color="auto" w:sz="4" w:space="0"/>
                    <w:left w:val="single" w:color="auto" w:sz="4" w:space="0"/>
                    <w:bottom w:val="single" w:color="auto" w:sz="4" w:space="0"/>
                    <w:right w:val="single" w:color="auto" w:sz="4" w:space="0"/>
                  </w:tcBorders>
                  <w:vAlign w:val="center"/>
                </w:tcPr>
                <w:p w14:paraId="74123B22">
                  <w:pPr>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r w14:paraId="087B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61" w:type="dxa"/>
                  <w:tcBorders>
                    <w:top w:val="single" w:color="auto" w:sz="4" w:space="0"/>
                    <w:left w:val="single" w:color="auto" w:sz="4" w:space="0"/>
                    <w:bottom w:val="single" w:color="auto" w:sz="4" w:space="0"/>
                    <w:right w:val="single" w:color="auto" w:sz="4" w:space="0"/>
                  </w:tcBorders>
                  <w:vAlign w:val="center"/>
                </w:tcPr>
                <w:p w14:paraId="42A028EA">
                  <w:pPr>
                    <w:spacing w:line="360" w:lineRule="auto"/>
                    <w:jc w:val="center"/>
                    <w:rPr>
                      <w:rFonts w:ascii="Times New Roman" w:hAnsi="Times New Roman" w:cs="Times New Roman"/>
                      <w:sz w:val="21"/>
                      <w:szCs w:val="21"/>
                    </w:rPr>
                  </w:pPr>
                  <w:r>
                    <w:rPr>
                      <w:rFonts w:ascii="Times New Roman" w:hAnsi="Times New Roman" w:cs="Times New Roman"/>
                      <w:sz w:val="21"/>
                      <w:szCs w:val="21"/>
                    </w:rPr>
                    <w:t>O</w:t>
                  </w:r>
                  <w:r>
                    <w:rPr>
                      <w:rFonts w:ascii="Times New Roman" w:hAnsi="Times New Roman" w:cs="Times New Roman"/>
                      <w:sz w:val="21"/>
                      <w:szCs w:val="21"/>
                      <w:vertAlign w:val="subscript"/>
                    </w:rPr>
                    <w:t>3</w:t>
                  </w:r>
                </w:p>
              </w:tc>
              <w:tc>
                <w:tcPr>
                  <w:tcW w:w="1825" w:type="dxa"/>
                  <w:tcBorders>
                    <w:top w:val="single" w:color="auto" w:sz="4" w:space="0"/>
                    <w:left w:val="single" w:color="auto" w:sz="4" w:space="0"/>
                    <w:bottom w:val="single" w:color="auto" w:sz="4" w:space="0"/>
                    <w:right w:val="single" w:color="auto" w:sz="4" w:space="0"/>
                  </w:tcBorders>
                  <w:vAlign w:val="center"/>
                </w:tcPr>
                <w:p w14:paraId="14F49B34">
                  <w:pPr>
                    <w:autoSpaceDE w:val="0"/>
                    <w:autoSpaceDN w:val="0"/>
                    <w:adjustRightInd w:val="0"/>
                    <w:spacing w:line="240" w:lineRule="exact"/>
                    <w:jc w:val="center"/>
                    <w:rPr>
                      <w:rFonts w:ascii="Times New Roman" w:hAnsi="Times New Roman" w:cs="Times New Roman"/>
                      <w:sz w:val="21"/>
                      <w:szCs w:val="21"/>
                    </w:rPr>
                  </w:pPr>
                  <w:r>
                    <w:rPr>
                      <w:rFonts w:ascii="Times New Roman" w:hAnsi="Times New Roman" w:cs="Times New Roman"/>
                      <w:sz w:val="21"/>
                      <w:szCs w:val="21"/>
                    </w:rPr>
                    <w:t>O</w:t>
                  </w:r>
                  <w:r>
                    <w:rPr>
                      <w:rFonts w:ascii="Times New Roman" w:hAnsi="Times New Roman" w:cs="Times New Roman"/>
                      <w:sz w:val="21"/>
                      <w:szCs w:val="21"/>
                      <w:vertAlign w:val="subscript"/>
                    </w:rPr>
                    <w:t>3</w:t>
                  </w:r>
                  <w:r>
                    <w:rPr>
                      <w:rFonts w:ascii="Times New Roman" w:hAnsi="Times New Roman" w:cs="Times New Roman"/>
                      <w:sz w:val="21"/>
                      <w:szCs w:val="21"/>
                    </w:rPr>
                    <w:t>日最大8h平均第90百分位数</w:t>
                  </w:r>
                </w:p>
              </w:tc>
              <w:tc>
                <w:tcPr>
                  <w:tcW w:w="1267" w:type="dxa"/>
                  <w:tcBorders>
                    <w:top w:val="single" w:color="auto" w:sz="4" w:space="0"/>
                    <w:left w:val="single" w:color="auto" w:sz="4" w:space="0"/>
                    <w:bottom w:val="single" w:color="auto" w:sz="4" w:space="0"/>
                    <w:right w:val="single" w:color="auto" w:sz="4" w:space="0"/>
                  </w:tcBorders>
                  <w:vAlign w:val="center"/>
                </w:tcPr>
                <w:p w14:paraId="166D2F77">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120</w:t>
                  </w:r>
                </w:p>
              </w:tc>
              <w:tc>
                <w:tcPr>
                  <w:tcW w:w="1096" w:type="dxa"/>
                  <w:tcBorders>
                    <w:top w:val="single" w:color="auto" w:sz="4" w:space="0"/>
                    <w:left w:val="single" w:color="auto" w:sz="4" w:space="0"/>
                    <w:bottom w:val="single" w:color="auto" w:sz="4" w:space="0"/>
                    <w:right w:val="single" w:color="auto" w:sz="4" w:space="0"/>
                  </w:tcBorders>
                  <w:vAlign w:val="center"/>
                </w:tcPr>
                <w:p w14:paraId="4033BBF4">
                  <w:pPr>
                    <w:autoSpaceDE w:val="0"/>
                    <w:autoSpaceDN w:val="0"/>
                    <w:spacing w:line="240" w:lineRule="exact"/>
                    <w:ind w:left="-48" w:leftChars="-23" w:right="-65" w:rightChars="-31"/>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160</w:t>
                  </w:r>
                </w:p>
              </w:tc>
              <w:tc>
                <w:tcPr>
                  <w:tcW w:w="1069" w:type="dxa"/>
                  <w:tcBorders>
                    <w:top w:val="single" w:color="auto" w:sz="4" w:space="0"/>
                    <w:left w:val="single" w:color="auto" w:sz="4" w:space="0"/>
                    <w:bottom w:val="single" w:color="auto" w:sz="4" w:space="0"/>
                    <w:right w:val="single" w:color="auto" w:sz="4" w:space="0"/>
                  </w:tcBorders>
                  <w:vAlign w:val="center"/>
                </w:tcPr>
                <w:p w14:paraId="77F83F93">
                  <w:pPr>
                    <w:spacing w:line="240" w:lineRule="exact"/>
                    <w:ind w:left="-90" w:leftChars="-43" w:right="-90" w:rightChars="-43"/>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75</w:t>
                  </w:r>
                </w:p>
              </w:tc>
              <w:tc>
                <w:tcPr>
                  <w:tcW w:w="1120" w:type="dxa"/>
                  <w:tcBorders>
                    <w:top w:val="single" w:color="auto" w:sz="4" w:space="0"/>
                    <w:left w:val="single" w:color="auto" w:sz="4" w:space="0"/>
                    <w:bottom w:val="single" w:color="auto" w:sz="4" w:space="0"/>
                    <w:right w:val="single" w:color="auto" w:sz="4" w:space="0"/>
                  </w:tcBorders>
                  <w:vAlign w:val="center"/>
                </w:tcPr>
                <w:p w14:paraId="1E691A99">
                  <w:pPr>
                    <w:spacing w:line="240" w:lineRule="exact"/>
                    <w:ind w:left="-90" w:leftChars="-43" w:right="-90" w:rightChars="-43"/>
                    <w:jc w:val="center"/>
                    <w:rPr>
                      <w:rFonts w:ascii="Times New Roman" w:hAnsi="Times New Roman" w:cs="Times New Roman"/>
                      <w:sz w:val="21"/>
                      <w:szCs w:val="21"/>
                    </w:rPr>
                  </w:pPr>
                  <w:r>
                    <w:rPr>
                      <w:rFonts w:ascii="Times New Roman" w:hAnsi="Times New Roman" w:cs="Times New Roman"/>
                      <w:sz w:val="21"/>
                      <w:szCs w:val="21"/>
                    </w:rPr>
                    <w:t>达标</w:t>
                  </w:r>
                </w:p>
              </w:tc>
            </w:tr>
          </w:tbl>
          <w:p w14:paraId="639FBD18">
            <w:pPr>
              <w:pStyle w:val="14"/>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eastAsia"/>
                <w:sz w:val="24"/>
                <w:szCs w:val="24"/>
                <w:vertAlign w:val="baseline"/>
                <w:lang w:val="en-US" w:eastAsia="zh-CN"/>
              </w:rPr>
              <w:t>补充监测</w:t>
            </w:r>
          </w:p>
          <w:p w14:paraId="139D389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本项目大气特征污染物为总悬浮颗粒物（TSP）。根据《建设项目环境影响报告表编制技术指南（污染影响类）（试行）》（2021年试行），排放国家、地方环境空气质量标准中有标准限值要求的特征污染物时，引用建设单位周边5km范围内近3年的现有监测数据，无相关数据的选择当季主导风向下风向1个点位补充不少于3天的监测数据。</w:t>
            </w:r>
          </w:p>
          <w:p w14:paraId="554BFC2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本次评价引用广西恒沁检测科技有限公司的《广西中伟新能源二期X-23电解钴改扩项目》现状监测报告。</w:t>
            </w:r>
          </w:p>
          <w:p w14:paraId="43518336">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b/>
                <w:bCs/>
                <w:sz w:val="24"/>
                <w:szCs w:val="24"/>
                <w:vertAlign w:val="baseline"/>
                <w:lang w:val="en-US" w:eastAsia="zh-CN"/>
              </w:rPr>
            </w:pPr>
            <w:r>
              <w:rPr>
                <w:rFonts w:hint="eastAsia"/>
                <w:sz w:val="24"/>
                <w:szCs w:val="24"/>
                <w:lang w:val="en-US" w:eastAsia="zh-CN"/>
              </w:rPr>
              <w:t>①监测点位</w:t>
            </w:r>
          </w:p>
          <w:p w14:paraId="13816C1F">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表3-2 环境空气补充监测因子及数据来源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15"/>
              <w:gridCol w:w="1035"/>
              <w:gridCol w:w="1191"/>
              <w:gridCol w:w="1315"/>
              <w:gridCol w:w="1315"/>
              <w:gridCol w:w="1580"/>
            </w:tblGrid>
            <w:tr w14:paraId="139C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Align w:val="center"/>
                </w:tcPr>
                <w:p w14:paraId="2E2894F5">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rPr>
                  </w:pPr>
                  <w:r>
                    <w:rPr>
                      <w:rFonts w:hint="default" w:ascii="Times New Roman" w:hAnsi="Times New Roman" w:cs="Times New Roman"/>
                      <w:b/>
                      <w:bCs/>
                      <w:color w:val="auto"/>
                    </w:rPr>
                    <w:t>编号</w:t>
                  </w:r>
                </w:p>
              </w:tc>
              <w:tc>
                <w:tcPr>
                  <w:tcW w:w="583" w:type="pct"/>
                  <w:vAlign w:val="center"/>
                </w:tcPr>
                <w:p w14:paraId="15C73664">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rPr>
                  </w:pPr>
                  <w:r>
                    <w:rPr>
                      <w:rFonts w:hint="default" w:ascii="Times New Roman" w:hAnsi="Times New Roman" w:cs="Times New Roman"/>
                      <w:b/>
                      <w:bCs/>
                      <w:color w:val="auto"/>
                    </w:rPr>
                    <w:t>站点名称</w:t>
                  </w:r>
                </w:p>
              </w:tc>
              <w:tc>
                <w:tcPr>
                  <w:tcW w:w="660" w:type="pct"/>
                  <w:vAlign w:val="center"/>
                </w:tcPr>
                <w:p w14:paraId="4BD3A218">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rPr>
                  </w:pPr>
                  <w:r>
                    <w:rPr>
                      <w:rFonts w:hint="default" w:ascii="Times New Roman" w:hAnsi="Times New Roman" w:cs="Times New Roman"/>
                      <w:b/>
                      <w:bCs/>
                      <w:color w:val="auto"/>
                    </w:rPr>
                    <w:t>监测时间</w:t>
                  </w:r>
                </w:p>
              </w:tc>
              <w:tc>
                <w:tcPr>
                  <w:tcW w:w="759" w:type="pct"/>
                  <w:vAlign w:val="center"/>
                </w:tcPr>
                <w:p w14:paraId="6CF3E764">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rPr>
                  </w:pPr>
                  <w:r>
                    <w:rPr>
                      <w:rFonts w:hint="default" w:ascii="Times New Roman" w:hAnsi="Times New Roman" w:cs="Times New Roman"/>
                      <w:b/>
                      <w:bCs/>
                      <w:color w:val="auto"/>
                    </w:rPr>
                    <w:t>监测因子</w:t>
                  </w:r>
                </w:p>
              </w:tc>
              <w:tc>
                <w:tcPr>
                  <w:tcW w:w="838" w:type="pct"/>
                  <w:vAlign w:val="center"/>
                </w:tcPr>
                <w:p w14:paraId="3A2D75FB">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eastAsia="System" w:cs="Times New Roman"/>
                      <w:b/>
                      <w:bCs/>
                      <w:color w:val="auto"/>
                      <w:lang w:val="en-US" w:eastAsia="zh-CN"/>
                    </w:rPr>
                  </w:pPr>
                  <w:r>
                    <w:rPr>
                      <w:rFonts w:hint="eastAsia" w:ascii="Times New Roman" w:hAnsi="Times New Roman" w:cs="Times New Roman"/>
                      <w:b/>
                      <w:bCs/>
                      <w:color w:val="auto"/>
                      <w:lang w:val="en-US" w:eastAsia="zh-CN"/>
                    </w:rPr>
                    <w:t>相对厂址方位</w:t>
                  </w:r>
                </w:p>
              </w:tc>
              <w:tc>
                <w:tcPr>
                  <w:tcW w:w="838" w:type="pct"/>
                  <w:vAlign w:val="center"/>
                </w:tcPr>
                <w:p w14:paraId="69EE6F25">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相对厂址距离</w:t>
                  </w:r>
                </w:p>
              </w:tc>
              <w:tc>
                <w:tcPr>
                  <w:tcW w:w="1007" w:type="pct"/>
                  <w:vAlign w:val="center"/>
                </w:tcPr>
                <w:p w14:paraId="607E7820">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rPr>
                  </w:pPr>
                  <w:r>
                    <w:rPr>
                      <w:rFonts w:hint="default" w:ascii="Times New Roman" w:hAnsi="Times New Roman" w:cs="Times New Roman"/>
                      <w:b/>
                      <w:bCs/>
                      <w:color w:val="auto"/>
                    </w:rPr>
                    <w:t>数据来源</w:t>
                  </w:r>
                </w:p>
              </w:tc>
            </w:tr>
            <w:tr w14:paraId="6FF3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Align w:val="center"/>
                </w:tcPr>
                <w:p w14:paraId="0CB2A4D5">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rPr>
                  </w:pPr>
                  <w:r>
                    <w:rPr>
                      <w:rFonts w:hint="default" w:ascii="Times New Roman" w:hAnsi="Times New Roman" w:cs="Times New Roman"/>
                      <w:color w:val="auto"/>
                    </w:rPr>
                    <w:t>G1</w:t>
                  </w:r>
                </w:p>
              </w:tc>
              <w:tc>
                <w:tcPr>
                  <w:tcW w:w="583" w:type="pct"/>
                  <w:vAlign w:val="center"/>
                </w:tcPr>
                <w:p w14:paraId="3954308E">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rPr>
                  </w:pPr>
                  <w:r>
                    <w:rPr>
                      <w:rFonts w:hint="default" w:ascii="Times New Roman" w:hAnsi="Times New Roman" w:cs="Times New Roman"/>
                      <w:color w:val="auto"/>
                    </w:rPr>
                    <w:t>场地内4#地块南侧</w:t>
                  </w:r>
                </w:p>
              </w:tc>
              <w:tc>
                <w:tcPr>
                  <w:tcW w:w="660" w:type="pct"/>
                  <w:vAlign w:val="center"/>
                </w:tcPr>
                <w:p w14:paraId="1684EA2B">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rPr>
                  </w:pPr>
                  <w:r>
                    <w:rPr>
                      <w:rFonts w:hint="default" w:ascii="Times New Roman" w:hAnsi="Times New Roman" w:cs="Times New Roman"/>
                      <w:color w:val="auto"/>
                    </w:rPr>
                    <w:t>2025年7月2日~7月8日</w:t>
                  </w:r>
                </w:p>
              </w:tc>
              <w:tc>
                <w:tcPr>
                  <w:tcW w:w="759" w:type="pct"/>
                  <w:vAlign w:val="center"/>
                </w:tcPr>
                <w:p w14:paraId="4917DC95">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rPr>
                  </w:pPr>
                  <w:r>
                    <w:rPr>
                      <w:rFonts w:hint="default" w:ascii="Times New Roman" w:hAnsi="Times New Roman" w:cs="Times New Roman"/>
                      <w:color w:val="auto"/>
                    </w:rPr>
                    <w:t>TSP</w:t>
                  </w:r>
                </w:p>
              </w:tc>
              <w:tc>
                <w:tcPr>
                  <w:tcW w:w="838" w:type="pct"/>
                  <w:vAlign w:val="center"/>
                </w:tcPr>
                <w:p w14:paraId="71575026">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eastAsia="System" w:cs="Times New Roman"/>
                      <w:color w:val="auto"/>
                      <w:lang w:val="en-US" w:eastAsia="zh-CN"/>
                    </w:rPr>
                  </w:pPr>
                  <w:r>
                    <w:rPr>
                      <w:rFonts w:hint="eastAsia" w:ascii="Times New Roman" w:hAnsi="Times New Roman" w:cs="Times New Roman"/>
                      <w:color w:val="auto"/>
                      <w:lang w:val="en-US" w:eastAsia="zh-CN"/>
                    </w:rPr>
                    <w:t>厂区东北侧</w:t>
                  </w:r>
                </w:p>
              </w:tc>
              <w:tc>
                <w:tcPr>
                  <w:tcW w:w="838" w:type="pct"/>
                  <w:vAlign w:val="center"/>
                </w:tcPr>
                <w:p w14:paraId="5E3D449C">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eastAsia="System" w:cs="Times New Roman"/>
                      <w:color w:val="auto"/>
                      <w:lang w:val="en-US" w:eastAsia="zh-CN"/>
                    </w:rPr>
                  </w:pPr>
                  <w:r>
                    <w:rPr>
                      <w:rFonts w:hint="eastAsia" w:ascii="Times New Roman" w:hAnsi="Times New Roman" w:cs="Times New Roman"/>
                      <w:color w:val="auto"/>
                      <w:lang w:val="en-US" w:eastAsia="zh-CN"/>
                    </w:rPr>
                    <w:t>2650m</w:t>
                  </w:r>
                </w:p>
              </w:tc>
              <w:tc>
                <w:tcPr>
                  <w:tcW w:w="1007" w:type="pct"/>
                  <w:vAlign w:val="center"/>
                </w:tcPr>
                <w:p w14:paraId="401A6DCF">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rPr>
                  </w:pPr>
                  <w:r>
                    <w:rPr>
                      <w:rFonts w:hint="default" w:ascii="Times New Roman" w:hAnsi="Times New Roman" w:cs="Times New Roman"/>
                      <w:color w:val="auto"/>
                    </w:rPr>
                    <w:t>广西中伟新能源项目二期X-23#电解钴项目广西恒沁检测科技有限公司监测报告</w:t>
                  </w:r>
                </w:p>
              </w:tc>
            </w:tr>
          </w:tbl>
          <w:p w14:paraId="111FA5C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eastAsia"/>
                <w:sz w:val="24"/>
                <w:szCs w:val="24"/>
                <w:lang w:val="en-US" w:eastAsia="zh-CN"/>
              </w:rPr>
              <w:t>②监测方法</w:t>
            </w:r>
          </w:p>
          <w:p w14:paraId="5AFD42C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表3-3 环境空气污染物分析方法及检出限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961"/>
              <w:gridCol w:w="4631"/>
              <w:gridCol w:w="1558"/>
            </w:tblGrid>
            <w:tr w14:paraId="33BA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6C226F79">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检测要素</w:t>
                  </w:r>
                </w:p>
              </w:tc>
              <w:tc>
                <w:tcPr>
                  <w:tcW w:w="613" w:type="pct"/>
                  <w:vAlign w:val="center"/>
                </w:tcPr>
                <w:p w14:paraId="30379B17">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检测项目</w:t>
                  </w:r>
                </w:p>
              </w:tc>
              <w:tc>
                <w:tcPr>
                  <w:tcW w:w="2952" w:type="pct"/>
                  <w:vAlign w:val="center"/>
                </w:tcPr>
                <w:p w14:paraId="1FC53EB0">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方法及标准号</w:t>
                  </w:r>
                </w:p>
              </w:tc>
              <w:tc>
                <w:tcPr>
                  <w:tcW w:w="993" w:type="pct"/>
                  <w:vAlign w:val="center"/>
                </w:tcPr>
                <w:p w14:paraId="51D84789">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检出限</w:t>
                  </w:r>
                </w:p>
              </w:tc>
            </w:tr>
            <w:tr w14:paraId="532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Align w:val="center"/>
                </w:tcPr>
                <w:p w14:paraId="1854854B">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eastAsia="System" w:cs="Times New Roman"/>
                      <w:color w:val="auto"/>
                      <w:sz w:val="21"/>
                      <w:szCs w:val="21"/>
                      <w:lang w:val="en-US" w:eastAsia="zh-CN"/>
                    </w:rPr>
                  </w:pPr>
                  <w:r>
                    <w:rPr>
                      <w:rFonts w:hint="eastAsia" w:ascii="Times New Roman" w:hAnsi="Times New Roman" w:cs="Times New Roman"/>
                      <w:color w:val="auto"/>
                      <w:sz w:val="21"/>
                      <w:szCs w:val="21"/>
                      <w:lang w:val="en-US" w:eastAsia="zh-CN"/>
                    </w:rPr>
                    <w:t>环境空气</w:t>
                  </w:r>
                </w:p>
              </w:tc>
              <w:tc>
                <w:tcPr>
                  <w:tcW w:w="613" w:type="pct"/>
                  <w:vAlign w:val="center"/>
                </w:tcPr>
                <w:p w14:paraId="6556123A">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TSP</w:t>
                  </w:r>
                </w:p>
              </w:tc>
              <w:tc>
                <w:tcPr>
                  <w:tcW w:w="2952" w:type="pct"/>
                  <w:vAlign w:val="center"/>
                </w:tcPr>
                <w:p w14:paraId="09AC345A">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环境空气总悬浮颗粒物的测定重量法（HJ1263-2022）</w:t>
                  </w:r>
                </w:p>
              </w:tc>
              <w:tc>
                <w:tcPr>
                  <w:tcW w:w="993" w:type="pct"/>
                  <w:vAlign w:val="center"/>
                </w:tcPr>
                <w:p w14:paraId="4486F71A">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7ug/m</w:t>
                  </w:r>
                  <w:r>
                    <w:rPr>
                      <w:rFonts w:hint="default" w:ascii="Times New Roman" w:hAnsi="Times New Roman" w:cs="Times New Roman"/>
                      <w:color w:val="auto"/>
                      <w:sz w:val="21"/>
                      <w:szCs w:val="21"/>
                      <w:vertAlign w:val="superscript"/>
                    </w:rPr>
                    <w:t>3</w:t>
                  </w:r>
                </w:p>
              </w:tc>
            </w:tr>
          </w:tbl>
          <w:p w14:paraId="366B2FB6">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③监测结果及评价</w:t>
            </w:r>
          </w:p>
          <w:p w14:paraId="77239304">
            <w:pPr>
              <w:pStyle w:val="14"/>
              <w:spacing w:line="360" w:lineRule="auto"/>
              <w:ind w:left="0" w:leftChars="0" w:firstLine="0" w:firstLineChars="0"/>
              <w:jc w:val="center"/>
              <w:rPr>
                <w:rFonts w:hint="eastAsia"/>
                <w:b/>
                <w:bCs/>
                <w:sz w:val="24"/>
                <w:szCs w:val="24"/>
                <w:lang w:val="en-US" w:eastAsia="zh-CN"/>
              </w:rPr>
            </w:pPr>
            <w:r>
              <w:rPr>
                <w:rFonts w:hint="eastAsia"/>
                <w:b/>
                <w:bCs/>
                <w:sz w:val="24"/>
                <w:szCs w:val="24"/>
                <w:lang w:val="en-US" w:eastAsia="zh-CN"/>
              </w:rPr>
              <w:t>表3-4 补充监测环境质量现状监测结果一览表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855"/>
              <w:gridCol w:w="959"/>
              <w:gridCol w:w="1329"/>
              <w:gridCol w:w="1384"/>
              <w:gridCol w:w="1041"/>
              <w:gridCol w:w="931"/>
              <w:gridCol w:w="510"/>
            </w:tblGrid>
            <w:tr w14:paraId="185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156C5665">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监测位点</w:t>
                  </w:r>
                </w:p>
              </w:tc>
              <w:tc>
                <w:tcPr>
                  <w:tcW w:w="855" w:type="dxa"/>
                  <w:vAlign w:val="center"/>
                </w:tcPr>
                <w:p w14:paraId="4B34DFE6">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评价因子</w:t>
                  </w:r>
                </w:p>
              </w:tc>
              <w:tc>
                <w:tcPr>
                  <w:tcW w:w="959" w:type="dxa"/>
                  <w:vAlign w:val="center"/>
                </w:tcPr>
                <w:p w14:paraId="42C4C598">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平均时段</w:t>
                  </w:r>
                </w:p>
              </w:tc>
              <w:tc>
                <w:tcPr>
                  <w:tcW w:w="0" w:type="auto"/>
                  <w:vAlign w:val="center"/>
                </w:tcPr>
                <w:p w14:paraId="26670511">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评价标准（mg/m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0" w:type="auto"/>
                  <w:vAlign w:val="center"/>
                </w:tcPr>
                <w:p w14:paraId="0FF134AA">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监测浓度范围（mg/m</w:t>
                  </w:r>
                  <w:r>
                    <w:rPr>
                      <w:rFonts w:hint="default" w:ascii="Times New Roman" w:hAnsi="Times New Roman" w:cs="Times New Roman"/>
                      <w:b/>
                      <w:bCs/>
                      <w:color w:val="auto"/>
                      <w:sz w:val="21"/>
                      <w:szCs w:val="21"/>
                      <w:vertAlign w:val="superscript"/>
                    </w:rPr>
                    <w:t>3</w:t>
                  </w:r>
                  <w:r>
                    <w:rPr>
                      <w:rFonts w:hint="default" w:ascii="Times New Roman" w:hAnsi="Times New Roman" w:cs="Times New Roman"/>
                      <w:b/>
                      <w:bCs/>
                      <w:color w:val="auto"/>
                      <w:sz w:val="21"/>
                      <w:szCs w:val="21"/>
                    </w:rPr>
                    <w:t>）</w:t>
                  </w:r>
                </w:p>
              </w:tc>
              <w:tc>
                <w:tcPr>
                  <w:tcW w:w="0" w:type="auto"/>
                  <w:vAlign w:val="center"/>
                </w:tcPr>
                <w:p w14:paraId="6F454D04">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最大浓度占标率（%）</w:t>
                  </w:r>
                </w:p>
              </w:tc>
              <w:tc>
                <w:tcPr>
                  <w:tcW w:w="0" w:type="auto"/>
                  <w:vAlign w:val="center"/>
                </w:tcPr>
                <w:p w14:paraId="14DA86F8">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超标率（%）</w:t>
                  </w:r>
                </w:p>
              </w:tc>
              <w:tc>
                <w:tcPr>
                  <w:tcW w:w="0" w:type="auto"/>
                  <w:vAlign w:val="center"/>
                </w:tcPr>
                <w:p w14:paraId="341654C1">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达标情况</w:t>
                  </w:r>
                </w:p>
              </w:tc>
            </w:tr>
            <w:tr w14:paraId="0141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vAlign w:val="center"/>
                </w:tcPr>
                <w:p w14:paraId="5851337D">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rPr>
                    <w:t>场地内4#地块南侧</w:t>
                  </w:r>
                </w:p>
              </w:tc>
              <w:tc>
                <w:tcPr>
                  <w:tcW w:w="855" w:type="dxa"/>
                  <w:shd w:val="clear" w:color="auto" w:fill="auto"/>
                  <w:vAlign w:val="center"/>
                </w:tcPr>
                <w:p w14:paraId="3AA4C1A7">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TSP</w:t>
                  </w:r>
                </w:p>
              </w:tc>
              <w:tc>
                <w:tcPr>
                  <w:tcW w:w="959" w:type="dxa"/>
                  <w:shd w:val="clear" w:color="auto" w:fill="auto"/>
                  <w:vAlign w:val="center"/>
                </w:tcPr>
                <w:p w14:paraId="4AE1F08A">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24小时平均</w:t>
                  </w:r>
                </w:p>
              </w:tc>
              <w:tc>
                <w:tcPr>
                  <w:tcW w:w="0" w:type="auto"/>
                  <w:shd w:val="clear" w:color="auto" w:fill="auto"/>
                  <w:vAlign w:val="center"/>
                </w:tcPr>
                <w:p w14:paraId="62F62504">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c>
                <w:tcPr>
                  <w:tcW w:w="0" w:type="auto"/>
                  <w:shd w:val="clear" w:color="auto" w:fill="auto"/>
                  <w:vAlign w:val="center"/>
                </w:tcPr>
                <w:p w14:paraId="080010B3">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p>
              </w:tc>
              <w:tc>
                <w:tcPr>
                  <w:tcW w:w="0" w:type="auto"/>
                  <w:shd w:val="clear" w:color="auto" w:fill="auto"/>
                  <w:vAlign w:val="center"/>
                </w:tcPr>
                <w:p w14:paraId="58F4D9F1">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0" w:type="auto"/>
                  <w:shd w:val="clear" w:color="auto" w:fill="auto"/>
                  <w:vAlign w:val="center"/>
                </w:tcPr>
                <w:p w14:paraId="4FC2BAB7">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w:t>
                  </w:r>
                </w:p>
              </w:tc>
              <w:tc>
                <w:tcPr>
                  <w:tcW w:w="0" w:type="auto"/>
                  <w:shd w:val="clear" w:color="auto" w:fill="auto"/>
                  <w:vAlign w:val="center"/>
                </w:tcPr>
                <w:p w14:paraId="505B6349">
                  <w:pPr>
                    <w:pStyle w:val="20"/>
                    <w:keepNext w:val="0"/>
                    <w:keepLines w:val="0"/>
                    <w:pageBreakBefore w:val="0"/>
                    <w:widowControl/>
                    <w:kinsoku/>
                    <w:wordWrap/>
                    <w:overflowPunct/>
                    <w:topLinePunct w:val="0"/>
                    <w:autoSpaceDE w:val="0"/>
                    <w:autoSpaceDN w:val="0"/>
                    <w:bidi w:val="0"/>
                    <w:adjustRightInd w:val="0"/>
                    <w:snapToGrid/>
                    <w:spacing w:line="240" w:lineRule="auto"/>
                    <w:ind w:firstLine="0" w:firstLineChars="0"/>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14:paraId="5D1591F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根据上表监测结果可得出，总悬浮颗粒物（TSP）24小时平均浓度满足《环境空气质量标准》（GB3095-2026）二级标准。</w:t>
            </w:r>
          </w:p>
          <w:p w14:paraId="2178809F">
            <w:pPr>
              <w:pStyle w:val="1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firstLine="482" w:firstLineChars="200"/>
              <w:textAlignment w:val="auto"/>
              <w:rPr>
                <w:rFonts w:hint="default"/>
                <w:b/>
                <w:bCs/>
                <w:sz w:val="24"/>
                <w:szCs w:val="24"/>
                <w:vertAlign w:val="baseline"/>
                <w:lang w:val="en-US" w:eastAsia="zh-CN"/>
              </w:rPr>
            </w:pPr>
            <w:r>
              <w:rPr>
                <w:rFonts w:hint="eastAsia"/>
                <w:b/>
                <w:bCs/>
                <w:sz w:val="24"/>
                <w:szCs w:val="24"/>
                <w:vertAlign w:val="baseline"/>
                <w:lang w:val="en-US" w:eastAsia="zh-CN"/>
              </w:rPr>
              <w:t>地表水环境质量</w:t>
            </w:r>
          </w:p>
          <w:p w14:paraId="7A6BD74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项目区域海水执行《海水水质标准》（GB3097-1997）第四类标准。</w:t>
            </w:r>
          </w:p>
          <w:p w14:paraId="2D627317">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本项目生活污水经化粪池处理后经市政污水管网进入大榄坪污水处理厂处理；洗车废水及地面冲洗废水经沉淀后回用；干雾抑尘用水挥发或附着在原料、产品上，不外排。为了解项目周边海域水环境质量现状，报告引用自治区生态环境厅发布的《2025年11月广西近岸海域自动监测水质状况》中内容，“2025年11月，广西近岸海域17个自动化监测站中，水质优良（第一、二类水质）站位共15个，同比上升1个；无第三类水质，同比持平；第四类水质站位共2个，同比下降1个；无劣四类水质站位，同比持平；水质优良天数比例为84.31%，同比上升5.68个百分点。”</w:t>
            </w:r>
          </w:p>
          <w:p w14:paraId="59892CE7">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综上，本项目所在海域海水水质较为良好，</w:t>
            </w:r>
          </w:p>
          <w:p w14:paraId="2DFDBFB2">
            <w:pPr>
              <w:pStyle w:val="15"/>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声环境现状</w:t>
            </w:r>
          </w:p>
          <w:p w14:paraId="2FAF35DF">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lang w:val="en-US" w:eastAsia="zh-CN"/>
              </w:rPr>
            </w:pPr>
            <w:r>
              <w:rPr>
                <w:rFonts w:hint="eastAsia"/>
                <w:sz w:val="24"/>
                <w:szCs w:val="24"/>
                <w:lang w:val="en-US" w:eastAsia="zh-CN"/>
              </w:rPr>
              <w:t>本项目位于广西壮族自治区钦州市_中国（广西）自由贸易试验区钦州港片区前后综合保税区二号路东面、七大街北面。根据《声环境质量标准》（GB3096-2008）中声环境功能区分类，本项目属于3类声环境功能区，应执行3类功能区要求。本项目周边50m范围内无声环境敏感目标，故可不开展声环境现状监测。</w:t>
            </w:r>
          </w:p>
          <w:p w14:paraId="27DECFF5">
            <w:pPr>
              <w:pStyle w:val="15"/>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地下水环境质量</w:t>
            </w:r>
          </w:p>
          <w:p w14:paraId="73C491EE">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本项目租用钦州北部湾港务投资有限公司建设完成后的厂房（详见附件），项目厂界外500m范围内不涉及地下水集中式饮用水水源和热水、矿泉水、温泉等特殊地下水资源保护区。根据《建设项目环境影响报告表编制技术指南（污染影响类）（试行）》的总体要求，拟建项目不开展地下水专项评价。</w:t>
            </w:r>
          </w:p>
          <w:p w14:paraId="007080E9">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项目区域所在地下水质量执行《地下水质量标准》（GB/T14848-2017）Ⅲ类标准。</w:t>
            </w:r>
          </w:p>
          <w:p w14:paraId="2F3CF9FC">
            <w:pPr>
              <w:pStyle w:val="14"/>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土壤环境质量</w:t>
            </w:r>
          </w:p>
          <w:p w14:paraId="779843C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为了解区域土壤环境质量现状，本评价委托广西正大天成检测技术有限公司对项目所在区域土壤进行环境质量现状监测。</w:t>
            </w:r>
          </w:p>
          <w:p w14:paraId="0A331EB6">
            <w:pPr>
              <w:pStyle w:val="14"/>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监测点位</w:t>
            </w:r>
          </w:p>
          <w:p w14:paraId="5A1AFE5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eastAsia"/>
                <w:sz w:val="24"/>
                <w:szCs w:val="24"/>
                <w:lang w:val="en-US" w:eastAsia="zh-CN"/>
              </w:rPr>
              <w:t>本次评价在厂区中部设置1个土壤监测点位。</w:t>
            </w:r>
          </w:p>
          <w:p w14:paraId="548DAC24">
            <w:pPr>
              <w:pStyle w:val="14"/>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监测项目</w:t>
            </w:r>
          </w:p>
          <w:p w14:paraId="2C199D7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监测点主要监测因子见表3-5。</w:t>
            </w:r>
          </w:p>
          <w:p w14:paraId="70E36C5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表3-5 土壤环境监测点位及监测因子一览表</w:t>
            </w:r>
          </w:p>
          <w:tbl>
            <w:tblPr>
              <w:tblStyle w:val="17"/>
              <w:tblW w:w="7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063"/>
              <w:gridCol w:w="1514"/>
              <w:gridCol w:w="3839"/>
            </w:tblGrid>
            <w:tr w14:paraId="085E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1" w:type="dxa"/>
                  <w:vAlign w:val="center"/>
                </w:tcPr>
                <w:p w14:paraId="5F837C8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样品名称</w:t>
                  </w:r>
                </w:p>
              </w:tc>
              <w:tc>
                <w:tcPr>
                  <w:tcW w:w="1063" w:type="dxa"/>
                  <w:vAlign w:val="center"/>
                </w:tcPr>
                <w:p w14:paraId="77362B2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样点类型</w:t>
                  </w:r>
                </w:p>
              </w:tc>
              <w:tc>
                <w:tcPr>
                  <w:tcW w:w="1514" w:type="dxa"/>
                  <w:vAlign w:val="center"/>
                </w:tcPr>
                <w:p w14:paraId="7DC9EB0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土壤利用类型</w:t>
                  </w:r>
                </w:p>
              </w:tc>
              <w:tc>
                <w:tcPr>
                  <w:tcW w:w="3839" w:type="dxa"/>
                  <w:vAlign w:val="center"/>
                </w:tcPr>
                <w:p w14:paraId="443AEA8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监测因子</w:t>
                  </w:r>
                </w:p>
              </w:tc>
            </w:tr>
            <w:tr w14:paraId="2828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01" w:type="dxa"/>
                  <w:vAlign w:val="center"/>
                </w:tcPr>
                <w:p w14:paraId="757E73B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T1</w:t>
                  </w:r>
                </w:p>
              </w:tc>
              <w:tc>
                <w:tcPr>
                  <w:tcW w:w="1063" w:type="dxa"/>
                  <w:vAlign w:val="center"/>
                </w:tcPr>
                <w:p w14:paraId="5AD4815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表层样品</w:t>
                  </w:r>
                </w:p>
              </w:tc>
              <w:tc>
                <w:tcPr>
                  <w:tcW w:w="1514" w:type="dxa"/>
                  <w:vAlign w:val="center"/>
                </w:tcPr>
                <w:p w14:paraId="2A2E2B1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建设用地</w:t>
                  </w:r>
                </w:p>
              </w:tc>
              <w:tc>
                <w:tcPr>
                  <w:tcW w:w="3839" w:type="dxa"/>
                  <w:vAlign w:val="center"/>
                </w:tcPr>
                <w:p w14:paraId="28BD5756">
                  <w:pPr>
                    <w:keepNext w:val="0"/>
                    <w:keepLines w:val="0"/>
                    <w:widowControl/>
                    <w:suppressLineNumbers w:val="0"/>
                    <w:jc w:val="left"/>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砷、镉、铬（六价）、铜、铅、汞、镍、四氯化碳、氯仿、氯甲烷、1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1-二氯乙烷、1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2-二氯乙烷、1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1-二氯乙烯、顺-1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2-二氯乙烯、反-1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2-二氯乙烯、二氯甲烷、1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2-二氯丙烷、1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2-四氯乙烷、1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2-四氯乙烷、四氯乙烯、1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1-三氯乙烷、1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2-三氯乙烷、三氯乙烯、1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3-三氯丙烷、氯乙烯、苯、氯苯、1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2-二氯苯、1</w:t>
                  </w:r>
                  <w:r>
                    <w:rPr>
                      <w:rFonts w:hint="eastAsia" w:ascii="Times New Roman" w:hAnsi="Times New Roman" w:cs="Times New Roman"/>
                      <w:vertAlign w:val="baseline"/>
                      <w:lang w:val="en-US" w:eastAsia="zh-CN"/>
                    </w:rPr>
                    <w:t>,</w:t>
                  </w:r>
                  <w:r>
                    <w:rPr>
                      <w:rFonts w:hint="default" w:ascii="Times New Roman" w:hAnsi="Times New Roman" w:cs="Times New Roman"/>
                      <w:vertAlign w:val="baseline"/>
                      <w:lang w:val="en-US" w:eastAsia="zh-CN"/>
                    </w:rPr>
                    <w:t>4-二氯苯、乙苯、苯乙烯、甲苯、间二甲苯+对二甲苯、邻二甲苯、硝基苯、苯胺、2-氯酚、苯并</w:t>
                  </w:r>
                  <w:r>
                    <w:rPr>
                      <w:rFonts w:hint="default" w:ascii="Times New Roman" w:hAnsi="Times New Roman" w:eastAsia="宋体" w:cs="Times New Roman"/>
                      <w:vertAlign w:val="baseline"/>
                      <w:lang w:val="en-US" w:eastAsia="zh-CN"/>
                    </w:rPr>
                    <w:t>〔a〕蒽、</w:t>
                  </w:r>
                  <w:r>
                    <w:rPr>
                      <w:rFonts w:hint="default" w:ascii="Times New Roman" w:hAnsi="Times New Roman" w:cs="Times New Roman"/>
                      <w:vertAlign w:val="baseline"/>
                      <w:lang w:val="en-US" w:eastAsia="zh-CN"/>
                    </w:rPr>
                    <w:t>苯并</w:t>
                  </w:r>
                  <w:r>
                    <w:rPr>
                      <w:rFonts w:hint="default" w:ascii="Times New Roman" w:hAnsi="Times New Roman" w:eastAsia="宋体" w:cs="Times New Roman"/>
                      <w:vertAlign w:val="baseline"/>
                      <w:lang w:val="en-US" w:eastAsia="zh-CN"/>
                    </w:rPr>
                    <w:t>〔a〕芘、</w:t>
                  </w:r>
                  <w:r>
                    <w:rPr>
                      <w:rFonts w:hint="default" w:ascii="Times New Roman" w:hAnsi="Times New Roman" w:cs="Times New Roman"/>
                      <w:vertAlign w:val="baseline"/>
                      <w:lang w:val="en-US" w:eastAsia="zh-CN"/>
                    </w:rPr>
                    <w:t>苯并</w:t>
                  </w:r>
                  <w:r>
                    <w:rPr>
                      <w:rFonts w:hint="default" w:ascii="Times New Roman" w:hAnsi="Times New Roman" w:eastAsia="宋体" w:cs="Times New Roman"/>
                      <w:vertAlign w:val="baseline"/>
                      <w:lang w:val="en-US" w:eastAsia="zh-CN"/>
                    </w:rPr>
                    <w:t>〔b〕荧蒽、</w:t>
                  </w:r>
                  <w:r>
                    <w:rPr>
                      <w:rFonts w:hint="default" w:ascii="Times New Roman" w:hAnsi="Times New Roman" w:cs="Times New Roman"/>
                      <w:vertAlign w:val="baseline"/>
                      <w:lang w:val="en-US" w:eastAsia="zh-CN"/>
                    </w:rPr>
                    <w:t>苯并</w:t>
                  </w:r>
                  <w:r>
                    <w:rPr>
                      <w:rFonts w:hint="default" w:ascii="Times New Roman" w:hAnsi="Times New Roman" w:eastAsia="宋体" w:cs="Times New Roman"/>
                      <w:vertAlign w:val="baseline"/>
                      <w:lang w:val="en-US" w:eastAsia="zh-CN"/>
                    </w:rPr>
                    <w:t>〔k〕荧蒽、䓛、二苯并〔a、h〕蒽、茚并〔1</w:t>
                  </w:r>
                  <w:r>
                    <w:rPr>
                      <w:rFonts w:hint="eastAsia" w:ascii="Times New Roman" w:hAnsi="Times New Roman" w:eastAsia="宋体" w:cs="Times New Roman"/>
                      <w:vertAlign w:val="baseline"/>
                      <w:lang w:val="en-US" w:eastAsia="zh-CN"/>
                    </w:rPr>
                    <w:t>,</w:t>
                  </w:r>
                  <w:r>
                    <w:rPr>
                      <w:rFonts w:hint="default" w:ascii="Times New Roman" w:hAnsi="Times New Roman" w:eastAsia="宋体" w:cs="Times New Roman"/>
                      <w:vertAlign w:val="baseline"/>
                      <w:lang w:val="en-US" w:eastAsia="zh-CN"/>
                    </w:rPr>
                    <w:t>2</w:t>
                  </w:r>
                  <w:r>
                    <w:rPr>
                      <w:rFonts w:hint="eastAsia" w:ascii="Times New Roman" w:hAnsi="Times New Roman" w:eastAsia="宋体" w:cs="Times New Roman"/>
                      <w:vertAlign w:val="baseline"/>
                      <w:lang w:val="en-US" w:eastAsia="zh-CN"/>
                    </w:rPr>
                    <w:t>,</w:t>
                  </w:r>
                  <w:r>
                    <w:rPr>
                      <w:rFonts w:hint="default" w:ascii="Times New Roman" w:hAnsi="Times New Roman" w:eastAsia="宋体" w:cs="Times New Roman"/>
                      <w:vertAlign w:val="baseline"/>
                      <w:lang w:val="en-US" w:eastAsia="zh-CN"/>
                    </w:rPr>
                    <w:t>3-cd〕芘、萘、铊、锑、锰、锌、石油烃</w:t>
                  </w:r>
                </w:p>
              </w:tc>
            </w:tr>
          </w:tbl>
          <w:p w14:paraId="34F3FA00">
            <w:pPr>
              <w:pStyle w:val="14"/>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监测时间及频率</w:t>
            </w:r>
          </w:p>
          <w:p w14:paraId="091FEFB6">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sz w:val="24"/>
                <w:szCs w:val="24"/>
                <w:highlight w:val="none"/>
                <w:lang w:val="en-US" w:eastAsia="zh-CN"/>
              </w:rPr>
              <w:t>监测采样时间为2026年3月</w:t>
            </w:r>
            <w:r>
              <w:rPr>
                <w:rFonts w:hint="eastAsia"/>
                <w:color w:val="auto"/>
                <w:sz w:val="24"/>
                <w:szCs w:val="24"/>
                <w:highlight w:val="none"/>
                <w:lang w:val="en-US" w:eastAsia="zh-CN"/>
              </w:rPr>
              <w:t>20</w:t>
            </w:r>
            <w:r>
              <w:rPr>
                <w:rFonts w:hint="eastAsia"/>
                <w:sz w:val="24"/>
                <w:szCs w:val="24"/>
                <w:highlight w:val="none"/>
                <w:lang w:val="en-US" w:eastAsia="zh-CN"/>
              </w:rPr>
              <w:t>日，采样1次。</w:t>
            </w:r>
          </w:p>
          <w:p w14:paraId="241B1A0E">
            <w:pPr>
              <w:pStyle w:val="14"/>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采样要求</w:t>
            </w:r>
          </w:p>
          <w:p w14:paraId="1A536128">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表层样的要在0.2m处取样。</w:t>
            </w:r>
          </w:p>
          <w:p w14:paraId="2B2CB16C">
            <w:pPr>
              <w:pStyle w:val="14"/>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监测分析方法及检出限</w:t>
            </w:r>
          </w:p>
          <w:p w14:paraId="64F4826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检测分析方法及检出限见表3-6。</w:t>
            </w:r>
          </w:p>
          <w:p w14:paraId="18B9FF13">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表3-6 检测分析方法及检出限一览表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616"/>
              <w:gridCol w:w="3952"/>
              <w:gridCol w:w="1474"/>
            </w:tblGrid>
            <w:tr w14:paraId="5FAB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Align w:val="center"/>
                </w:tcPr>
                <w:p w14:paraId="608EC0B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类型</w:t>
                  </w:r>
                </w:p>
              </w:tc>
              <w:tc>
                <w:tcPr>
                  <w:tcW w:w="1031" w:type="pct"/>
                  <w:vAlign w:val="center"/>
                </w:tcPr>
                <w:p w14:paraId="73BC547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监测项目</w:t>
                  </w:r>
                </w:p>
              </w:tc>
              <w:tc>
                <w:tcPr>
                  <w:tcW w:w="2521" w:type="pct"/>
                  <w:vAlign w:val="center"/>
                </w:tcPr>
                <w:p w14:paraId="14F6D27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方法名称及标准号</w:t>
                  </w:r>
                </w:p>
              </w:tc>
              <w:tc>
                <w:tcPr>
                  <w:tcW w:w="938" w:type="pct"/>
                  <w:vAlign w:val="center"/>
                </w:tcPr>
                <w:p w14:paraId="3FA38E6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检出限/最低检出浓度</w:t>
                  </w:r>
                </w:p>
              </w:tc>
            </w:tr>
            <w:tr w14:paraId="188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508" w:type="pct"/>
                  <w:vMerge w:val="restart"/>
                  <w:vAlign w:val="center"/>
                </w:tcPr>
                <w:p w14:paraId="2ECF269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土壤和沉积物</w:t>
                  </w:r>
                </w:p>
              </w:tc>
              <w:tc>
                <w:tcPr>
                  <w:tcW w:w="1031" w:type="pct"/>
                  <w:vAlign w:val="center"/>
                </w:tcPr>
                <w:p w14:paraId="5F09184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锰</w:t>
                  </w:r>
                </w:p>
              </w:tc>
              <w:tc>
                <w:tcPr>
                  <w:tcW w:w="2521" w:type="pct"/>
                  <w:vAlign w:val="center"/>
                </w:tcPr>
                <w:p w14:paraId="609AA970">
                  <w:pPr>
                    <w:pStyle w:val="29"/>
                    <w:spacing w:line="295" w:lineRule="exact"/>
                    <w:jc w:val="center"/>
                    <w:rPr>
                      <w:rFonts w:hint="default" w:ascii="Times New Roman" w:hAnsi="Times New Roman" w:eastAsia="宋体" w:cs="Times New Roman"/>
                      <w:color w:val="000000"/>
                      <w:sz w:val="21"/>
                      <w:szCs w:val="21"/>
                      <w:lang w:val="en-US" w:eastAsia="zh-CN" w:bidi="en-US"/>
                    </w:rPr>
                  </w:pPr>
                  <w:r>
                    <w:rPr>
                      <w:rFonts w:hint="default" w:ascii="Times New Roman" w:hAnsi="Times New Roman" w:eastAsia="宋体" w:cs="Times New Roman"/>
                      <w:color w:val="000000"/>
                      <w:sz w:val="21"/>
                      <w:szCs w:val="21"/>
                      <w:lang w:val="en-US" w:eastAsia="zh-CN" w:bidi="en-US"/>
                    </w:rPr>
                    <w:t>土壤和沉积物 11种元素的测定 碱熔-电感耦合等离子体发射光谱法</w:t>
                  </w:r>
                </w:p>
                <w:p w14:paraId="670E0BB5">
                  <w:pPr>
                    <w:pStyle w:val="29"/>
                    <w:spacing w:line="295"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bidi="en-US"/>
                    </w:rPr>
                    <w:t xml:space="preserve"> </w:t>
                  </w:r>
                  <w:r>
                    <w:rPr>
                      <w:rFonts w:hint="default" w:ascii="Times New Roman" w:hAnsi="Times New Roman" w:eastAsia="宋体" w:cs="Times New Roman"/>
                      <w:color w:val="000000"/>
                      <w:sz w:val="21"/>
                      <w:szCs w:val="21"/>
                      <w:lang w:val="en-US" w:eastAsia="en-US" w:bidi="en-US"/>
                    </w:rPr>
                    <w:t>HJ 974-201</w:t>
                  </w:r>
                  <w:r>
                    <w:rPr>
                      <w:rFonts w:hint="default" w:ascii="Times New Roman" w:hAnsi="Times New Roman" w:eastAsia="宋体" w:cs="Times New Roman"/>
                      <w:color w:val="000000"/>
                      <w:sz w:val="21"/>
                      <w:szCs w:val="21"/>
                      <w:lang w:val="en-US" w:eastAsia="zh-CN" w:bidi="en-US"/>
                    </w:rPr>
                    <w:t>8</w:t>
                  </w:r>
                </w:p>
              </w:tc>
              <w:tc>
                <w:tcPr>
                  <w:tcW w:w="938" w:type="pct"/>
                  <w:vAlign w:val="center"/>
                </w:tcPr>
                <w:p w14:paraId="2CD6C52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0.02g/kg</w:t>
                  </w:r>
                </w:p>
              </w:tc>
            </w:tr>
            <w:tr w14:paraId="0235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jc w:val="center"/>
              </w:trPr>
              <w:tc>
                <w:tcPr>
                  <w:tcW w:w="508" w:type="pct"/>
                  <w:vMerge w:val="continue"/>
                  <w:vAlign w:val="center"/>
                </w:tcPr>
                <w:p w14:paraId="007D17A4">
                  <w:pPr>
                    <w:adjustRightInd w:val="0"/>
                    <w:snapToGrid w:val="0"/>
                    <w:jc w:val="center"/>
                    <w:rPr>
                      <w:rFonts w:hint="default" w:ascii="Times New Roman" w:hAnsi="Times New Roman" w:eastAsia="宋体" w:cs="Times New Roman"/>
                      <w:sz w:val="21"/>
                      <w:szCs w:val="21"/>
                      <w:lang w:val="en-US" w:eastAsia="zh-CN"/>
                    </w:rPr>
                  </w:pPr>
                </w:p>
              </w:tc>
              <w:tc>
                <w:tcPr>
                  <w:tcW w:w="1031" w:type="pct"/>
                  <w:vAlign w:val="center"/>
                </w:tcPr>
                <w:p w14:paraId="1AF13DE9">
                  <w:pPr>
                    <w:adjustRightInd w:val="0"/>
                    <w:snapToGrid w:val="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sz w:val="21"/>
                      <w:szCs w:val="21"/>
                      <w:lang w:val="en-US" w:eastAsia="zh-CN"/>
                    </w:rPr>
                    <w:t>锌</w:t>
                  </w:r>
                </w:p>
              </w:tc>
              <w:tc>
                <w:tcPr>
                  <w:tcW w:w="2521" w:type="pct"/>
                  <w:vAlign w:val="center"/>
                </w:tcPr>
                <w:p w14:paraId="74E80B19">
                  <w:pPr>
                    <w:pStyle w:val="29"/>
                    <w:spacing w:line="295" w:lineRule="exact"/>
                    <w:jc w:val="center"/>
                    <w:rPr>
                      <w:rFonts w:hint="default" w:ascii="Times New Roman" w:hAnsi="Times New Roman" w:eastAsia="宋体" w:cs="Times New Roman"/>
                      <w:color w:val="000000"/>
                      <w:sz w:val="21"/>
                      <w:szCs w:val="21"/>
                      <w:lang w:val="en-US" w:eastAsia="zh-CN" w:bidi="en-US"/>
                    </w:rPr>
                  </w:pPr>
                  <w:r>
                    <w:rPr>
                      <w:rFonts w:hint="default" w:ascii="Times New Roman" w:hAnsi="Times New Roman" w:eastAsia="宋体" w:cs="Times New Roman"/>
                      <w:color w:val="000000"/>
                      <w:sz w:val="21"/>
                      <w:szCs w:val="21"/>
                      <w:lang w:val="en-US" w:eastAsia="zh-CN" w:bidi="en-US"/>
                    </w:rPr>
                    <w:t>土壤和沉积物 铜、锌、铅、镍、铬的测定 火焰原子吸收分光光度法</w:t>
                  </w:r>
                </w:p>
                <w:p w14:paraId="4A973C6C">
                  <w:pPr>
                    <w:pStyle w:val="29"/>
                    <w:spacing w:line="295"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z w:val="21"/>
                      <w:szCs w:val="21"/>
                      <w:lang w:val="en-US" w:eastAsia="en-US" w:bidi="en-US"/>
                    </w:rPr>
                    <w:t>HJ 491-2019</w:t>
                  </w:r>
                </w:p>
              </w:tc>
              <w:tc>
                <w:tcPr>
                  <w:tcW w:w="938" w:type="pct"/>
                  <w:vAlign w:val="center"/>
                </w:tcPr>
                <w:p w14:paraId="37F3501D">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z w:val="21"/>
                      <w:szCs w:val="21"/>
                    </w:rPr>
                    <w:t>1mg/kg</w:t>
                  </w:r>
                </w:p>
              </w:tc>
            </w:tr>
            <w:tr w14:paraId="4ADF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508" w:type="pct"/>
                  <w:vMerge w:val="continue"/>
                  <w:vAlign w:val="center"/>
                </w:tcPr>
                <w:p w14:paraId="2ECFF7FB">
                  <w:pPr>
                    <w:adjustRightInd w:val="0"/>
                    <w:snapToGrid w:val="0"/>
                    <w:jc w:val="center"/>
                    <w:rPr>
                      <w:rFonts w:hint="default" w:ascii="Times New Roman" w:hAnsi="Times New Roman" w:eastAsia="宋体" w:cs="Times New Roman"/>
                      <w:sz w:val="21"/>
                      <w:szCs w:val="21"/>
                      <w:lang w:val="en-US" w:eastAsia="zh-CN"/>
                    </w:rPr>
                  </w:pPr>
                </w:p>
              </w:tc>
              <w:tc>
                <w:tcPr>
                  <w:tcW w:w="1031" w:type="pct"/>
                  <w:vAlign w:val="center"/>
                </w:tcPr>
                <w:p w14:paraId="63587C26">
                  <w:pPr>
                    <w:snapToGrid w:val="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pH</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值</w:t>
                  </w:r>
                </w:p>
              </w:tc>
              <w:tc>
                <w:tcPr>
                  <w:tcW w:w="2521" w:type="pct"/>
                  <w:vAlign w:val="center"/>
                </w:tcPr>
                <w:p w14:paraId="5C1FB8A7">
                  <w:pPr>
                    <w:keepNext w:val="0"/>
                    <w:keepLines w:val="0"/>
                    <w:pageBreakBefore w:val="0"/>
                    <w:kinsoku/>
                    <w:wordWrap/>
                    <w:overflowPunct/>
                    <w:topLinePunct w:val="0"/>
                    <w:autoSpaceDE/>
                    <w:autoSpaceDN/>
                    <w:bidi w:val="0"/>
                    <w:spacing w:line="300" w:lineRule="exact"/>
                    <w:jc w:val="center"/>
                    <w:outlineLvl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en-US"/>
                      <w14:textFill>
                        <w14:solidFill>
                          <w14:schemeClr w14:val="tx1"/>
                        </w14:solidFill>
                      </w14:textFill>
                    </w:rPr>
                    <w:t xml:space="preserve">HJ 962-2018 土壤 pH值的测定 电位法 </w:t>
                  </w:r>
                </w:p>
              </w:tc>
              <w:tc>
                <w:tcPr>
                  <w:tcW w:w="938" w:type="pct"/>
                  <w:vAlign w:val="center"/>
                </w:tcPr>
                <w:p w14:paraId="4DEB1B5A">
                  <w:pPr>
                    <w:widowControl/>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14:paraId="6D32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blHeader/>
                <w:jc w:val="center"/>
              </w:trPr>
              <w:tc>
                <w:tcPr>
                  <w:tcW w:w="508" w:type="pct"/>
                  <w:vMerge w:val="continue"/>
                  <w:vAlign w:val="center"/>
                </w:tcPr>
                <w:p w14:paraId="74D28762">
                  <w:pPr>
                    <w:adjustRightInd w:val="0"/>
                    <w:snapToGrid w:val="0"/>
                    <w:jc w:val="center"/>
                    <w:rPr>
                      <w:rFonts w:hint="default" w:ascii="Times New Roman" w:hAnsi="Times New Roman" w:eastAsia="宋体" w:cs="Times New Roman"/>
                      <w:sz w:val="21"/>
                      <w:szCs w:val="21"/>
                      <w:lang w:val="en-US" w:eastAsia="zh-CN"/>
                    </w:rPr>
                  </w:pPr>
                </w:p>
              </w:tc>
              <w:tc>
                <w:tcPr>
                  <w:tcW w:w="1031" w:type="pct"/>
                  <w:shd w:val="clear" w:color="auto" w:fill="auto"/>
                  <w:vAlign w:val="center"/>
                </w:tcPr>
                <w:p w14:paraId="194B8BC6">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*砷</w:t>
                  </w:r>
                </w:p>
              </w:tc>
              <w:tc>
                <w:tcPr>
                  <w:tcW w:w="2521" w:type="pct"/>
                  <w:shd w:val="clear" w:color="auto" w:fill="auto"/>
                  <w:vAlign w:val="center"/>
                </w:tcPr>
                <w:p w14:paraId="5E5CD187">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GB/T 22105.2-2008 土壤质量 总汞、总砷、总铅的测定 原子荧光法 第2部分：土壤中总砷的测定</w:t>
                  </w:r>
                </w:p>
              </w:tc>
              <w:tc>
                <w:tcPr>
                  <w:tcW w:w="938" w:type="pct"/>
                  <w:shd w:val="clear" w:color="auto" w:fill="auto"/>
                  <w:vAlign w:val="center"/>
                </w:tcPr>
                <w:p w14:paraId="69700992">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0.01mg/kg</w:t>
                  </w:r>
                </w:p>
              </w:tc>
            </w:tr>
            <w:tr w14:paraId="5B41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5034260B">
                  <w:pPr>
                    <w:adjustRightInd w:val="0"/>
                    <w:snapToGrid w:val="0"/>
                    <w:jc w:val="center"/>
                    <w:rPr>
                      <w:rFonts w:hint="default" w:ascii="Times New Roman" w:hAnsi="Times New Roman" w:eastAsia="宋体" w:cs="Times New Roman"/>
                      <w:sz w:val="21"/>
                      <w:szCs w:val="21"/>
                    </w:rPr>
                  </w:pPr>
                </w:p>
              </w:tc>
              <w:tc>
                <w:tcPr>
                  <w:tcW w:w="1031" w:type="pct"/>
                  <w:vAlign w:val="center"/>
                </w:tcPr>
                <w:p w14:paraId="3AA0374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*镉</w:t>
                  </w:r>
                </w:p>
              </w:tc>
              <w:tc>
                <w:tcPr>
                  <w:tcW w:w="2521" w:type="pct"/>
                  <w:vMerge w:val="restart"/>
                  <w:vAlign w:val="center"/>
                </w:tcPr>
                <w:p w14:paraId="537A1BB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GB/T 17141-1997 土壤质量 铅、镉的测定 </w:t>
                  </w:r>
                </w:p>
                <w:p w14:paraId="5511A07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石墨炉原子吸收分光光度法</w:t>
                  </w:r>
                </w:p>
              </w:tc>
              <w:tc>
                <w:tcPr>
                  <w:tcW w:w="938" w:type="pct"/>
                  <w:vAlign w:val="center"/>
                </w:tcPr>
                <w:p w14:paraId="2251BA0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0.01mg/kg</w:t>
                  </w:r>
                </w:p>
              </w:tc>
            </w:tr>
            <w:tr w14:paraId="2743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E6EE60D">
                  <w:pPr>
                    <w:adjustRightInd w:val="0"/>
                    <w:snapToGrid w:val="0"/>
                    <w:jc w:val="center"/>
                    <w:rPr>
                      <w:rFonts w:hint="default" w:ascii="Times New Roman" w:hAnsi="Times New Roman" w:eastAsia="宋体" w:cs="Times New Roman"/>
                      <w:sz w:val="21"/>
                      <w:szCs w:val="21"/>
                    </w:rPr>
                  </w:pPr>
                </w:p>
              </w:tc>
              <w:tc>
                <w:tcPr>
                  <w:tcW w:w="1031" w:type="pct"/>
                  <w:vAlign w:val="center"/>
                </w:tcPr>
                <w:p w14:paraId="5CB65B9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*铅</w:t>
                  </w:r>
                </w:p>
              </w:tc>
              <w:tc>
                <w:tcPr>
                  <w:tcW w:w="2521" w:type="pct"/>
                  <w:vMerge w:val="continue"/>
                  <w:vAlign w:val="center"/>
                </w:tcPr>
                <w:p w14:paraId="34FA2FBF">
                  <w:pPr>
                    <w:jc w:val="center"/>
                    <w:rPr>
                      <w:rFonts w:hint="default" w:ascii="Times New Roman" w:hAnsi="Times New Roman" w:eastAsia="宋体" w:cs="Times New Roman"/>
                      <w:sz w:val="21"/>
                      <w:szCs w:val="21"/>
                    </w:rPr>
                  </w:pPr>
                </w:p>
              </w:tc>
              <w:tc>
                <w:tcPr>
                  <w:tcW w:w="938" w:type="pct"/>
                  <w:vAlign w:val="center"/>
                </w:tcPr>
                <w:p w14:paraId="06CD59D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1D0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5BC7E7CA">
                  <w:pPr>
                    <w:adjustRightInd w:val="0"/>
                    <w:snapToGrid w:val="0"/>
                    <w:jc w:val="center"/>
                    <w:rPr>
                      <w:rFonts w:hint="default" w:ascii="Times New Roman" w:hAnsi="Times New Roman" w:eastAsia="宋体" w:cs="Times New Roman"/>
                      <w:sz w:val="21"/>
                      <w:szCs w:val="21"/>
                    </w:rPr>
                  </w:pPr>
                </w:p>
              </w:tc>
              <w:tc>
                <w:tcPr>
                  <w:tcW w:w="1031" w:type="pct"/>
                  <w:vAlign w:val="center"/>
                </w:tcPr>
                <w:p w14:paraId="19BB564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*铬（六价）</w:t>
                  </w:r>
                </w:p>
              </w:tc>
              <w:tc>
                <w:tcPr>
                  <w:tcW w:w="2521" w:type="pct"/>
                  <w:vAlign w:val="center"/>
                </w:tcPr>
                <w:p w14:paraId="1E095A9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1082-2019 土壤和沉积物 六价铬的测定 碱溶液提取-火焰原子吸收分光光度法</w:t>
                  </w:r>
                </w:p>
              </w:tc>
              <w:tc>
                <w:tcPr>
                  <w:tcW w:w="938" w:type="pct"/>
                  <w:vAlign w:val="center"/>
                </w:tcPr>
                <w:p w14:paraId="4DD08B6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0.5mg/kg</w:t>
                  </w:r>
                </w:p>
              </w:tc>
            </w:tr>
            <w:tr w14:paraId="34D5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0171A1C">
                  <w:pPr>
                    <w:adjustRightInd w:val="0"/>
                    <w:snapToGrid w:val="0"/>
                    <w:jc w:val="center"/>
                    <w:rPr>
                      <w:rFonts w:hint="default" w:ascii="Times New Roman" w:hAnsi="Times New Roman" w:eastAsia="宋体" w:cs="Times New Roman"/>
                      <w:sz w:val="21"/>
                      <w:szCs w:val="21"/>
                    </w:rPr>
                  </w:pPr>
                </w:p>
              </w:tc>
              <w:tc>
                <w:tcPr>
                  <w:tcW w:w="1031" w:type="pct"/>
                  <w:vAlign w:val="center"/>
                </w:tcPr>
                <w:p w14:paraId="7F5E109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*铜</w:t>
                  </w:r>
                </w:p>
              </w:tc>
              <w:tc>
                <w:tcPr>
                  <w:tcW w:w="2521" w:type="pct"/>
                  <w:vMerge w:val="restart"/>
                  <w:vAlign w:val="center"/>
                </w:tcPr>
                <w:p w14:paraId="4ACE8A7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491-2019 土壤和沉积物 铜、锌、铅、镍、铬的测定 火焰原子吸收分光光度法</w:t>
                  </w:r>
                </w:p>
              </w:tc>
              <w:tc>
                <w:tcPr>
                  <w:tcW w:w="938" w:type="pct"/>
                  <w:vAlign w:val="center"/>
                </w:tcPr>
                <w:p w14:paraId="111EEBD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1mg/kg</w:t>
                  </w:r>
                </w:p>
              </w:tc>
            </w:tr>
            <w:tr w14:paraId="046A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61A8715">
                  <w:pPr>
                    <w:adjustRightInd w:val="0"/>
                    <w:snapToGrid w:val="0"/>
                    <w:jc w:val="center"/>
                    <w:rPr>
                      <w:rFonts w:hint="default" w:ascii="Times New Roman" w:hAnsi="Times New Roman" w:eastAsia="宋体" w:cs="Times New Roman"/>
                      <w:sz w:val="21"/>
                      <w:szCs w:val="21"/>
                    </w:rPr>
                  </w:pPr>
                </w:p>
              </w:tc>
              <w:tc>
                <w:tcPr>
                  <w:tcW w:w="1031" w:type="pct"/>
                  <w:vAlign w:val="center"/>
                </w:tcPr>
                <w:p w14:paraId="2F43D8F0">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*镍</w:t>
                  </w:r>
                </w:p>
              </w:tc>
              <w:tc>
                <w:tcPr>
                  <w:tcW w:w="2521" w:type="pct"/>
                  <w:vMerge w:val="continue"/>
                  <w:vAlign w:val="center"/>
                </w:tcPr>
                <w:p w14:paraId="6E3CABBB">
                  <w:pPr>
                    <w:jc w:val="center"/>
                    <w:rPr>
                      <w:rFonts w:hint="default" w:ascii="Times New Roman" w:hAnsi="Times New Roman" w:eastAsia="宋体" w:cs="Times New Roman"/>
                      <w:sz w:val="21"/>
                      <w:szCs w:val="21"/>
                    </w:rPr>
                  </w:pPr>
                </w:p>
              </w:tc>
              <w:tc>
                <w:tcPr>
                  <w:tcW w:w="938" w:type="pct"/>
                  <w:vAlign w:val="center"/>
                </w:tcPr>
                <w:p w14:paraId="549B4DB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3mg/kg</w:t>
                  </w:r>
                </w:p>
              </w:tc>
            </w:tr>
            <w:tr w14:paraId="239D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78CE0F4A">
                  <w:pPr>
                    <w:adjustRightInd w:val="0"/>
                    <w:snapToGrid w:val="0"/>
                    <w:jc w:val="center"/>
                    <w:rPr>
                      <w:rFonts w:hint="default" w:ascii="Times New Roman" w:hAnsi="Times New Roman" w:eastAsia="宋体" w:cs="Times New Roman"/>
                      <w:sz w:val="21"/>
                      <w:szCs w:val="21"/>
                    </w:rPr>
                  </w:pPr>
                </w:p>
              </w:tc>
              <w:tc>
                <w:tcPr>
                  <w:tcW w:w="1031" w:type="pct"/>
                  <w:vAlign w:val="center"/>
                </w:tcPr>
                <w:p w14:paraId="51C696C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*汞</w:t>
                  </w:r>
                </w:p>
              </w:tc>
              <w:tc>
                <w:tcPr>
                  <w:tcW w:w="2521" w:type="pct"/>
                  <w:vAlign w:val="center"/>
                </w:tcPr>
                <w:p w14:paraId="0ECCE01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GB/T 22105.1-2008 土壤质量 总汞、总砷、总铅的测定 原子荧光法 </w:t>
                  </w:r>
                </w:p>
                <w:p w14:paraId="247B068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第1部分：土壤中总汞的测定</w:t>
                  </w:r>
                </w:p>
              </w:tc>
              <w:tc>
                <w:tcPr>
                  <w:tcW w:w="938" w:type="pct"/>
                  <w:vAlign w:val="center"/>
                </w:tcPr>
                <w:p w14:paraId="17D5F03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0.002mg/kg</w:t>
                  </w:r>
                </w:p>
              </w:tc>
            </w:tr>
            <w:tr w14:paraId="57F5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418B879">
                  <w:pPr>
                    <w:adjustRightInd w:val="0"/>
                    <w:snapToGrid w:val="0"/>
                    <w:jc w:val="center"/>
                    <w:rPr>
                      <w:rFonts w:hint="default" w:ascii="Times New Roman" w:hAnsi="Times New Roman" w:eastAsia="宋体" w:cs="Times New Roman"/>
                      <w:sz w:val="21"/>
                      <w:szCs w:val="21"/>
                    </w:rPr>
                  </w:pPr>
                </w:p>
              </w:tc>
              <w:tc>
                <w:tcPr>
                  <w:tcW w:w="1031" w:type="pct"/>
                  <w:vAlign w:val="center"/>
                </w:tcPr>
                <w:p w14:paraId="5EC5CC03">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四氯化碳</w:t>
                  </w:r>
                </w:p>
              </w:tc>
              <w:tc>
                <w:tcPr>
                  <w:tcW w:w="2521" w:type="pct"/>
                  <w:vMerge w:val="restart"/>
                  <w:vAlign w:val="center"/>
                </w:tcPr>
                <w:p w14:paraId="76847DC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605-2011 土壤和沉积物 挥发性有机物的测定 吹扫捕集-气相色谱-质谱法</w:t>
                  </w:r>
                </w:p>
              </w:tc>
              <w:tc>
                <w:tcPr>
                  <w:tcW w:w="938" w:type="pct"/>
                  <w:vAlign w:val="center"/>
                </w:tcPr>
                <w:p w14:paraId="1D9399F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μg/kg</w:t>
                  </w:r>
                </w:p>
              </w:tc>
            </w:tr>
            <w:tr w14:paraId="3AC9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420A4D9">
                  <w:pPr>
                    <w:adjustRightInd w:val="0"/>
                    <w:snapToGrid w:val="0"/>
                    <w:jc w:val="center"/>
                    <w:rPr>
                      <w:rFonts w:hint="default" w:ascii="Times New Roman" w:hAnsi="Times New Roman" w:eastAsia="宋体" w:cs="Times New Roman"/>
                      <w:sz w:val="21"/>
                      <w:szCs w:val="21"/>
                    </w:rPr>
                  </w:pPr>
                </w:p>
              </w:tc>
              <w:tc>
                <w:tcPr>
                  <w:tcW w:w="1031" w:type="pct"/>
                  <w:vAlign w:val="center"/>
                </w:tcPr>
                <w:p w14:paraId="378859A9">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*氯仿</w:t>
                  </w:r>
                </w:p>
              </w:tc>
              <w:tc>
                <w:tcPr>
                  <w:tcW w:w="2521" w:type="pct"/>
                  <w:vMerge w:val="continue"/>
                  <w:vAlign w:val="center"/>
                </w:tcPr>
                <w:p w14:paraId="63A45D57">
                  <w:pPr>
                    <w:jc w:val="center"/>
                    <w:rPr>
                      <w:rFonts w:hint="default" w:ascii="Times New Roman" w:hAnsi="Times New Roman" w:eastAsia="宋体" w:cs="Times New Roman"/>
                      <w:sz w:val="21"/>
                      <w:szCs w:val="21"/>
                    </w:rPr>
                  </w:pPr>
                </w:p>
              </w:tc>
              <w:tc>
                <w:tcPr>
                  <w:tcW w:w="938" w:type="pct"/>
                  <w:vAlign w:val="center"/>
                </w:tcPr>
                <w:p w14:paraId="2DB3924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μg/kg</w:t>
                  </w:r>
                </w:p>
              </w:tc>
            </w:tr>
            <w:tr w14:paraId="4FEC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033899A">
                  <w:pPr>
                    <w:adjustRightInd w:val="0"/>
                    <w:snapToGrid w:val="0"/>
                    <w:jc w:val="center"/>
                    <w:rPr>
                      <w:rFonts w:hint="default" w:ascii="Times New Roman" w:hAnsi="Times New Roman" w:eastAsia="宋体" w:cs="Times New Roman"/>
                      <w:sz w:val="21"/>
                      <w:szCs w:val="21"/>
                    </w:rPr>
                  </w:pPr>
                </w:p>
              </w:tc>
              <w:tc>
                <w:tcPr>
                  <w:tcW w:w="1031" w:type="pct"/>
                  <w:vAlign w:val="center"/>
                </w:tcPr>
                <w:p w14:paraId="76DFA3D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*氯甲烷</w:t>
                  </w:r>
                </w:p>
              </w:tc>
              <w:tc>
                <w:tcPr>
                  <w:tcW w:w="2521" w:type="pct"/>
                  <w:vMerge w:val="continue"/>
                  <w:vAlign w:val="center"/>
                </w:tcPr>
                <w:p w14:paraId="676D6AE7">
                  <w:pPr>
                    <w:jc w:val="center"/>
                    <w:rPr>
                      <w:rFonts w:hint="default" w:ascii="Times New Roman" w:hAnsi="Times New Roman" w:eastAsia="宋体" w:cs="Times New Roman"/>
                      <w:sz w:val="21"/>
                      <w:szCs w:val="21"/>
                    </w:rPr>
                  </w:pPr>
                </w:p>
              </w:tc>
              <w:tc>
                <w:tcPr>
                  <w:tcW w:w="938" w:type="pct"/>
                  <w:vAlign w:val="center"/>
                </w:tcPr>
                <w:p w14:paraId="1A6AFE1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μg/kg</w:t>
                  </w:r>
                </w:p>
              </w:tc>
            </w:tr>
            <w:tr w14:paraId="7861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6A6E74B">
                  <w:pPr>
                    <w:adjustRightInd w:val="0"/>
                    <w:snapToGrid w:val="0"/>
                    <w:jc w:val="center"/>
                    <w:rPr>
                      <w:rFonts w:hint="default" w:ascii="Times New Roman" w:hAnsi="Times New Roman" w:eastAsia="宋体" w:cs="Times New Roman"/>
                      <w:sz w:val="21"/>
                      <w:szCs w:val="21"/>
                    </w:rPr>
                  </w:pPr>
                </w:p>
              </w:tc>
              <w:tc>
                <w:tcPr>
                  <w:tcW w:w="1031" w:type="pct"/>
                  <w:vAlign w:val="center"/>
                </w:tcPr>
                <w:p w14:paraId="363BB1A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*1,1-二氯乙烷</w:t>
                  </w:r>
                </w:p>
              </w:tc>
              <w:tc>
                <w:tcPr>
                  <w:tcW w:w="2521" w:type="pct"/>
                  <w:vMerge w:val="continue"/>
                  <w:vAlign w:val="center"/>
                </w:tcPr>
                <w:p w14:paraId="0CA9110C">
                  <w:pPr>
                    <w:jc w:val="center"/>
                    <w:rPr>
                      <w:rFonts w:hint="default" w:ascii="Times New Roman" w:hAnsi="Times New Roman" w:eastAsia="宋体" w:cs="Times New Roman"/>
                      <w:sz w:val="21"/>
                      <w:szCs w:val="21"/>
                    </w:rPr>
                  </w:pPr>
                </w:p>
              </w:tc>
              <w:tc>
                <w:tcPr>
                  <w:tcW w:w="938" w:type="pct"/>
                  <w:vAlign w:val="center"/>
                </w:tcPr>
                <w:p w14:paraId="71BBE45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325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0551A38">
                  <w:pPr>
                    <w:adjustRightInd w:val="0"/>
                    <w:snapToGrid w:val="0"/>
                    <w:jc w:val="center"/>
                    <w:rPr>
                      <w:rFonts w:hint="default" w:ascii="Times New Roman" w:hAnsi="Times New Roman" w:eastAsia="宋体" w:cs="Times New Roman"/>
                      <w:sz w:val="21"/>
                      <w:szCs w:val="21"/>
                    </w:rPr>
                  </w:pPr>
                </w:p>
              </w:tc>
              <w:tc>
                <w:tcPr>
                  <w:tcW w:w="1031" w:type="pct"/>
                  <w:vAlign w:val="center"/>
                </w:tcPr>
                <w:p w14:paraId="620855D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*1,2-二氯乙烷</w:t>
                  </w:r>
                </w:p>
              </w:tc>
              <w:tc>
                <w:tcPr>
                  <w:tcW w:w="2521" w:type="pct"/>
                  <w:vMerge w:val="continue"/>
                  <w:vAlign w:val="center"/>
                </w:tcPr>
                <w:p w14:paraId="3F791B9F">
                  <w:pPr>
                    <w:jc w:val="center"/>
                    <w:rPr>
                      <w:rFonts w:hint="default" w:ascii="Times New Roman" w:hAnsi="Times New Roman" w:eastAsia="宋体" w:cs="Times New Roman"/>
                      <w:sz w:val="21"/>
                      <w:szCs w:val="21"/>
                    </w:rPr>
                  </w:pPr>
                </w:p>
              </w:tc>
              <w:tc>
                <w:tcPr>
                  <w:tcW w:w="938" w:type="pct"/>
                  <w:vAlign w:val="center"/>
                </w:tcPr>
                <w:p w14:paraId="70D6AC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μg/kg</w:t>
                  </w:r>
                </w:p>
              </w:tc>
            </w:tr>
            <w:tr w14:paraId="75E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8873DA5">
                  <w:pPr>
                    <w:adjustRightInd w:val="0"/>
                    <w:snapToGrid w:val="0"/>
                    <w:jc w:val="center"/>
                    <w:rPr>
                      <w:rFonts w:hint="default" w:ascii="Times New Roman" w:hAnsi="Times New Roman" w:eastAsia="宋体" w:cs="Times New Roman"/>
                      <w:sz w:val="21"/>
                      <w:szCs w:val="21"/>
                    </w:rPr>
                  </w:pPr>
                </w:p>
              </w:tc>
              <w:tc>
                <w:tcPr>
                  <w:tcW w:w="1031" w:type="pct"/>
                  <w:vAlign w:val="center"/>
                </w:tcPr>
                <w:p w14:paraId="2521EA9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*1,1-二氯乙烯</w:t>
                  </w:r>
                </w:p>
              </w:tc>
              <w:tc>
                <w:tcPr>
                  <w:tcW w:w="2521" w:type="pct"/>
                  <w:vMerge w:val="continue"/>
                  <w:vAlign w:val="center"/>
                </w:tcPr>
                <w:p w14:paraId="18603F76">
                  <w:pPr>
                    <w:jc w:val="center"/>
                    <w:rPr>
                      <w:rFonts w:hint="default" w:ascii="Times New Roman" w:hAnsi="Times New Roman" w:eastAsia="宋体" w:cs="Times New Roman"/>
                      <w:sz w:val="21"/>
                      <w:szCs w:val="21"/>
                    </w:rPr>
                  </w:pPr>
                </w:p>
              </w:tc>
              <w:tc>
                <w:tcPr>
                  <w:tcW w:w="938" w:type="pct"/>
                  <w:vAlign w:val="center"/>
                </w:tcPr>
                <w:p w14:paraId="28F9640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μg/kg</w:t>
                  </w:r>
                </w:p>
              </w:tc>
            </w:tr>
            <w:tr w14:paraId="69F3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D61AC0F">
                  <w:pPr>
                    <w:adjustRightInd w:val="0"/>
                    <w:snapToGrid w:val="0"/>
                    <w:jc w:val="center"/>
                    <w:rPr>
                      <w:rFonts w:hint="default" w:ascii="Times New Roman" w:hAnsi="Times New Roman" w:eastAsia="宋体" w:cs="Times New Roman"/>
                      <w:sz w:val="21"/>
                      <w:szCs w:val="21"/>
                    </w:rPr>
                  </w:pPr>
                </w:p>
              </w:tc>
              <w:tc>
                <w:tcPr>
                  <w:tcW w:w="1031" w:type="pct"/>
                  <w:vAlign w:val="center"/>
                </w:tcPr>
                <w:p w14:paraId="48F35EA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*顺-1,2-二氯乙烯</w:t>
                  </w:r>
                </w:p>
              </w:tc>
              <w:tc>
                <w:tcPr>
                  <w:tcW w:w="2521" w:type="pct"/>
                  <w:vMerge w:val="continue"/>
                  <w:vAlign w:val="center"/>
                </w:tcPr>
                <w:p w14:paraId="2E28EA26">
                  <w:pPr>
                    <w:jc w:val="center"/>
                    <w:rPr>
                      <w:rFonts w:hint="default" w:ascii="Times New Roman" w:hAnsi="Times New Roman" w:eastAsia="宋体" w:cs="Times New Roman"/>
                      <w:sz w:val="21"/>
                      <w:szCs w:val="21"/>
                    </w:rPr>
                  </w:pPr>
                </w:p>
              </w:tc>
              <w:tc>
                <w:tcPr>
                  <w:tcW w:w="938" w:type="pct"/>
                  <w:vAlign w:val="center"/>
                </w:tcPr>
                <w:p w14:paraId="263551B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μg/kg</w:t>
                  </w:r>
                </w:p>
              </w:tc>
            </w:tr>
            <w:tr w14:paraId="4B61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73B5274">
                  <w:pPr>
                    <w:adjustRightInd w:val="0"/>
                    <w:snapToGrid w:val="0"/>
                    <w:jc w:val="center"/>
                    <w:rPr>
                      <w:rFonts w:hint="default" w:ascii="Times New Roman" w:hAnsi="Times New Roman" w:eastAsia="宋体" w:cs="Times New Roman"/>
                      <w:sz w:val="21"/>
                      <w:szCs w:val="21"/>
                    </w:rPr>
                  </w:pPr>
                </w:p>
              </w:tc>
              <w:tc>
                <w:tcPr>
                  <w:tcW w:w="1031" w:type="pct"/>
                  <w:vAlign w:val="center"/>
                </w:tcPr>
                <w:p w14:paraId="480C031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*反-1,2-二氯乙烯</w:t>
                  </w:r>
                </w:p>
              </w:tc>
              <w:tc>
                <w:tcPr>
                  <w:tcW w:w="2521" w:type="pct"/>
                  <w:vMerge w:val="continue"/>
                  <w:vAlign w:val="center"/>
                </w:tcPr>
                <w:p w14:paraId="67465B18">
                  <w:pPr>
                    <w:jc w:val="center"/>
                    <w:rPr>
                      <w:rFonts w:hint="default" w:ascii="Times New Roman" w:hAnsi="Times New Roman" w:eastAsia="宋体" w:cs="Times New Roman"/>
                      <w:sz w:val="21"/>
                      <w:szCs w:val="21"/>
                    </w:rPr>
                  </w:pPr>
                </w:p>
              </w:tc>
              <w:tc>
                <w:tcPr>
                  <w:tcW w:w="938" w:type="pct"/>
                  <w:vAlign w:val="center"/>
                </w:tcPr>
                <w:p w14:paraId="7F6194A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μg/kg</w:t>
                  </w:r>
                </w:p>
              </w:tc>
            </w:tr>
            <w:tr w14:paraId="2D17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56A51031">
                  <w:pPr>
                    <w:adjustRightInd w:val="0"/>
                    <w:snapToGrid w:val="0"/>
                    <w:jc w:val="center"/>
                    <w:rPr>
                      <w:rFonts w:hint="default" w:ascii="Times New Roman" w:hAnsi="Times New Roman" w:eastAsia="宋体" w:cs="Times New Roman"/>
                      <w:sz w:val="21"/>
                      <w:szCs w:val="21"/>
                    </w:rPr>
                  </w:pPr>
                </w:p>
              </w:tc>
              <w:tc>
                <w:tcPr>
                  <w:tcW w:w="1031" w:type="pct"/>
                  <w:vAlign w:val="center"/>
                </w:tcPr>
                <w:p w14:paraId="19A0040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*二氯甲烷</w:t>
                  </w:r>
                </w:p>
              </w:tc>
              <w:tc>
                <w:tcPr>
                  <w:tcW w:w="2521" w:type="pct"/>
                  <w:vMerge w:val="continue"/>
                  <w:vAlign w:val="center"/>
                </w:tcPr>
                <w:p w14:paraId="1F46B46A">
                  <w:pPr>
                    <w:jc w:val="center"/>
                    <w:rPr>
                      <w:rFonts w:hint="default" w:ascii="Times New Roman" w:hAnsi="Times New Roman" w:eastAsia="宋体" w:cs="Times New Roman"/>
                      <w:sz w:val="21"/>
                      <w:szCs w:val="21"/>
                    </w:rPr>
                  </w:pPr>
                </w:p>
              </w:tc>
              <w:tc>
                <w:tcPr>
                  <w:tcW w:w="938" w:type="pct"/>
                  <w:vAlign w:val="center"/>
                </w:tcPr>
                <w:p w14:paraId="66AB0FC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μg/kg</w:t>
                  </w:r>
                </w:p>
              </w:tc>
            </w:tr>
            <w:tr w14:paraId="401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900FC29">
                  <w:pPr>
                    <w:adjustRightInd w:val="0"/>
                    <w:snapToGrid w:val="0"/>
                    <w:jc w:val="center"/>
                    <w:rPr>
                      <w:rFonts w:hint="default" w:ascii="Times New Roman" w:hAnsi="Times New Roman" w:eastAsia="宋体" w:cs="Times New Roman"/>
                      <w:sz w:val="21"/>
                      <w:szCs w:val="21"/>
                    </w:rPr>
                  </w:pPr>
                </w:p>
              </w:tc>
              <w:tc>
                <w:tcPr>
                  <w:tcW w:w="1031" w:type="pct"/>
                  <w:vAlign w:val="center"/>
                </w:tcPr>
                <w:p w14:paraId="38CCD913">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*1,2-二氯丙烷</w:t>
                  </w:r>
                </w:p>
              </w:tc>
              <w:tc>
                <w:tcPr>
                  <w:tcW w:w="2521" w:type="pct"/>
                  <w:vMerge w:val="continue"/>
                  <w:vAlign w:val="center"/>
                </w:tcPr>
                <w:p w14:paraId="7AB440A2">
                  <w:pPr>
                    <w:jc w:val="center"/>
                    <w:rPr>
                      <w:rFonts w:hint="default" w:ascii="Times New Roman" w:hAnsi="Times New Roman" w:eastAsia="宋体" w:cs="Times New Roman"/>
                      <w:sz w:val="21"/>
                      <w:szCs w:val="21"/>
                    </w:rPr>
                  </w:pPr>
                </w:p>
              </w:tc>
              <w:tc>
                <w:tcPr>
                  <w:tcW w:w="938" w:type="pct"/>
                  <w:vAlign w:val="center"/>
                </w:tcPr>
                <w:p w14:paraId="5C629CB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μg/kg</w:t>
                  </w:r>
                </w:p>
              </w:tc>
            </w:tr>
            <w:tr w14:paraId="75C1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72B87F5">
                  <w:pPr>
                    <w:adjustRightInd w:val="0"/>
                    <w:snapToGrid w:val="0"/>
                    <w:jc w:val="center"/>
                    <w:rPr>
                      <w:rFonts w:hint="default" w:ascii="Times New Roman" w:hAnsi="Times New Roman" w:eastAsia="宋体" w:cs="Times New Roman"/>
                      <w:sz w:val="21"/>
                      <w:szCs w:val="21"/>
                    </w:rPr>
                  </w:pPr>
                </w:p>
              </w:tc>
              <w:tc>
                <w:tcPr>
                  <w:tcW w:w="1031" w:type="pct"/>
                  <w:vAlign w:val="center"/>
                </w:tcPr>
                <w:p w14:paraId="744C835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*1,1,1,2-四氯乙烷</w:t>
                  </w:r>
                </w:p>
              </w:tc>
              <w:tc>
                <w:tcPr>
                  <w:tcW w:w="2521" w:type="pct"/>
                  <w:vMerge w:val="continue"/>
                  <w:vAlign w:val="center"/>
                </w:tcPr>
                <w:p w14:paraId="0CACA383">
                  <w:pPr>
                    <w:jc w:val="center"/>
                    <w:rPr>
                      <w:rFonts w:hint="default" w:ascii="Times New Roman" w:hAnsi="Times New Roman" w:eastAsia="宋体" w:cs="Times New Roman"/>
                      <w:sz w:val="21"/>
                      <w:szCs w:val="21"/>
                    </w:rPr>
                  </w:pPr>
                </w:p>
              </w:tc>
              <w:tc>
                <w:tcPr>
                  <w:tcW w:w="938" w:type="pct"/>
                  <w:vAlign w:val="center"/>
                </w:tcPr>
                <w:p w14:paraId="039B5F6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3D5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665D48F">
                  <w:pPr>
                    <w:adjustRightInd w:val="0"/>
                    <w:snapToGrid w:val="0"/>
                    <w:jc w:val="center"/>
                    <w:rPr>
                      <w:rFonts w:hint="default" w:ascii="Times New Roman" w:hAnsi="Times New Roman" w:eastAsia="宋体" w:cs="Times New Roman"/>
                      <w:sz w:val="21"/>
                      <w:szCs w:val="21"/>
                    </w:rPr>
                  </w:pPr>
                </w:p>
              </w:tc>
              <w:tc>
                <w:tcPr>
                  <w:tcW w:w="1031" w:type="pct"/>
                  <w:vAlign w:val="center"/>
                </w:tcPr>
                <w:p w14:paraId="3FA7639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*1,1,2,2-四氯乙烷</w:t>
                  </w:r>
                </w:p>
              </w:tc>
              <w:tc>
                <w:tcPr>
                  <w:tcW w:w="2521" w:type="pct"/>
                  <w:vMerge w:val="continue"/>
                  <w:vAlign w:val="center"/>
                </w:tcPr>
                <w:p w14:paraId="72524BE6">
                  <w:pPr>
                    <w:jc w:val="center"/>
                    <w:rPr>
                      <w:rFonts w:hint="default" w:ascii="Times New Roman" w:hAnsi="Times New Roman" w:eastAsia="宋体" w:cs="Times New Roman"/>
                      <w:sz w:val="21"/>
                      <w:szCs w:val="21"/>
                    </w:rPr>
                  </w:pPr>
                </w:p>
              </w:tc>
              <w:tc>
                <w:tcPr>
                  <w:tcW w:w="938" w:type="pct"/>
                  <w:vAlign w:val="center"/>
                </w:tcPr>
                <w:p w14:paraId="12CE6A4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37F6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5688E29">
                  <w:pPr>
                    <w:adjustRightInd w:val="0"/>
                    <w:snapToGrid w:val="0"/>
                    <w:jc w:val="center"/>
                    <w:rPr>
                      <w:rFonts w:hint="default" w:ascii="Times New Roman" w:hAnsi="Times New Roman" w:eastAsia="宋体" w:cs="Times New Roman"/>
                      <w:sz w:val="21"/>
                      <w:szCs w:val="21"/>
                    </w:rPr>
                  </w:pPr>
                </w:p>
              </w:tc>
              <w:tc>
                <w:tcPr>
                  <w:tcW w:w="1031" w:type="pct"/>
                  <w:vAlign w:val="center"/>
                </w:tcPr>
                <w:p w14:paraId="49543769">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*四氯乙烯</w:t>
                  </w:r>
                </w:p>
              </w:tc>
              <w:tc>
                <w:tcPr>
                  <w:tcW w:w="2521" w:type="pct"/>
                  <w:vMerge w:val="continue"/>
                  <w:vAlign w:val="center"/>
                </w:tcPr>
                <w:p w14:paraId="43CC5F34">
                  <w:pPr>
                    <w:jc w:val="center"/>
                    <w:rPr>
                      <w:rFonts w:hint="default" w:ascii="Times New Roman" w:hAnsi="Times New Roman" w:eastAsia="宋体" w:cs="Times New Roman"/>
                      <w:sz w:val="21"/>
                      <w:szCs w:val="21"/>
                    </w:rPr>
                  </w:pPr>
                </w:p>
              </w:tc>
              <w:tc>
                <w:tcPr>
                  <w:tcW w:w="938" w:type="pct"/>
                  <w:vAlign w:val="center"/>
                </w:tcPr>
                <w:p w14:paraId="34C4DC3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μg/kg</w:t>
                  </w:r>
                </w:p>
              </w:tc>
            </w:tr>
            <w:tr w14:paraId="190D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34C87C6">
                  <w:pPr>
                    <w:adjustRightInd w:val="0"/>
                    <w:snapToGrid w:val="0"/>
                    <w:jc w:val="center"/>
                    <w:rPr>
                      <w:rFonts w:hint="default" w:ascii="Times New Roman" w:hAnsi="Times New Roman" w:eastAsia="宋体" w:cs="Times New Roman"/>
                      <w:sz w:val="21"/>
                      <w:szCs w:val="21"/>
                    </w:rPr>
                  </w:pPr>
                </w:p>
              </w:tc>
              <w:tc>
                <w:tcPr>
                  <w:tcW w:w="1031" w:type="pct"/>
                  <w:vAlign w:val="center"/>
                </w:tcPr>
                <w:p w14:paraId="61CA335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*1,1,1-三氯乙烷</w:t>
                  </w:r>
                </w:p>
              </w:tc>
              <w:tc>
                <w:tcPr>
                  <w:tcW w:w="2521" w:type="pct"/>
                  <w:vMerge w:val="continue"/>
                  <w:vAlign w:val="center"/>
                </w:tcPr>
                <w:p w14:paraId="3952854D">
                  <w:pPr>
                    <w:jc w:val="center"/>
                    <w:rPr>
                      <w:rFonts w:hint="default" w:ascii="Times New Roman" w:hAnsi="Times New Roman" w:eastAsia="宋体" w:cs="Times New Roman"/>
                      <w:sz w:val="21"/>
                      <w:szCs w:val="21"/>
                    </w:rPr>
                  </w:pPr>
                </w:p>
              </w:tc>
              <w:tc>
                <w:tcPr>
                  <w:tcW w:w="938" w:type="pct"/>
                  <w:vAlign w:val="center"/>
                </w:tcPr>
                <w:p w14:paraId="76042C7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μg/kg</w:t>
                  </w:r>
                </w:p>
              </w:tc>
            </w:tr>
            <w:tr w14:paraId="6D2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696B1B6A">
                  <w:pPr>
                    <w:adjustRightInd w:val="0"/>
                    <w:snapToGrid w:val="0"/>
                    <w:jc w:val="center"/>
                    <w:rPr>
                      <w:rFonts w:hint="default" w:ascii="Times New Roman" w:hAnsi="Times New Roman" w:eastAsia="宋体" w:cs="Times New Roman"/>
                      <w:sz w:val="21"/>
                      <w:szCs w:val="21"/>
                    </w:rPr>
                  </w:pPr>
                </w:p>
              </w:tc>
              <w:tc>
                <w:tcPr>
                  <w:tcW w:w="1031" w:type="pct"/>
                  <w:vAlign w:val="center"/>
                </w:tcPr>
                <w:p w14:paraId="02BC4F9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*1,1,2-三氯乙烷</w:t>
                  </w:r>
                </w:p>
              </w:tc>
              <w:tc>
                <w:tcPr>
                  <w:tcW w:w="2521" w:type="pct"/>
                  <w:vMerge w:val="continue"/>
                  <w:vAlign w:val="center"/>
                </w:tcPr>
                <w:p w14:paraId="3E000CCC">
                  <w:pPr>
                    <w:jc w:val="center"/>
                    <w:rPr>
                      <w:rFonts w:hint="default" w:ascii="Times New Roman" w:hAnsi="Times New Roman" w:eastAsia="宋体" w:cs="Times New Roman"/>
                      <w:sz w:val="21"/>
                      <w:szCs w:val="21"/>
                    </w:rPr>
                  </w:pPr>
                </w:p>
              </w:tc>
              <w:tc>
                <w:tcPr>
                  <w:tcW w:w="938" w:type="pct"/>
                  <w:vAlign w:val="center"/>
                </w:tcPr>
                <w:p w14:paraId="5CF11D0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1415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508" w:type="pct"/>
                  <w:vMerge w:val="continue"/>
                  <w:vAlign w:val="center"/>
                </w:tcPr>
                <w:p w14:paraId="0920A3C2">
                  <w:pPr>
                    <w:adjustRightInd w:val="0"/>
                    <w:snapToGrid w:val="0"/>
                    <w:jc w:val="center"/>
                    <w:rPr>
                      <w:rFonts w:hint="default" w:ascii="Times New Roman" w:hAnsi="Times New Roman" w:eastAsia="宋体" w:cs="Times New Roman"/>
                      <w:sz w:val="21"/>
                      <w:szCs w:val="21"/>
                    </w:rPr>
                  </w:pPr>
                </w:p>
              </w:tc>
              <w:tc>
                <w:tcPr>
                  <w:tcW w:w="1031" w:type="pct"/>
                  <w:vAlign w:val="center"/>
                </w:tcPr>
                <w:p w14:paraId="712E1A3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*三氯乙烯</w:t>
                  </w:r>
                </w:p>
              </w:tc>
              <w:tc>
                <w:tcPr>
                  <w:tcW w:w="2521" w:type="pct"/>
                  <w:vMerge w:val="continue"/>
                  <w:vAlign w:val="center"/>
                </w:tcPr>
                <w:p w14:paraId="5E2A0259">
                  <w:pPr>
                    <w:jc w:val="center"/>
                    <w:rPr>
                      <w:rFonts w:hint="default" w:ascii="Times New Roman" w:hAnsi="Times New Roman" w:eastAsia="宋体" w:cs="Times New Roman"/>
                      <w:sz w:val="21"/>
                      <w:szCs w:val="21"/>
                    </w:rPr>
                  </w:pPr>
                </w:p>
              </w:tc>
              <w:tc>
                <w:tcPr>
                  <w:tcW w:w="938" w:type="pct"/>
                  <w:vAlign w:val="center"/>
                </w:tcPr>
                <w:p w14:paraId="11A1FDD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383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restart"/>
                  <w:vAlign w:val="center"/>
                </w:tcPr>
                <w:p w14:paraId="30515CB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土壤和沉积物</w:t>
                  </w:r>
                </w:p>
              </w:tc>
              <w:tc>
                <w:tcPr>
                  <w:tcW w:w="1031" w:type="pct"/>
                  <w:vAlign w:val="center"/>
                </w:tcPr>
                <w:p w14:paraId="1CD07A4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*1,2,3-三氯丙烷</w:t>
                  </w:r>
                </w:p>
              </w:tc>
              <w:tc>
                <w:tcPr>
                  <w:tcW w:w="2521" w:type="pct"/>
                  <w:vMerge w:val="restart"/>
                  <w:vAlign w:val="center"/>
                </w:tcPr>
                <w:p w14:paraId="6BCACCA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605-2011 土壤和沉积物 挥发性有机物的测定 吹扫捕集-气相色谱-质谱法</w:t>
                  </w:r>
                </w:p>
              </w:tc>
              <w:tc>
                <w:tcPr>
                  <w:tcW w:w="938" w:type="pct"/>
                  <w:vAlign w:val="center"/>
                </w:tcPr>
                <w:p w14:paraId="7007515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1076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73A2329E">
                  <w:pPr>
                    <w:adjustRightInd w:val="0"/>
                    <w:snapToGrid w:val="0"/>
                    <w:jc w:val="center"/>
                    <w:rPr>
                      <w:rFonts w:hint="default" w:ascii="Times New Roman" w:hAnsi="Times New Roman" w:eastAsia="宋体" w:cs="Times New Roman"/>
                      <w:sz w:val="21"/>
                      <w:szCs w:val="21"/>
                    </w:rPr>
                  </w:pPr>
                </w:p>
              </w:tc>
              <w:tc>
                <w:tcPr>
                  <w:tcW w:w="1031" w:type="pct"/>
                  <w:vAlign w:val="center"/>
                </w:tcPr>
                <w:p w14:paraId="4998DDF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*氯乙烯</w:t>
                  </w:r>
                </w:p>
              </w:tc>
              <w:tc>
                <w:tcPr>
                  <w:tcW w:w="2521" w:type="pct"/>
                  <w:vMerge w:val="continue"/>
                  <w:vAlign w:val="center"/>
                </w:tcPr>
                <w:p w14:paraId="21730B47">
                  <w:pPr>
                    <w:jc w:val="center"/>
                    <w:rPr>
                      <w:rFonts w:hint="default" w:ascii="Times New Roman" w:hAnsi="Times New Roman" w:eastAsia="宋体" w:cs="Times New Roman"/>
                      <w:sz w:val="21"/>
                      <w:szCs w:val="21"/>
                    </w:rPr>
                  </w:pPr>
                </w:p>
              </w:tc>
              <w:tc>
                <w:tcPr>
                  <w:tcW w:w="938" w:type="pct"/>
                  <w:vAlign w:val="center"/>
                </w:tcPr>
                <w:p w14:paraId="12B7EA3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μg/kg</w:t>
                  </w:r>
                </w:p>
              </w:tc>
            </w:tr>
            <w:tr w14:paraId="28CD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0B046E25">
                  <w:pPr>
                    <w:adjustRightInd w:val="0"/>
                    <w:snapToGrid w:val="0"/>
                    <w:jc w:val="center"/>
                    <w:rPr>
                      <w:rFonts w:hint="default" w:ascii="Times New Roman" w:hAnsi="Times New Roman" w:eastAsia="宋体" w:cs="Times New Roman"/>
                      <w:sz w:val="21"/>
                      <w:szCs w:val="21"/>
                    </w:rPr>
                  </w:pPr>
                </w:p>
              </w:tc>
              <w:tc>
                <w:tcPr>
                  <w:tcW w:w="1031" w:type="pct"/>
                  <w:vAlign w:val="center"/>
                </w:tcPr>
                <w:p w14:paraId="6E691F8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w:t>
                  </w:r>
                </w:p>
              </w:tc>
              <w:tc>
                <w:tcPr>
                  <w:tcW w:w="2521" w:type="pct"/>
                  <w:vMerge w:val="continue"/>
                  <w:vAlign w:val="center"/>
                </w:tcPr>
                <w:p w14:paraId="6743CC28">
                  <w:pPr>
                    <w:jc w:val="center"/>
                    <w:rPr>
                      <w:rFonts w:hint="default" w:ascii="Times New Roman" w:hAnsi="Times New Roman" w:eastAsia="宋体" w:cs="Times New Roman"/>
                      <w:sz w:val="21"/>
                      <w:szCs w:val="21"/>
                    </w:rPr>
                  </w:pPr>
                </w:p>
              </w:tc>
              <w:tc>
                <w:tcPr>
                  <w:tcW w:w="938" w:type="pct"/>
                  <w:vAlign w:val="center"/>
                </w:tcPr>
                <w:p w14:paraId="6263A37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rPr>
                    <w:t>μg/kg</w:t>
                  </w:r>
                </w:p>
              </w:tc>
            </w:tr>
            <w:tr w14:paraId="6AF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006AE5FF">
                  <w:pPr>
                    <w:adjustRightInd w:val="0"/>
                    <w:snapToGrid w:val="0"/>
                    <w:jc w:val="center"/>
                    <w:rPr>
                      <w:rFonts w:hint="default" w:ascii="Times New Roman" w:hAnsi="Times New Roman" w:eastAsia="宋体" w:cs="Times New Roman"/>
                      <w:sz w:val="21"/>
                      <w:szCs w:val="21"/>
                    </w:rPr>
                  </w:pPr>
                </w:p>
              </w:tc>
              <w:tc>
                <w:tcPr>
                  <w:tcW w:w="1031" w:type="pct"/>
                  <w:vAlign w:val="center"/>
                </w:tcPr>
                <w:p w14:paraId="4C97211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*氯苯</w:t>
                  </w:r>
                </w:p>
              </w:tc>
              <w:tc>
                <w:tcPr>
                  <w:tcW w:w="2521" w:type="pct"/>
                  <w:vMerge w:val="continue"/>
                  <w:vAlign w:val="center"/>
                </w:tcPr>
                <w:p w14:paraId="39BE2AF9">
                  <w:pPr>
                    <w:jc w:val="center"/>
                    <w:rPr>
                      <w:rFonts w:hint="default" w:ascii="Times New Roman" w:hAnsi="Times New Roman" w:eastAsia="宋体" w:cs="Times New Roman"/>
                      <w:sz w:val="21"/>
                      <w:szCs w:val="21"/>
                    </w:rPr>
                  </w:pPr>
                </w:p>
              </w:tc>
              <w:tc>
                <w:tcPr>
                  <w:tcW w:w="938" w:type="pct"/>
                  <w:vAlign w:val="center"/>
                </w:tcPr>
                <w:p w14:paraId="08CACDD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0DCA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5AFB6461">
                  <w:pPr>
                    <w:adjustRightInd w:val="0"/>
                    <w:snapToGrid w:val="0"/>
                    <w:jc w:val="center"/>
                    <w:rPr>
                      <w:rFonts w:hint="default" w:ascii="Times New Roman" w:hAnsi="Times New Roman" w:eastAsia="宋体" w:cs="Times New Roman"/>
                      <w:sz w:val="21"/>
                      <w:szCs w:val="21"/>
                    </w:rPr>
                  </w:pPr>
                </w:p>
              </w:tc>
              <w:tc>
                <w:tcPr>
                  <w:tcW w:w="1031" w:type="pct"/>
                  <w:vAlign w:val="center"/>
                </w:tcPr>
                <w:p w14:paraId="18F50E30">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*1,2-二氯苯</w:t>
                  </w:r>
                </w:p>
              </w:tc>
              <w:tc>
                <w:tcPr>
                  <w:tcW w:w="2521" w:type="pct"/>
                  <w:vMerge w:val="continue"/>
                  <w:vAlign w:val="center"/>
                </w:tcPr>
                <w:p w14:paraId="1D3F10D0">
                  <w:pPr>
                    <w:jc w:val="center"/>
                    <w:rPr>
                      <w:rFonts w:hint="default" w:ascii="Times New Roman" w:hAnsi="Times New Roman" w:eastAsia="宋体" w:cs="Times New Roman"/>
                      <w:sz w:val="21"/>
                      <w:szCs w:val="21"/>
                    </w:rPr>
                  </w:pPr>
                </w:p>
              </w:tc>
              <w:tc>
                <w:tcPr>
                  <w:tcW w:w="938" w:type="pct"/>
                  <w:vAlign w:val="center"/>
                </w:tcPr>
                <w:p w14:paraId="1E10416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μg/kg</w:t>
                  </w:r>
                </w:p>
              </w:tc>
            </w:tr>
            <w:tr w14:paraId="4582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1EB60283">
                  <w:pPr>
                    <w:adjustRightInd w:val="0"/>
                    <w:snapToGrid w:val="0"/>
                    <w:jc w:val="center"/>
                    <w:rPr>
                      <w:rFonts w:hint="default" w:ascii="Times New Roman" w:hAnsi="Times New Roman" w:eastAsia="宋体" w:cs="Times New Roman"/>
                      <w:sz w:val="21"/>
                      <w:szCs w:val="21"/>
                    </w:rPr>
                  </w:pPr>
                </w:p>
              </w:tc>
              <w:tc>
                <w:tcPr>
                  <w:tcW w:w="1031" w:type="pct"/>
                  <w:vAlign w:val="center"/>
                </w:tcPr>
                <w:p w14:paraId="3D3219A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*1,4-二氯苯</w:t>
                  </w:r>
                </w:p>
              </w:tc>
              <w:tc>
                <w:tcPr>
                  <w:tcW w:w="2521" w:type="pct"/>
                  <w:vMerge w:val="continue"/>
                  <w:vAlign w:val="center"/>
                </w:tcPr>
                <w:p w14:paraId="39CB68ED">
                  <w:pPr>
                    <w:jc w:val="center"/>
                    <w:rPr>
                      <w:rFonts w:hint="default" w:ascii="Times New Roman" w:hAnsi="Times New Roman" w:eastAsia="宋体" w:cs="Times New Roman"/>
                      <w:sz w:val="21"/>
                      <w:szCs w:val="21"/>
                    </w:rPr>
                  </w:pPr>
                </w:p>
              </w:tc>
              <w:tc>
                <w:tcPr>
                  <w:tcW w:w="938" w:type="pct"/>
                  <w:vAlign w:val="center"/>
                </w:tcPr>
                <w:p w14:paraId="0553CDF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μg/kg</w:t>
                  </w:r>
                </w:p>
              </w:tc>
            </w:tr>
            <w:tr w14:paraId="0FC6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53A92E37">
                  <w:pPr>
                    <w:adjustRightInd w:val="0"/>
                    <w:snapToGrid w:val="0"/>
                    <w:jc w:val="center"/>
                    <w:rPr>
                      <w:rFonts w:hint="default" w:ascii="Times New Roman" w:hAnsi="Times New Roman" w:eastAsia="宋体" w:cs="Times New Roman"/>
                      <w:sz w:val="21"/>
                      <w:szCs w:val="21"/>
                    </w:rPr>
                  </w:pPr>
                </w:p>
              </w:tc>
              <w:tc>
                <w:tcPr>
                  <w:tcW w:w="1031" w:type="pct"/>
                  <w:vAlign w:val="center"/>
                </w:tcPr>
                <w:p w14:paraId="27681D3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*乙苯</w:t>
                  </w:r>
                </w:p>
              </w:tc>
              <w:tc>
                <w:tcPr>
                  <w:tcW w:w="2521" w:type="pct"/>
                  <w:vMerge w:val="continue"/>
                  <w:vAlign w:val="center"/>
                </w:tcPr>
                <w:p w14:paraId="5A9B3DBC">
                  <w:pPr>
                    <w:jc w:val="center"/>
                    <w:rPr>
                      <w:rFonts w:hint="default" w:ascii="Times New Roman" w:hAnsi="Times New Roman" w:eastAsia="宋体" w:cs="Times New Roman"/>
                      <w:sz w:val="21"/>
                      <w:szCs w:val="21"/>
                    </w:rPr>
                  </w:pPr>
                </w:p>
              </w:tc>
              <w:tc>
                <w:tcPr>
                  <w:tcW w:w="938" w:type="pct"/>
                  <w:vAlign w:val="center"/>
                </w:tcPr>
                <w:p w14:paraId="6A6BA4B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39D8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F38997E">
                  <w:pPr>
                    <w:adjustRightInd w:val="0"/>
                    <w:snapToGrid w:val="0"/>
                    <w:jc w:val="center"/>
                    <w:rPr>
                      <w:rFonts w:hint="default" w:ascii="Times New Roman" w:hAnsi="Times New Roman" w:eastAsia="宋体" w:cs="Times New Roman"/>
                      <w:sz w:val="21"/>
                      <w:szCs w:val="21"/>
                    </w:rPr>
                  </w:pPr>
                </w:p>
              </w:tc>
              <w:tc>
                <w:tcPr>
                  <w:tcW w:w="1031" w:type="pct"/>
                  <w:vAlign w:val="center"/>
                </w:tcPr>
                <w:p w14:paraId="616F038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*苯乙烯</w:t>
                  </w:r>
                </w:p>
              </w:tc>
              <w:tc>
                <w:tcPr>
                  <w:tcW w:w="2521" w:type="pct"/>
                  <w:vMerge w:val="continue"/>
                  <w:vAlign w:val="center"/>
                </w:tcPr>
                <w:p w14:paraId="1695191C">
                  <w:pPr>
                    <w:jc w:val="center"/>
                    <w:rPr>
                      <w:rFonts w:hint="default" w:ascii="Times New Roman" w:hAnsi="Times New Roman" w:eastAsia="宋体" w:cs="Times New Roman"/>
                      <w:sz w:val="21"/>
                      <w:szCs w:val="21"/>
                    </w:rPr>
                  </w:pPr>
                </w:p>
              </w:tc>
              <w:tc>
                <w:tcPr>
                  <w:tcW w:w="938" w:type="pct"/>
                  <w:vAlign w:val="center"/>
                </w:tcPr>
                <w:p w14:paraId="0115672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μg/kg</w:t>
                  </w:r>
                </w:p>
              </w:tc>
            </w:tr>
            <w:tr w14:paraId="11AE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16D3256">
                  <w:pPr>
                    <w:adjustRightInd w:val="0"/>
                    <w:snapToGrid w:val="0"/>
                    <w:jc w:val="center"/>
                    <w:rPr>
                      <w:rFonts w:hint="default" w:ascii="Times New Roman" w:hAnsi="Times New Roman" w:eastAsia="宋体" w:cs="Times New Roman"/>
                      <w:sz w:val="21"/>
                      <w:szCs w:val="21"/>
                    </w:rPr>
                  </w:pPr>
                </w:p>
              </w:tc>
              <w:tc>
                <w:tcPr>
                  <w:tcW w:w="1031" w:type="pct"/>
                  <w:vAlign w:val="center"/>
                </w:tcPr>
                <w:p w14:paraId="6D93E3CD">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*甲苯</w:t>
                  </w:r>
                </w:p>
              </w:tc>
              <w:tc>
                <w:tcPr>
                  <w:tcW w:w="2521" w:type="pct"/>
                  <w:vMerge w:val="continue"/>
                  <w:vAlign w:val="center"/>
                </w:tcPr>
                <w:p w14:paraId="066CFF7B">
                  <w:pPr>
                    <w:jc w:val="center"/>
                    <w:rPr>
                      <w:rFonts w:hint="default" w:ascii="Times New Roman" w:hAnsi="Times New Roman" w:eastAsia="宋体" w:cs="Times New Roman"/>
                      <w:sz w:val="21"/>
                      <w:szCs w:val="21"/>
                    </w:rPr>
                  </w:pPr>
                </w:p>
              </w:tc>
              <w:tc>
                <w:tcPr>
                  <w:tcW w:w="938" w:type="pct"/>
                  <w:vAlign w:val="center"/>
                </w:tcPr>
                <w:p w14:paraId="36043B2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μg/kg</w:t>
                  </w:r>
                </w:p>
              </w:tc>
            </w:tr>
            <w:tr w14:paraId="6E63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0496B34A">
                  <w:pPr>
                    <w:adjustRightInd w:val="0"/>
                    <w:snapToGrid w:val="0"/>
                    <w:jc w:val="center"/>
                    <w:rPr>
                      <w:rFonts w:hint="default" w:ascii="Times New Roman" w:hAnsi="Times New Roman" w:eastAsia="宋体" w:cs="Times New Roman"/>
                      <w:sz w:val="21"/>
                      <w:szCs w:val="21"/>
                    </w:rPr>
                  </w:pPr>
                </w:p>
              </w:tc>
              <w:tc>
                <w:tcPr>
                  <w:tcW w:w="1031" w:type="pct"/>
                  <w:vAlign w:val="center"/>
                </w:tcPr>
                <w:p w14:paraId="438900B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*间二甲苯+对二甲苯</w:t>
                  </w:r>
                </w:p>
              </w:tc>
              <w:tc>
                <w:tcPr>
                  <w:tcW w:w="2521" w:type="pct"/>
                  <w:vMerge w:val="continue"/>
                  <w:vAlign w:val="center"/>
                </w:tcPr>
                <w:p w14:paraId="7E4F979C">
                  <w:pPr>
                    <w:jc w:val="center"/>
                    <w:rPr>
                      <w:rFonts w:hint="default" w:ascii="Times New Roman" w:hAnsi="Times New Roman" w:eastAsia="宋体" w:cs="Times New Roman"/>
                      <w:sz w:val="21"/>
                      <w:szCs w:val="21"/>
                    </w:rPr>
                  </w:pPr>
                </w:p>
              </w:tc>
              <w:tc>
                <w:tcPr>
                  <w:tcW w:w="938" w:type="pct"/>
                  <w:vAlign w:val="center"/>
                </w:tcPr>
                <w:p w14:paraId="489F990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54B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6C309921">
                  <w:pPr>
                    <w:adjustRightInd w:val="0"/>
                    <w:snapToGrid w:val="0"/>
                    <w:jc w:val="center"/>
                    <w:rPr>
                      <w:rFonts w:hint="default" w:ascii="Times New Roman" w:hAnsi="Times New Roman" w:eastAsia="宋体" w:cs="Times New Roman"/>
                      <w:sz w:val="21"/>
                      <w:szCs w:val="21"/>
                    </w:rPr>
                  </w:pPr>
                </w:p>
              </w:tc>
              <w:tc>
                <w:tcPr>
                  <w:tcW w:w="1031" w:type="pct"/>
                  <w:vAlign w:val="center"/>
                </w:tcPr>
                <w:p w14:paraId="43338D0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*邻二甲苯</w:t>
                  </w:r>
                </w:p>
              </w:tc>
              <w:tc>
                <w:tcPr>
                  <w:tcW w:w="2521" w:type="pct"/>
                  <w:vMerge w:val="continue"/>
                  <w:vAlign w:val="center"/>
                </w:tcPr>
                <w:p w14:paraId="2B8F4A64">
                  <w:pPr>
                    <w:jc w:val="center"/>
                    <w:rPr>
                      <w:rFonts w:hint="default" w:ascii="Times New Roman" w:hAnsi="Times New Roman" w:eastAsia="宋体" w:cs="Times New Roman"/>
                      <w:sz w:val="21"/>
                      <w:szCs w:val="21"/>
                    </w:rPr>
                  </w:pPr>
                </w:p>
              </w:tc>
              <w:tc>
                <w:tcPr>
                  <w:tcW w:w="938" w:type="pct"/>
                  <w:vAlign w:val="center"/>
                </w:tcPr>
                <w:p w14:paraId="64B7432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μg/kg</w:t>
                  </w:r>
                </w:p>
              </w:tc>
            </w:tr>
            <w:tr w14:paraId="480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63B194D">
                  <w:pPr>
                    <w:adjustRightInd w:val="0"/>
                    <w:snapToGrid w:val="0"/>
                    <w:jc w:val="center"/>
                    <w:rPr>
                      <w:rFonts w:hint="default" w:ascii="Times New Roman" w:hAnsi="Times New Roman" w:eastAsia="宋体" w:cs="Times New Roman"/>
                      <w:sz w:val="21"/>
                      <w:szCs w:val="21"/>
                    </w:rPr>
                  </w:pPr>
                </w:p>
              </w:tc>
              <w:tc>
                <w:tcPr>
                  <w:tcW w:w="1031" w:type="pct"/>
                  <w:vAlign w:val="center"/>
                </w:tcPr>
                <w:p w14:paraId="06D4E663">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*苯胺</w:t>
                  </w:r>
                </w:p>
              </w:tc>
              <w:tc>
                <w:tcPr>
                  <w:tcW w:w="2521" w:type="pct"/>
                  <w:vAlign w:val="center"/>
                </w:tcPr>
                <w:p w14:paraId="5B51281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GLLS-3-H009-2018 半挥发性有机物的测定 气相色谱/质谱法</w:t>
                  </w:r>
                </w:p>
              </w:tc>
              <w:tc>
                <w:tcPr>
                  <w:tcW w:w="938" w:type="pct"/>
                  <w:vAlign w:val="center"/>
                </w:tcPr>
                <w:p w14:paraId="3D33A712">
                  <w:pPr>
                    <w:widowControl/>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0.1mg/kg</w:t>
                  </w:r>
                </w:p>
              </w:tc>
            </w:tr>
            <w:tr w14:paraId="1ACA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75914489">
                  <w:pPr>
                    <w:adjustRightInd w:val="0"/>
                    <w:snapToGrid w:val="0"/>
                    <w:jc w:val="center"/>
                    <w:rPr>
                      <w:rFonts w:hint="default" w:ascii="Times New Roman" w:hAnsi="Times New Roman" w:eastAsia="宋体" w:cs="Times New Roman"/>
                      <w:sz w:val="21"/>
                      <w:szCs w:val="21"/>
                    </w:rPr>
                  </w:pPr>
                </w:p>
              </w:tc>
              <w:tc>
                <w:tcPr>
                  <w:tcW w:w="1031" w:type="pct"/>
                  <w:vAlign w:val="center"/>
                </w:tcPr>
                <w:p w14:paraId="1AC4AF3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*硝基苯</w:t>
                  </w:r>
                </w:p>
              </w:tc>
              <w:tc>
                <w:tcPr>
                  <w:tcW w:w="2521" w:type="pct"/>
                  <w:vMerge w:val="restart"/>
                  <w:vAlign w:val="center"/>
                </w:tcPr>
                <w:p w14:paraId="3CEA882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834-2017 土壤和沉积物 半挥发性有机物的测定 气相色谱-质谱法</w:t>
                  </w:r>
                </w:p>
              </w:tc>
              <w:tc>
                <w:tcPr>
                  <w:tcW w:w="938" w:type="pct"/>
                  <w:vAlign w:val="center"/>
                </w:tcPr>
                <w:p w14:paraId="756A805D">
                  <w:pPr>
                    <w:widowControl/>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0.09mg/kg</w:t>
                  </w:r>
                </w:p>
              </w:tc>
            </w:tr>
            <w:tr w14:paraId="2A5F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6019F185">
                  <w:pPr>
                    <w:adjustRightInd w:val="0"/>
                    <w:snapToGrid w:val="0"/>
                    <w:jc w:val="center"/>
                    <w:rPr>
                      <w:rFonts w:hint="default" w:ascii="Times New Roman" w:hAnsi="Times New Roman" w:eastAsia="宋体" w:cs="Times New Roman"/>
                      <w:sz w:val="21"/>
                      <w:szCs w:val="21"/>
                    </w:rPr>
                  </w:pPr>
                </w:p>
              </w:tc>
              <w:tc>
                <w:tcPr>
                  <w:tcW w:w="1031" w:type="pct"/>
                  <w:vAlign w:val="center"/>
                </w:tcPr>
                <w:p w14:paraId="672C52E2">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*2-氯酚</w:t>
                  </w:r>
                </w:p>
              </w:tc>
              <w:tc>
                <w:tcPr>
                  <w:tcW w:w="2521" w:type="pct"/>
                  <w:vMerge w:val="continue"/>
                  <w:vAlign w:val="center"/>
                </w:tcPr>
                <w:p w14:paraId="1DAB527D">
                  <w:pPr>
                    <w:jc w:val="center"/>
                    <w:rPr>
                      <w:rFonts w:hint="default" w:ascii="Times New Roman" w:hAnsi="Times New Roman" w:eastAsia="宋体" w:cs="Times New Roman"/>
                      <w:sz w:val="21"/>
                      <w:szCs w:val="21"/>
                    </w:rPr>
                  </w:pPr>
                </w:p>
              </w:tc>
              <w:tc>
                <w:tcPr>
                  <w:tcW w:w="938" w:type="pct"/>
                  <w:vAlign w:val="center"/>
                </w:tcPr>
                <w:p w14:paraId="174C0AC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0.06mg/kg</w:t>
                  </w:r>
                </w:p>
              </w:tc>
            </w:tr>
            <w:tr w14:paraId="2A40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0F8CB7D1">
                  <w:pPr>
                    <w:adjustRightInd w:val="0"/>
                    <w:snapToGrid w:val="0"/>
                    <w:jc w:val="center"/>
                    <w:rPr>
                      <w:rFonts w:hint="default" w:ascii="Times New Roman" w:hAnsi="Times New Roman" w:eastAsia="宋体" w:cs="Times New Roman"/>
                      <w:sz w:val="21"/>
                      <w:szCs w:val="21"/>
                    </w:rPr>
                  </w:pPr>
                </w:p>
              </w:tc>
              <w:tc>
                <w:tcPr>
                  <w:tcW w:w="1031" w:type="pct"/>
                  <w:vAlign w:val="center"/>
                </w:tcPr>
                <w:p w14:paraId="5AF4A998">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*苯并[a]蒽</w:t>
                  </w:r>
                </w:p>
              </w:tc>
              <w:tc>
                <w:tcPr>
                  <w:tcW w:w="2521" w:type="pct"/>
                  <w:vMerge w:val="continue"/>
                  <w:vAlign w:val="center"/>
                </w:tcPr>
                <w:p w14:paraId="3FC87842">
                  <w:pPr>
                    <w:jc w:val="center"/>
                    <w:rPr>
                      <w:rFonts w:hint="default" w:ascii="Times New Roman" w:hAnsi="Times New Roman" w:eastAsia="宋体" w:cs="Times New Roman"/>
                      <w:sz w:val="21"/>
                      <w:szCs w:val="21"/>
                    </w:rPr>
                  </w:pPr>
                </w:p>
              </w:tc>
              <w:tc>
                <w:tcPr>
                  <w:tcW w:w="938" w:type="pct"/>
                  <w:vAlign w:val="center"/>
                </w:tcPr>
                <w:p w14:paraId="06C1686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718C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7C4A27C3">
                  <w:pPr>
                    <w:adjustRightInd w:val="0"/>
                    <w:snapToGrid w:val="0"/>
                    <w:jc w:val="center"/>
                    <w:rPr>
                      <w:rFonts w:hint="default" w:ascii="Times New Roman" w:hAnsi="Times New Roman" w:eastAsia="宋体" w:cs="Times New Roman"/>
                      <w:sz w:val="21"/>
                      <w:szCs w:val="21"/>
                    </w:rPr>
                  </w:pPr>
                </w:p>
              </w:tc>
              <w:tc>
                <w:tcPr>
                  <w:tcW w:w="1031" w:type="pct"/>
                  <w:vAlign w:val="center"/>
                </w:tcPr>
                <w:p w14:paraId="3982993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*苯并[a]芘</w:t>
                  </w:r>
                </w:p>
              </w:tc>
              <w:tc>
                <w:tcPr>
                  <w:tcW w:w="2521" w:type="pct"/>
                  <w:vMerge w:val="continue"/>
                  <w:vAlign w:val="center"/>
                </w:tcPr>
                <w:p w14:paraId="22681EEA">
                  <w:pPr>
                    <w:jc w:val="center"/>
                    <w:rPr>
                      <w:rFonts w:hint="default" w:ascii="Times New Roman" w:hAnsi="Times New Roman" w:eastAsia="宋体" w:cs="Times New Roman"/>
                      <w:sz w:val="21"/>
                      <w:szCs w:val="21"/>
                    </w:rPr>
                  </w:pPr>
                </w:p>
              </w:tc>
              <w:tc>
                <w:tcPr>
                  <w:tcW w:w="938" w:type="pct"/>
                  <w:vAlign w:val="center"/>
                </w:tcPr>
                <w:p w14:paraId="33EDCA7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65E6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250C907B">
                  <w:pPr>
                    <w:adjustRightInd w:val="0"/>
                    <w:snapToGrid w:val="0"/>
                    <w:jc w:val="center"/>
                    <w:rPr>
                      <w:rFonts w:hint="default" w:ascii="Times New Roman" w:hAnsi="Times New Roman" w:eastAsia="宋体" w:cs="Times New Roman"/>
                      <w:sz w:val="21"/>
                      <w:szCs w:val="21"/>
                    </w:rPr>
                  </w:pPr>
                </w:p>
              </w:tc>
              <w:tc>
                <w:tcPr>
                  <w:tcW w:w="1031" w:type="pct"/>
                  <w:vAlign w:val="center"/>
                </w:tcPr>
                <w:p w14:paraId="4E698A1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*苯并[b]荧蒽</w:t>
                  </w:r>
                </w:p>
              </w:tc>
              <w:tc>
                <w:tcPr>
                  <w:tcW w:w="2521" w:type="pct"/>
                  <w:vMerge w:val="continue"/>
                  <w:vAlign w:val="center"/>
                </w:tcPr>
                <w:p w14:paraId="337210CF">
                  <w:pPr>
                    <w:jc w:val="center"/>
                    <w:rPr>
                      <w:rFonts w:hint="default" w:ascii="Times New Roman" w:hAnsi="Times New Roman" w:eastAsia="宋体" w:cs="Times New Roman"/>
                      <w:sz w:val="21"/>
                      <w:szCs w:val="21"/>
                    </w:rPr>
                  </w:pPr>
                </w:p>
              </w:tc>
              <w:tc>
                <w:tcPr>
                  <w:tcW w:w="938" w:type="pct"/>
                  <w:vAlign w:val="center"/>
                </w:tcPr>
                <w:p w14:paraId="5EA1652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0.2mg/kg</w:t>
                  </w:r>
                </w:p>
              </w:tc>
            </w:tr>
            <w:tr w14:paraId="08DD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40ABE8E7">
                  <w:pPr>
                    <w:adjustRightInd w:val="0"/>
                    <w:snapToGrid w:val="0"/>
                    <w:jc w:val="center"/>
                    <w:rPr>
                      <w:rFonts w:hint="default" w:ascii="Times New Roman" w:hAnsi="Times New Roman" w:eastAsia="宋体" w:cs="Times New Roman"/>
                      <w:sz w:val="21"/>
                      <w:szCs w:val="21"/>
                    </w:rPr>
                  </w:pPr>
                </w:p>
              </w:tc>
              <w:tc>
                <w:tcPr>
                  <w:tcW w:w="1031" w:type="pct"/>
                  <w:vAlign w:val="center"/>
                </w:tcPr>
                <w:p w14:paraId="5ECFFCFA">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*苯并[k]荧蒽</w:t>
                  </w:r>
                </w:p>
              </w:tc>
              <w:tc>
                <w:tcPr>
                  <w:tcW w:w="2521" w:type="pct"/>
                  <w:vMerge w:val="continue"/>
                  <w:vAlign w:val="center"/>
                </w:tcPr>
                <w:p w14:paraId="4824DED8">
                  <w:pPr>
                    <w:jc w:val="center"/>
                    <w:rPr>
                      <w:rFonts w:hint="default" w:ascii="Times New Roman" w:hAnsi="Times New Roman" w:eastAsia="宋体" w:cs="Times New Roman"/>
                      <w:sz w:val="21"/>
                      <w:szCs w:val="21"/>
                    </w:rPr>
                  </w:pPr>
                </w:p>
              </w:tc>
              <w:tc>
                <w:tcPr>
                  <w:tcW w:w="938" w:type="pct"/>
                  <w:vAlign w:val="center"/>
                </w:tcPr>
                <w:p w14:paraId="09B1194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643D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138BB571">
                  <w:pPr>
                    <w:adjustRightInd w:val="0"/>
                    <w:snapToGrid w:val="0"/>
                    <w:jc w:val="center"/>
                    <w:rPr>
                      <w:rFonts w:hint="default" w:ascii="Times New Roman" w:hAnsi="Times New Roman" w:eastAsia="宋体" w:cs="Times New Roman"/>
                      <w:sz w:val="21"/>
                      <w:szCs w:val="21"/>
                    </w:rPr>
                  </w:pPr>
                </w:p>
              </w:tc>
              <w:tc>
                <w:tcPr>
                  <w:tcW w:w="1031" w:type="pct"/>
                  <w:vAlign w:val="center"/>
                </w:tcPr>
                <w:p w14:paraId="3CC998D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*䓛</w:t>
                  </w:r>
                </w:p>
              </w:tc>
              <w:tc>
                <w:tcPr>
                  <w:tcW w:w="2521" w:type="pct"/>
                  <w:vMerge w:val="continue"/>
                  <w:vAlign w:val="center"/>
                </w:tcPr>
                <w:p w14:paraId="0122871E">
                  <w:pPr>
                    <w:jc w:val="center"/>
                    <w:rPr>
                      <w:rFonts w:hint="default" w:ascii="Times New Roman" w:hAnsi="Times New Roman" w:eastAsia="宋体" w:cs="Times New Roman"/>
                      <w:sz w:val="21"/>
                      <w:szCs w:val="21"/>
                    </w:rPr>
                  </w:pPr>
                </w:p>
              </w:tc>
              <w:tc>
                <w:tcPr>
                  <w:tcW w:w="938" w:type="pct"/>
                  <w:vAlign w:val="center"/>
                </w:tcPr>
                <w:p w14:paraId="41D994C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2A03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0E641A92">
                  <w:pPr>
                    <w:adjustRightInd w:val="0"/>
                    <w:snapToGrid w:val="0"/>
                    <w:jc w:val="center"/>
                    <w:rPr>
                      <w:rFonts w:hint="default" w:ascii="Times New Roman" w:hAnsi="Times New Roman" w:eastAsia="宋体" w:cs="Times New Roman"/>
                      <w:sz w:val="21"/>
                      <w:szCs w:val="21"/>
                    </w:rPr>
                  </w:pPr>
                </w:p>
              </w:tc>
              <w:tc>
                <w:tcPr>
                  <w:tcW w:w="1031" w:type="pct"/>
                  <w:vAlign w:val="center"/>
                </w:tcPr>
                <w:p w14:paraId="131230B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*二苯并[a,h]蒽</w:t>
                  </w:r>
                </w:p>
              </w:tc>
              <w:tc>
                <w:tcPr>
                  <w:tcW w:w="2521" w:type="pct"/>
                  <w:vMerge w:val="restart"/>
                  <w:vAlign w:val="center"/>
                </w:tcPr>
                <w:p w14:paraId="37BE769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HJ 834-2017 土壤和沉积物 半挥发性有机物的测定 气相色谱-质谱法</w:t>
                  </w:r>
                </w:p>
              </w:tc>
              <w:tc>
                <w:tcPr>
                  <w:tcW w:w="938" w:type="pct"/>
                  <w:vAlign w:val="center"/>
                </w:tcPr>
                <w:p w14:paraId="6E05083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643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1ED99590">
                  <w:pPr>
                    <w:adjustRightInd w:val="0"/>
                    <w:snapToGrid w:val="0"/>
                    <w:jc w:val="center"/>
                    <w:rPr>
                      <w:rFonts w:hint="default" w:ascii="Times New Roman" w:hAnsi="Times New Roman" w:eastAsia="宋体" w:cs="Times New Roman"/>
                      <w:sz w:val="21"/>
                      <w:szCs w:val="21"/>
                    </w:rPr>
                  </w:pPr>
                </w:p>
              </w:tc>
              <w:tc>
                <w:tcPr>
                  <w:tcW w:w="1031" w:type="pct"/>
                  <w:vAlign w:val="center"/>
                </w:tcPr>
                <w:p w14:paraId="5FCC35D7">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*茚并[1,2,3-cd]芘</w:t>
                  </w:r>
                </w:p>
              </w:tc>
              <w:tc>
                <w:tcPr>
                  <w:tcW w:w="2521" w:type="pct"/>
                  <w:vMerge w:val="continue"/>
                  <w:vAlign w:val="center"/>
                </w:tcPr>
                <w:p w14:paraId="7A8726F9">
                  <w:pPr>
                    <w:jc w:val="center"/>
                    <w:rPr>
                      <w:rFonts w:hint="default" w:ascii="Times New Roman" w:hAnsi="Times New Roman" w:eastAsia="宋体" w:cs="Times New Roman"/>
                      <w:sz w:val="21"/>
                      <w:szCs w:val="21"/>
                    </w:rPr>
                  </w:pPr>
                </w:p>
              </w:tc>
              <w:tc>
                <w:tcPr>
                  <w:tcW w:w="938" w:type="pct"/>
                  <w:vAlign w:val="center"/>
                </w:tcPr>
                <w:p w14:paraId="5D86988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0.1mg/kg</w:t>
                  </w:r>
                </w:p>
              </w:tc>
            </w:tr>
            <w:tr w14:paraId="01F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722D3CF6">
                  <w:pPr>
                    <w:adjustRightInd w:val="0"/>
                    <w:snapToGrid w:val="0"/>
                    <w:jc w:val="center"/>
                    <w:rPr>
                      <w:rFonts w:hint="default" w:ascii="Times New Roman" w:hAnsi="Times New Roman" w:eastAsia="宋体" w:cs="Times New Roman"/>
                      <w:sz w:val="21"/>
                      <w:szCs w:val="21"/>
                    </w:rPr>
                  </w:pPr>
                </w:p>
              </w:tc>
              <w:tc>
                <w:tcPr>
                  <w:tcW w:w="1031" w:type="pct"/>
                  <w:vAlign w:val="center"/>
                </w:tcPr>
                <w:p w14:paraId="5A27477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2"/>
                      <w:sz w:val="21"/>
                      <w:szCs w:val="21"/>
                      <w:lang w:val="en-US" w:eastAsia="zh-CN" w:bidi="ar"/>
                    </w:rPr>
                    <w:t>*萘</w:t>
                  </w:r>
                </w:p>
              </w:tc>
              <w:tc>
                <w:tcPr>
                  <w:tcW w:w="2521" w:type="pct"/>
                  <w:vMerge w:val="continue"/>
                  <w:vAlign w:val="center"/>
                </w:tcPr>
                <w:p w14:paraId="59E8EB35">
                  <w:pPr>
                    <w:jc w:val="center"/>
                    <w:rPr>
                      <w:rFonts w:hint="default" w:ascii="Times New Roman" w:hAnsi="Times New Roman" w:eastAsia="宋体" w:cs="Times New Roman"/>
                      <w:sz w:val="21"/>
                      <w:szCs w:val="21"/>
                    </w:rPr>
                  </w:pPr>
                </w:p>
              </w:tc>
              <w:tc>
                <w:tcPr>
                  <w:tcW w:w="938" w:type="pct"/>
                  <w:vAlign w:val="center"/>
                </w:tcPr>
                <w:p w14:paraId="02B82B1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0.09mg/kg</w:t>
                  </w:r>
                </w:p>
              </w:tc>
            </w:tr>
            <w:tr w14:paraId="604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3D92578B">
                  <w:pPr>
                    <w:adjustRightInd w:val="0"/>
                    <w:snapToGrid w:val="0"/>
                    <w:jc w:val="center"/>
                    <w:rPr>
                      <w:rFonts w:hint="default" w:ascii="Times New Roman" w:hAnsi="Times New Roman" w:eastAsia="宋体" w:cs="Times New Roman"/>
                      <w:sz w:val="21"/>
                      <w:szCs w:val="21"/>
                    </w:rPr>
                  </w:pPr>
                </w:p>
              </w:tc>
              <w:tc>
                <w:tcPr>
                  <w:tcW w:w="1031" w:type="pct"/>
                  <w:vAlign w:val="center"/>
                </w:tcPr>
                <w:p w14:paraId="258B2A9C">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t>*</w:t>
                  </w:r>
                  <w:r>
                    <w:rPr>
                      <w:rFonts w:hint="default" w:ascii="Times New Roman" w:hAnsi="Times New Roman" w:eastAsia="宋体" w:cs="Times New Roman"/>
                      <w:b w:val="0"/>
                      <w:bCs w:val="0"/>
                      <w:color w:val="0D0D0D" w:themeColor="text1" w:themeTint="F2"/>
                      <w:sz w:val="21"/>
                      <w:szCs w:val="21"/>
                      <w14:textFill>
                        <w14:solidFill>
                          <w14:schemeClr w14:val="tx1">
                            <w14:lumMod w14:val="95000"/>
                            <w14:lumOff w14:val="5000"/>
                          </w14:schemeClr>
                        </w14:solidFill>
                      </w14:textFill>
                    </w:rPr>
                    <w:t>石油烃（C</w:t>
                  </w:r>
                  <w:r>
                    <w:rPr>
                      <w:rFonts w:hint="default" w:ascii="Times New Roman" w:hAnsi="Times New Roman" w:eastAsia="宋体" w:cs="Times New Roman"/>
                      <w:b w:val="0"/>
                      <w:bCs w:val="0"/>
                      <w:color w:val="0D0D0D" w:themeColor="text1" w:themeTint="F2"/>
                      <w:sz w:val="21"/>
                      <w:szCs w:val="21"/>
                      <w:vertAlign w:val="subscript"/>
                      <w14:textFill>
                        <w14:solidFill>
                          <w14:schemeClr w14:val="tx1">
                            <w14:lumMod w14:val="95000"/>
                            <w14:lumOff w14:val="5000"/>
                          </w14:schemeClr>
                        </w14:solidFill>
                      </w14:textFill>
                    </w:rPr>
                    <w:t>10</w:t>
                  </w:r>
                  <w:r>
                    <w:rPr>
                      <w:rFonts w:hint="default" w:ascii="Times New Roman" w:hAnsi="Times New Roman" w:eastAsia="宋体" w:cs="Times New Roman"/>
                      <w:b w:val="0"/>
                      <w:bCs w:val="0"/>
                      <w:color w:val="0D0D0D" w:themeColor="text1" w:themeTint="F2"/>
                      <w:sz w:val="21"/>
                      <w:szCs w:val="21"/>
                      <w14:textFill>
                        <w14:solidFill>
                          <w14:schemeClr w14:val="tx1">
                            <w14:lumMod w14:val="95000"/>
                            <w14:lumOff w14:val="5000"/>
                          </w14:schemeClr>
                        </w14:solidFill>
                      </w14:textFill>
                    </w:rPr>
                    <w:t>-C</w:t>
                  </w:r>
                  <w:r>
                    <w:rPr>
                      <w:rFonts w:hint="default" w:ascii="Times New Roman" w:hAnsi="Times New Roman" w:eastAsia="宋体" w:cs="Times New Roman"/>
                      <w:b w:val="0"/>
                      <w:bCs w:val="0"/>
                      <w:color w:val="0D0D0D" w:themeColor="text1" w:themeTint="F2"/>
                      <w:sz w:val="21"/>
                      <w:szCs w:val="21"/>
                      <w:vertAlign w:val="subscript"/>
                      <w14:textFill>
                        <w14:solidFill>
                          <w14:schemeClr w14:val="tx1">
                            <w14:lumMod w14:val="95000"/>
                            <w14:lumOff w14:val="5000"/>
                          </w14:schemeClr>
                        </w14:solidFill>
                      </w14:textFill>
                    </w:rPr>
                    <w:t>40</w:t>
                  </w:r>
                  <w:r>
                    <w:rPr>
                      <w:rFonts w:hint="default" w:ascii="Times New Roman" w:hAnsi="Times New Roman" w:eastAsia="宋体" w:cs="Times New Roman"/>
                      <w:b w:val="0"/>
                      <w:bCs w:val="0"/>
                      <w:color w:val="0D0D0D" w:themeColor="text1" w:themeTint="F2"/>
                      <w:sz w:val="21"/>
                      <w:szCs w:val="21"/>
                      <w14:textFill>
                        <w14:solidFill>
                          <w14:schemeClr w14:val="tx1">
                            <w14:lumMod w14:val="95000"/>
                            <w14:lumOff w14:val="5000"/>
                          </w14:schemeClr>
                        </w14:solidFill>
                      </w14:textFill>
                    </w:rPr>
                    <w:t>）</w:t>
                  </w:r>
                </w:p>
              </w:tc>
              <w:tc>
                <w:tcPr>
                  <w:tcW w:w="2521" w:type="pct"/>
                  <w:vAlign w:val="center"/>
                </w:tcPr>
                <w:p w14:paraId="0A611CDD">
                  <w:pPr>
                    <w:keepNext w:val="0"/>
                    <w:keepLines w:val="0"/>
                    <w:widowControl/>
                    <w:suppressLineNumbers w:val="0"/>
                    <w:jc w:val="cente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t>HJ 1021-2019 土壤和沉积物</w:t>
                  </w:r>
                </w:p>
                <w:p w14:paraId="73CD483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t>石油烃(C</w:t>
                  </w:r>
                  <w:r>
                    <w:rPr>
                      <w:rFonts w:hint="default" w:ascii="Times New Roman" w:hAnsi="Times New Roman" w:eastAsia="宋体" w:cs="Times New Roman"/>
                      <w:b w:val="0"/>
                      <w:bCs w:val="0"/>
                      <w:color w:val="0D0D0D" w:themeColor="text1" w:themeTint="F2"/>
                      <w:kern w:val="0"/>
                      <w:sz w:val="21"/>
                      <w:szCs w:val="21"/>
                      <w:vertAlign w:val="subscript"/>
                      <w:lang w:val="en-US" w:eastAsia="zh-CN" w:bidi="ar"/>
                      <w14:textFill>
                        <w14:solidFill>
                          <w14:schemeClr w14:val="tx1">
                            <w14:lumMod w14:val="95000"/>
                            <w14:lumOff w14:val="5000"/>
                          </w14:schemeClr>
                        </w14:solidFill>
                      </w14:textFill>
                    </w:rPr>
                    <w:t>10-</w:t>
                  </w:r>
                  <w: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t>C</w:t>
                  </w:r>
                  <w:r>
                    <w:rPr>
                      <w:rFonts w:hint="default" w:ascii="Times New Roman" w:hAnsi="Times New Roman" w:eastAsia="宋体" w:cs="Times New Roman"/>
                      <w:b w:val="0"/>
                      <w:bCs w:val="0"/>
                      <w:color w:val="0D0D0D" w:themeColor="text1" w:themeTint="F2"/>
                      <w:kern w:val="0"/>
                      <w:sz w:val="21"/>
                      <w:szCs w:val="21"/>
                      <w:vertAlign w:val="subscript"/>
                      <w:lang w:val="en-US" w:eastAsia="zh-CN" w:bidi="ar"/>
                      <w14:textFill>
                        <w14:solidFill>
                          <w14:schemeClr w14:val="tx1">
                            <w14:lumMod w14:val="95000"/>
                            <w14:lumOff w14:val="5000"/>
                          </w14:schemeClr>
                        </w14:solidFill>
                      </w14:textFill>
                    </w:rPr>
                    <w:t>40</w:t>
                  </w:r>
                  <w: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t>)的测定 气相色谱法</w:t>
                  </w:r>
                </w:p>
              </w:tc>
              <w:tc>
                <w:tcPr>
                  <w:tcW w:w="938" w:type="pct"/>
                  <w:vAlign w:val="center"/>
                </w:tcPr>
                <w:p w14:paraId="08A15682">
                  <w:pPr>
                    <w:widowControl/>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t>6mg/kg</w:t>
                  </w:r>
                </w:p>
              </w:tc>
            </w:tr>
            <w:tr w14:paraId="368C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restart"/>
                  <w:vAlign w:val="center"/>
                </w:tcPr>
                <w:p w14:paraId="6602F21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土壤和沉积物</w:t>
                  </w:r>
                </w:p>
              </w:tc>
              <w:tc>
                <w:tcPr>
                  <w:tcW w:w="1031" w:type="pct"/>
                  <w:vAlign w:val="center"/>
                </w:tcPr>
                <w:p w14:paraId="47998A88">
                  <w:pPr>
                    <w:adjustRightInd w:val="0"/>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*铊</w:t>
                  </w:r>
                </w:p>
              </w:tc>
              <w:tc>
                <w:tcPr>
                  <w:tcW w:w="2521" w:type="pct"/>
                  <w:vAlign w:val="center"/>
                </w:tcPr>
                <w:p w14:paraId="70C25CA0">
                  <w:pPr>
                    <w:jc w:val="cente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sz w:val="21"/>
                      <w:szCs w:val="21"/>
                      <w:lang w:val="en-US" w:eastAsia="zh-CN"/>
                    </w:rPr>
                    <w:t>GLLS-3-H014-2018 电感耦合等离子体发射光谱法</w:t>
                  </w:r>
                </w:p>
              </w:tc>
              <w:tc>
                <w:tcPr>
                  <w:tcW w:w="938" w:type="pct"/>
                  <w:vAlign w:val="center"/>
                </w:tcPr>
                <w:p w14:paraId="4827ABF5">
                  <w:pPr>
                    <w:adjustRightInd w:val="0"/>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t>mg/kg</w:t>
                  </w:r>
                </w:p>
              </w:tc>
            </w:tr>
            <w:tr w14:paraId="4E80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8" w:type="pct"/>
                  <w:vMerge w:val="continue"/>
                  <w:vAlign w:val="center"/>
                </w:tcPr>
                <w:p w14:paraId="12F27102">
                  <w:pPr>
                    <w:adjustRightInd w:val="0"/>
                    <w:snapToGrid w:val="0"/>
                    <w:jc w:val="center"/>
                    <w:rPr>
                      <w:rFonts w:hint="default" w:ascii="Times New Roman" w:hAnsi="Times New Roman" w:eastAsia="宋体" w:cs="Times New Roman"/>
                      <w:sz w:val="21"/>
                      <w:szCs w:val="21"/>
                    </w:rPr>
                  </w:pPr>
                </w:p>
              </w:tc>
              <w:tc>
                <w:tcPr>
                  <w:tcW w:w="1031" w:type="pct"/>
                  <w:vAlign w:val="center"/>
                </w:tcPr>
                <w:p w14:paraId="51B631C4">
                  <w:pPr>
                    <w:adjustRightInd w:val="0"/>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*锑</w:t>
                  </w:r>
                </w:p>
              </w:tc>
              <w:tc>
                <w:tcPr>
                  <w:tcW w:w="2521" w:type="pct"/>
                  <w:vAlign w:val="center"/>
                </w:tcPr>
                <w:p w14:paraId="1F8FB2E0">
                  <w:pPr>
                    <w:jc w:val="center"/>
                    <w:rPr>
                      <w:rFonts w:hint="default" w:ascii="Times New Roman" w:hAnsi="Times New Roman" w:eastAsia="宋体" w:cs="Times New Roman"/>
                      <w:b w:val="0"/>
                      <w:bCs w:val="0"/>
                      <w:color w:val="0D0D0D" w:themeColor="text1" w:themeTint="F2"/>
                      <w:kern w:val="0"/>
                      <w:sz w:val="21"/>
                      <w:szCs w:val="21"/>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sz w:val="21"/>
                      <w:szCs w:val="21"/>
                      <w:lang w:val="en-US" w:eastAsia="zh-CN"/>
                    </w:rPr>
                    <w:t>HJ 803-2016 土壤和沉积物 12种金属元素的测定 王水提取-电感耦合等离子体质谱法</w:t>
                  </w:r>
                </w:p>
              </w:tc>
              <w:tc>
                <w:tcPr>
                  <w:tcW w:w="938" w:type="pct"/>
                  <w:vAlign w:val="center"/>
                </w:tcPr>
                <w:p w14:paraId="6C7D2F3C">
                  <w:pPr>
                    <w:adjustRightInd w:val="0"/>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sz w:val="21"/>
                      <w:szCs w:val="21"/>
                      <w:lang w:val="en-US" w:eastAsia="zh-CN"/>
                    </w:rPr>
                    <w:t>0.08</w:t>
                  </w:r>
                  <w: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t>mg/kg</w:t>
                  </w:r>
                </w:p>
              </w:tc>
            </w:tr>
            <w:tr w14:paraId="5809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39" w:type="pct"/>
                  <w:gridSpan w:val="2"/>
                  <w:vAlign w:val="center"/>
                </w:tcPr>
                <w:p w14:paraId="6A95FF53">
                  <w:pPr>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采样依据</w:t>
                  </w:r>
                </w:p>
              </w:tc>
              <w:tc>
                <w:tcPr>
                  <w:tcW w:w="3460" w:type="pct"/>
                  <w:gridSpan w:val="2"/>
                  <w:vAlign w:val="center"/>
                </w:tcPr>
                <w:p w14:paraId="4B0401F9">
                  <w:pPr>
                    <w:pStyle w:val="2"/>
                    <w:ind w:firstLine="0" w:firstLineChars="0"/>
                    <w:jc w:val="left"/>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00000"/>
                      <w:sz w:val="21"/>
                      <w:szCs w:val="21"/>
                    </w:rPr>
                    <w:t>土壤环境监测技术规范</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HJ/T 166-2004</w:t>
                  </w:r>
                </w:p>
              </w:tc>
            </w:tr>
            <w:tr w14:paraId="59A5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00" w:type="pct"/>
                  <w:gridSpan w:val="4"/>
                  <w:vAlign w:val="center"/>
                </w:tcPr>
                <w:p w14:paraId="1A8B698F">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监测项目加</w:t>
                  </w:r>
                  <w:r>
                    <w:rPr>
                      <w:rFonts w:hint="default" w:ascii="Times New Roman" w:hAnsi="Times New Roman" w:eastAsia="宋体" w:cs="Times New Roman"/>
                      <w:sz w:val="21"/>
                      <w:szCs w:val="21"/>
                    </w:rPr>
                    <w:t>“*”表示</w:t>
                  </w:r>
                  <w:r>
                    <w:rPr>
                      <w:rFonts w:hint="default" w:ascii="Times New Roman" w:hAnsi="Times New Roman" w:eastAsia="宋体" w:cs="Times New Roman"/>
                      <w:sz w:val="21"/>
                      <w:szCs w:val="21"/>
                      <w:lang w:val="en-US" w:eastAsia="zh-CN"/>
                    </w:rPr>
                    <w:t>该监测项目为</w:t>
                  </w:r>
                  <w:r>
                    <w:rPr>
                      <w:rFonts w:hint="default" w:ascii="Times New Roman" w:hAnsi="Times New Roman" w:eastAsia="宋体" w:cs="Times New Roman"/>
                      <w:sz w:val="21"/>
                      <w:szCs w:val="21"/>
                    </w:rPr>
                    <w:t>分包项目</w:t>
                  </w:r>
                  <w:r>
                    <w:rPr>
                      <w:rFonts w:hint="default" w:ascii="Times New Roman" w:hAnsi="Times New Roman" w:eastAsia="宋体" w:cs="Times New Roman"/>
                      <w:sz w:val="21"/>
                      <w:szCs w:val="21"/>
                      <w:lang w:eastAsia="zh-CN"/>
                    </w:rPr>
                    <w:t>；</w:t>
                  </w:r>
                </w:p>
                <w:p w14:paraId="34A6B43E">
                  <w:pPr>
                    <w:widowControl/>
                    <w:snapToGrid w:val="0"/>
                    <w:jc w:val="center"/>
                    <w:rPr>
                      <w:rFonts w:hint="default" w:ascii="Times New Roman" w:hAnsi="Times New Roman" w:eastAsia="宋体" w:cs="Times New Roman"/>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000000" w:themeColor="text1"/>
                      <w:sz w:val="21"/>
                      <w:szCs w:val="21"/>
                      <w:lang w:val="en-US" w:eastAsia="zh-CN" w:bidi="en-US"/>
                      <w14:textFill>
                        <w14:solidFill>
                          <w14:schemeClr w14:val="tx1"/>
                        </w14:solidFill>
                      </w14:textFill>
                    </w:rPr>
                    <w:t>土壤和沉积物的</w:t>
                  </w:r>
                  <w:r>
                    <w:rPr>
                      <w:rFonts w:hint="default" w:ascii="Times New Roman" w:hAnsi="Times New Roman" w:eastAsia="宋体" w:cs="Times New Roman"/>
                      <w:color w:val="000000" w:themeColor="text1"/>
                      <w:position w:val="2"/>
                      <w:sz w:val="21"/>
                      <w:szCs w:val="21"/>
                      <w:highlight w:val="none"/>
                      <w:vertAlign w:val="baseline"/>
                      <w:lang w:eastAsia="zh-CN"/>
                      <w14:textFill>
                        <w14:solidFill>
                          <w14:schemeClr w14:val="tx1"/>
                        </w14:solidFill>
                      </w14:textFill>
                    </w:rPr>
                    <w:t>pH值、</w:t>
                  </w:r>
                  <w:r>
                    <w:rPr>
                      <w:rFonts w:hint="default" w:ascii="Times New Roman" w:hAnsi="Times New Roman" w:eastAsia="宋体" w:cs="Times New Roman"/>
                      <w:color w:val="000000" w:themeColor="text1"/>
                      <w:sz w:val="21"/>
                      <w:szCs w:val="21"/>
                      <w14:textFill>
                        <w14:solidFill>
                          <w14:schemeClr w14:val="tx1"/>
                        </w14:solidFill>
                      </w14:textFill>
                    </w:rPr>
                    <w:t>砷、镉、铬（六价）、铜、铅、汞、镍</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四氯化碳、氯仿、氯甲烷、1，1-二氯乙烷、1，2-二氯乙烷、1，1-二氯乙烯、顺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1，2-二氯乙烯、反</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1，2-二氯乙烯、二氯甲烷、1，2-二氯丙烷、1，1，1，2-四氯</w:t>
                  </w:r>
                  <w:r>
                    <w:rPr>
                      <w:rFonts w:hint="default" w:ascii="Times New Roman" w:hAnsi="Times New Roman" w:eastAsia="宋体" w:cs="Times New Roman"/>
                      <w:sz w:val="21"/>
                      <w:szCs w:val="21"/>
                    </w:rPr>
                    <w:t>乙烷、1，1，2，2-四氯乙烷、四氯乙烯、1，1，1-三氯乙烷、1，1，2-三氯乙烷、三氯乙烯、1，2，3-三氯丙烷、氯乙烯、苯、氯苯、1，2-二氯苯、1，4-二氯苯、乙苯、苯乙烯、甲苯、间二甲苯+对二甲苯、邻二甲苯</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硝基苯、苯胺、2-氯酚、苯并[a]蒽、苯并[a]芘、苯并[b]荧蒽、苯并[k]荧蒽、䓛、二苯[a，h]蒽、茚并[1，2，3-c</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]芘、萘</w:t>
                  </w:r>
                  <w:r>
                    <w:rPr>
                      <w:rFonts w:hint="default" w:ascii="Times New Roman" w:hAnsi="Times New Roman" w:eastAsia="宋体" w:cs="Times New Roman"/>
                      <w:color w:val="auto"/>
                      <w:sz w:val="21"/>
                      <w:szCs w:val="21"/>
                    </w:rPr>
                    <w:t>、石油烃（C</w:t>
                  </w:r>
                  <w:r>
                    <w:rPr>
                      <w:rFonts w:hint="default" w:ascii="Times New Roman" w:hAnsi="Times New Roman" w:eastAsia="宋体" w:cs="Times New Roman"/>
                      <w:color w:val="auto"/>
                      <w:sz w:val="21"/>
                      <w:szCs w:val="21"/>
                      <w:vertAlign w:val="subscript"/>
                    </w:rPr>
                    <w:t>10</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-C</w:t>
                  </w:r>
                  <w:r>
                    <w:rPr>
                      <w:rFonts w:hint="default" w:ascii="Times New Roman" w:hAnsi="Times New Roman" w:eastAsia="宋体" w:cs="Times New Roman"/>
                      <w:color w:val="0D0D0D" w:themeColor="text1" w:themeTint="F2"/>
                      <w:sz w:val="21"/>
                      <w:szCs w:val="21"/>
                      <w:vertAlign w:val="subscript"/>
                      <w14:textFill>
                        <w14:solidFill>
                          <w14:schemeClr w14:val="tx1">
                            <w14:lumMod w14:val="95000"/>
                            <w14:lumOff w14:val="5000"/>
                          </w14:schemeClr>
                        </w14:solidFill>
                      </w14:textFill>
                    </w:rPr>
                    <w:t>40</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z w:val="21"/>
                      <w:szCs w:val="21"/>
                      <w:lang w:eastAsia="zh-CN"/>
                      <w14:textFill>
                        <w14:solidFill>
                          <w14:schemeClr w14:val="tx1">
                            <w14:lumMod w14:val="95000"/>
                            <w14:lumOff w14:val="5000"/>
                          </w14:schemeClr>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铊、锑</w:t>
                  </w:r>
                  <w:r>
                    <w:rPr>
                      <w:rFonts w:hint="default" w:ascii="Times New Roman" w:hAnsi="Times New Roman" w:eastAsia="宋体" w:cs="Times New Roman"/>
                      <w:color w:val="0D0D0D" w:themeColor="text1" w:themeTint="F2"/>
                      <w:sz w:val="21"/>
                      <w:szCs w:val="21"/>
                      <w:lang w:eastAsia="zh-CN"/>
                      <w14:textFill>
                        <w14:solidFill>
                          <w14:schemeClr w14:val="tx1">
                            <w14:lumMod w14:val="95000"/>
                            <w14:lumOff w14:val="5000"/>
                          </w14:schemeClr>
                        </w14:solidFill>
                      </w14:textFill>
                    </w:rPr>
                    <w:t>分包给</w:t>
                  </w:r>
                  <w:r>
                    <w:rPr>
                      <w:rFonts w:hint="default" w:ascii="Times New Roman" w:hAnsi="Times New Roman" w:eastAsia="宋体" w:cs="Times New Roman"/>
                      <w:color w:val="auto"/>
                      <w:sz w:val="21"/>
                      <w:szCs w:val="21"/>
                      <w:lang w:val="en-US" w:eastAsia="zh-CN"/>
                    </w:rPr>
                    <w:t>江苏格林勒</w:t>
                  </w:r>
                  <w:r>
                    <w:rPr>
                      <w:rFonts w:hint="default" w:ascii="Times New Roman" w:hAns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斯检测</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w:t>
                  </w:r>
                  <w:r>
                    <w:rPr>
                      <w:rFonts w:hint="default" w:ascii="Times New Roman" w:hAnsi="Times New Roman" w:eastAsia="宋体" w:cs="Times New Roman"/>
                      <w:color w:val="000000" w:themeColor="text1"/>
                      <w:sz w:val="21"/>
                      <w:szCs w:val="21"/>
                      <w14:textFill>
                        <w14:solidFill>
                          <w14:schemeClr w14:val="tx1"/>
                        </w14:solidFill>
                      </w14:textFill>
                    </w:rPr>
                    <w:t>有限公司</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资质证书编号为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231012341317，有效期至2029年08月01日，检测报告编号为GE2603230701A。</w:t>
                  </w:r>
                </w:p>
              </w:tc>
            </w:tr>
          </w:tbl>
          <w:p w14:paraId="005A7366">
            <w:pPr>
              <w:pStyle w:val="15"/>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监测结果</w:t>
            </w:r>
          </w:p>
          <w:p w14:paraId="719DF2EE">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监测结果详见表3-7。</w:t>
            </w:r>
          </w:p>
          <w:p w14:paraId="76711426">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表3-7 土壤监测结果一览表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82"/>
              <w:gridCol w:w="1987"/>
              <w:gridCol w:w="2190"/>
              <w:gridCol w:w="1544"/>
            </w:tblGrid>
            <w:tr w14:paraId="005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F303E3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序号</w:t>
                  </w:r>
                </w:p>
              </w:tc>
              <w:tc>
                <w:tcPr>
                  <w:tcW w:w="1282" w:type="dxa"/>
                  <w:vAlign w:val="center"/>
                </w:tcPr>
                <w:p w14:paraId="0F320A2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检测项目</w:t>
                  </w:r>
                </w:p>
              </w:tc>
              <w:tc>
                <w:tcPr>
                  <w:tcW w:w="1987" w:type="dxa"/>
                  <w:vAlign w:val="center"/>
                </w:tcPr>
                <w:p w14:paraId="3DCF9F7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检测结果（</w:t>
                  </w:r>
                  <w:r>
                    <w:rPr>
                      <w:rFonts w:hint="default" w:ascii="Times New Roman" w:hAnsi="Times New Roman" w:cs="Times New Roman"/>
                      <w:sz w:val="21"/>
                      <w:szCs w:val="21"/>
                    </w:rPr>
                    <w:t>mg/kg</w:t>
                  </w:r>
                  <w:r>
                    <w:rPr>
                      <w:rFonts w:hint="eastAsia"/>
                      <w:vertAlign w:val="baseline"/>
                      <w:lang w:val="en-US" w:eastAsia="zh-CN"/>
                    </w:rPr>
                    <w:t>）</w:t>
                  </w:r>
                </w:p>
              </w:tc>
              <w:tc>
                <w:tcPr>
                  <w:tcW w:w="2190" w:type="dxa"/>
                  <w:vAlign w:val="center"/>
                </w:tcPr>
                <w:p w14:paraId="28906D4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标准限值（</w:t>
                  </w:r>
                  <w:r>
                    <w:rPr>
                      <w:rFonts w:hint="default" w:ascii="Times New Roman" w:hAnsi="Times New Roman" w:cs="Times New Roman"/>
                      <w:sz w:val="21"/>
                      <w:szCs w:val="21"/>
                    </w:rPr>
                    <w:t>mg/kg</w:t>
                  </w:r>
                  <w:r>
                    <w:rPr>
                      <w:rFonts w:hint="eastAsia"/>
                      <w:vertAlign w:val="baseline"/>
                      <w:lang w:val="en-US" w:eastAsia="zh-CN"/>
                    </w:rPr>
                    <w:t>）</w:t>
                  </w:r>
                </w:p>
              </w:tc>
              <w:tc>
                <w:tcPr>
                  <w:tcW w:w="1544" w:type="dxa"/>
                  <w:vAlign w:val="center"/>
                </w:tcPr>
                <w:p w14:paraId="58E59AE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是否达标</w:t>
                  </w:r>
                </w:p>
              </w:tc>
            </w:tr>
            <w:tr w14:paraId="3CF8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0BF018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w:t>
                  </w:r>
                </w:p>
              </w:tc>
              <w:tc>
                <w:tcPr>
                  <w:tcW w:w="1282" w:type="dxa"/>
                  <w:vAlign w:val="center"/>
                </w:tcPr>
                <w:p w14:paraId="2F76510A">
                  <w:pPr>
                    <w:jc w:val="center"/>
                    <w:rPr>
                      <w:rFonts w:hint="default"/>
                      <w:vertAlign w:val="baseline"/>
                      <w:lang w:val="en-US" w:eastAsia="zh-CN"/>
                    </w:rPr>
                  </w:pPr>
                  <w:r>
                    <w:rPr>
                      <w:rFonts w:hint="eastAsia" w:cs="Times New Roman"/>
                      <w:color w:val="000000"/>
                      <w:kern w:val="2"/>
                      <w:sz w:val="21"/>
                      <w:szCs w:val="21"/>
                      <w:lang w:val="en-US" w:eastAsia="zh-CN" w:bidi="ar"/>
                    </w:rPr>
                    <w:t>锰</w:t>
                  </w:r>
                </w:p>
              </w:tc>
              <w:tc>
                <w:tcPr>
                  <w:tcW w:w="1987" w:type="dxa"/>
                  <w:vAlign w:val="center"/>
                </w:tcPr>
                <w:p w14:paraId="4AC4A7AC">
                  <w:pPr>
                    <w:jc w:val="center"/>
                    <w:rPr>
                      <w:rFonts w:hint="default"/>
                      <w:vertAlign w:val="baseline"/>
                      <w:lang w:val="en-US" w:eastAsia="zh-CN"/>
                    </w:rPr>
                  </w:pPr>
                </w:p>
              </w:tc>
              <w:tc>
                <w:tcPr>
                  <w:tcW w:w="2190" w:type="dxa"/>
                  <w:vAlign w:val="center"/>
                </w:tcPr>
                <w:p w14:paraId="61E04680">
                  <w:pPr>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8123</w:t>
                  </w:r>
                </w:p>
              </w:tc>
              <w:tc>
                <w:tcPr>
                  <w:tcW w:w="1544" w:type="dxa"/>
                  <w:vAlign w:val="center"/>
                </w:tcPr>
                <w:p w14:paraId="72756D1A">
                  <w:pPr>
                    <w:jc w:val="center"/>
                    <w:rPr>
                      <w:rFonts w:hint="default"/>
                      <w:vertAlign w:val="baseline"/>
                      <w:lang w:val="en-US" w:eastAsia="zh-CN"/>
                    </w:rPr>
                  </w:pPr>
                  <w:r>
                    <w:rPr>
                      <w:rFonts w:hint="eastAsia"/>
                      <w:vertAlign w:val="baseline"/>
                      <w:lang w:val="en-US" w:eastAsia="zh-CN"/>
                    </w:rPr>
                    <w:t>达标</w:t>
                  </w:r>
                </w:p>
              </w:tc>
            </w:tr>
            <w:tr w14:paraId="290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0CF112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w:t>
                  </w:r>
                </w:p>
              </w:tc>
              <w:tc>
                <w:tcPr>
                  <w:tcW w:w="1282" w:type="dxa"/>
                  <w:vAlign w:val="center"/>
                </w:tcPr>
                <w:p w14:paraId="64AF7C7F">
                  <w:pPr>
                    <w:jc w:val="center"/>
                    <w:rPr>
                      <w:rFonts w:hint="default"/>
                      <w:vertAlign w:val="baseline"/>
                      <w:lang w:val="en-US" w:eastAsia="zh-CN"/>
                    </w:rPr>
                  </w:pPr>
                  <w:r>
                    <w:rPr>
                      <w:rFonts w:hint="eastAsia" w:cs="Times New Roman"/>
                      <w:color w:val="000000"/>
                      <w:kern w:val="2"/>
                      <w:sz w:val="21"/>
                      <w:szCs w:val="21"/>
                      <w:lang w:val="en-US" w:eastAsia="zh-CN" w:bidi="ar"/>
                    </w:rPr>
                    <w:t>锌</w:t>
                  </w:r>
                </w:p>
              </w:tc>
              <w:tc>
                <w:tcPr>
                  <w:tcW w:w="1987" w:type="dxa"/>
                  <w:vAlign w:val="center"/>
                </w:tcPr>
                <w:p w14:paraId="5406CD8E">
                  <w:pPr>
                    <w:jc w:val="center"/>
                    <w:rPr>
                      <w:rFonts w:hint="default"/>
                      <w:vertAlign w:val="baseline"/>
                      <w:lang w:val="en-US" w:eastAsia="zh-CN"/>
                    </w:rPr>
                  </w:pPr>
                </w:p>
              </w:tc>
              <w:tc>
                <w:tcPr>
                  <w:tcW w:w="2190" w:type="dxa"/>
                  <w:vAlign w:val="center"/>
                </w:tcPr>
                <w:p w14:paraId="22F04BBB">
                  <w:pPr>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10000</w:t>
                  </w:r>
                </w:p>
              </w:tc>
              <w:tc>
                <w:tcPr>
                  <w:tcW w:w="1544" w:type="dxa"/>
                  <w:vAlign w:val="center"/>
                </w:tcPr>
                <w:p w14:paraId="1BCCE7CF">
                  <w:pPr>
                    <w:jc w:val="center"/>
                    <w:rPr>
                      <w:rFonts w:hint="default"/>
                      <w:vertAlign w:val="baseline"/>
                      <w:lang w:val="en-US" w:eastAsia="zh-CN"/>
                    </w:rPr>
                  </w:pPr>
                  <w:r>
                    <w:rPr>
                      <w:rFonts w:hint="eastAsia"/>
                      <w:vertAlign w:val="baseline"/>
                      <w:lang w:val="en-US" w:eastAsia="zh-CN"/>
                    </w:rPr>
                    <w:t>达标</w:t>
                  </w:r>
                </w:p>
              </w:tc>
            </w:tr>
            <w:tr w14:paraId="09BF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CC8C74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w:t>
                  </w:r>
                </w:p>
              </w:tc>
              <w:tc>
                <w:tcPr>
                  <w:tcW w:w="1282" w:type="dxa"/>
                  <w:vAlign w:val="center"/>
                </w:tcPr>
                <w:p w14:paraId="3D20D5C0">
                  <w:pPr>
                    <w:jc w:val="center"/>
                    <w:rPr>
                      <w:rFonts w:hint="default"/>
                      <w:vertAlign w:val="baseline"/>
                      <w:lang w:val="en-US" w:eastAsia="zh-CN"/>
                    </w:rPr>
                  </w:pPr>
                  <w:r>
                    <w:rPr>
                      <w:rFonts w:hint="eastAsia" w:cs="Times New Roman"/>
                      <w:color w:val="0D0D0D" w:themeColor="text1" w:themeTint="F2"/>
                      <w:spacing w:val="8"/>
                      <w:sz w:val="21"/>
                      <w:szCs w:val="21"/>
                      <w:highlight w:val="none"/>
                      <w:lang w:val="en-US"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pacing w:val="8"/>
                      <w:sz w:val="21"/>
                      <w:szCs w:val="21"/>
                      <w:highlight w:val="none"/>
                      <w:lang w:val="en-US" w:eastAsia="zh-CN"/>
                      <w14:textFill>
                        <w14:solidFill>
                          <w14:schemeClr w14:val="tx1">
                            <w14:lumMod w14:val="95000"/>
                            <w14:lumOff w14:val="5000"/>
                          </w14:schemeClr>
                        </w14:solidFill>
                      </w14:textFill>
                    </w:rPr>
                    <w:t>pH</w:t>
                  </w:r>
                  <w:r>
                    <w:rPr>
                      <w:rFonts w:hint="eastAsia" w:cs="Times New Roman"/>
                      <w:color w:val="0D0D0D" w:themeColor="text1" w:themeTint="F2"/>
                      <w:spacing w:val="8"/>
                      <w:sz w:val="21"/>
                      <w:szCs w:val="21"/>
                      <w:highlight w:val="none"/>
                      <w:lang w:val="en-US" w:eastAsia="zh-CN"/>
                      <w14:textFill>
                        <w14:solidFill>
                          <w14:schemeClr w14:val="tx1">
                            <w14:lumMod w14:val="95000"/>
                            <w14:lumOff w14:val="5000"/>
                          </w14:schemeClr>
                        </w14:solidFill>
                      </w14:textFill>
                    </w:rPr>
                    <w:t>值</w:t>
                  </w:r>
                </w:p>
              </w:tc>
              <w:tc>
                <w:tcPr>
                  <w:tcW w:w="1987" w:type="dxa"/>
                  <w:vAlign w:val="center"/>
                </w:tcPr>
                <w:p w14:paraId="0F00A1D6">
                  <w:pPr>
                    <w:jc w:val="center"/>
                    <w:rPr>
                      <w:rFonts w:hint="default"/>
                      <w:vertAlign w:val="baseline"/>
                      <w:lang w:val="en-US" w:eastAsia="zh-CN"/>
                    </w:rPr>
                  </w:pPr>
                </w:p>
              </w:tc>
              <w:tc>
                <w:tcPr>
                  <w:tcW w:w="2190" w:type="dxa"/>
                  <w:vAlign w:val="center"/>
                </w:tcPr>
                <w:p w14:paraId="27F0BD81">
                  <w:pPr>
                    <w:widowControl/>
                    <w:snapToGrid w:val="0"/>
                    <w:jc w:val="center"/>
                    <w:rPr>
                      <w:rFonts w:hint="default"/>
                      <w:color w:val="auto"/>
                      <w:vertAlign w:val="baseline"/>
                      <w:lang w:val="en-US" w:eastAsia="zh-CN"/>
                    </w:rPr>
                  </w:pPr>
                  <w:r>
                    <w:rPr>
                      <w:rFonts w:hint="default" w:ascii="Times New Roman" w:hAnsi="Times New Roman" w:eastAsia="宋体" w:cs="Times New Roman"/>
                      <w:color w:val="auto"/>
                      <w:sz w:val="21"/>
                      <w:szCs w:val="21"/>
                      <w:lang w:val="en-US" w:eastAsia="zh-CN"/>
                    </w:rPr>
                    <w:t>/</w:t>
                  </w:r>
                </w:p>
              </w:tc>
              <w:tc>
                <w:tcPr>
                  <w:tcW w:w="1544" w:type="dxa"/>
                  <w:vAlign w:val="center"/>
                </w:tcPr>
                <w:p w14:paraId="401E85E3">
                  <w:pPr>
                    <w:jc w:val="center"/>
                    <w:rPr>
                      <w:rFonts w:hint="default"/>
                      <w:vertAlign w:val="baseline"/>
                      <w:lang w:val="en-US" w:eastAsia="zh-CN"/>
                    </w:rPr>
                  </w:pPr>
                  <w:r>
                    <w:rPr>
                      <w:rFonts w:hint="default" w:ascii="Times New Roman" w:hAnsi="Times New Roman" w:eastAsia="宋体" w:cs="Times New Roman"/>
                      <w:color w:val="FF0000"/>
                      <w:sz w:val="21"/>
                      <w:szCs w:val="21"/>
                      <w:lang w:val="en-US" w:eastAsia="zh-CN"/>
                    </w:rPr>
                    <w:t>/</w:t>
                  </w:r>
                </w:p>
              </w:tc>
            </w:tr>
            <w:tr w14:paraId="61BF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B7D02C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w:t>
                  </w:r>
                </w:p>
              </w:tc>
              <w:tc>
                <w:tcPr>
                  <w:tcW w:w="1282" w:type="dxa"/>
                  <w:vAlign w:val="center"/>
                </w:tcPr>
                <w:p w14:paraId="2A1650C0">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*砷</w:t>
                  </w:r>
                </w:p>
              </w:tc>
              <w:tc>
                <w:tcPr>
                  <w:tcW w:w="1987" w:type="dxa"/>
                  <w:vAlign w:val="center"/>
                </w:tcPr>
                <w:p w14:paraId="01299147">
                  <w:pPr>
                    <w:jc w:val="center"/>
                    <w:rPr>
                      <w:rFonts w:hint="default"/>
                      <w:vertAlign w:val="baseline"/>
                      <w:lang w:val="en-US" w:eastAsia="zh-CN"/>
                    </w:rPr>
                  </w:pPr>
                </w:p>
              </w:tc>
              <w:tc>
                <w:tcPr>
                  <w:tcW w:w="2190" w:type="dxa"/>
                  <w:vAlign w:val="center"/>
                </w:tcPr>
                <w:p w14:paraId="62F65757">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60</w:t>
                  </w:r>
                </w:p>
              </w:tc>
              <w:tc>
                <w:tcPr>
                  <w:tcW w:w="1544" w:type="dxa"/>
                  <w:vAlign w:val="center"/>
                </w:tcPr>
                <w:p w14:paraId="6249109A">
                  <w:pPr>
                    <w:jc w:val="center"/>
                    <w:rPr>
                      <w:rFonts w:hint="default"/>
                      <w:vertAlign w:val="baseline"/>
                      <w:lang w:val="en-US" w:eastAsia="zh-CN"/>
                    </w:rPr>
                  </w:pPr>
                  <w:r>
                    <w:rPr>
                      <w:rFonts w:hint="eastAsia"/>
                      <w:vertAlign w:val="baseline"/>
                      <w:lang w:val="en-US" w:eastAsia="zh-CN"/>
                    </w:rPr>
                    <w:t>达标</w:t>
                  </w:r>
                </w:p>
              </w:tc>
            </w:tr>
            <w:tr w14:paraId="3351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D967DF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5</w:t>
                  </w:r>
                </w:p>
              </w:tc>
              <w:tc>
                <w:tcPr>
                  <w:tcW w:w="1282" w:type="dxa"/>
                  <w:vAlign w:val="center"/>
                </w:tcPr>
                <w:p w14:paraId="77AD5B6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*镉</w:t>
                  </w:r>
                </w:p>
              </w:tc>
              <w:tc>
                <w:tcPr>
                  <w:tcW w:w="1987" w:type="dxa"/>
                  <w:vAlign w:val="center"/>
                </w:tcPr>
                <w:p w14:paraId="7BDBE1F1">
                  <w:pPr>
                    <w:jc w:val="center"/>
                    <w:rPr>
                      <w:rFonts w:hint="default"/>
                      <w:vertAlign w:val="baseline"/>
                      <w:lang w:val="en-US" w:eastAsia="zh-CN"/>
                    </w:rPr>
                  </w:pPr>
                </w:p>
              </w:tc>
              <w:tc>
                <w:tcPr>
                  <w:tcW w:w="2190" w:type="dxa"/>
                  <w:vAlign w:val="center"/>
                </w:tcPr>
                <w:p w14:paraId="6039347F">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65</w:t>
                  </w:r>
                </w:p>
              </w:tc>
              <w:tc>
                <w:tcPr>
                  <w:tcW w:w="1544" w:type="dxa"/>
                  <w:vAlign w:val="center"/>
                </w:tcPr>
                <w:p w14:paraId="69509C76">
                  <w:pPr>
                    <w:jc w:val="center"/>
                    <w:rPr>
                      <w:rFonts w:hint="default"/>
                      <w:vertAlign w:val="baseline"/>
                      <w:lang w:val="en-US" w:eastAsia="zh-CN"/>
                    </w:rPr>
                  </w:pPr>
                  <w:r>
                    <w:rPr>
                      <w:rFonts w:hint="eastAsia"/>
                      <w:vertAlign w:val="baseline"/>
                      <w:lang w:val="en-US" w:eastAsia="zh-CN"/>
                    </w:rPr>
                    <w:t>达标</w:t>
                  </w:r>
                </w:p>
              </w:tc>
            </w:tr>
            <w:tr w14:paraId="159B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050521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6</w:t>
                  </w:r>
                </w:p>
              </w:tc>
              <w:tc>
                <w:tcPr>
                  <w:tcW w:w="1282" w:type="dxa"/>
                  <w:vAlign w:val="center"/>
                </w:tcPr>
                <w:p w14:paraId="40E58732">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*铅</w:t>
                  </w:r>
                </w:p>
              </w:tc>
              <w:tc>
                <w:tcPr>
                  <w:tcW w:w="1987" w:type="dxa"/>
                  <w:vAlign w:val="center"/>
                </w:tcPr>
                <w:p w14:paraId="59CADC95">
                  <w:pPr>
                    <w:jc w:val="center"/>
                    <w:rPr>
                      <w:rFonts w:hint="default"/>
                      <w:vertAlign w:val="baseline"/>
                      <w:lang w:val="en-US" w:eastAsia="zh-CN"/>
                    </w:rPr>
                  </w:pPr>
                </w:p>
              </w:tc>
              <w:tc>
                <w:tcPr>
                  <w:tcW w:w="2190" w:type="dxa"/>
                  <w:vAlign w:val="center"/>
                </w:tcPr>
                <w:p w14:paraId="69A4E25E">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800</w:t>
                  </w:r>
                </w:p>
              </w:tc>
              <w:tc>
                <w:tcPr>
                  <w:tcW w:w="1544" w:type="dxa"/>
                  <w:vAlign w:val="center"/>
                </w:tcPr>
                <w:p w14:paraId="3FE96DFF">
                  <w:pPr>
                    <w:jc w:val="center"/>
                    <w:rPr>
                      <w:rFonts w:hint="default"/>
                      <w:vertAlign w:val="baseline"/>
                      <w:lang w:val="en-US" w:eastAsia="zh-CN"/>
                    </w:rPr>
                  </w:pPr>
                  <w:r>
                    <w:rPr>
                      <w:rFonts w:hint="eastAsia"/>
                      <w:vertAlign w:val="baseline"/>
                      <w:lang w:val="en-US" w:eastAsia="zh-CN"/>
                    </w:rPr>
                    <w:t>达标</w:t>
                  </w:r>
                </w:p>
              </w:tc>
            </w:tr>
            <w:tr w14:paraId="35C7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EAFE16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7</w:t>
                  </w:r>
                </w:p>
              </w:tc>
              <w:tc>
                <w:tcPr>
                  <w:tcW w:w="1282" w:type="dxa"/>
                  <w:vAlign w:val="center"/>
                </w:tcPr>
                <w:p w14:paraId="03C54A23">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*铬（六价）</w:t>
                  </w:r>
                </w:p>
              </w:tc>
              <w:tc>
                <w:tcPr>
                  <w:tcW w:w="1987" w:type="dxa"/>
                  <w:vAlign w:val="center"/>
                </w:tcPr>
                <w:p w14:paraId="6142DE07">
                  <w:pPr>
                    <w:jc w:val="center"/>
                    <w:rPr>
                      <w:rFonts w:hint="default"/>
                      <w:vertAlign w:val="baseline"/>
                      <w:lang w:val="en-US" w:eastAsia="zh-CN"/>
                    </w:rPr>
                  </w:pPr>
                </w:p>
              </w:tc>
              <w:tc>
                <w:tcPr>
                  <w:tcW w:w="2190" w:type="dxa"/>
                  <w:vAlign w:val="center"/>
                </w:tcPr>
                <w:p w14:paraId="0101DFAC">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5.7</w:t>
                  </w:r>
                </w:p>
              </w:tc>
              <w:tc>
                <w:tcPr>
                  <w:tcW w:w="1544" w:type="dxa"/>
                  <w:vAlign w:val="center"/>
                </w:tcPr>
                <w:p w14:paraId="1F800FBA">
                  <w:pPr>
                    <w:jc w:val="center"/>
                    <w:rPr>
                      <w:rFonts w:hint="default"/>
                      <w:vertAlign w:val="baseline"/>
                      <w:lang w:val="en-US" w:eastAsia="zh-CN"/>
                    </w:rPr>
                  </w:pPr>
                  <w:r>
                    <w:rPr>
                      <w:rFonts w:hint="eastAsia"/>
                      <w:vertAlign w:val="baseline"/>
                      <w:lang w:val="en-US" w:eastAsia="zh-CN"/>
                    </w:rPr>
                    <w:t>达标</w:t>
                  </w:r>
                </w:p>
              </w:tc>
            </w:tr>
            <w:tr w14:paraId="29C2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D2EE9C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8</w:t>
                  </w:r>
                </w:p>
              </w:tc>
              <w:tc>
                <w:tcPr>
                  <w:tcW w:w="1282" w:type="dxa"/>
                  <w:vAlign w:val="center"/>
                </w:tcPr>
                <w:p w14:paraId="53CB36D2">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*铜</w:t>
                  </w:r>
                </w:p>
              </w:tc>
              <w:tc>
                <w:tcPr>
                  <w:tcW w:w="1987" w:type="dxa"/>
                  <w:vAlign w:val="center"/>
                </w:tcPr>
                <w:p w14:paraId="7B5D9A20">
                  <w:pPr>
                    <w:jc w:val="center"/>
                    <w:rPr>
                      <w:rFonts w:hint="default"/>
                      <w:vertAlign w:val="baseline"/>
                      <w:lang w:val="en-US" w:eastAsia="zh-CN"/>
                    </w:rPr>
                  </w:pPr>
                </w:p>
              </w:tc>
              <w:tc>
                <w:tcPr>
                  <w:tcW w:w="2190" w:type="dxa"/>
                  <w:vAlign w:val="center"/>
                </w:tcPr>
                <w:p w14:paraId="0C9DBA35">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18000</w:t>
                  </w:r>
                </w:p>
              </w:tc>
              <w:tc>
                <w:tcPr>
                  <w:tcW w:w="1544" w:type="dxa"/>
                  <w:vAlign w:val="center"/>
                </w:tcPr>
                <w:p w14:paraId="60D76AB0">
                  <w:pPr>
                    <w:jc w:val="center"/>
                    <w:rPr>
                      <w:rFonts w:hint="default"/>
                      <w:vertAlign w:val="baseline"/>
                      <w:lang w:val="en-US" w:eastAsia="zh-CN"/>
                    </w:rPr>
                  </w:pPr>
                  <w:r>
                    <w:rPr>
                      <w:rFonts w:hint="eastAsia"/>
                      <w:vertAlign w:val="baseline"/>
                      <w:lang w:val="en-US" w:eastAsia="zh-CN"/>
                    </w:rPr>
                    <w:t>达标</w:t>
                  </w:r>
                </w:p>
              </w:tc>
            </w:tr>
            <w:tr w14:paraId="3244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95FF17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9</w:t>
                  </w:r>
                </w:p>
              </w:tc>
              <w:tc>
                <w:tcPr>
                  <w:tcW w:w="1282" w:type="dxa"/>
                  <w:vAlign w:val="center"/>
                </w:tcPr>
                <w:p w14:paraId="6D763F7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*镍</w:t>
                  </w:r>
                </w:p>
              </w:tc>
              <w:tc>
                <w:tcPr>
                  <w:tcW w:w="1987" w:type="dxa"/>
                  <w:vAlign w:val="center"/>
                </w:tcPr>
                <w:p w14:paraId="638820A8">
                  <w:pPr>
                    <w:jc w:val="center"/>
                    <w:rPr>
                      <w:rFonts w:hint="default"/>
                      <w:vertAlign w:val="baseline"/>
                      <w:lang w:val="en-US" w:eastAsia="zh-CN"/>
                    </w:rPr>
                  </w:pPr>
                </w:p>
              </w:tc>
              <w:tc>
                <w:tcPr>
                  <w:tcW w:w="2190" w:type="dxa"/>
                  <w:vAlign w:val="center"/>
                </w:tcPr>
                <w:p w14:paraId="79A8AE52">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900</w:t>
                  </w:r>
                </w:p>
              </w:tc>
              <w:tc>
                <w:tcPr>
                  <w:tcW w:w="1544" w:type="dxa"/>
                  <w:vAlign w:val="center"/>
                </w:tcPr>
                <w:p w14:paraId="160D88AF">
                  <w:pPr>
                    <w:jc w:val="center"/>
                    <w:rPr>
                      <w:rFonts w:hint="default"/>
                      <w:vertAlign w:val="baseline"/>
                      <w:lang w:val="en-US" w:eastAsia="zh-CN"/>
                    </w:rPr>
                  </w:pPr>
                  <w:r>
                    <w:rPr>
                      <w:rFonts w:hint="eastAsia"/>
                      <w:vertAlign w:val="baseline"/>
                      <w:lang w:val="en-US" w:eastAsia="zh-CN"/>
                    </w:rPr>
                    <w:t>达标</w:t>
                  </w:r>
                </w:p>
              </w:tc>
            </w:tr>
            <w:tr w14:paraId="5027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4CD0B6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10</w:t>
                  </w:r>
                </w:p>
              </w:tc>
              <w:tc>
                <w:tcPr>
                  <w:tcW w:w="1282" w:type="dxa"/>
                  <w:vAlign w:val="center"/>
                </w:tcPr>
                <w:p w14:paraId="5223914E">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*汞</w:t>
                  </w:r>
                </w:p>
              </w:tc>
              <w:tc>
                <w:tcPr>
                  <w:tcW w:w="1987" w:type="dxa"/>
                  <w:vAlign w:val="center"/>
                </w:tcPr>
                <w:p w14:paraId="52AE2606">
                  <w:pPr>
                    <w:jc w:val="center"/>
                    <w:rPr>
                      <w:rFonts w:hint="default"/>
                      <w:vertAlign w:val="baseline"/>
                      <w:lang w:val="en-US" w:eastAsia="zh-CN"/>
                    </w:rPr>
                  </w:pPr>
                </w:p>
              </w:tc>
              <w:tc>
                <w:tcPr>
                  <w:tcW w:w="2190" w:type="dxa"/>
                  <w:vAlign w:val="center"/>
                </w:tcPr>
                <w:p w14:paraId="76784839">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38</w:t>
                  </w:r>
                </w:p>
              </w:tc>
              <w:tc>
                <w:tcPr>
                  <w:tcW w:w="1544" w:type="dxa"/>
                  <w:vAlign w:val="center"/>
                </w:tcPr>
                <w:p w14:paraId="79AF3BE3">
                  <w:pPr>
                    <w:jc w:val="center"/>
                    <w:rPr>
                      <w:rFonts w:hint="default"/>
                      <w:vertAlign w:val="baseline"/>
                      <w:lang w:val="en-US" w:eastAsia="zh-CN"/>
                    </w:rPr>
                  </w:pPr>
                  <w:r>
                    <w:rPr>
                      <w:rFonts w:hint="eastAsia"/>
                      <w:vertAlign w:val="baseline"/>
                      <w:lang w:val="en-US" w:eastAsia="zh-CN"/>
                    </w:rPr>
                    <w:t>达标</w:t>
                  </w:r>
                </w:p>
              </w:tc>
            </w:tr>
            <w:tr w14:paraId="44AF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3BF52E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11</w:t>
                  </w:r>
                </w:p>
              </w:tc>
              <w:tc>
                <w:tcPr>
                  <w:tcW w:w="1282" w:type="dxa"/>
                  <w:vAlign w:val="center"/>
                </w:tcPr>
                <w:p w14:paraId="7E666CB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四氯化碳</w:t>
                  </w:r>
                </w:p>
              </w:tc>
              <w:tc>
                <w:tcPr>
                  <w:tcW w:w="1987" w:type="dxa"/>
                  <w:vAlign w:val="center"/>
                </w:tcPr>
                <w:p w14:paraId="3327C3A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p>
              </w:tc>
              <w:tc>
                <w:tcPr>
                  <w:tcW w:w="2190" w:type="dxa"/>
                  <w:vAlign w:val="center"/>
                </w:tcPr>
                <w:p w14:paraId="41A761CB">
                  <w:pPr>
                    <w:adjustRightInd w:val="0"/>
                    <w:snapToGrid w:val="0"/>
                    <w:jc w:val="center"/>
                    <w:rPr>
                      <w:rFonts w:hint="default"/>
                      <w:color w:val="auto"/>
                      <w:vertAlign w:val="baseline"/>
                      <w:lang w:val="en-US" w:eastAsia="zh-CN"/>
                    </w:rPr>
                  </w:pPr>
                  <w:r>
                    <w:rPr>
                      <w:rFonts w:hint="eastAsia"/>
                      <w:color w:val="auto"/>
                      <w:vertAlign w:val="baseline"/>
                      <w:lang w:val="en-US" w:eastAsia="zh-CN"/>
                    </w:rPr>
                    <w:t>2.8</w:t>
                  </w:r>
                </w:p>
              </w:tc>
              <w:tc>
                <w:tcPr>
                  <w:tcW w:w="1544" w:type="dxa"/>
                  <w:vAlign w:val="center"/>
                </w:tcPr>
                <w:p w14:paraId="3E9A8FCF">
                  <w:pPr>
                    <w:jc w:val="center"/>
                    <w:rPr>
                      <w:rFonts w:hint="default"/>
                      <w:vertAlign w:val="baseline"/>
                      <w:lang w:val="en-US" w:eastAsia="zh-CN"/>
                    </w:rPr>
                  </w:pPr>
                  <w:r>
                    <w:rPr>
                      <w:rFonts w:hint="eastAsia"/>
                      <w:vertAlign w:val="baseline"/>
                      <w:lang w:val="en-US" w:eastAsia="zh-CN"/>
                    </w:rPr>
                    <w:t>达标</w:t>
                  </w:r>
                </w:p>
              </w:tc>
            </w:tr>
            <w:tr w14:paraId="7F89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4F1C3B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12</w:t>
                  </w:r>
                </w:p>
              </w:tc>
              <w:tc>
                <w:tcPr>
                  <w:tcW w:w="1282" w:type="dxa"/>
                  <w:vAlign w:val="center"/>
                </w:tcPr>
                <w:p w14:paraId="4F6C327A">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*氯仿</w:t>
                  </w:r>
                </w:p>
              </w:tc>
              <w:tc>
                <w:tcPr>
                  <w:tcW w:w="1987" w:type="dxa"/>
                  <w:vAlign w:val="center"/>
                </w:tcPr>
                <w:p w14:paraId="77AFBF45">
                  <w:pPr>
                    <w:jc w:val="center"/>
                    <w:rPr>
                      <w:rFonts w:hint="default"/>
                      <w:vertAlign w:val="baseline"/>
                      <w:lang w:val="en-US" w:eastAsia="zh-CN"/>
                    </w:rPr>
                  </w:pPr>
                </w:p>
              </w:tc>
              <w:tc>
                <w:tcPr>
                  <w:tcW w:w="2190" w:type="dxa"/>
                  <w:vAlign w:val="center"/>
                </w:tcPr>
                <w:p w14:paraId="29D162ED">
                  <w:pPr>
                    <w:adjustRightInd w:val="0"/>
                    <w:snapToGrid w:val="0"/>
                    <w:jc w:val="center"/>
                    <w:rPr>
                      <w:rFonts w:hint="default"/>
                      <w:color w:val="auto"/>
                      <w:vertAlign w:val="baseline"/>
                      <w:lang w:val="en-US" w:eastAsia="zh-CN"/>
                    </w:rPr>
                  </w:pPr>
                  <w:r>
                    <w:rPr>
                      <w:rFonts w:hint="eastAsia"/>
                      <w:color w:val="auto"/>
                      <w:vertAlign w:val="baseline"/>
                      <w:lang w:val="en-US" w:eastAsia="zh-CN"/>
                    </w:rPr>
                    <w:t>0.9</w:t>
                  </w:r>
                </w:p>
              </w:tc>
              <w:tc>
                <w:tcPr>
                  <w:tcW w:w="1544" w:type="dxa"/>
                  <w:vAlign w:val="center"/>
                </w:tcPr>
                <w:p w14:paraId="635DD67B">
                  <w:pPr>
                    <w:jc w:val="center"/>
                    <w:rPr>
                      <w:rFonts w:hint="default"/>
                      <w:vertAlign w:val="baseline"/>
                      <w:lang w:val="en-US" w:eastAsia="zh-CN"/>
                    </w:rPr>
                  </w:pPr>
                  <w:r>
                    <w:rPr>
                      <w:rFonts w:hint="eastAsia"/>
                      <w:vertAlign w:val="baseline"/>
                      <w:lang w:val="en-US" w:eastAsia="zh-CN"/>
                    </w:rPr>
                    <w:t>达标</w:t>
                  </w:r>
                </w:p>
              </w:tc>
            </w:tr>
            <w:tr w14:paraId="6C22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F59797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13</w:t>
                  </w:r>
                </w:p>
              </w:tc>
              <w:tc>
                <w:tcPr>
                  <w:tcW w:w="1282" w:type="dxa"/>
                  <w:vAlign w:val="center"/>
                </w:tcPr>
                <w:p w14:paraId="6C50F928">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*氯甲烷</w:t>
                  </w:r>
                </w:p>
              </w:tc>
              <w:tc>
                <w:tcPr>
                  <w:tcW w:w="1987" w:type="dxa"/>
                  <w:vAlign w:val="center"/>
                </w:tcPr>
                <w:p w14:paraId="225AE64A">
                  <w:pPr>
                    <w:jc w:val="center"/>
                    <w:rPr>
                      <w:rFonts w:hint="default"/>
                      <w:vertAlign w:val="baseline"/>
                      <w:lang w:val="en-US" w:eastAsia="zh-CN"/>
                    </w:rPr>
                  </w:pPr>
                </w:p>
              </w:tc>
              <w:tc>
                <w:tcPr>
                  <w:tcW w:w="2190" w:type="dxa"/>
                  <w:vAlign w:val="center"/>
                </w:tcPr>
                <w:p w14:paraId="4F15938E">
                  <w:pPr>
                    <w:adjustRightInd w:val="0"/>
                    <w:snapToGrid w:val="0"/>
                    <w:jc w:val="center"/>
                    <w:rPr>
                      <w:rFonts w:hint="default"/>
                      <w:color w:val="auto"/>
                      <w:vertAlign w:val="baseline"/>
                      <w:lang w:val="en-US" w:eastAsia="zh-CN"/>
                    </w:rPr>
                  </w:pPr>
                  <w:r>
                    <w:rPr>
                      <w:rFonts w:hint="eastAsia"/>
                      <w:color w:val="auto"/>
                      <w:vertAlign w:val="baseline"/>
                      <w:lang w:val="en-US" w:eastAsia="zh-CN"/>
                    </w:rPr>
                    <w:t>37</w:t>
                  </w:r>
                </w:p>
              </w:tc>
              <w:tc>
                <w:tcPr>
                  <w:tcW w:w="1544" w:type="dxa"/>
                  <w:vAlign w:val="center"/>
                </w:tcPr>
                <w:p w14:paraId="23845CF5">
                  <w:pPr>
                    <w:jc w:val="center"/>
                    <w:rPr>
                      <w:rFonts w:hint="default"/>
                      <w:vertAlign w:val="baseline"/>
                      <w:lang w:val="en-US" w:eastAsia="zh-CN"/>
                    </w:rPr>
                  </w:pPr>
                  <w:r>
                    <w:rPr>
                      <w:rFonts w:hint="eastAsia"/>
                      <w:vertAlign w:val="baseline"/>
                      <w:lang w:val="en-US" w:eastAsia="zh-CN"/>
                    </w:rPr>
                    <w:t>达标</w:t>
                  </w:r>
                </w:p>
              </w:tc>
            </w:tr>
            <w:tr w14:paraId="62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E4CE2E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14</w:t>
                  </w:r>
                </w:p>
              </w:tc>
              <w:tc>
                <w:tcPr>
                  <w:tcW w:w="1282" w:type="dxa"/>
                  <w:vAlign w:val="center"/>
                </w:tcPr>
                <w:p w14:paraId="308B6E0E">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*1,1-二氯乙烷</w:t>
                  </w:r>
                </w:p>
              </w:tc>
              <w:tc>
                <w:tcPr>
                  <w:tcW w:w="1987" w:type="dxa"/>
                  <w:vAlign w:val="center"/>
                </w:tcPr>
                <w:p w14:paraId="6C49EEFE">
                  <w:pPr>
                    <w:jc w:val="center"/>
                    <w:rPr>
                      <w:rFonts w:hint="default"/>
                      <w:vertAlign w:val="baseline"/>
                      <w:lang w:val="en-US" w:eastAsia="zh-CN"/>
                    </w:rPr>
                  </w:pPr>
                </w:p>
              </w:tc>
              <w:tc>
                <w:tcPr>
                  <w:tcW w:w="2190" w:type="dxa"/>
                  <w:vAlign w:val="center"/>
                </w:tcPr>
                <w:p w14:paraId="657D65DB">
                  <w:pPr>
                    <w:adjustRightInd w:val="0"/>
                    <w:snapToGrid w:val="0"/>
                    <w:jc w:val="center"/>
                    <w:rPr>
                      <w:rFonts w:hint="default"/>
                      <w:color w:val="auto"/>
                      <w:vertAlign w:val="baseline"/>
                      <w:lang w:val="en-US" w:eastAsia="zh-CN"/>
                    </w:rPr>
                  </w:pPr>
                  <w:r>
                    <w:rPr>
                      <w:rFonts w:hint="eastAsia"/>
                      <w:color w:val="auto"/>
                      <w:vertAlign w:val="baseline"/>
                      <w:lang w:val="en-US" w:eastAsia="zh-CN"/>
                    </w:rPr>
                    <w:t>9</w:t>
                  </w:r>
                </w:p>
              </w:tc>
              <w:tc>
                <w:tcPr>
                  <w:tcW w:w="1544" w:type="dxa"/>
                  <w:vAlign w:val="center"/>
                </w:tcPr>
                <w:p w14:paraId="67F5178F">
                  <w:pPr>
                    <w:jc w:val="center"/>
                    <w:rPr>
                      <w:rFonts w:hint="default"/>
                      <w:vertAlign w:val="baseline"/>
                      <w:lang w:val="en-US" w:eastAsia="zh-CN"/>
                    </w:rPr>
                  </w:pPr>
                  <w:r>
                    <w:rPr>
                      <w:rFonts w:hint="eastAsia"/>
                      <w:vertAlign w:val="baseline"/>
                      <w:lang w:val="en-US" w:eastAsia="zh-CN"/>
                    </w:rPr>
                    <w:t>达标</w:t>
                  </w:r>
                </w:p>
              </w:tc>
            </w:tr>
            <w:tr w14:paraId="1C86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2E6F08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15</w:t>
                  </w:r>
                </w:p>
              </w:tc>
              <w:tc>
                <w:tcPr>
                  <w:tcW w:w="1282" w:type="dxa"/>
                  <w:vAlign w:val="center"/>
                </w:tcPr>
                <w:p w14:paraId="53FBF849">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*1,2-二氯乙烷</w:t>
                  </w:r>
                </w:p>
              </w:tc>
              <w:tc>
                <w:tcPr>
                  <w:tcW w:w="1987" w:type="dxa"/>
                  <w:vAlign w:val="center"/>
                </w:tcPr>
                <w:p w14:paraId="30FC3B6D">
                  <w:pPr>
                    <w:jc w:val="center"/>
                    <w:rPr>
                      <w:rFonts w:hint="default"/>
                      <w:vertAlign w:val="baseline"/>
                      <w:lang w:val="en-US" w:eastAsia="zh-CN"/>
                    </w:rPr>
                  </w:pPr>
                </w:p>
              </w:tc>
              <w:tc>
                <w:tcPr>
                  <w:tcW w:w="2190" w:type="dxa"/>
                  <w:vAlign w:val="center"/>
                </w:tcPr>
                <w:p w14:paraId="28607CF7">
                  <w:pPr>
                    <w:adjustRightInd w:val="0"/>
                    <w:snapToGrid w:val="0"/>
                    <w:jc w:val="center"/>
                    <w:rPr>
                      <w:rFonts w:hint="default"/>
                      <w:color w:val="auto"/>
                      <w:vertAlign w:val="baseline"/>
                      <w:lang w:val="en-US" w:eastAsia="zh-CN"/>
                    </w:rPr>
                  </w:pPr>
                  <w:r>
                    <w:rPr>
                      <w:rFonts w:hint="eastAsia"/>
                      <w:color w:val="auto"/>
                      <w:vertAlign w:val="baseline"/>
                      <w:lang w:val="en-US" w:eastAsia="zh-CN"/>
                    </w:rPr>
                    <w:t>5</w:t>
                  </w:r>
                </w:p>
              </w:tc>
              <w:tc>
                <w:tcPr>
                  <w:tcW w:w="1544" w:type="dxa"/>
                  <w:vAlign w:val="center"/>
                </w:tcPr>
                <w:p w14:paraId="18ED2FC3">
                  <w:pPr>
                    <w:jc w:val="center"/>
                    <w:rPr>
                      <w:rFonts w:hint="default"/>
                      <w:vertAlign w:val="baseline"/>
                      <w:lang w:val="en-US" w:eastAsia="zh-CN"/>
                    </w:rPr>
                  </w:pPr>
                  <w:r>
                    <w:rPr>
                      <w:rFonts w:hint="eastAsia"/>
                      <w:vertAlign w:val="baseline"/>
                      <w:lang w:val="en-US" w:eastAsia="zh-CN"/>
                    </w:rPr>
                    <w:t>达标</w:t>
                  </w:r>
                </w:p>
              </w:tc>
            </w:tr>
            <w:tr w14:paraId="1A4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1F3C0C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16</w:t>
                  </w:r>
                </w:p>
              </w:tc>
              <w:tc>
                <w:tcPr>
                  <w:tcW w:w="1282" w:type="dxa"/>
                  <w:vAlign w:val="center"/>
                </w:tcPr>
                <w:p w14:paraId="26E89A72">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*1,1-二氯乙烯</w:t>
                  </w:r>
                </w:p>
              </w:tc>
              <w:tc>
                <w:tcPr>
                  <w:tcW w:w="1987" w:type="dxa"/>
                  <w:vAlign w:val="center"/>
                </w:tcPr>
                <w:p w14:paraId="6AE5B83B">
                  <w:pPr>
                    <w:jc w:val="center"/>
                    <w:rPr>
                      <w:rFonts w:hint="default"/>
                      <w:vertAlign w:val="baseline"/>
                      <w:lang w:val="en-US" w:eastAsia="zh-CN"/>
                    </w:rPr>
                  </w:pPr>
                </w:p>
              </w:tc>
              <w:tc>
                <w:tcPr>
                  <w:tcW w:w="2190" w:type="dxa"/>
                  <w:vAlign w:val="center"/>
                </w:tcPr>
                <w:p w14:paraId="0E55489B">
                  <w:pPr>
                    <w:adjustRightInd w:val="0"/>
                    <w:snapToGrid w:val="0"/>
                    <w:jc w:val="center"/>
                    <w:rPr>
                      <w:rFonts w:hint="default"/>
                      <w:color w:val="auto"/>
                      <w:vertAlign w:val="baseline"/>
                      <w:lang w:val="en-US" w:eastAsia="zh-CN"/>
                    </w:rPr>
                  </w:pPr>
                  <w:r>
                    <w:rPr>
                      <w:rFonts w:hint="eastAsia"/>
                      <w:color w:val="auto"/>
                      <w:vertAlign w:val="baseline"/>
                      <w:lang w:val="en-US" w:eastAsia="zh-CN"/>
                    </w:rPr>
                    <w:t>66</w:t>
                  </w:r>
                </w:p>
              </w:tc>
              <w:tc>
                <w:tcPr>
                  <w:tcW w:w="1544" w:type="dxa"/>
                  <w:vAlign w:val="center"/>
                </w:tcPr>
                <w:p w14:paraId="1D8508A0">
                  <w:pPr>
                    <w:jc w:val="center"/>
                    <w:rPr>
                      <w:rFonts w:hint="default"/>
                      <w:vertAlign w:val="baseline"/>
                      <w:lang w:val="en-US" w:eastAsia="zh-CN"/>
                    </w:rPr>
                  </w:pPr>
                  <w:r>
                    <w:rPr>
                      <w:rFonts w:hint="eastAsia"/>
                      <w:vertAlign w:val="baseline"/>
                      <w:lang w:val="en-US" w:eastAsia="zh-CN"/>
                    </w:rPr>
                    <w:t>达标</w:t>
                  </w:r>
                </w:p>
              </w:tc>
            </w:tr>
            <w:tr w14:paraId="648E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2C3D28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17</w:t>
                  </w:r>
                </w:p>
              </w:tc>
              <w:tc>
                <w:tcPr>
                  <w:tcW w:w="1282" w:type="dxa"/>
                  <w:vAlign w:val="center"/>
                </w:tcPr>
                <w:p w14:paraId="081FA4A6">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*顺-1,2-二氯乙烯</w:t>
                  </w:r>
                </w:p>
              </w:tc>
              <w:tc>
                <w:tcPr>
                  <w:tcW w:w="1987" w:type="dxa"/>
                  <w:vAlign w:val="center"/>
                </w:tcPr>
                <w:p w14:paraId="32F6996A">
                  <w:pPr>
                    <w:jc w:val="center"/>
                    <w:rPr>
                      <w:rFonts w:hint="default"/>
                      <w:vertAlign w:val="baseline"/>
                      <w:lang w:val="en-US" w:eastAsia="zh-CN"/>
                    </w:rPr>
                  </w:pPr>
                </w:p>
              </w:tc>
              <w:tc>
                <w:tcPr>
                  <w:tcW w:w="2190" w:type="dxa"/>
                  <w:vAlign w:val="center"/>
                </w:tcPr>
                <w:p w14:paraId="1AC1643D">
                  <w:pPr>
                    <w:adjustRightInd w:val="0"/>
                    <w:snapToGrid w:val="0"/>
                    <w:jc w:val="center"/>
                    <w:rPr>
                      <w:rFonts w:hint="default"/>
                      <w:color w:val="auto"/>
                      <w:vertAlign w:val="baseline"/>
                      <w:lang w:val="en-US" w:eastAsia="zh-CN"/>
                    </w:rPr>
                  </w:pPr>
                  <w:r>
                    <w:rPr>
                      <w:rFonts w:hint="eastAsia"/>
                      <w:color w:val="auto"/>
                      <w:vertAlign w:val="baseline"/>
                      <w:lang w:val="en-US" w:eastAsia="zh-CN"/>
                    </w:rPr>
                    <w:t>596</w:t>
                  </w:r>
                </w:p>
              </w:tc>
              <w:tc>
                <w:tcPr>
                  <w:tcW w:w="1544" w:type="dxa"/>
                  <w:vAlign w:val="center"/>
                </w:tcPr>
                <w:p w14:paraId="4AA03D71">
                  <w:pPr>
                    <w:jc w:val="center"/>
                    <w:rPr>
                      <w:rFonts w:hint="default"/>
                      <w:vertAlign w:val="baseline"/>
                      <w:lang w:val="en-US" w:eastAsia="zh-CN"/>
                    </w:rPr>
                  </w:pPr>
                  <w:r>
                    <w:rPr>
                      <w:rFonts w:hint="eastAsia"/>
                      <w:vertAlign w:val="baseline"/>
                      <w:lang w:val="en-US" w:eastAsia="zh-CN"/>
                    </w:rPr>
                    <w:t>达标</w:t>
                  </w:r>
                </w:p>
              </w:tc>
            </w:tr>
            <w:tr w14:paraId="09CF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91A665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18</w:t>
                  </w:r>
                </w:p>
              </w:tc>
              <w:tc>
                <w:tcPr>
                  <w:tcW w:w="1282" w:type="dxa"/>
                  <w:vAlign w:val="center"/>
                </w:tcPr>
                <w:p w14:paraId="7118B425">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*反-1,2-二氯乙烯</w:t>
                  </w:r>
                </w:p>
              </w:tc>
              <w:tc>
                <w:tcPr>
                  <w:tcW w:w="1987" w:type="dxa"/>
                  <w:vAlign w:val="center"/>
                </w:tcPr>
                <w:p w14:paraId="30FC032F">
                  <w:pPr>
                    <w:jc w:val="center"/>
                    <w:rPr>
                      <w:rFonts w:hint="default"/>
                      <w:vertAlign w:val="baseline"/>
                      <w:lang w:val="en-US" w:eastAsia="zh-CN"/>
                    </w:rPr>
                  </w:pPr>
                </w:p>
              </w:tc>
              <w:tc>
                <w:tcPr>
                  <w:tcW w:w="2190" w:type="dxa"/>
                  <w:vAlign w:val="center"/>
                </w:tcPr>
                <w:p w14:paraId="357BEC7C">
                  <w:pPr>
                    <w:adjustRightInd w:val="0"/>
                    <w:snapToGrid w:val="0"/>
                    <w:jc w:val="center"/>
                    <w:rPr>
                      <w:rFonts w:hint="default"/>
                      <w:color w:val="auto"/>
                      <w:vertAlign w:val="baseline"/>
                      <w:lang w:val="en-US" w:eastAsia="zh-CN"/>
                    </w:rPr>
                  </w:pPr>
                  <w:r>
                    <w:rPr>
                      <w:rFonts w:hint="eastAsia"/>
                      <w:color w:val="auto"/>
                      <w:vertAlign w:val="baseline"/>
                      <w:lang w:val="en-US" w:eastAsia="zh-CN"/>
                    </w:rPr>
                    <w:t>54</w:t>
                  </w:r>
                </w:p>
              </w:tc>
              <w:tc>
                <w:tcPr>
                  <w:tcW w:w="1544" w:type="dxa"/>
                  <w:vAlign w:val="center"/>
                </w:tcPr>
                <w:p w14:paraId="00DD06E5">
                  <w:pPr>
                    <w:jc w:val="center"/>
                    <w:rPr>
                      <w:rFonts w:hint="default"/>
                      <w:vertAlign w:val="baseline"/>
                      <w:lang w:val="en-US" w:eastAsia="zh-CN"/>
                    </w:rPr>
                  </w:pPr>
                  <w:r>
                    <w:rPr>
                      <w:rFonts w:hint="eastAsia"/>
                      <w:vertAlign w:val="baseline"/>
                      <w:lang w:val="en-US" w:eastAsia="zh-CN"/>
                    </w:rPr>
                    <w:t>达标</w:t>
                  </w:r>
                </w:p>
              </w:tc>
            </w:tr>
            <w:tr w14:paraId="491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48491DB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19</w:t>
                  </w:r>
                </w:p>
              </w:tc>
              <w:tc>
                <w:tcPr>
                  <w:tcW w:w="1282" w:type="dxa"/>
                  <w:vAlign w:val="center"/>
                </w:tcPr>
                <w:p w14:paraId="1276500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*二氯甲烷</w:t>
                  </w:r>
                </w:p>
              </w:tc>
              <w:tc>
                <w:tcPr>
                  <w:tcW w:w="1987" w:type="dxa"/>
                  <w:vAlign w:val="center"/>
                </w:tcPr>
                <w:p w14:paraId="1AEE4A8A">
                  <w:pPr>
                    <w:tabs>
                      <w:tab w:val="left" w:pos="509"/>
                      <w:tab w:val="center" w:pos="1318"/>
                    </w:tabs>
                    <w:jc w:val="center"/>
                    <w:rPr>
                      <w:rFonts w:hint="default"/>
                      <w:vertAlign w:val="baseline"/>
                      <w:lang w:val="en-US" w:eastAsia="zh-CN"/>
                    </w:rPr>
                  </w:pPr>
                </w:p>
              </w:tc>
              <w:tc>
                <w:tcPr>
                  <w:tcW w:w="2190" w:type="dxa"/>
                  <w:vAlign w:val="center"/>
                </w:tcPr>
                <w:p w14:paraId="1FA58407">
                  <w:pPr>
                    <w:adjustRightInd w:val="0"/>
                    <w:snapToGrid w:val="0"/>
                    <w:jc w:val="center"/>
                    <w:rPr>
                      <w:rFonts w:hint="default"/>
                      <w:color w:val="auto"/>
                      <w:vertAlign w:val="baseline"/>
                      <w:lang w:val="en-US" w:eastAsia="zh-CN"/>
                    </w:rPr>
                  </w:pPr>
                  <w:r>
                    <w:rPr>
                      <w:rFonts w:hint="eastAsia"/>
                      <w:color w:val="auto"/>
                      <w:vertAlign w:val="baseline"/>
                      <w:lang w:val="en-US" w:eastAsia="zh-CN"/>
                    </w:rPr>
                    <w:t>616</w:t>
                  </w:r>
                </w:p>
              </w:tc>
              <w:tc>
                <w:tcPr>
                  <w:tcW w:w="1544" w:type="dxa"/>
                  <w:vAlign w:val="center"/>
                </w:tcPr>
                <w:p w14:paraId="5B8EC40B">
                  <w:pPr>
                    <w:jc w:val="center"/>
                    <w:rPr>
                      <w:rFonts w:hint="default"/>
                      <w:vertAlign w:val="baseline"/>
                      <w:lang w:val="en-US" w:eastAsia="zh-CN"/>
                    </w:rPr>
                  </w:pPr>
                  <w:r>
                    <w:rPr>
                      <w:rFonts w:hint="eastAsia"/>
                      <w:vertAlign w:val="baseline"/>
                      <w:lang w:val="en-US" w:eastAsia="zh-CN"/>
                    </w:rPr>
                    <w:t>达标</w:t>
                  </w:r>
                </w:p>
              </w:tc>
            </w:tr>
            <w:tr w14:paraId="55B1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4EEF0D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20</w:t>
                  </w:r>
                </w:p>
              </w:tc>
              <w:tc>
                <w:tcPr>
                  <w:tcW w:w="1282" w:type="dxa"/>
                  <w:vAlign w:val="center"/>
                </w:tcPr>
                <w:p w14:paraId="3BF053D2">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*1,2-二氯丙烷</w:t>
                  </w:r>
                </w:p>
              </w:tc>
              <w:tc>
                <w:tcPr>
                  <w:tcW w:w="1987" w:type="dxa"/>
                  <w:vAlign w:val="center"/>
                </w:tcPr>
                <w:p w14:paraId="028F8C6F">
                  <w:pPr>
                    <w:jc w:val="center"/>
                    <w:rPr>
                      <w:rFonts w:hint="default"/>
                      <w:vertAlign w:val="baseline"/>
                      <w:lang w:val="en-US" w:eastAsia="zh-CN"/>
                    </w:rPr>
                  </w:pPr>
                </w:p>
              </w:tc>
              <w:tc>
                <w:tcPr>
                  <w:tcW w:w="2190" w:type="dxa"/>
                  <w:vAlign w:val="center"/>
                </w:tcPr>
                <w:p w14:paraId="29AF2FCB">
                  <w:pPr>
                    <w:adjustRightInd w:val="0"/>
                    <w:snapToGrid w:val="0"/>
                    <w:jc w:val="center"/>
                    <w:rPr>
                      <w:rFonts w:hint="default"/>
                      <w:color w:val="auto"/>
                      <w:vertAlign w:val="baseline"/>
                      <w:lang w:val="en-US" w:eastAsia="zh-CN"/>
                    </w:rPr>
                  </w:pPr>
                  <w:r>
                    <w:rPr>
                      <w:rFonts w:hint="eastAsia"/>
                      <w:color w:val="auto"/>
                      <w:vertAlign w:val="baseline"/>
                      <w:lang w:val="en-US" w:eastAsia="zh-CN"/>
                    </w:rPr>
                    <w:t>5</w:t>
                  </w:r>
                </w:p>
              </w:tc>
              <w:tc>
                <w:tcPr>
                  <w:tcW w:w="1544" w:type="dxa"/>
                  <w:vAlign w:val="center"/>
                </w:tcPr>
                <w:p w14:paraId="47424A1F">
                  <w:pPr>
                    <w:jc w:val="center"/>
                    <w:rPr>
                      <w:rFonts w:hint="default"/>
                      <w:vertAlign w:val="baseline"/>
                      <w:lang w:val="en-US" w:eastAsia="zh-CN"/>
                    </w:rPr>
                  </w:pPr>
                  <w:r>
                    <w:rPr>
                      <w:rFonts w:hint="eastAsia"/>
                      <w:vertAlign w:val="baseline"/>
                      <w:lang w:val="en-US" w:eastAsia="zh-CN"/>
                    </w:rPr>
                    <w:t>达标</w:t>
                  </w:r>
                </w:p>
              </w:tc>
            </w:tr>
            <w:tr w14:paraId="178F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8E6F33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21</w:t>
                  </w:r>
                </w:p>
              </w:tc>
              <w:tc>
                <w:tcPr>
                  <w:tcW w:w="1282" w:type="dxa"/>
                  <w:vAlign w:val="center"/>
                </w:tcPr>
                <w:p w14:paraId="6BAD1BE5">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*1,1,1,2-四氯乙烷</w:t>
                  </w:r>
                </w:p>
              </w:tc>
              <w:tc>
                <w:tcPr>
                  <w:tcW w:w="1987" w:type="dxa"/>
                  <w:vAlign w:val="center"/>
                </w:tcPr>
                <w:p w14:paraId="1F36A554">
                  <w:pPr>
                    <w:jc w:val="center"/>
                    <w:rPr>
                      <w:rFonts w:hint="default"/>
                      <w:vertAlign w:val="baseline"/>
                      <w:lang w:val="en-US" w:eastAsia="zh-CN"/>
                    </w:rPr>
                  </w:pPr>
                </w:p>
              </w:tc>
              <w:tc>
                <w:tcPr>
                  <w:tcW w:w="2190" w:type="dxa"/>
                  <w:vAlign w:val="center"/>
                </w:tcPr>
                <w:p w14:paraId="6B7673CA">
                  <w:pPr>
                    <w:adjustRightInd w:val="0"/>
                    <w:snapToGrid w:val="0"/>
                    <w:jc w:val="center"/>
                    <w:rPr>
                      <w:rFonts w:hint="default"/>
                      <w:color w:val="auto"/>
                      <w:vertAlign w:val="baseline"/>
                      <w:lang w:val="en-US" w:eastAsia="zh-CN"/>
                    </w:rPr>
                  </w:pPr>
                  <w:r>
                    <w:rPr>
                      <w:rFonts w:hint="eastAsia"/>
                      <w:color w:val="auto"/>
                      <w:vertAlign w:val="baseline"/>
                      <w:lang w:val="en-US" w:eastAsia="zh-CN"/>
                    </w:rPr>
                    <w:t>10</w:t>
                  </w:r>
                </w:p>
              </w:tc>
              <w:tc>
                <w:tcPr>
                  <w:tcW w:w="1544" w:type="dxa"/>
                  <w:vAlign w:val="center"/>
                </w:tcPr>
                <w:p w14:paraId="1F0CEBC1">
                  <w:pPr>
                    <w:jc w:val="center"/>
                    <w:rPr>
                      <w:rFonts w:hint="default"/>
                      <w:vertAlign w:val="baseline"/>
                      <w:lang w:val="en-US" w:eastAsia="zh-CN"/>
                    </w:rPr>
                  </w:pPr>
                  <w:r>
                    <w:rPr>
                      <w:rFonts w:hint="eastAsia"/>
                      <w:vertAlign w:val="baseline"/>
                      <w:lang w:val="en-US" w:eastAsia="zh-CN"/>
                    </w:rPr>
                    <w:t>达标</w:t>
                  </w:r>
                </w:p>
              </w:tc>
            </w:tr>
            <w:tr w14:paraId="31FB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087FDE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22</w:t>
                  </w:r>
                </w:p>
              </w:tc>
              <w:tc>
                <w:tcPr>
                  <w:tcW w:w="1282" w:type="dxa"/>
                  <w:vAlign w:val="center"/>
                </w:tcPr>
                <w:p w14:paraId="02D53E02">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*1,1,2,2-四氯乙烷</w:t>
                  </w:r>
                </w:p>
              </w:tc>
              <w:tc>
                <w:tcPr>
                  <w:tcW w:w="1987" w:type="dxa"/>
                  <w:vAlign w:val="center"/>
                </w:tcPr>
                <w:p w14:paraId="427752E1">
                  <w:pPr>
                    <w:jc w:val="center"/>
                    <w:rPr>
                      <w:rFonts w:hint="default"/>
                      <w:vertAlign w:val="baseline"/>
                      <w:lang w:val="en-US" w:eastAsia="zh-CN"/>
                    </w:rPr>
                  </w:pPr>
                </w:p>
              </w:tc>
              <w:tc>
                <w:tcPr>
                  <w:tcW w:w="2190" w:type="dxa"/>
                  <w:vAlign w:val="center"/>
                </w:tcPr>
                <w:p w14:paraId="2F59507B">
                  <w:pPr>
                    <w:adjustRightInd w:val="0"/>
                    <w:snapToGrid w:val="0"/>
                    <w:jc w:val="center"/>
                    <w:rPr>
                      <w:rFonts w:hint="default"/>
                      <w:color w:val="auto"/>
                      <w:vertAlign w:val="baseline"/>
                      <w:lang w:val="en-US" w:eastAsia="zh-CN"/>
                    </w:rPr>
                  </w:pPr>
                  <w:r>
                    <w:rPr>
                      <w:rFonts w:hint="eastAsia"/>
                      <w:color w:val="auto"/>
                      <w:vertAlign w:val="baseline"/>
                      <w:lang w:val="en-US" w:eastAsia="zh-CN"/>
                    </w:rPr>
                    <w:t>6.8</w:t>
                  </w:r>
                </w:p>
              </w:tc>
              <w:tc>
                <w:tcPr>
                  <w:tcW w:w="1544" w:type="dxa"/>
                  <w:vAlign w:val="center"/>
                </w:tcPr>
                <w:p w14:paraId="05CF8E14">
                  <w:pPr>
                    <w:jc w:val="center"/>
                    <w:rPr>
                      <w:rFonts w:hint="default"/>
                      <w:vertAlign w:val="baseline"/>
                      <w:lang w:val="en-US" w:eastAsia="zh-CN"/>
                    </w:rPr>
                  </w:pPr>
                  <w:r>
                    <w:rPr>
                      <w:rFonts w:hint="eastAsia"/>
                      <w:vertAlign w:val="baseline"/>
                      <w:lang w:val="en-US" w:eastAsia="zh-CN"/>
                    </w:rPr>
                    <w:t>达标</w:t>
                  </w:r>
                </w:p>
              </w:tc>
            </w:tr>
            <w:tr w14:paraId="5A6F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92C8A5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23</w:t>
                  </w:r>
                </w:p>
              </w:tc>
              <w:tc>
                <w:tcPr>
                  <w:tcW w:w="1282" w:type="dxa"/>
                  <w:vAlign w:val="center"/>
                </w:tcPr>
                <w:p w14:paraId="6079C7EE">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*四氯乙烯</w:t>
                  </w:r>
                </w:p>
              </w:tc>
              <w:tc>
                <w:tcPr>
                  <w:tcW w:w="1987" w:type="dxa"/>
                  <w:vAlign w:val="center"/>
                </w:tcPr>
                <w:p w14:paraId="098BCD94">
                  <w:pPr>
                    <w:jc w:val="center"/>
                    <w:rPr>
                      <w:rFonts w:hint="default"/>
                      <w:vertAlign w:val="baseline"/>
                      <w:lang w:val="en-US" w:eastAsia="zh-CN"/>
                    </w:rPr>
                  </w:pPr>
                </w:p>
              </w:tc>
              <w:tc>
                <w:tcPr>
                  <w:tcW w:w="2190" w:type="dxa"/>
                  <w:vAlign w:val="center"/>
                </w:tcPr>
                <w:p w14:paraId="75C0961D">
                  <w:pPr>
                    <w:adjustRightInd w:val="0"/>
                    <w:snapToGrid w:val="0"/>
                    <w:jc w:val="center"/>
                    <w:rPr>
                      <w:rFonts w:hint="default"/>
                      <w:color w:val="auto"/>
                      <w:vertAlign w:val="baseline"/>
                      <w:lang w:val="en-US" w:eastAsia="zh-CN"/>
                    </w:rPr>
                  </w:pPr>
                  <w:r>
                    <w:rPr>
                      <w:rFonts w:hint="eastAsia"/>
                      <w:color w:val="auto"/>
                      <w:vertAlign w:val="baseline"/>
                      <w:lang w:val="en-US" w:eastAsia="zh-CN"/>
                    </w:rPr>
                    <w:t>53</w:t>
                  </w:r>
                </w:p>
              </w:tc>
              <w:tc>
                <w:tcPr>
                  <w:tcW w:w="1544" w:type="dxa"/>
                  <w:vAlign w:val="center"/>
                </w:tcPr>
                <w:p w14:paraId="19F53FBC">
                  <w:pPr>
                    <w:jc w:val="center"/>
                    <w:rPr>
                      <w:rFonts w:hint="default"/>
                      <w:vertAlign w:val="baseline"/>
                      <w:lang w:val="en-US" w:eastAsia="zh-CN"/>
                    </w:rPr>
                  </w:pPr>
                  <w:r>
                    <w:rPr>
                      <w:rFonts w:hint="eastAsia"/>
                      <w:vertAlign w:val="baseline"/>
                      <w:lang w:val="en-US" w:eastAsia="zh-CN"/>
                    </w:rPr>
                    <w:t>达标</w:t>
                  </w:r>
                </w:p>
              </w:tc>
            </w:tr>
            <w:tr w14:paraId="1B18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0332CA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24</w:t>
                  </w:r>
                </w:p>
              </w:tc>
              <w:tc>
                <w:tcPr>
                  <w:tcW w:w="1282" w:type="dxa"/>
                  <w:vAlign w:val="center"/>
                </w:tcPr>
                <w:p w14:paraId="59C3DF0F">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*1,1,1-三氯乙烷</w:t>
                  </w:r>
                </w:p>
              </w:tc>
              <w:tc>
                <w:tcPr>
                  <w:tcW w:w="1987" w:type="dxa"/>
                  <w:vAlign w:val="center"/>
                </w:tcPr>
                <w:p w14:paraId="5A31B00B">
                  <w:pPr>
                    <w:jc w:val="center"/>
                    <w:rPr>
                      <w:rFonts w:hint="default"/>
                      <w:vertAlign w:val="baseline"/>
                      <w:lang w:val="en-US" w:eastAsia="zh-CN"/>
                    </w:rPr>
                  </w:pPr>
                </w:p>
              </w:tc>
              <w:tc>
                <w:tcPr>
                  <w:tcW w:w="2190" w:type="dxa"/>
                  <w:vAlign w:val="center"/>
                </w:tcPr>
                <w:p w14:paraId="3C5AF398">
                  <w:pPr>
                    <w:adjustRightInd w:val="0"/>
                    <w:snapToGrid w:val="0"/>
                    <w:jc w:val="center"/>
                    <w:rPr>
                      <w:rFonts w:hint="default"/>
                      <w:color w:val="auto"/>
                      <w:vertAlign w:val="baseline"/>
                      <w:lang w:val="en-US" w:eastAsia="zh-CN"/>
                    </w:rPr>
                  </w:pPr>
                  <w:r>
                    <w:rPr>
                      <w:rFonts w:hint="eastAsia"/>
                      <w:color w:val="auto"/>
                      <w:vertAlign w:val="baseline"/>
                      <w:lang w:val="en-US" w:eastAsia="zh-CN"/>
                    </w:rPr>
                    <w:t>840</w:t>
                  </w:r>
                </w:p>
              </w:tc>
              <w:tc>
                <w:tcPr>
                  <w:tcW w:w="1544" w:type="dxa"/>
                  <w:vAlign w:val="center"/>
                </w:tcPr>
                <w:p w14:paraId="6783315C">
                  <w:pPr>
                    <w:jc w:val="center"/>
                    <w:rPr>
                      <w:rFonts w:hint="default"/>
                      <w:vertAlign w:val="baseline"/>
                      <w:lang w:val="en-US" w:eastAsia="zh-CN"/>
                    </w:rPr>
                  </w:pPr>
                  <w:r>
                    <w:rPr>
                      <w:rFonts w:hint="eastAsia"/>
                      <w:vertAlign w:val="baseline"/>
                      <w:lang w:val="en-US" w:eastAsia="zh-CN"/>
                    </w:rPr>
                    <w:t>达标</w:t>
                  </w:r>
                </w:p>
              </w:tc>
            </w:tr>
            <w:tr w14:paraId="1234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728DB3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25</w:t>
                  </w:r>
                </w:p>
              </w:tc>
              <w:tc>
                <w:tcPr>
                  <w:tcW w:w="1282" w:type="dxa"/>
                  <w:vAlign w:val="center"/>
                </w:tcPr>
                <w:p w14:paraId="54BA3694">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*1,1,2-三氯乙烷</w:t>
                  </w:r>
                </w:p>
              </w:tc>
              <w:tc>
                <w:tcPr>
                  <w:tcW w:w="1987" w:type="dxa"/>
                  <w:vAlign w:val="center"/>
                </w:tcPr>
                <w:p w14:paraId="274DD1E5">
                  <w:pPr>
                    <w:jc w:val="center"/>
                    <w:rPr>
                      <w:rFonts w:hint="default"/>
                      <w:vertAlign w:val="baseline"/>
                      <w:lang w:val="en-US" w:eastAsia="zh-CN"/>
                    </w:rPr>
                  </w:pPr>
                </w:p>
              </w:tc>
              <w:tc>
                <w:tcPr>
                  <w:tcW w:w="2190" w:type="dxa"/>
                  <w:vAlign w:val="center"/>
                </w:tcPr>
                <w:p w14:paraId="2A142D3B">
                  <w:pPr>
                    <w:adjustRightInd w:val="0"/>
                    <w:snapToGrid w:val="0"/>
                    <w:jc w:val="center"/>
                    <w:rPr>
                      <w:rFonts w:hint="default"/>
                      <w:color w:val="auto"/>
                      <w:vertAlign w:val="baseline"/>
                      <w:lang w:val="en-US" w:eastAsia="zh-CN"/>
                    </w:rPr>
                  </w:pPr>
                  <w:r>
                    <w:rPr>
                      <w:rFonts w:hint="eastAsia"/>
                      <w:color w:val="auto"/>
                      <w:vertAlign w:val="baseline"/>
                      <w:lang w:val="en-US" w:eastAsia="zh-CN"/>
                    </w:rPr>
                    <w:t>2.8</w:t>
                  </w:r>
                </w:p>
              </w:tc>
              <w:tc>
                <w:tcPr>
                  <w:tcW w:w="1544" w:type="dxa"/>
                  <w:vAlign w:val="center"/>
                </w:tcPr>
                <w:p w14:paraId="010E58ED">
                  <w:pPr>
                    <w:jc w:val="center"/>
                    <w:rPr>
                      <w:rFonts w:hint="default"/>
                      <w:vertAlign w:val="baseline"/>
                      <w:lang w:val="en-US" w:eastAsia="zh-CN"/>
                    </w:rPr>
                  </w:pPr>
                  <w:r>
                    <w:rPr>
                      <w:rFonts w:hint="eastAsia"/>
                      <w:vertAlign w:val="baseline"/>
                      <w:lang w:val="en-US" w:eastAsia="zh-CN"/>
                    </w:rPr>
                    <w:t>达标</w:t>
                  </w:r>
                </w:p>
              </w:tc>
            </w:tr>
            <w:tr w14:paraId="527E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8538DE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26</w:t>
                  </w:r>
                </w:p>
              </w:tc>
              <w:tc>
                <w:tcPr>
                  <w:tcW w:w="1282" w:type="dxa"/>
                  <w:vAlign w:val="center"/>
                </w:tcPr>
                <w:p w14:paraId="220BA6E9">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*三氯乙烯</w:t>
                  </w:r>
                </w:p>
              </w:tc>
              <w:tc>
                <w:tcPr>
                  <w:tcW w:w="1987" w:type="dxa"/>
                  <w:vAlign w:val="center"/>
                </w:tcPr>
                <w:p w14:paraId="0486E987">
                  <w:pPr>
                    <w:jc w:val="center"/>
                    <w:rPr>
                      <w:rFonts w:hint="default"/>
                      <w:vertAlign w:val="baseline"/>
                      <w:lang w:val="en-US" w:eastAsia="zh-CN"/>
                    </w:rPr>
                  </w:pPr>
                </w:p>
              </w:tc>
              <w:tc>
                <w:tcPr>
                  <w:tcW w:w="2190" w:type="dxa"/>
                  <w:vAlign w:val="center"/>
                </w:tcPr>
                <w:p w14:paraId="3D253DDA">
                  <w:pPr>
                    <w:adjustRightInd w:val="0"/>
                    <w:snapToGrid w:val="0"/>
                    <w:jc w:val="center"/>
                    <w:rPr>
                      <w:rFonts w:hint="default"/>
                      <w:color w:val="auto"/>
                      <w:vertAlign w:val="baseline"/>
                      <w:lang w:val="en-US" w:eastAsia="zh-CN"/>
                    </w:rPr>
                  </w:pPr>
                  <w:r>
                    <w:rPr>
                      <w:rFonts w:hint="eastAsia"/>
                      <w:color w:val="auto"/>
                      <w:vertAlign w:val="baseline"/>
                      <w:lang w:val="en-US" w:eastAsia="zh-CN"/>
                    </w:rPr>
                    <w:t>2.8</w:t>
                  </w:r>
                </w:p>
              </w:tc>
              <w:tc>
                <w:tcPr>
                  <w:tcW w:w="1544" w:type="dxa"/>
                  <w:vAlign w:val="center"/>
                </w:tcPr>
                <w:p w14:paraId="2985C8C5">
                  <w:pPr>
                    <w:jc w:val="center"/>
                    <w:rPr>
                      <w:rFonts w:hint="default"/>
                      <w:vertAlign w:val="baseline"/>
                      <w:lang w:val="en-US" w:eastAsia="zh-CN"/>
                    </w:rPr>
                  </w:pPr>
                  <w:r>
                    <w:rPr>
                      <w:rFonts w:hint="eastAsia"/>
                      <w:vertAlign w:val="baseline"/>
                      <w:lang w:val="en-US" w:eastAsia="zh-CN"/>
                    </w:rPr>
                    <w:t>达标</w:t>
                  </w:r>
                </w:p>
              </w:tc>
            </w:tr>
            <w:tr w14:paraId="1A6A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82A547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27</w:t>
                  </w:r>
                </w:p>
              </w:tc>
              <w:tc>
                <w:tcPr>
                  <w:tcW w:w="1282" w:type="dxa"/>
                  <w:vAlign w:val="center"/>
                </w:tcPr>
                <w:p w14:paraId="29AB0D16">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*1,2,3-三氯丙烷</w:t>
                  </w:r>
                </w:p>
              </w:tc>
              <w:tc>
                <w:tcPr>
                  <w:tcW w:w="1987" w:type="dxa"/>
                  <w:vAlign w:val="center"/>
                </w:tcPr>
                <w:p w14:paraId="596FE533">
                  <w:pPr>
                    <w:jc w:val="center"/>
                    <w:rPr>
                      <w:rFonts w:hint="default"/>
                      <w:vertAlign w:val="baseline"/>
                      <w:lang w:val="en-US" w:eastAsia="zh-CN"/>
                    </w:rPr>
                  </w:pPr>
                </w:p>
              </w:tc>
              <w:tc>
                <w:tcPr>
                  <w:tcW w:w="2190" w:type="dxa"/>
                  <w:vAlign w:val="center"/>
                </w:tcPr>
                <w:p w14:paraId="57BB50CB">
                  <w:pPr>
                    <w:adjustRightInd w:val="0"/>
                    <w:snapToGrid w:val="0"/>
                    <w:jc w:val="center"/>
                    <w:rPr>
                      <w:rFonts w:hint="default"/>
                      <w:color w:val="auto"/>
                      <w:vertAlign w:val="baseline"/>
                      <w:lang w:val="en-US" w:eastAsia="zh-CN"/>
                    </w:rPr>
                  </w:pPr>
                  <w:r>
                    <w:rPr>
                      <w:rFonts w:hint="eastAsia"/>
                      <w:color w:val="auto"/>
                      <w:vertAlign w:val="baseline"/>
                      <w:lang w:val="en-US" w:eastAsia="zh-CN"/>
                    </w:rPr>
                    <w:t>0.5</w:t>
                  </w:r>
                </w:p>
              </w:tc>
              <w:tc>
                <w:tcPr>
                  <w:tcW w:w="1544" w:type="dxa"/>
                  <w:vAlign w:val="center"/>
                </w:tcPr>
                <w:p w14:paraId="732B5A04">
                  <w:pPr>
                    <w:jc w:val="center"/>
                    <w:rPr>
                      <w:rFonts w:hint="default"/>
                      <w:vertAlign w:val="baseline"/>
                      <w:lang w:val="en-US" w:eastAsia="zh-CN"/>
                    </w:rPr>
                  </w:pPr>
                  <w:r>
                    <w:rPr>
                      <w:rFonts w:hint="eastAsia"/>
                      <w:vertAlign w:val="baseline"/>
                      <w:lang w:val="en-US" w:eastAsia="zh-CN"/>
                    </w:rPr>
                    <w:t>达标</w:t>
                  </w:r>
                </w:p>
              </w:tc>
            </w:tr>
            <w:tr w14:paraId="353F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6203CB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28</w:t>
                  </w:r>
                </w:p>
              </w:tc>
              <w:tc>
                <w:tcPr>
                  <w:tcW w:w="1282" w:type="dxa"/>
                  <w:vAlign w:val="center"/>
                </w:tcPr>
                <w:p w14:paraId="73A51786">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*氯乙烯</w:t>
                  </w:r>
                </w:p>
              </w:tc>
              <w:tc>
                <w:tcPr>
                  <w:tcW w:w="1987" w:type="dxa"/>
                  <w:vAlign w:val="center"/>
                </w:tcPr>
                <w:p w14:paraId="776D8715">
                  <w:pPr>
                    <w:jc w:val="center"/>
                    <w:rPr>
                      <w:rFonts w:hint="default"/>
                      <w:vertAlign w:val="baseline"/>
                      <w:lang w:val="en-US" w:eastAsia="zh-CN"/>
                    </w:rPr>
                  </w:pPr>
                </w:p>
              </w:tc>
              <w:tc>
                <w:tcPr>
                  <w:tcW w:w="2190" w:type="dxa"/>
                  <w:vAlign w:val="center"/>
                </w:tcPr>
                <w:p w14:paraId="6C10638F">
                  <w:pPr>
                    <w:adjustRightInd w:val="0"/>
                    <w:snapToGrid w:val="0"/>
                    <w:jc w:val="center"/>
                    <w:rPr>
                      <w:rFonts w:hint="default"/>
                      <w:color w:val="auto"/>
                      <w:vertAlign w:val="baseline"/>
                      <w:lang w:val="en-US" w:eastAsia="zh-CN"/>
                    </w:rPr>
                  </w:pPr>
                  <w:r>
                    <w:rPr>
                      <w:rFonts w:hint="eastAsia"/>
                      <w:color w:val="auto"/>
                      <w:vertAlign w:val="baseline"/>
                      <w:lang w:val="en-US" w:eastAsia="zh-CN"/>
                    </w:rPr>
                    <w:t>0.43</w:t>
                  </w:r>
                </w:p>
              </w:tc>
              <w:tc>
                <w:tcPr>
                  <w:tcW w:w="1544" w:type="dxa"/>
                  <w:vAlign w:val="center"/>
                </w:tcPr>
                <w:p w14:paraId="2026E897">
                  <w:pPr>
                    <w:jc w:val="center"/>
                    <w:rPr>
                      <w:rFonts w:hint="default"/>
                      <w:vertAlign w:val="baseline"/>
                      <w:lang w:val="en-US" w:eastAsia="zh-CN"/>
                    </w:rPr>
                  </w:pPr>
                  <w:r>
                    <w:rPr>
                      <w:rFonts w:hint="eastAsia"/>
                      <w:vertAlign w:val="baseline"/>
                      <w:lang w:val="en-US" w:eastAsia="zh-CN"/>
                    </w:rPr>
                    <w:t>达标</w:t>
                  </w:r>
                </w:p>
              </w:tc>
            </w:tr>
            <w:tr w14:paraId="7B0A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B84A3B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29</w:t>
                  </w:r>
                </w:p>
              </w:tc>
              <w:tc>
                <w:tcPr>
                  <w:tcW w:w="1282" w:type="dxa"/>
                  <w:vAlign w:val="center"/>
                </w:tcPr>
                <w:p w14:paraId="42D99A5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w:t>
                  </w:r>
                </w:p>
              </w:tc>
              <w:tc>
                <w:tcPr>
                  <w:tcW w:w="1987" w:type="dxa"/>
                  <w:vAlign w:val="center"/>
                </w:tcPr>
                <w:p w14:paraId="5FE15DA2">
                  <w:pPr>
                    <w:jc w:val="center"/>
                    <w:rPr>
                      <w:rFonts w:hint="default"/>
                      <w:vertAlign w:val="baseline"/>
                      <w:lang w:val="en-US" w:eastAsia="zh-CN"/>
                    </w:rPr>
                  </w:pPr>
                </w:p>
              </w:tc>
              <w:tc>
                <w:tcPr>
                  <w:tcW w:w="2190" w:type="dxa"/>
                  <w:vAlign w:val="center"/>
                </w:tcPr>
                <w:p w14:paraId="10BDF3BD">
                  <w:pPr>
                    <w:adjustRightInd w:val="0"/>
                    <w:snapToGrid w:val="0"/>
                    <w:jc w:val="center"/>
                    <w:rPr>
                      <w:rFonts w:hint="default"/>
                      <w:color w:val="auto"/>
                      <w:vertAlign w:val="baseline"/>
                      <w:lang w:val="en-US" w:eastAsia="zh-CN"/>
                    </w:rPr>
                  </w:pPr>
                  <w:r>
                    <w:rPr>
                      <w:rFonts w:hint="eastAsia"/>
                      <w:color w:val="auto"/>
                      <w:vertAlign w:val="baseline"/>
                      <w:lang w:val="en-US" w:eastAsia="zh-CN"/>
                    </w:rPr>
                    <w:t>4</w:t>
                  </w:r>
                </w:p>
              </w:tc>
              <w:tc>
                <w:tcPr>
                  <w:tcW w:w="1544" w:type="dxa"/>
                  <w:vAlign w:val="center"/>
                </w:tcPr>
                <w:p w14:paraId="054BE606">
                  <w:pPr>
                    <w:jc w:val="center"/>
                    <w:rPr>
                      <w:rFonts w:hint="default"/>
                      <w:vertAlign w:val="baseline"/>
                      <w:lang w:val="en-US" w:eastAsia="zh-CN"/>
                    </w:rPr>
                  </w:pPr>
                  <w:r>
                    <w:rPr>
                      <w:rFonts w:hint="eastAsia"/>
                      <w:vertAlign w:val="baseline"/>
                      <w:lang w:val="en-US" w:eastAsia="zh-CN"/>
                    </w:rPr>
                    <w:t>达标</w:t>
                  </w:r>
                </w:p>
              </w:tc>
            </w:tr>
            <w:tr w14:paraId="4DBC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1E1D5D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30</w:t>
                  </w:r>
                </w:p>
              </w:tc>
              <w:tc>
                <w:tcPr>
                  <w:tcW w:w="1282" w:type="dxa"/>
                  <w:vAlign w:val="center"/>
                </w:tcPr>
                <w:p w14:paraId="05D85071">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*氯苯</w:t>
                  </w:r>
                </w:p>
              </w:tc>
              <w:tc>
                <w:tcPr>
                  <w:tcW w:w="1987" w:type="dxa"/>
                  <w:vAlign w:val="center"/>
                </w:tcPr>
                <w:p w14:paraId="4FAC4F1B">
                  <w:pPr>
                    <w:jc w:val="center"/>
                    <w:rPr>
                      <w:rFonts w:hint="default"/>
                      <w:vertAlign w:val="baseline"/>
                      <w:lang w:val="en-US" w:eastAsia="zh-CN"/>
                    </w:rPr>
                  </w:pPr>
                </w:p>
              </w:tc>
              <w:tc>
                <w:tcPr>
                  <w:tcW w:w="2190" w:type="dxa"/>
                  <w:vAlign w:val="center"/>
                </w:tcPr>
                <w:p w14:paraId="71634534">
                  <w:pPr>
                    <w:adjustRightInd w:val="0"/>
                    <w:snapToGrid w:val="0"/>
                    <w:jc w:val="center"/>
                    <w:rPr>
                      <w:rFonts w:hint="default"/>
                      <w:color w:val="auto"/>
                      <w:vertAlign w:val="baseline"/>
                      <w:lang w:val="en-US" w:eastAsia="zh-CN"/>
                    </w:rPr>
                  </w:pPr>
                  <w:r>
                    <w:rPr>
                      <w:rFonts w:hint="eastAsia"/>
                      <w:color w:val="auto"/>
                      <w:vertAlign w:val="baseline"/>
                      <w:lang w:val="en-US" w:eastAsia="zh-CN"/>
                    </w:rPr>
                    <w:t>270</w:t>
                  </w:r>
                </w:p>
              </w:tc>
              <w:tc>
                <w:tcPr>
                  <w:tcW w:w="1544" w:type="dxa"/>
                  <w:vAlign w:val="center"/>
                </w:tcPr>
                <w:p w14:paraId="4EC6CECB">
                  <w:pPr>
                    <w:jc w:val="center"/>
                    <w:rPr>
                      <w:rFonts w:hint="default"/>
                      <w:vertAlign w:val="baseline"/>
                      <w:lang w:val="en-US" w:eastAsia="zh-CN"/>
                    </w:rPr>
                  </w:pPr>
                  <w:r>
                    <w:rPr>
                      <w:rFonts w:hint="eastAsia"/>
                      <w:vertAlign w:val="baseline"/>
                      <w:lang w:val="en-US" w:eastAsia="zh-CN"/>
                    </w:rPr>
                    <w:t>达标</w:t>
                  </w:r>
                </w:p>
              </w:tc>
            </w:tr>
            <w:tr w14:paraId="6756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750FA3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31</w:t>
                  </w:r>
                </w:p>
              </w:tc>
              <w:tc>
                <w:tcPr>
                  <w:tcW w:w="1282" w:type="dxa"/>
                  <w:vAlign w:val="center"/>
                </w:tcPr>
                <w:p w14:paraId="4FE12BF4">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*1,2-二氯苯</w:t>
                  </w:r>
                </w:p>
              </w:tc>
              <w:tc>
                <w:tcPr>
                  <w:tcW w:w="1987" w:type="dxa"/>
                  <w:vAlign w:val="center"/>
                </w:tcPr>
                <w:p w14:paraId="08CC0B73">
                  <w:pPr>
                    <w:jc w:val="center"/>
                    <w:rPr>
                      <w:rFonts w:hint="default"/>
                      <w:vertAlign w:val="baseline"/>
                      <w:lang w:val="en-US" w:eastAsia="zh-CN"/>
                    </w:rPr>
                  </w:pPr>
                </w:p>
              </w:tc>
              <w:tc>
                <w:tcPr>
                  <w:tcW w:w="2190" w:type="dxa"/>
                  <w:vAlign w:val="center"/>
                </w:tcPr>
                <w:p w14:paraId="0778ECF6">
                  <w:pPr>
                    <w:adjustRightInd w:val="0"/>
                    <w:snapToGrid w:val="0"/>
                    <w:jc w:val="center"/>
                    <w:rPr>
                      <w:rFonts w:hint="default"/>
                      <w:color w:val="auto"/>
                      <w:vertAlign w:val="baseline"/>
                      <w:lang w:val="en-US" w:eastAsia="zh-CN"/>
                    </w:rPr>
                  </w:pPr>
                  <w:r>
                    <w:rPr>
                      <w:rFonts w:hint="eastAsia"/>
                      <w:color w:val="auto"/>
                      <w:vertAlign w:val="baseline"/>
                      <w:lang w:val="en-US" w:eastAsia="zh-CN"/>
                    </w:rPr>
                    <w:t>560</w:t>
                  </w:r>
                </w:p>
              </w:tc>
              <w:tc>
                <w:tcPr>
                  <w:tcW w:w="1544" w:type="dxa"/>
                  <w:vAlign w:val="center"/>
                </w:tcPr>
                <w:p w14:paraId="5A6F2026">
                  <w:pPr>
                    <w:jc w:val="center"/>
                    <w:rPr>
                      <w:rFonts w:hint="default"/>
                      <w:vertAlign w:val="baseline"/>
                      <w:lang w:val="en-US" w:eastAsia="zh-CN"/>
                    </w:rPr>
                  </w:pPr>
                  <w:r>
                    <w:rPr>
                      <w:rFonts w:hint="eastAsia"/>
                      <w:vertAlign w:val="baseline"/>
                      <w:lang w:val="en-US" w:eastAsia="zh-CN"/>
                    </w:rPr>
                    <w:t>达标</w:t>
                  </w:r>
                </w:p>
              </w:tc>
            </w:tr>
            <w:tr w14:paraId="1ADB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9112CA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32</w:t>
                  </w:r>
                </w:p>
              </w:tc>
              <w:tc>
                <w:tcPr>
                  <w:tcW w:w="1282" w:type="dxa"/>
                  <w:vAlign w:val="center"/>
                </w:tcPr>
                <w:p w14:paraId="347A200A">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*1,4-二氯苯</w:t>
                  </w:r>
                </w:p>
              </w:tc>
              <w:tc>
                <w:tcPr>
                  <w:tcW w:w="1987" w:type="dxa"/>
                  <w:vAlign w:val="center"/>
                </w:tcPr>
                <w:p w14:paraId="434C7B2A">
                  <w:pPr>
                    <w:jc w:val="center"/>
                    <w:rPr>
                      <w:rFonts w:hint="default"/>
                      <w:vertAlign w:val="baseline"/>
                      <w:lang w:val="en-US" w:eastAsia="zh-CN"/>
                    </w:rPr>
                  </w:pPr>
                </w:p>
              </w:tc>
              <w:tc>
                <w:tcPr>
                  <w:tcW w:w="2190" w:type="dxa"/>
                  <w:vAlign w:val="center"/>
                </w:tcPr>
                <w:p w14:paraId="3BD9781F">
                  <w:pPr>
                    <w:adjustRightInd w:val="0"/>
                    <w:snapToGrid w:val="0"/>
                    <w:jc w:val="center"/>
                    <w:rPr>
                      <w:rFonts w:hint="default"/>
                      <w:color w:val="auto"/>
                      <w:vertAlign w:val="baseline"/>
                      <w:lang w:val="en-US" w:eastAsia="zh-CN"/>
                    </w:rPr>
                  </w:pPr>
                  <w:r>
                    <w:rPr>
                      <w:rFonts w:hint="eastAsia"/>
                      <w:color w:val="auto"/>
                      <w:vertAlign w:val="baseline"/>
                      <w:lang w:val="en-US" w:eastAsia="zh-CN"/>
                    </w:rPr>
                    <w:t>20</w:t>
                  </w:r>
                </w:p>
              </w:tc>
              <w:tc>
                <w:tcPr>
                  <w:tcW w:w="1544" w:type="dxa"/>
                  <w:vAlign w:val="center"/>
                </w:tcPr>
                <w:p w14:paraId="542E1532">
                  <w:pPr>
                    <w:jc w:val="center"/>
                    <w:rPr>
                      <w:rFonts w:hint="default"/>
                      <w:vertAlign w:val="baseline"/>
                      <w:lang w:val="en-US" w:eastAsia="zh-CN"/>
                    </w:rPr>
                  </w:pPr>
                  <w:r>
                    <w:rPr>
                      <w:rFonts w:hint="eastAsia"/>
                      <w:vertAlign w:val="baseline"/>
                      <w:lang w:val="en-US" w:eastAsia="zh-CN"/>
                    </w:rPr>
                    <w:t>达标</w:t>
                  </w:r>
                </w:p>
              </w:tc>
            </w:tr>
            <w:tr w14:paraId="1394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828B6E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33</w:t>
                  </w:r>
                </w:p>
              </w:tc>
              <w:tc>
                <w:tcPr>
                  <w:tcW w:w="1282" w:type="dxa"/>
                  <w:vAlign w:val="center"/>
                </w:tcPr>
                <w:p w14:paraId="00113F2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*乙苯</w:t>
                  </w:r>
                </w:p>
              </w:tc>
              <w:tc>
                <w:tcPr>
                  <w:tcW w:w="1987" w:type="dxa"/>
                  <w:vAlign w:val="center"/>
                </w:tcPr>
                <w:p w14:paraId="0341BA8F">
                  <w:pPr>
                    <w:jc w:val="center"/>
                    <w:rPr>
                      <w:rFonts w:hint="default"/>
                      <w:vertAlign w:val="baseline"/>
                      <w:lang w:val="en-US" w:eastAsia="zh-CN"/>
                    </w:rPr>
                  </w:pPr>
                </w:p>
              </w:tc>
              <w:tc>
                <w:tcPr>
                  <w:tcW w:w="2190" w:type="dxa"/>
                  <w:vAlign w:val="center"/>
                </w:tcPr>
                <w:p w14:paraId="4DA1B5C4">
                  <w:pPr>
                    <w:adjustRightInd w:val="0"/>
                    <w:snapToGrid w:val="0"/>
                    <w:jc w:val="center"/>
                    <w:rPr>
                      <w:rFonts w:hint="default"/>
                      <w:color w:val="auto"/>
                      <w:vertAlign w:val="baseline"/>
                      <w:lang w:val="en-US" w:eastAsia="zh-CN"/>
                    </w:rPr>
                  </w:pPr>
                  <w:r>
                    <w:rPr>
                      <w:rFonts w:hint="eastAsia"/>
                      <w:color w:val="auto"/>
                      <w:vertAlign w:val="baseline"/>
                      <w:lang w:val="en-US" w:eastAsia="zh-CN"/>
                    </w:rPr>
                    <w:t>28</w:t>
                  </w:r>
                </w:p>
              </w:tc>
              <w:tc>
                <w:tcPr>
                  <w:tcW w:w="1544" w:type="dxa"/>
                  <w:vAlign w:val="center"/>
                </w:tcPr>
                <w:p w14:paraId="53169426">
                  <w:pPr>
                    <w:jc w:val="center"/>
                    <w:rPr>
                      <w:rFonts w:hint="default"/>
                      <w:vertAlign w:val="baseline"/>
                      <w:lang w:val="en-US" w:eastAsia="zh-CN"/>
                    </w:rPr>
                  </w:pPr>
                  <w:r>
                    <w:rPr>
                      <w:rFonts w:hint="eastAsia"/>
                      <w:vertAlign w:val="baseline"/>
                      <w:lang w:val="en-US" w:eastAsia="zh-CN"/>
                    </w:rPr>
                    <w:t>达标</w:t>
                  </w:r>
                </w:p>
              </w:tc>
            </w:tr>
            <w:tr w14:paraId="5170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6584CB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34</w:t>
                  </w:r>
                </w:p>
              </w:tc>
              <w:tc>
                <w:tcPr>
                  <w:tcW w:w="1282" w:type="dxa"/>
                  <w:vAlign w:val="center"/>
                </w:tcPr>
                <w:p w14:paraId="062A1716">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*苯乙烯</w:t>
                  </w:r>
                </w:p>
              </w:tc>
              <w:tc>
                <w:tcPr>
                  <w:tcW w:w="1987" w:type="dxa"/>
                  <w:vAlign w:val="center"/>
                </w:tcPr>
                <w:p w14:paraId="4B6E16FD">
                  <w:pPr>
                    <w:jc w:val="center"/>
                    <w:rPr>
                      <w:rFonts w:hint="default"/>
                      <w:vertAlign w:val="baseline"/>
                      <w:lang w:val="en-US" w:eastAsia="zh-CN"/>
                    </w:rPr>
                  </w:pPr>
                </w:p>
              </w:tc>
              <w:tc>
                <w:tcPr>
                  <w:tcW w:w="2190" w:type="dxa"/>
                  <w:vAlign w:val="center"/>
                </w:tcPr>
                <w:p w14:paraId="6470BE7D">
                  <w:pPr>
                    <w:adjustRightInd w:val="0"/>
                    <w:snapToGrid w:val="0"/>
                    <w:jc w:val="center"/>
                    <w:rPr>
                      <w:rFonts w:hint="default"/>
                      <w:color w:val="auto"/>
                      <w:vertAlign w:val="baseline"/>
                      <w:lang w:val="en-US" w:eastAsia="zh-CN"/>
                    </w:rPr>
                  </w:pPr>
                  <w:r>
                    <w:rPr>
                      <w:rFonts w:hint="eastAsia"/>
                      <w:color w:val="auto"/>
                      <w:vertAlign w:val="baseline"/>
                      <w:lang w:val="en-US" w:eastAsia="zh-CN"/>
                    </w:rPr>
                    <w:t>1290</w:t>
                  </w:r>
                </w:p>
              </w:tc>
              <w:tc>
                <w:tcPr>
                  <w:tcW w:w="1544" w:type="dxa"/>
                  <w:vAlign w:val="center"/>
                </w:tcPr>
                <w:p w14:paraId="0BB7E451">
                  <w:pPr>
                    <w:jc w:val="center"/>
                    <w:rPr>
                      <w:rFonts w:hint="default"/>
                      <w:vertAlign w:val="baseline"/>
                      <w:lang w:val="en-US" w:eastAsia="zh-CN"/>
                    </w:rPr>
                  </w:pPr>
                  <w:r>
                    <w:rPr>
                      <w:rFonts w:hint="eastAsia"/>
                      <w:vertAlign w:val="baseline"/>
                      <w:lang w:val="en-US" w:eastAsia="zh-CN"/>
                    </w:rPr>
                    <w:t>达标</w:t>
                  </w:r>
                </w:p>
              </w:tc>
            </w:tr>
            <w:tr w14:paraId="1B2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E9AD95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35</w:t>
                  </w:r>
                </w:p>
              </w:tc>
              <w:tc>
                <w:tcPr>
                  <w:tcW w:w="1282" w:type="dxa"/>
                  <w:vAlign w:val="center"/>
                </w:tcPr>
                <w:p w14:paraId="1A24F6CE">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*甲苯</w:t>
                  </w:r>
                </w:p>
              </w:tc>
              <w:tc>
                <w:tcPr>
                  <w:tcW w:w="1987" w:type="dxa"/>
                  <w:vAlign w:val="center"/>
                </w:tcPr>
                <w:p w14:paraId="1497025B">
                  <w:pPr>
                    <w:jc w:val="center"/>
                    <w:rPr>
                      <w:rFonts w:hint="default"/>
                      <w:vertAlign w:val="baseline"/>
                      <w:lang w:val="en-US" w:eastAsia="zh-CN"/>
                    </w:rPr>
                  </w:pPr>
                </w:p>
              </w:tc>
              <w:tc>
                <w:tcPr>
                  <w:tcW w:w="2190" w:type="dxa"/>
                  <w:vAlign w:val="center"/>
                </w:tcPr>
                <w:p w14:paraId="7936A265">
                  <w:pPr>
                    <w:adjustRightInd w:val="0"/>
                    <w:snapToGrid w:val="0"/>
                    <w:jc w:val="center"/>
                    <w:rPr>
                      <w:rFonts w:hint="default"/>
                      <w:color w:val="auto"/>
                      <w:vertAlign w:val="baseline"/>
                      <w:lang w:val="en-US" w:eastAsia="zh-CN"/>
                    </w:rPr>
                  </w:pPr>
                  <w:r>
                    <w:rPr>
                      <w:rFonts w:hint="eastAsia"/>
                      <w:color w:val="auto"/>
                      <w:vertAlign w:val="baseline"/>
                      <w:lang w:val="en-US" w:eastAsia="zh-CN"/>
                    </w:rPr>
                    <w:t>1200</w:t>
                  </w:r>
                </w:p>
              </w:tc>
              <w:tc>
                <w:tcPr>
                  <w:tcW w:w="1544" w:type="dxa"/>
                  <w:vAlign w:val="center"/>
                </w:tcPr>
                <w:p w14:paraId="48464E07">
                  <w:pPr>
                    <w:jc w:val="center"/>
                    <w:rPr>
                      <w:rFonts w:hint="default"/>
                      <w:vertAlign w:val="baseline"/>
                      <w:lang w:val="en-US" w:eastAsia="zh-CN"/>
                    </w:rPr>
                  </w:pPr>
                  <w:r>
                    <w:rPr>
                      <w:rFonts w:hint="eastAsia"/>
                      <w:vertAlign w:val="baseline"/>
                      <w:lang w:val="en-US" w:eastAsia="zh-CN"/>
                    </w:rPr>
                    <w:t>达标</w:t>
                  </w:r>
                </w:p>
              </w:tc>
            </w:tr>
            <w:tr w14:paraId="378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2582D6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36</w:t>
                  </w:r>
                </w:p>
              </w:tc>
              <w:tc>
                <w:tcPr>
                  <w:tcW w:w="1282" w:type="dxa"/>
                  <w:vAlign w:val="center"/>
                </w:tcPr>
                <w:p w14:paraId="1A3A0A3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*间二甲苯+对二甲苯</w:t>
                  </w:r>
                </w:p>
              </w:tc>
              <w:tc>
                <w:tcPr>
                  <w:tcW w:w="1987" w:type="dxa"/>
                  <w:vAlign w:val="center"/>
                </w:tcPr>
                <w:p w14:paraId="47D0B547">
                  <w:pPr>
                    <w:jc w:val="center"/>
                    <w:rPr>
                      <w:rFonts w:hint="default"/>
                      <w:vertAlign w:val="baseline"/>
                      <w:lang w:val="en-US" w:eastAsia="zh-CN"/>
                    </w:rPr>
                  </w:pPr>
                </w:p>
              </w:tc>
              <w:tc>
                <w:tcPr>
                  <w:tcW w:w="2190" w:type="dxa"/>
                  <w:vAlign w:val="center"/>
                </w:tcPr>
                <w:p w14:paraId="1850F1D3">
                  <w:pPr>
                    <w:adjustRightInd w:val="0"/>
                    <w:snapToGrid w:val="0"/>
                    <w:jc w:val="center"/>
                    <w:rPr>
                      <w:rFonts w:hint="default"/>
                      <w:color w:val="auto"/>
                      <w:vertAlign w:val="baseline"/>
                      <w:lang w:val="en-US" w:eastAsia="zh-CN"/>
                    </w:rPr>
                  </w:pPr>
                  <w:r>
                    <w:rPr>
                      <w:rFonts w:hint="eastAsia"/>
                      <w:color w:val="auto"/>
                      <w:vertAlign w:val="baseline"/>
                      <w:lang w:val="en-US" w:eastAsia="zh-CN"/>
                    </w:rPr>
                    <w:t>570</w:t>
                  </w:r>
                </w:p>
              </w:tc>
              <w:tc>
                <w:tcPr>
                  <w:tcW w:w="1544" w:type="dxa"/>
                  <w:vAlign w:val="center"/>
                </w:tcPr>
                <w:p w14:paraId="35FB83C8">
                  <w:pPr>
                    <w:jc w:val="center"/>
                    <w:rPr>
                      <w:rFonts w:hint="default"/>
                      <w:vertAlign w:val="baseline"/>
                      <w:lang w:val="en-US" w:eastAsia="zh-CN"/>
                    </w:rPr>
                  </w:pPr>
                  <w:r>
                    <w:rPr>
                      <w:rFonts w:hint="eastAsia"/>
                      <w:vertAlign w:val="baseline"/>
                      <w:lang w:val="en-US" w:eastAsia="zh-CN"/>
                    </w:rPr>
                    <w:t>达标</w:t>
                  </w:r>
                </w:p>
              </w:tc>
            </w:tr>
            <w:tr w14:paraId="224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E2A76E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37</w:t>
                  </w:r>
                </w:p>
              </w:tc>
              <w:tc>
                <w:tcPr>
                  <w:tcW w:w="1282" w:type="dxa"/>
                  <w:vAlign w:val="center"/>
                </w:tcPr>
                <w:p w14:paraId="763CF4E8">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*邻二甲苯</w:t>
                  </w:r>
                </w:p>
              </w:tc>
              <w:tc>
                <w:tcPr>
                  <w:tcW w:w="1987" w:type="dxa"/>
                  <w:vAlign w:val="center"/>
                </w:tcPr>
                <w:p w14:paraId="1F9FB169">
                  <w:pPr>
                    <w:jc w:val="center"/>
                    <w:rPr>
                      <w:rFonts w:hint="default"/>
                      <w:vertAlign w:val="baseline"/>
                      <w:lang w:val="en-US" w:eastAsia="zh-CN"/>
                    </w:rPr>
                  </w:pPr>
                </w:p>
              </w:tc>
              <w:tc>
                <w:tcPr>
                  <w:tcW w:w="2190" w:type="dxa"/>
                  <w:vAlign w:val="center"/>
                </w:tcPr>
                <w:p w14:paraId="316C54C8">
                  <w:pPr>
                    <w:adjustRightInd w:val="0"/>
                    <w:snapToGrid w:val="0"/>
                    <w:jc w:val="center"/>
                    <w:rPr>
                      <w:rFonts w:hint="default"/>
                      <w:color w:val="auto"/>
                      <w:vertAlign w:val="baseline"/>
                      <w:lang w:val="en-US" w:eastAsia="zh-CN"/>
                    </w:rPr>
                  </w:pPr>
                  <w:r>
                    <w:rPr>
                      <w:rFonts w:hint="eastAsia"/>
                      <w:color w:val="auto"/>
                      <w:vertAlign w:val="baseline"/>
                      <w:lang w:val="en-US" w:eastAsia="zh-CN"/>
                    </w:rPr>
                    <w:t>640</w:t>
                  </w:r>
                </w:p>
              </w:tc>
              <w:tc>
                <w:tcPr>
                  <w:tcW w:w="1544" w:type="dxa"/>
                  <w:vAlign w:val="center"/>
                </w:tcPr>
                <w:p w14:paraId="14545483">
                  <w:pPr>
                    <w:jc w:val="center"/>
                    <w:rPr>
                      <w:rFonts w:hint="default"/>
                      <w:vertAlign w:val="baseline"/>
                      <w:lang w:val="en-US" w:eastAsia="zh-CN"/>
                    </w:rPr>
                  </w:pPr>
                  <w:r>
                    <w:rPr>
                      <w:rFonts w:hint="eastAsia"/>
                      <w:vertAlign w:val="baseline"/>
                      <w:lang w:val="en-US" w:eastAsia="zh-CN"/>
                    </w:rPr>
                    <w:t>达标</w:t>
                  </w:r>
                </w:p>
              </w:tc>
            </w:tr>
            <w:tr w14:paraId="4B80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0B0B10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38</w:t>
                  </w:r>
                </w:p>
              </w:tc>
              <w:tc>
                <w:tcPr>
                  <w:tcW w:w="1282" w:type="dxa"/>
                  <w:vAlign w:val="center"/>
                </w:tcPr>
                <w:p w14:paraId="16D6EDA4">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*苯胺</w:t>
                  </w:r>
                </w:p>
              </w:tc>
              <w:tc>
                <w:tcPr>
                  <w:tcW w:w="1987" w:type="dxa"/>
                  <w:vAlign w:val="center"/>
                </w:tcPr>
                <w:p w14:paraId="27CBE7A0">
                  <w:pPr>
                    <w:jc w:val="center"/>
                    <w:rPr>
                      <w:rFonts w:hint="default"/>
                      <w:vertAlign w:val="baseline"/>
                      <w:lang w:val="en-US" w:eastAsia="zh-CN"/>
                    </w:rPr>
                  </w:pPr>
                </w:p>
              </w:tc>
              <w:tc>
                <w:tcPr>
                  <w:tcW w:w="2190" w:type="dxa"/>
                  <w:vAlign w:val="center"/>
                </w:tcPr>
                <w:p w14:paraId="77FD7E67">
                  <w:pPr>
                    <w:widowControl/>
                    <w:snapToGrid w:val="0"/>
                    <w:jc w:val="center"/>
                    <w:rPr>
                      <w:rFonts w:hint="default"/>
                      <w:color w:val="auto"/>
                      <w:vertAlign w:val="baseline"/>
                      <w:lang w:val="en-US" w:eastAsia="zh-CN"/>
                    </w:rPr>
                  </w:pPr>
                  <w:r>
                    <w:rPr>
                      <w:rFonts w:hint="eastAsia"/>
                      <w:color w:val="auto"/>
                      <w:vertAlign w:val="baseline"/>
                      <w:lang w:val="en-US" w:eastAsia="zh-CN"/>
                    </w:rPr>
                    <w:t>260</w:t>
                  </w:r>
                </w:p>
              </w:tc>
              <w:tc>
                <w:tcPr>
                  <w:tcW w:w="1544" w:type="dxa"/>
                  <w:vAlign w:val="center"/>
                </w:tcPr>
                <w:p w14:paraId="5186FDE6">
                  <w:pPr>
                    <w:jc w:val="center"/>
                    <w:rPr>
                      <w:rFonts w:hint="default"/>
                      <w:vertAlign w:val="baseline"/>
                      <w:lang w:val="en-US" w:eastAsia="zh-CN"/>
                    </w:rPr>
                  </w:pPr>
                  <w:r>
                    <w:rPr>
                      <w:rFonts w:hint="eastAsia"/>
                      <w:vertAlign w:val="baseline"/>
                      <w:lang w:val="en-US" w:eastAsia="zh-CN"/>
                    </w:rPr>
                    <w:t>达标</w:t>
                  </w:r>
                </w:p>
              </w:tc>
            </w:tr>
            <w:tr w14:paraId="263A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19EF745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39</w:t>
                  </w:r>
                </w:p>
              </w:tc>
              <w:tc>
                <w:tcPr>
                  <w:tcW w:w="1282" w:type="dxa"/>
                  <w:vAlign w:val="center"/>
                </w:tcPr>
                <w:p w14:paraId="2756B97A">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*硝基苯</w:t>
                  </w:r>
                </w:p>
              </w:tc>
              <w:tc>
                <w:tcPr>
                  <w:tcW w:w="1987" w:type="dxa"/>
                  <w:vAlign w:val="center"/>
                </w:tcPr>
                <w:p w14:paraId="6DC23271">
                  <w:pPr>
                    <w:jc w:val="center"/>
                    <w:rPr>
                      <w:rFonts w:hint="default"/>
                      <w:vertAlign w:val="baseline"/>
                      <w:lang w:val="en-US" w:eastAsia="zh-CN"/>
                    </w:rPr>
                  </w:pPr>
                </w:p>
              </w:tc>
              <w:tc>
                <w:tcPr>
                  <w:tcW w:w="2190" w:type="dxa"/>
                  <w:vAlign w:val="center"/>
                </w:tcPr>
                <w:p w14:paraId="3EA2D6CE">
                  <w:pPr>
                    <w:widowControl/>
                    <w:snapToGrid w:val="0"/>
                    <w:jc w:val="center"/>
                    <w:rPr>
                      <w:rFonts w:hint="default"/>
                      <w:color w:val="auto"/>
                      <w:vertAlign w:val="baseline"/>
                      <w:lang w:val="en-US" w:eastAsia="zh-CN"/>
                    </w:rPr>
                  </w:pPr>
                  <w:r>
                    <w:rPr>
                      <w:rFonts w:hint="eastAsia"/>
                      <w:color w:val="auto"/>
                      <w:vertAlign w:val="baseline"/>
                      <w:lang w:val="en-US" w:eastAsia="zh-CN"/>
                    </w:rPr>
                    <w:t>76</w:t>
                  </w:r>
                </w:p>
              </w:tc>
              <w:tc>
                <w:tcPr>
                  <w:tcW w:w="1544" w:type="dxa"/>
                  <w:vAlign w:val="center"/>
                </w:tcPr>
                <w:p w14:paraId="5864D28D">
                  <w:pPr>
                    <w:jc w:val="center"/>
                    <w:rPr>
                      <w:rFonts w:hint="default"/>
                      <w:vertAlign w:val="baseline"/>
                      <w:lang w:val="en-US" w:eastAsia="zh-CN"/>
                    </w:rPr>
                  </w:pPr>
                  <w:r>
                    <w:rPr>
                      <w:rFonts w:hint="eastAsia"/>
                      <w:vertAlign w:val="baseline"/>
                      <w:lang w:val="en-US" w:eastAsia="zh-CN"/>
                    </w:rPr>
                    <w:t>达标</w:t>
                  </w:r>
                </w:p>
              </w:tc>
            </w:tr>
            <w:tr w14:paraId="70A1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568450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40</w:t>
                  </w:r>
                </w:p>
              </w:tc>
              <w:tc>
                <w:tcPr>
                  <w:tcW w:w="1282" w:type="dxa"/>
                  <w:vAlign w:val="center"/>
                </w:tcPr>
                <w:p w14:paraId="0CCD0E09">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*2-氯酚</w:t>
                  </w:r>
                </w:p>
              </w:tc>
              <w:tc>
                <w:tcPr>
                  <w:tcW w:w="1987" w:type="dxa"/>
                  <w:vAlign w:val="center"/>
                </w:tcPr>
                <w:p w14:paraId="7BD41AE1">
                  <w:pPr>
                    <w:jc w:val="center"/>
                    <w:rPr>
                      <w:rFonts w:hint="default"/>
                      <w:vertAlign w:val="baseline"/>
                      <w:lang w:val="en-US" w:eastAsia="zh-CN"/>
                    </w:rPr>
                  </w:pPr>
                </w:p>
              </w:tc>
              <w:tc>
                <w:tcPr>
                  <w:tcW w:w="2190" w:type="dxa"/>
                  <w:vAlign w:val="center"/>
                </w:tcPr>
                <w:p w14:paraId="2013F9B6">
                  <w:pPr>
                    <w:adjustRightInd w:val="0"/>
                    <w:snapToGrid w:val="0"/>
                    <w:jc w:val="center"/>
                    <w:rPr>
                      <w:rFonts w:hint="default"/>
                      <w:color w:val="auto"/>
                      <w:vertAlign w:val="baseline"/>
                      <w:lang w:val="en-US" w:eastAsia="zh-CN"/>
                    </w:rPr>
                  </w:pPr>
                  <w:r>
                    <w:rPr>
                      <w:rFonts w:hint="eastAsia"/>
                      <w:color w:val="auto"/>
                      <w:vertAlign w:val="baseline"/>
                      <w:lang w:val="en-US" w:eastAsia="zh-CN"/>
                    </w:rPr>
                    <w:t>2256</w:t>
                  </w:r>
                </w:p>
              </w:tc>
              <w:tc>
                <w:tcPr>
                  <w:tcW w:w="1544" w:type="dxa"/>
                  <w:vAlign w:val="center"/>
                </w:tcPr>
                <w:p w14:paraId="2CE5957A">
                  <w:pPr>
                    <w:jc w:val="center"/>
                    <w:rPr>
                      <w:rFonts w:hint="default"/>
                      <w:vertAlign w:val="baseline"/>
                      <w:lang w:val="en-US" w:eastAsia="zh-CN"/>
                    </w:rPr>
                  </w:pPr>
                  <w:r>
                    <w:rPr>
                      <w:rFonts w:hint="eastAsia"/>
                      <w:vertAlign w:val="baseline"/>
                      <w:lang w:val="en-US" w:eastAsia="zh-CN"/>
                    </w:rPr>
                    <w:t>达标</w:t>
                  </w:r>
                </w:p>
              </w:tc>
            </w:tr>
            <w:tr w14:paraId="12E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07D35F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41</w:t>
                  </w:r>
                </w:p>
              </w:tc>
              <w:tc>
                <w:tcPr>
                  <w:tcW w:w="1282" w:type="dxa"/>
                  <w:vAlign w:val="center"/>
                </w:tcPr>
                <w:p w14:paraId="09C429B0">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*苯并[a]蒽</w:t>
                  </w:r>
                </w:p>
              </w:tc>
              <w:tc>
                <w:tcPr>
                  <w:tcW w:w="1987" w:type="dxa"/>
                  <w:vAlign w:val="center"/>
                </w:tcPr>
                <w:p w14:paraId="428DE5D6">
                  <w:pPr>
                    <w:jc w:val="center"/>
                    <w:rPr>
                      <w:rFonts w:hint="default"/>
                      <w:vertAlign w:val="baseline"/>
                      <w:lang w:val="en-US" w:eastAsia="zh-CN"/>
                    </w:rPr>
                  </w:pPr>
                </w:p>
              </w:tc>
              <w:tc>
                <w:tcPr>
                  <w:tcW w:w="2190" w:type="dxa"/>
                  <w:vAlign w:val="center"/>
                </w:tcPr>
                <w:p w14:paraId="72A1E349">
                  <w:pPr>
                    <w:adjustRightInd w:val="0"/>
                    <w:snapToGrid w:val="0"/>
                    <w:jc w:val="center"/>
                    <w:rPr>
                      <w:rFonts w:hint="default"/>
                      <w:color w:val="auto"/>
                      <w:vertAlign w:val="baseline"/>
                      <w:lang w:val="en-US" w:eastAsia="zh-CN"/>
                    </w:rPr>
                  </w:pPr>
                  <w:r>
                    <w:rPr>
                      <w:rFonts w:hint="eastAsia"/>
                      <w:color w:val="auto"/>
                      <w:vertAlign w:val="baseline"/>
                      <w:lang w:val="en-US" w:eastAsia="zh-CN"/>
                    </w:rPr>
                    <w:t>15</w:t>
                  </w:r>
                </w:p>
              </w:tc>
              <w:tc>
                <w:tcPr>
                  <w:tcW w:w="1544" w:type="dxa"/>
                  <w:vAlign w:val="center"/>
                </w:tcPr>
                <w:p w14:paraId="3BE8A3CC">
                  <w:pPr>
                    <w:jc w:val="center"/>
                    <w:rPr>
                      <w:rFonts w:hint="default"/>
                      <w:vertAlign w:val="baseline"/>
                      <w:lang w:val="en-US" w:eastAsia="zh-CN"/>
                    </w:rPr>
                  </w:pPr>
                  <w:r>
                    <w:rPr>
                      <w:rFonts w:hint="eastAsia"/>
                      <w:vertAlign w:val="baseline"/>
                      <w:lang w:val="en-US" w:eastAsia="zh-CN"/>
                    </w:rPr>
                    <w:t>达标</w:t>
                  </w:r>
                </w:p>
              </w:tc>
            </w:tr>
            <w:tr w14:paraId="786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D3C650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42</w:t>
                  </w:r>
                </w:p>
              </w:tc>
              <w:tc>
                <w:tcPr>
                  <w:tcW w:w="1282" w:type="dxa"/>
                  <w:vAlign w:val="center"/>
                </w:tcPr>
                <w:p w14:paraId="10544E6A">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*苯并[a]芘</w:t>
                  </w:r>
                </w:p>
              </w:tc>
              <w:tc>
                <w:tcPr>
                  <w:tcW w:w="1987" w:type="dxa"/>
                  <w:vAlign w:val="center"/>
                </w:tcPr>
                <w:p w14:paraId="75C90912">
                  <w:pPr>
                    <w:jc w:val="center"/>
                    <w:rPr>
                      <w:rFonts w:hint="default"/>
                      <w:vertAlign w:val="baseline"/>
                      <w:lang w:val="en-US" w:eastAsia="zh-CN"/>
                    </w:rPr>
                  </w:pPr>
                </w:p>
              </w:tc>
              <w:tc>
                <w:tcPr>
                  <w:tcW w:w="2190" w:type="dxa"/>
                  <w:vAlign w:val="center"/>
                </w:tcPr>
                <w:p w14:paraId="4AF29540">
                  <w:pPr>
                    <w:adjustRightInd w:val="0"/>
                    <w:snapToGrid w:val="0"/>
                    <w:jc w:val="center"/>
                    <w:rPr>
                      <w:rFonts w:hint="default"/>
                      <w:color w:val="auto"/>
                      <w:vertAlign w:val="baseline"/>
                      <w:lang w:val="en-US" w:eastAsia="zh-CN"/>
                    </w:rPr>
                  </w:pPr>
                  <w:r>
                    <w:rPr>
                      <w:rFonts w:hint="eastAsia"/>
                      <w:color w:val="auto"/>
                      <w:vertAlign w:val="baseline"/>
                      <w:lang w:val="en-US" w:eastAsia="zh-CN"/>
                    </w:rPr>
                    <w:t>1.5</w:t>
                  </w:r>
                </w:p>
              </w:tc>
              <w:tc>
                <w:tcPr>
                  <w:tcW w:w="1544" w:type="dxa"/>
                  <w:vAlign w:val="center"/>
                </w:tcPr>
                <w:p w14:paraId="1BCD47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0586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2899EC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43</w:t>
                  </w:r>
                </w:p>
              </w:tc>
              <w:tc>
                <w:tcPr>
                  <w:tcW w:w="1282" w:type="dxa"/>
                  <w:vAlign w:val="center"/>
                </w:tcPr>
                <w:p w14:paraId="2EFD70F3">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*苯并[b]荧蒽</w:t>
                  </w:r>
                </w:p>
              </w:tc>
              <w:tc>
                <w:tcPr>
                  <w:tcW w:w="1987" w:type="dxa"/>
                  <w:vAlign w:val="center"/>
                </w:tcPr>
                <w:p w14:paraId="7DF7BB2B">
                  <w:pPr>
                    <w:jc w:val="center"/>
                    <w:rPr>
                      <w:rFonts w:hint="default"/>
                      <w:vertAlign w:val="baseline"/>
                      <w:lang w:val="en-US" w:eastAsia="zh-CN"/>
                    </w:rPr>
                  </w:pPr>
                </w:p>
              </w:tc>
              <w:tc>
                <w:tcPr>
                  <w:tcW w:w="2190" w:type="dxa"/>
                  <w:vAlign w:val="center"/>
                </w:tcPr>
                <w:p w14:paraId="1A84F5AC">
                  <w:pPr>
                    <w:adjustRightInd w:val="0"/>
                    <w:snapToGrid w:val="0"/>
                    <w:jc w:val="center"/>
                    <w:rPr>
                      <w:rFonts w:hint="default"/>
                      <w:color w:val="auto"/>
                      <w:vertAlign w:val="baseline"/>
                      <w:lang w:val="en-US" w:eastAsia="zh-CN"/>
                    </w:rPr>
                  </w:pPr>
                  <w:r>
                    <w:rPr>
                      <w:rFonts w:hint="eastAsia"/>
                      <w:color w:val="auto"/>
                      <w:vertAlign w:val="baseline"/>
                      <w:lang w:val="en-US" w:eastAsia="zh-CN"/>
                    </w:rPr>
                    <w:t>15</w:t>
                  </w:r>
                </w:p>
              </w:tc>
              <w:tc>
                <w:tcPr>
                  <w:tcW w:w="1544" w:type="dxa"/>
                  <w:vAlign w:val="center"/>
                </w:tcPr>
                <w:p w14:paraId="616070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57E1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50C4F54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44</w:t>
                  </w:r>
                </w:p>
              </w:tc>
              <w:tc>
                <w:tcPr>
                  <w:tcW w:w="1282" w:type="dxa"/>
                  <w:vAlign w:val="center"/>
                </w:tcPr>
                <w:p w14:paraId="3643F50B">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*苯并[k]荧蒽</w:t>
                  </w:r>
                </w:p>
              </w:tc>
              <w:tc>
                <w:tcPr>
                  <w:tcW w:w="1987" w:type="dxa"/>
                  <w:vAlign w:val="center"/>
                </w:tcPr>
                <w:p w14:paraId="37795B26">
                  <w:pPr>
                    <w:jc w:val="center"/>
                    <w:rPr>
                      <w:rFonts w:hint="default"/>
                      <w:vertAlign w:val="baseline"/>
                      <w:lang w:val="en-US" w:eastAsia="zh-CN"/>
                    </w:rPr>
                  </w:pPr>
                </w:p>
              </w:tc>
              <w:tc>
                <w:tcPr>
                  <w:tcW w:w="2190" w:type="dxa"/>
                  <w:vAlign w:val="center"/>
                </w:tcPr>
                <w:p w14:paraId="6F5FF506">
                  <w:pPr>
                    <w:adjustRightInd w:val="0"/>
                    <w:snapToGrid w:val="0"/>
                    <w:jc w:val="center"/>
                    <w:rPr>
                      <w:rFonts w:hint="default"/>
                      <w:color w:val="auto"/>
                      <w:vertAlign w:val="baseline"/>
                      <w:lang w:val="en-US" w:eastAsia="zh-CN"/>
                    </w:rPr>
                  </w:pPr>
                  <w:r>
                    <w:rPr>
                      <w:rFonts w:hint="eastAsia"/>
                      <w:color w:val="auto"/>
                      <w:vertAlign w:val="baseline"/>
                      <w:lang w:val="en-US" w:eastAsia="zh-CN"/>
                    </w:rPr>
                    <w:t>151</w:t>
                  </w:r>
                </w:p>
              </w:tc>
              <w:tc>
                <w:tcPr>
                  <w:tcW w:w="1544" w:type="dxa"/>
                  <w:vAlign w:val="center"/>
                </w:tcPr>
                <w:p w14:paraId="3854EC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4F9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5A4A74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45</w:t>
                  </w:r>
                </w:p>
              </w:tc>
              <w:tc>
                <w:tcPr>
                  <w:tcW w:w="1282" w:type="dxa"/>
                  <w:vAlign w:val="center"/>
                </w:tcPr>
                <w:p w14:paraId="2CC8D6DE">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*䓛</w:t>
                  </w:r>
                </w:p>
              </w:tc>
              <w:tc>
                <w:tcPr>
                  <w:tcW w:w="1987" w:type="dxa"/>
                  <w:vAlign w:val="center"/>
                </w:tcPr>
                <w:p w14:paraId="5F3BAC3F">
                  <w:pPr>
                    <w:jc w:val="center"/>
                    <w:rPr>
                      <w:rFonts w:hint="default"/>
                      <w:vertAlign w:val="baseline"/>
                      <w:lang w:val="en-US" w:eastAsia="zh-CN"/>
                    </w:rPr>
                  </w:pPr>
                </w:p>
              </w:tc>
              <w:tc>
                <w:tcPr>
                  <w:tcW w:w="2190" w:type="dxa"/>
                  <w:vAlign w:val="center"/>
                </w:tcPr>
                <w:p w14:paraId="5C0559D6">
                  <w:pPr>
                    <w:adjustRightInd w:val="0"/>
                    <w:snapToGrid w:val="0"/>
                    <w:jc w:val="center"/>
                    <w:rPr>
                      <w:rFonts w:hint="default"/>
                      <w:color w:val="auto"/>
                      <w:vertAlign w:val="baseline"/>
                      <w:lang w:val="en-US" w:eastAsia="zh-CN"/>
                    </w:rPr>
                  </w:pPr>
                  <w:r>
                    <w:rPr>
                      <w:rFonts w:hint="eastAsia"/>
                      <w:color w:val="auto"/>
                      <w:vertAlign w:val="baseline"/>
                      <w:lang w:val="en-US" w:eastAsia="zh-CN"/>
                    </w:rPr>
                    <w:t>1293</w:t>
                  </w:r>
                </w:p>
              </w:tc>
              <w:tc>
                <w:tcPr>
                  <w:tcW w:w="1544" w:type="dxa"/>
                  <w:vAlign w:val="center"/>
                </w:tcPr>
                <w:p w14:paraId="3B8F0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6A4C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0DE701C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46</w:t>
                  </w:r>
                </w:p>
              </w:tc>
              <w:tc>
                <w:tcPr>
                  <w:tcW w:w="1282" w:type="dxa"/>
                  <w:vAlign w:val="center"/>
                </w:tcPr>
                <w:p w14:paraId="4D27471A">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*二苯并[a,h]蒽</w:t>
                  </w:r>
                </w:p>
              </w:tc>
              <w:tc>
                <w:tcPr>
                  <w:tcW w:w="1987" w:type="dxa"/>
                  <w:vAlign w:val="center"/>
                </w:tcPr>
                <w:p w14:paraId="35069702">
                  <w:pPr>
                    <w:jc w:val="center"/>
                    <w:rPr>
                      <w:rFonts w:hint="default"/>
                      <w:vertAlign w:val="baseline"/>
                      <w:lang w:val="en-US" w:eastAsia="zh-CN"/>
                    </w:rPr>
                  </w:pPr>
                </w:p>
              </w:tc>
              <w:tc>
                <w:tcPr>
                  <w:tcW w:w="2190" w:type="dxa"/>
                  <w:vAlign w:val="center"/>
                </w:tcPr>
                <w:p w14:paraId="0FB5B9F7">
                  <w:pPr>
                    <w:adjustRightInd w:val="0"/>
                    <w:snapToGrid w:val="0"/>
                    <w:jc w:val="center"/>
                    <w:rPr>
                      <w:rFonts w:hint="default"/>
                      <w:color w:val="auto"/>
                      <w:vertAlign w:val="baseline"/>
                      <w:lang w:val="en-US" w:eastAsia="zh-CN"/>
                    </w:rPr>
                  </w:pPr>
                  <w:r>
                    <w:rPr>
                      <w:rFonts w:hint="eastAsia"/>
                      <w:color w:val="auto"/>
                      <w:vertAlign w:val="baseline"/>
                      <w:lang w:val="en-US" w:eastAsia="zh-CN"/>
                    </w:rPr>
                    <w:t>1.5</w:t>
                  </w:r>
                </w:p>
              </w:tc>
              <w:tc>
                <w:tcPr>
                  <w:tcW w:w="1544" w:type="dxa"/>
                  <w:vAlign w:val="center"/>
                </w:tcPr>
                <w:p w14:paraId="0BE73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2842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509DAB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47</w:t>
                  </w:r>
                </w:p>
              </w:tc>
              <w:tc>
                <w:tcPr>
                  <w:tcW w:w="1282" w:type="dxa"/>
                  <w:vAlign w:val="center"/>
                </w:tcPr>
                <w:p w14:paraId="3AEC5F20">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*茚并[1,2,3-cd]芘</w:t>
                  </w:r>
                </w:p>
              </w:tc>
              <w:tc>
                <w:tcPr>
                  <w:tcW w:w="1987" w:type="dxa"/>
                  <w:vAlign w:val="center"/>
                </w:tcPr>
                <w:p w14:paraId="25558E05">
                  <w:pPr>
                    <w:jc w:val="center"/>
                    <w:rPr>
                      <w:rFonts w:hint="default"/>
                      <w:vertAlign w:val="baseline"/>
                      <w:lang w:val="en-US" w:eastAsia="zh-CN"/>
                    </w:rPr>
                  </w:pPr>
                </w:p>
              </w:tc>
              <w:tc>
                <w:tcPr>
                  <w:tcW w:w="2190" w:type="dxa"/>
                  <w:vAlign w:val="center"/>
                </w:tcPr>
                <w:p w14:paraId="137F6F52">
                  <w:pPr>
                    <w:adjustRightInd w:val="0"/>
                    <w:snapToGrid w:val="0"/>
                    <w:jc w:val="center"/>
                    <w:rPr>
                      <w:rFonts w:hint="default"/>
                      <w:color w:val="auto"/>
                      <w:vertAlign w:val="baseline"/>
                      <w:lang w:val="en-US" w:eastAsia="zh-CN"/>
                    </w:rPr>
                  </w:pPr>
                  <w:r>
                    <w:rPr>
                      <w:rFonts w:hint="eastAsia"/>
                      <w:color w:val="auto"/>
                      <w:vertAlign w:val="baseline"/>
                      <w:lang w:val="en-US" w:eastAsia="zh-CN"/>
                    </w:rPr>
                    <w:t>15</w:t>
                  </w:r>
                </w:p>
              </w:tc>
              <w:tc>
                <w:tcPr>
                  <w:tcW w:w="1544" w:type="dxa"/>
                  <w:vAlign w:val="center"/>
                </w:tcPr>
                <w:p w14:paraId="78821C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79BF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6E9C249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48</w:t>
                  </w:r>
                </w:p>
              </w:tc>
              <w:tc>
                <w:tcPr>
                  <w:tcW w:w="1282" w:type="dxa"/>
                  <w:vAlign w:val="center"/>
                </w:tcPr>
                <w:p w14:paraId="6C3E2D8F">
                  <w:pPr>
                    <w:snapToGrid w:val="0"/>
                    <w:jc w:val="center"/>
                    <w:rPr>
                      <w:rFonts w:hint="default"/>
                      <w:vertAlign w:val="baseline"/>
                      <w:lang w:val="en-US" w:eastAsia="zh-CN"/>
                    </w:rPr>
                  </w:pPr>
                  <w:r>
                    <w:rPr>
                      <w:rFonts w:hint="default" w:ascii="Times New Roman" w:hAnsi="Times New Roman" w:eastAsia="宋体" w:cs="Times New Roman"/>
                      <w:color w:val="000000"/>
                      <w:kern w:val="2"/>
                      <w:sz w:val="21"/>
                      <w:szCs w:val="21"/>
                      <w:lang w:val="en-US" w:eastAsia="zh-CN" w:bidi="ar"/>
                    </w:rPr>
                    <w:t>*萘</w:t>
                  </w:r>
                </w:p>
              </w:tc>
              <w:tc>
                <w:tcPr>
                  <w:tcW w:w="1987" w:type="dxa"/>
                  <w:vAlign w:val="center"/>
                </w:tcPr>
                <w:p w14:paraId="4783AFBF">
                  <w:pPr>
                    <w:jc w:val="center"/>
                    <w:rPr>
                      <w:rFonts w:hint="default"/>
                      <w:vertAlign w:val="baseline"/>
                      <w:lang w:val="en-US" w:eastAsia="zh-CN"/>
                    </w:rPr>
                  </w:pPr>
                </w:p>
              </w:tc>
              <w:tc>
                <w:tcPr>
                  <w:tcW w:w="2190" w:type="dxa"/>
                  <w:vAlign w:val="center"/>
                </w:tcPr>
                <w:p w14:paraId="6265DDC2">
                  <w:pPr>
                    <w:adjustRightInd w:val="0"/>
                    <w:snapToGrid w:val="0"/>
                    <w:jc w:val="center"/>
                    <w:rPr>
                      <w:rFonts w:hint="default"/>
                      <w:color w:val="auto"/>
                      <w:vertAlign w:val="baseline"/>
                      <w:lang w:val="en-US" w:eastAsia="zh-CN"/>
                    </w:rPr>
                  </w:pPr>
                  <w:r>
                    <w:rPr>
                      <w:rFonts w:hint="eastAsia"/>
                      <w:color w:val="auto"/>
                      <w:vertAlign w:val="baseline"/>
                      <w:lang w:val="en-US" w:eastAsia="zh-CN"/>
                    </w:rPr>
                    <w:t>70</w:t>
                  </w:r>
                </w:p>
              </w:tc>
              <w:tc>
                <w:tcPr>
                  <w:tcW w:w="1544" w:type="dxa"/>
                  <w:vAlign w:val="center"/>
                </w:tcPr>
                <w:p w14:paraId="1F293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达标</w:t>
                  </w:r>
                </w:p>
              </w:tc>
            </w:tr>
            <w:tr w14:paraId="7C21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294077C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49</w:t>
                  </w:r>
                </w:p>
              </w:tc>
              <w:tc>
                <w:tcPr>
                  <w:tcW w:w="1282" w:type="dxa"/>
                  <w:vAlign w:val="center"/>
                </w:tcPr>
                <w:p w14:paraId="3FF8B02B">
                  <w:pPr>
                    <w:snapToGrid w:val="0"/>
                    <w:jc w:val="center"/>
                    <w:rPr>
                      <w:rFonts w:hint="default"/>
                      <w:vertAlign w:val="baseline"/>
                      <w:lang w:val="en-US" w:eastAsia="zh-CN"/>
                    </w:rPr>
                  </w:pPr>
                  <w:r>
                    <w:rPr>
                      <w:rFonts w:hint="default" w:ascii="Times New Roman" w:hAnsi="Times New Roman" w:eastAsia="宋体" w:cs="Times New Roman"/>
                      <w:color w:val="0D0D0D" w:themeColor="text1" w:themeTint="F2"/>
                      <w:sz w:val="21"/>
                      <w:szCs w:val="21"/>
                      <w:lang w:val="en-US" w:eastAsia="zh-CN"/>
                      <w14:textFill>
                        <w14:solidFill>
                          <w14:schemeClr w14:val="tx1">
                            <w14:lumMod w14:val="95000"/>
                            <w14:lumOff w14:val="5000"/>
                          </w14:schemeClr>
                        </w14:solidFill>
                      </w14:textFill>
                    </w:rPr>
                    <w:t>*</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石油烃（C</w:t>
                  </w:r>
                  <w:r>
                    <w:rPr>
                      <w:rFonts w:hint="default" w:ascii="Times New Roman" w:hAnsi="Times New Roman" w:eastAsia="宋体" w:cs="Times New Roman"/>
                      <w:color w:val="0D0D0D" w:themeColor="text1" w:themeTint="F2"/>
                      <w:sz w:val="21"/>
                      <w:szCs w:val="21"/>
                      <w:vertAlign w:val="subscript"/>
                      <w14:textFill>
                        <w14:solidFill>
                          <w14:schemeClr w14:val="tx1">
                            <w14:lumMod w14:val="95000"/>
                            <w14:lumOff w14:val="5000"/>
                          </w14:schemeClr>
                        </w14:solidFill>
                      </w14:textFill>
                    </w:rPr>
                    <w:t>10</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-C</w:t>
                  </w:r>
                  <w:r>
                    <w:rPr>
                      <w:rFonts w:hint="default" w:ascii="Times New Roman" w:hAnsi="Times New Roman" w:eastAsia="宋体" w:cs="Times New Roman"/>
                      <w:color w:val="0D0D0D" w:themeColor="text1" w:themeTint="F2"/>
                      <w:sz w:val="21"/>
                      <w:szCs w:val="21"/>
                      <w:vertAlign w:val="subscript"/>
                      <w14:textFill>
                        <w14:solidFill>
                          <w14:schemeClr w14:val="tx1">
                            <w14:lumMod w14:val="95000"/>
                            <w14:lumOff w14:val="5000"/>
                          </w14:schemeClr>
                        </w14:solidFill>
                      </w14:textFill>
                    </w:rPr>
                    <w:t>40</w:t>
                  </w:r>
                  <w:r>
                    <w:rPr>
                      <w:rFonts w:hint="default" w:ascii="Times New Roman" w:hAnsi="Times New Roman" w:eastAsia="宋体" w:cs="Times New Roman"/>
                      <w:color w:val="0D0D0D" w:themeColor="text1" w:themeTint="F2"/>
                      <w:sz w:val="21"/>
                      <w:szCs w:val="21"/>
                      <w14:textFill>
                        <w14:solidFill>
                          <w14:schemeClr w14:val="tx1">
                            <w14:lumMod w14:val="95000"/>
                            <w14:lumOff w14:val="5000"/>
                          </w14:schemeClr>
                        </w14:solidFill>
                      </w14:textFill>
                    </w:rPr>
                    <w:t>）</w:t>
                  </w:r>
                </w:p>
              </w:tc>
              <w:tc>
                <w:tcPr>
                  <w:tcW w:w="1987" w:type="dxa"/>
                  <w:vAlign w:val="center"/>
                </w:tcPr>
                <w:p w14:paraId="612A691B">
                  <w:pPr>
                    <w:jc w:val="center"/>
                    <w:rPr>
                      <w:rFonts w:hint="default"/>
                      <w:vertAlign w:val="baseline"/>
                      <w:lang w:val="en-US" w:eastAsia="zh-CN"/>
                    </w:rPr>
                  </w:pPr>
                </w:p>
              </w:tc>
              <w:tc>
                <w:tcPr>
                  <w:tcW w:w="2190" w:type="dxa"/>
                  <w:vAlign w:val="center"/>
                </w:tcPr>
                <w:p w14:paraId="00EE94D1">
                  <w:pPr>
                    <w:widowControl/>
                    <w:snapToGrid w:val="0"/>
                    <w:jc w:val="center"/>
                    <w:rPr>
                      <w:rFonts w:hint="default"/>
                      <w:color w:val="auto"/>
                      <w:vertAlign w:val="baseline"/>
                      <w:lang w:val="en-US" w:eastAsia="zh-CN"/>
                    </w:rPr>
                  </w:pPr>
                  <w:r>
                    <w:rPr>
                      <w:rFonts w:hint="eastAsia"/>
                      <w:color w:val="auto"/>
                      <w:vertAlign w:val="baseline"/>
                      <w:lang w:val="en-US" w:eastAsia="zh-CN"/>
                    </w:rPr>
                    <w:t>4500</w:t>
                  </w:r>
                </w:p>
              </w:tc>
              <w:tc>
                <w:tcPr>
                  <w:tcW w:w="1544" w:type="dxa"/>
                  <w:vAlign w:val="center"/>
                </w:tcPr>
                <w:p w14:paraId="5E8983D4">
                  <w:pPr>
                    <w:jc w:val="center"/>
                    <w:rPr>
                      <w:rFonts w:hint="default"/>
                      <w:vertAlign w:val="baseline"/>
                      <w:lang w:val="en-US" w:eastAsia="zh-CN"/>
                    </w:rPr>
                  </w:pPr>
                  <w:r>
                    <w:rPr>
                      <w:rFonts w:hint="eastAsia"/>
                      <w:vertAlign w:val="baseline"/>
                      <w:lang w:val="en-US" w:eastAsia="zh-CN"/>
                    </w:rPr>
                    <w:t>达标</w:t>
                  </w:r>
                </w:p>
              </w:tc>
            </w:tr>
            <w:tr w14:paraId="6F3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79B6D05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50</w:t>
                  </w:r>
                </w:p>
              </w:tc>
              <w:tc>
                <w:tcPr>
                  <w:tcW w:w="1282" w:type="dxa"/>
                  <w:vAlign w:val="center"/>
                </w:tcPr>
                <w:p w14:paraId="0284A57B">
                  <w:pPr>
                    <w:snapToGrid w:val="0"/>
                    <w:jc w:val="center"/>
                    <w:rPr>
                      <w:rFonts w:hint="default"/>
                      <w:vertAlign w:val="baseli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*铊</w:t>
                  </w:r>
                </w:p>
              </w:tc>
              <w:tc>
                <w:tcPr>
                  <w:tcW w:w="1987" w:type="dxa"/>
                  <w:vAlign w:val="center"/>
                </w:tcPr>
                <w:p w14:paraId="7A75CD8A">
                  <w:pPr>
                    <w:jc w:val="center"/>
                    <w:rPr>
                      <w:rFonts w:hint="default"/>
                      <w:vertAlign w:val="baseline"/>
                      <w:lang w:val="en-US" w:eastAsia="zh-CN"/>
                    </w:rPr>
                  </w:pPr>
                </w:p>
              </w:tc>
              <w:tc>
                <w:tcPr>
                  <w:tcW w:w="2190" w:type="dxa"/>
                  <w:vAlign w:val="center"/>
                </w:tcPr>
                <w:p w14:paraId="41A5EE06">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4.1</w:t>
                  </w:r>
                </w:p>
              </w:tc>
              <w:tc>
                <w:tcPr>
                  <w:tcW w:w="1544" w:type="dxa"/>
                  <w:vAlign w:val="center"/>
                </w:tcPr>
                <w:p w14:paraId="4B0C6AE2">
                  <w:pPr>
                    <w:jc w:val="center"/>
                    <w:rPr>
                      <w:rFonts w:hint="default"/>
                      <w:color w:val="auto"/>
                      <w:vertAlign w:val="baseline"/>
                      <w:lang w:val="en-US" w:eastAsia="zh-CN"/>
                    </w:rPr>
                  </w:pPr>
                  <w:r>
                    <w:rPr>
                      <w:rFonts w:hint="eastAsia"/>
                      <w:color w:val="auto"/>
                      <w:vertAlign w:val="baseline"/>
                      <w:lang w:val="en-US" w:eastAsia="zh-CN"/>
                    </w:rPr>
                    <w:t>达标</w:t>
                  </w:r>
                </w:p>
              </w:tc>
            </w:tr>
            <w:tr w14:paraId="58DD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7DC282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vertAlign w:val="baseline"/>
                      <w:lang w:val="en-US" w:eastAsia="zh-CN"/>
                    </w:rPr>
                  </w:pPr>
                  <w:r>
                    <w:rPr>
                      <w:rFonts w:hint="eastAsia"/>
                      <w:vertAlign w:val="baseline"/>
                      <w:lang w:val="en-US" w:eastAsia="zh-CN"/>
                    </w:rPr>
                    <w:t>51</w:t>
                  </w:r>
                </w:p>
              </w:tc>
              <w:tc>
                <w:tcPr>
                  <w:tcW w:w="1282" w:type="dxa"/>
                  <w:vAlign w:val="center"/>
                </w:tcPr>
                <w:p w14:paraId="54E4AC57">
                  <w:pPr>
                    <w:snapToGrid w:val="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*锑</w:t>
                  </w:r>
                </w:p>
              </w:tc>
              <w:tc>
                <w:tcPr>
                  <w:tcW w:w="1987" w:type="dxa"/>
                  <w:vAlign w:val="center"/>
                </w:tcPr>
                <w:p w14:paraId="7506855E">
                  <w:pPr>
                    <w:jc w:val="center"/>
                    <w:rPr>
                      <w:rFonts w:hint="default"/>
                      <w:vertAlign w:val="baseline"/>
                      <w:lang w:val="en-US" w:eastAsia="zh-CN"/>
                    </w:rPr>
                  </w:pPr>
                </w:p>
              </w:tc>
              <w:tc>
                <w:tcPr>
                  <w:tcW w:w="2190" w:type="dxa"/>
                  <w:vAlign w:val="center"/>
                </w:tcPr>
                <w:p w14:paraId="3948BD93">
                  <w:pPr>
                    <w:adjustRightInd w:val="0"/>
                    <w:snapToGrid w:val="0"/>
                    <w:jc w:val="center"/>
                    <w:rPr>
                      <w:rFonts w:hint="default"/>
                      <w:color w:val="auto"/>
                      <w:vertAlign w:val="baseline"/>
                      <w:lang w:val="en-US" w:eastAsia="zh-CN"/>
                    </w:rPr>
                  </w:pPr>
                  <w:r>
                    <w:rPr>
                      <w:rFonts w:hint="eastAsia" w:ascii="Times New Roman" w:hAnsi="Times New Roman" w:eastAsia="宋体" w:cs="Times New Roman"/>
                      <w:color w:val="auto"/>
                      <w:sz w:val="21"/>
                      <w:szCs w:val="21"/>
                      <w:lang w:val="en-US" w:eastAsia="zh-CN"/>
                    </w:rPr>
                    <w:t>180</w:t>
                  </w:r>
                </w:p>
              </w:tc>
              <w:tc>
                <w:tcPr>
                  <w:tcW w:w="1544" w:type="dxa"/>
                  <w:vAlign w:val="center"/>
                </w:tcPr>
                <w:p w14:paraId="12807E6D">
                  <w:pPr>
                    <w:jc w:val="center"/>
                    <w:rPr>
                      <w:rFonts w:hint="default"/>
                      <w:color w:val="auto"/>
                      <w:vertAlign w:val="baseline"/>
                      <w:lang w:val="en-US" w:eastAsia="zh-CN"/>
                    </w:rPr>
                  </w:pPr>
                  <w:r>
                    <w:rPr>
                      <w:rFonts w:hint="eastAsia"/>
                      <w:color w:val="auto"/>
                      <w:vertAlign w:val="baseline"/>
                      <w:lang w:val="en-US" w:eastAsia="zh-CN"/>
                    </w:rPr>
                    <w:t>达标</w:t>
                  </w:r>
                </w:p>
              </w:tc>
            </w:tr>
          </w:tbl>
          <w:p w14:paraId="4FBAD41A">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根据上表可知，本项目土壤监测因子均达到《土壤环境质量 建设用地土壤污染风险管控标准（试行）》（GB36600-2018）第二类用地筛选值及《建设用地土壤污染风险筛选值和管制值》（DB45/T 2556-2022）第二类用地筛选值。</w:t>
            </w:r>
          </w:p>
          <w:p w14:paraId="2E8B910E">
            <w:pPr>
              <w:pStyle w:val="15"/>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sz w:val="24"/>
                <w:szCs w:val="24"/>
                <w:lang w:val="en-US" w:eastAsia="zh-CN"/>
              </w:rPr>
            </w:pPr>
            <w:r>
              <w:rPr>
                <w:rFonts w:hint="eastAsia"/>
                <w:b/>
                <w:bCs/>
                <w:sz w:val="24"/>
                <w:szCs w:val="24"/>
                <w:lang w:val="en-US" w:eastAsia="zh-CN"/>
              </w:rPr>
              <w:t>生态环境</w:t>
            </w:r>
          </w:p>
          <w:p w14:paraId="6E5CB18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ascii="Times New Roman" w:hAnsi="Times New Roman" w:eastAsia="宋体" w:cs="Times New Roman"/>
                <w:sz w:val="24"/>
                <w:szCs w:val="24"/>
                <w:lang w:val="en-US" w:eastAsia="zh-CN"/>
              </w:rPr>
              <w:t>本项目不涉及生态保护目标，根据《建设项目环境影响报告表编制技术指南（污染影响类）</w:t>
            </w:r>
            <w:r>
              <w:rPr>
                <w:rFonts w:hint="eastAsia" w:cs="Times New Roman"/>
                <w:sz w:val="24"/>
                <w:szCs w:val="24"/>
                <w:lang w:val="en-US" w:eastAsia="zh-CN"/>
              </w:rPr>
              <w:t>（试行）》</w:t>
            </w:r>
            <w:r>
              <w:rPr>
                <w:rFonts w:hint="eastAsia" w:ascii="Times New Roman" w:hAnsi="Times New Roman" w:eastAsia="宋体" w:cs="Times New Roman"/>
                <w:sz w:val="24"/>
                <w:szCs w:val="24"/>
                <w:lang w:val="en-US" w:eastAsia="zh-CN"/>
              </w:rPr>
              <w:t>的总体要求，本项目不开展生态环境现状调查。</w:t>
            </w:r>
          </w:p>
        </w:tc>
      </w:tr>
      <w:tr w14:paraId="69A7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0451C5C">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环境保护目标</w:t>
            </w:r>
          </w:p>
        </w:tc>
        <w:tc>
          <w:tcPr>
            <w:tcW w:w="7907" w:type="dxa"/>
          </w:tcPr>
          <w:p w14:paraId="7416B6B8">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eastAsia"/>
                <w:sz w:val="24"/>
                <w:szCs w:val="24"/>
                <w:lang w:val="en-US" w:eastAsia="zh-CN"/>
              </w:rPr>
              <w:t>本项目位于广西壮族自治区钦州市_中国（广西）自由贸易试验区钦州港片区前后综合保税区二号路东面、七大街北面</w:t>
            </w:r>
            <w:r>
              <w:rPr>
                <w:rFonts w:hint="eastAsia" w:ascii="Times New Roman" w:cs="Times New Roman"/>
                <w:sz w:val="24"/>
                <w:szCs w:val="24"/>
                <w:vertAlign w:val="baseline"/>
                <w:lang w:val="en-US" w:eastAsia="zh-CN"/>
              </w:rPr>
              <w:t>，</w:t>
            </w:r>
            <w:r>
              <w:rPr>
                <w:rFonts w:ascii="Times New Roman" w:hAnsi="Times New Roman" w:cs="Times New Roman"/>
                <w:color w:val="auto"/>
                <w:sz w:val="24"/>
                <w:szCs w:val="24"/>
                <w:u w:val="none"/>
              </w:rPr>
              <w:t>厂界外500m范围内</w:t>
            </w:r>
            <w:r>
              <w:rPr>
                <w:rFonts w:hint="eastAsia" w:ascii="Times New Roman" w:hAnsi="Times New Roman" w:cs="Times New Roman"/>
                <w:color w:val="auto"/>
                <w:sz w:val="24"/>
                <w:szCs w:val="24"/>
                <w:u w:val="none"/>
                <w:lang w:val="en-US" w:eastAsia="zh-CN"/>
              </w:rPr>
              <w:t>不</w:t>
            </w:r>
            <w:r>
              <w:rPr>
                <w:rFonts w:hint="eastAsia" w:ascii="Times New Roman" w:cs="Times New Roman"/>
                <w:color w:val="auto"/>
                <w:sz w:val="24"/>
                <w:szCs w:val="24"/>
                <w:u w:val="none"/>
                <w:lang w:val="en-US" w:eastAsia="zh-CN"/>
              </w:rPr>
              <w:t>存在</w:t>
            </w:r>
            <w:r>
              <w:rPr>
                <w:rFonts w:ascii="Times New Roman" w:hAnsi="Times New Roman" w:cs="Times New Roman"/>
                <w:color w:val="auto"/>
                <w:sz w:val="24"/>
                <w:szCs w:val="24"/>
                <w:u w:val="none"/>
              </w:rPr>
              <w:t>大气环境保护目标；</w:t>
            </w:r>
            <w:r>
              <w:rPr>
                <w:rFonts w:ascii="Times New Roman" w:hAnsi="Times New Roman" w:cs="Times New Roman"/>
                <w:bCs/>
                <w:color w:val="auto"/>
                <w:sz w:val="24"/>
                <w:szCs w:val="24"/>
                <w:u w:val="none"/>
              </w:rPr>
              <w:t>厂界外50m范</w:t>
            </w:r>
            <w:r>
              <w:rPr>
                <w:rFonts w:hint="eastAsia" w:cs="Times New Roman"/>
                <w:bCs/>
                <w:color w:val="auto"/>
                <w:sz w:val="24"/>
                <w:szCs w:val="24"/>
                <w:u w:val="none"/>
                <w:lang w:eastAsia="zh-CN"/>
              </w:rPr>
              <w:t>围内</w:t>
            </w:r>
            <w:r>
              <w:rPr>
                <w:rFonts w:hint="eastAsia" w:ascii="Times New Roman" w:hAnsi="Times New Roman" w:cs="Times New Roman"/>
                <w:bCs/>
                <w:color w:val="auto"/>
                <w:sz w:val="24"/>
                <w:szCs w:val="24"/>
                <w:u w:val="none"/>
                <w:lang w:val="en-US" w:eastAsia="zh-CN"/>
              </w:rPr>
              <w:t>不</w:t>
            </w:r>
            <w:r>
              <w:rPr>
                <w:rFonts w:hint="eastAsia" w:ascii="Times New Roman" w:cs="Times New Roman"/>
                <w:bCs/>
                <w:color w:val="auto"/>
                <w:sz w:val="24"/>
                <w:szCs w:val="24"/>
                <w:u w:val="none"/>
                <w:lang w:val="en-US" w:eastAsia="zh-CN"/>
              </w:rPr>
              <w:t>存在</w:t>
            </w:r>
            <w:r>
              <w:rPr>
                <w:rFonts w:ascii="Times New Roman" w:hAnsi="Times New Roman" w:cs="Times New Roman"/>
                <w:bCs/>
                <w:color w:val="auto"/>
                <w:sz w:val="24"/>
                <w:szCs w:val="24"/>
                <w:u w:val="none"/>
              </w:rPr>
              <w:t>声环境保护目标；</w:t>
            </w:r>
            <w:r>
              <w:rPr>
                <w:rFonts w:ascii="Times New Roman" w:hAnsi="Times New Roman" w:cs="Times New Roman"/>
                <w:color w:val="auto"/>
                <w:sz w:val="24"/>
                <w:szCs w:val="24"/>
                <w:u w:val="none"/>
              </w:rPr>
              <w:t>厂界外500m范围内无地下水集中式饮用水水源和热水、矿泉水、温泉等特殊地下水资源保护区</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项目评价范围内无国家级和地区级保护动植物，不涉及自然保护区、风景名胜区、文化遗址、饮用水源保护区等</w:t>
            </w:r>
            <w:r>
              <w:rPr>
                <w:rFonts w:ascii="Times New Roman" w:hAnsi="Times New Roman" w:cs="Times New Roman"/>
                <w:color w:val="auto"/>
                <w:sz w:val="24"/>
                <w:szCs w:val="24"/>
                <w:u w:val="none"/>
              </w:rPr>
              <w:t>。</w:t>
            </w:r>
          </w:p>
        </w:tc>
      </w:tr>
      <w:tr w14:paraId="18E1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B81B3CC">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污染物排放控制标准</w:t>
            </w:r>
          </w:p>
        </w:tc>
        <w:tc>
          <w:tcPr>
            <w:tcW w:w="7907" w:type="dxa"/>
          </w:tcPr>
          <w:p w14:paraId="1109D408">
            <w:pPr>
              <w:pStyle w:val="14"/>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firstLine="482" w:firstLineChars="200"/>
              <w:textAlignment w:val="auto"/>
              <w:rPr>
                <w:rFonts w:hint="eastAsia"/>
                <w:b/>
                <w:bCs/>
                <w:sz w:val="24"/>
                <w:szCs w:val="24"/>
                <w:vertAlign w:val="baseline"/>
                <w:lang w:val="en-US" w:eastAsia="zh-CN"/>
              </w:rPr>
            </w:pPr>
            <w:r>
              <w:rPr>
                <w:rFonts w:hint="eastAsia"/>
                <w:b/>
                <w:bCs/>
                <w:sz w:val="24"/>
                <w:szCs w:val="24"/>
                <w:vertAlign w:val="baseline"/>
                <w:lang w:val="en-US" w:eastAsia="zh-CN"/>
              </w:rPr>
              <w:t>废气</w:t>
            </w:r>
          </w:p>
          <w:p w14:paraId="0E141E0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lang w:val="en-US" w:eastAsia="zh-CN"/>
              </w:rPr>
            </w:pPr>
            <w:r>
              <w:rPr>
                <w:rFonts w:hint="eastAsia"/>
                <w:sz w:val="24"/>
                <w:szCs w:val="24"/>
                <w:lang w:val="en-US" w:eastAsia="zh-CN"/>
              </w:rPr>
              <w:t>施工期排放的无组织颗粒物执行《大气污染物综合排放标准》（GB16297-1996）表2无组织排放浓度限值。</w:t>
            </w:r>
          </w:p>
          <w:p w14:paraId="67AE92D1">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根据《广西钦州保税港区总体规划》及规划环评，运营期配料混矿废气执行《大气污染物综合排放标准》（GB16297-1996）中表2新污染源大气污染物排放限值；厂界无组织废气执行《大气污染物综合排放标准》（GB16297-1996）表2无组织排放监控浓度限值。</w:t>
            </w:r>
          </w:p>
          <w:p w14:paraId="61B0375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b/>
                <w:bCs/>
                <w:sz w:val="24"/>
                <w:szCs w:val="24"/>
                <w:lang w:val="en-US" w:eastAsia="zh-CN"/>
              </w:rPr>
            </w:pPr>
            <w:r>
              <w:rPr>
                <w:rFonts w:hint="eastAsia"/>
                <w:b/>
                <w:bCs/>
                <w:sz w:val="24"/>
                <w:szCs w:val="24"/>
                <w:lang w:val="en-US" w:eastAsia="zh-CN"/>
              </w:rPr>
              <w:t>表3-8 施工期废气执行标准一览表</w:t>
            </w:r>
          </w:p>
          <w:tbl>
            <w:tblPr>
              <w:tblStyle w:val="17"/>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2626"/>
              <w:gridCol w:w="2627"/>
            </w:tblGrid>
            <w:tr w14:paraId="7062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26" w:type="dxa"/>
                  <w:vMerge w:val="restart"/>
                  <w:vAlign w:val="center"/>
                </w:tcPr>
                <w:p w14:paraId="0E744FE7">
                  <w:pPr>
                    <w:tabs>
                      <w:tab w:val="left" w:pos="312"/>
                    </w:tabs>
                    <w:jc w:val="center"/>
                    <w:rPr>
                      <w:rFonts w:eastAsiaTheme="minorEastAsia"/>
                      <w:sz w:val="21"/>
                      <w:szCs w:val="21"/>
                    </w:rPr>
                  </w:pPr>
                  <w:r>
                    <w:rPr>
                      <w:rFonts w:hint="eastAsia" w:eastAsiaTheme="minorEastAsia"/>
                      <w:sz w:val="21"/>
                      <w:szCs w:val="21"/>
                    </w:rPr>
                    <w:t>污染物</w:t>
                  </w:r>
                </w:p>
              </w:tc>
              <w:tc>
                <w:tcPr>
                  <w:tcW w:w="5253" w:type="dxa"/>
                  <w:gridSpan w:val="2"/>
                  <w:vAlign w:val="center"/>
                </w:tcPr>
                <w:p w14:paraId="04558401">
                  <w:pPr>
                    <w:tabs>
                      <w:tab w:val="left" w:pos="312"/>
                    </w:tabs>
                    <w:jc w:val="center"/>
                    <w:rPr>
                      <w:rFonts w:eastAsiaTheme="minorEastAsia"/>
                      <w:sz w:val="21"/>
                      <w:szCs w:val="21"/>
                    </w:rPr>
                  </w:pPr>
                  <w:r>
                    <w:rPr>
                      <w:rFonts w:hint="eastAsia" w:eastAsiaTheme="minorEastAsia"/>
                      <w:sz w:val="21"/>
                      <w:szCs w:val="21"/>
                    </w:rPr>
                    <w:t>无组织排放监控浓度限值</w:t>
                  </w:r>
                </w:p>
              </w:tc>
            </w:tr>
            <w:tr w14:paraId="4E3B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26" w:type="dxa"/>
                  <w:vMerge w:val="continue"/>
                  <w:vAlign w:val="center"/>
                </w:tcPr>
                <w:p w14:paraId="6D0782BA">
                  <w:pPr>
                    <w:tabs>
                      <w:tab w:val="left" w:pos="312"/>
                    </w:tabs>
                    <w:jc w:val="center"/>
                    <w:rPr>
                      <w:rFonts w:eastAsiaTheme="minorEastAsia"/>
                      <w:sz w:val="21"/>
                      <w:szCs w:val="21"/>
                    </w:rPr>
                  </w:pPr>
                </w:p>
              </w:tc>
              <w:tc>
                <w:tcPr>
                  <w:tcW w:w="2626" w:type="dxa"/>
                  <w:vAlign w:val="center"/>
                </w:tcPr>
                <w:p w14:paraId="7E4D6C4E">
                  <w:pPr>
                    <w:tabs>
                      <w:tab w:val="left" w:pos="312"/>
                    </w:tabs>
                    <w:jc w:val="center"/>
                    <w:rPr>
                      <w:rFonts w:eastAsiaTheme="minorEastAsia"/>
                      <w:sz w:val="21"/>
                      <w:szCs w:val="21"/>
                    </w:rPr>
                  </w:pPr>
                  <w:r>
                    <w:rPr>
                      <w:rFonts w:hint="eastAsia" w:eastAsiaTheme="minorEastAsia"/>
                      <w:sz w:val="21"/>
                      <w:szCs w:val="21"/>
                    </w:rPr>
                    <w:t>监控点</w:t>
                  </w:r>
                </w:p>
              </w:tc>
              <w:tc>
                <w:tcPr>
                  <w:tcW w:w="2627" w:type="dxa"/>
                  <w:vAlign w:val="center"/>
                </w:tcPr>
                <w:p w14:paraId="70684CC9">
                  <w:pPr>
                    <w:tabs>
                      <w:tab w:val="left" w:pos="312"/>
                    </w:tabs>
                    <w:jc w:val="center"/>
                    <w:rPr>
                      <w:rFonts w:eastAsiaTheme="minorEastAsia"/>
                      <w:sz w:val="21"/>
                      <w:szCs w:val="21"/>
                    </w:rPr>
                  </w:pPr>
                  <w:r>
                    <w:rPr>
                      <w:rFonts w:hint="eastAsia" w:eastAsiaTheme="minorEastAsia"/>
                      <w:sz w:val="21"/>
                      <w:szCs w:val="21"/>
                    </w:rPr>
                    <w:t>浓度（mg/m</w:t>
                  </w:r>
                  <w:r>
                    <w:rPr>
                      <w:rFonts w:hint="eastAsia" w:eastAsiaTheme="minorEastAsia"/>
                      <w:sz w:val="21"/>
                      <w:szCs w:val="21"/>
                      <w:vertAlign w:val="superscript"/>
                    </w:rPr>
                    <w:t>3</w:t>
                  </w:r>
                  <w:r>
                    <w:rPr>
                      <w:rFonts w:hint="eastAsia" w:eastAsiaTheme="minorEastAsia"/>
                      <w:sz w:val="21"/>
                      <w:szCs w:val="21"/>
                    </w:rPr>
                    <w:t>）</w:t>
                  </w:r>
                </w:p>
              </w:tc>
            </w:tr>
            <w:tr w14:paraId="1FB4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626" w:type="dxa"/>
                  <w:vAlign w:val="center"/>
                </w:tcPr>
                <w:p w14:paraId="2518A831">
                  <w:pPr>
                    <w:tabs>
                      <w:tab w:val="left" w:pos="312"/>
                    </w:tabs>
                    <w:jc w:val="center"/>
                    <w:rPr>
                      <w:rFonts w:eastAsiaTheme="minorEastAsia"/>
                      <w:sz w:val="21"/>
                      <w:szCs w:val="21"/>
                    </w:rPr>
                  </w:pPr>
                  <w:r>
                    <w:rPr>
                      <w:rFonts w:hint="eastAsia" w:eastAsiaTheme="minorEastAsia"/>
                      <w:sz w:val="21"/>
                      <w:szCs w:val="21"/>
                    </w:rPr>
                    <w:t>颗粒物</w:t>
                  </w:r>
                </w:p>
              </w:tc>
              <w:tc>
                <w:tcPr>
                  <w:tcW w:w="2626" w:type="dxa"/>
                  <w:vAlign w:val="center"/>
                </w:tcPr>
                <w:p w14:paraId="04BB4020">
                  <w:pPr>
                    <w:tabs>
                      <w:tab w:val="left" w:pos="312"/>
                    </w:tabs>
                    <w:jc w:val="center"/>
                    <w:rPr>
                      <w:rFonts w:eastAsiaTheme="minorEastAsia"/>
                      <w:sz w:val="21"/>
                      <w:szCs w:val="21"/>
                    </w:rPr>
                  </w:pPr>
                  <w:r>
                    <w:rPr>
                      <w:rFonts w:hint="eastAsia" w:eastAsiaTheme="minorEastAsia"/>
                      <w:sz w:val="21"/>
                      <w:szCs w:val="21"/>
                    </w:rPr>
                    <w:t>周界外浓度最高点</w:t>
                  </w:r>
                </w:p>
              </w:tc>
              <w:tc>
                <w:tcPr>
                  <w:tcW w:w="2627" w:type="dxa"/>
                  <w:vAlign w:val="center"/>
                </w:tcPr>
                <w:p w14:paraId="21DE233D">
                  <w:pPr>
                    <w:tabs>
                      <w:tab w:val="left" w:pos="312"/>
                    </w:tabs>
                    <w:jc w:val="center"/>
                    <w:rPr>
                      <w:rFonts w:eastAsiaTheme="minorEastAsia"/>
                      <w:sz w:val="21"/>
                      <w:szCs w:val="21"/>
                    </w:rPr>
                  </w:pPr>
                  <w:r>
                    <w:rPr>
                      <w:rFonts w:hint="eastAsia" w:eastAsiaTheme="minorEastAsia"/>
                      <w:sz w:val="21"/>
                      <w:szCs w:val="21"/>
                    </w:rPr>
                    <w:t>1.0</w:t>
                  </w:r>
                </w:p>
              </w:tc>
            </w:tr>
          </w:tbl>
          <w:p w14:paraId="499B939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表3-9 运营期废气执行标准一览表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07"/>
              <w:gridCol w:w="1308"/>
              <w:gridCol w:w="1308"/>
            </w:tblGrid>
            <w:tr w14:paraId="5325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restart"/>
                  <w:vAlign w:val="center"/>
                </w:tcPr>
                <w:p w14:paraId="6B2B39D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序号</w:t>
                  </w:r>
                </w:p>
              </w:tc>
              <w:tc>
                <w:tcPr>
                  <w:tcW w:w="1306" w:type="dxa"/>
                  <w:vMerge w:val="restart"/>
                  <w:vAlign w:val="center"/>
                </w:tcPr>
                <w:p w14:paraId="73C924A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w:t>
                  </w:r>
                </w:p>
              </w:tc>
              <w:tc>
                <w:tcPr>
                  <w:tcW w:w="2613" w:type="dxa"/>
                  <w:gridSpan w:val="2"/>
                  <w:vAlign w:val="center"/>
                </w:tcPr>
                <w:p w14:paraId="6A1EF94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排放口排放浓度限值</w:t>
                  </w:r>
                </w:p>
              </w:tc>
              <w:tc>
                <w:tcPr>
                  <w:tcW w:w="2616" w:type="dxa"/>
                  <w:gridSpan w:val="2"/>
                  <w:vAlign w:val="center"/>
                </w:tcPr>
                <w:p w14:paraId="01EC214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无组织排放监控浓度限值</w:t>
                  </w:r>
                </w:p>
              </w:tc>
            </w:tr>
            <w:tr w14:paraId="33F0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4EEA2AA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p>
              </w:tc>
              <w:tc>
                <w:tcPr>
                  <w:tcW w:w="1306" w:type="dxa"/>
                  <w:vMerge w:val="continue"/>
                  <w:vAlign w:val="center"/>
                </w:tcPr>
                <w:p w14:paraId="011FC220">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p>
              </w:tc>
              <w:tc>
                <w:tcPr>
                  <w:tcW w:w="1306" w:type="dxa"/>
                  <w:vAlign w:val="center"/>
                </w:tcPr>
                <w:p w14:paraId="6A9B04D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监控点</w:t>
                  </w:r>
                </w:p>
              </w:tc>
              <w:tc>
                <w:tcPr>
                  <w:tcW w:w="1307" w:type="dxa"/>
                  <w:vAlign w:val="center"/>
                </w:tcPr>
                <w:p w14:paraId="3158818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浓度（mg/m</w:t>
                  </w:r>
                  <w:r>
                    <w:rPr>
                      <w:rFonts w:hint="eastAsia"/>
                      <w:sz w:val="21"/>
                      <w:szCs w:val="21"/>
                      <w:vertAlign w:val="superscript"/>
                      <w:lang w:val="en-US" w:eastAsia="zh-CN"/>
                    </w:rPr>
                    <w:t>3</w:t>
                  </w:r>
                  <w:r>
                    <w:rPr>
                      <w:rFonts w:hint="eastAsia"/>
                      <w:sz w:val="21"/>
                      <w:szCs w:val="21"/>
                      <w:vertAlign w:val="baseline"/>
                      <w:lang w:val="en-US" w:eastAsia="zh-CN"/>
                    </w:rPr>
                    <w:t>）</w:t>
                  </w:r>
                </w:p>
              </w:tc>
              <w:tc>
                <w:tcPr>
                  <w:tcW w:w="1308" w:type="dxa"/>
                  <w:vAlign w:val="center"/>
                </w:tcPr>
                <w:p w14:paraId="13B7CDA2">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监控点</w:t>
                  </w:r>
                </w:p>
              </w:tc>
              <w:tc>
                <w:tcPr>
                  <w:tcW w:w="1308" w:type="dxa"/>
                  <w:vAlign w:val="center"/>
                </w:tcPr>
                <w:p w14:paraId="28E0891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浓度（mg/m</w:t>
                  </w:r>
                  <w:r>
                    <w:rPr>
                      <w:rFonts w:hint="eastAsia"/>
                      <w:sz w:val="21"/>
                      <w:szCs w:val="21"/>
                      <w:vertAlign w:val="superscript"/>
                      <w:lang w:val="en-US" w:eastAsia="zh-CN"/>
                    </w:rPr>
                    <w:t>3</w:t>
                  </w:r>
                  <w:r>
                    <w:rPr>
                      <w:rFonts w:hint="eastAsia"/>
                      <w:sz w:val="21"/>
                      <w:szCs w:val="21"/>
                      <w:vertAlign w:val="baseline"/>
                      <w:lang w:val="en-US" w:eastAsia="zh-CN"/>
                    </w:rPr>
                    <w:t>）</w:t>
                  </w:r>
                </w:p>
              </w:tc>
            </w:tr>
            <w:tr w14:paraId="602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Align w:val="center"/>
                </w:tcPr>
                <w:p w14:paraId="2FF48F0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1306" w:type="dxa"/>
                  <w:vAlign w:val="center"/>
                </w:tcPr>
                <w:p w14:paraId="3AAB610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306" w:type="dxa"/>
                  <w:vAlign w:val="center"/>
                </w:tcPr>
                <w:p w14:paraId="6ECED52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排放口</w:t>
                  </w:r>
                </w:p>
              </w:tc>
              <w:tc>
                <w:tcPr>
                  <w:tcW w:w="1307" w:type="dxa"/>
                  <w:vAlign w:val="center"/>
                </w:tcPr>
                <w:p w14:paraId="72CA53C3">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120</w:t>
                  </w:r>
                </w:p>
              </w:tc>
              <w:tc>
                <w:tcPr>
                  <w:tcW w:w="1308" w:type="dxa"/>
                  <w:vAlign w:val="center"/>
                </w:tcPr>
                <w:p w14:paraId="51B460C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周界外浓度最高点</w:t>
                  </w:r>
                </w:p>
              </w:tc>
              <w:tc>
                <w:tcPr>
                  <w:tcW w:w="1308" w:type="dxa"/>
                  <w:vAlign w:val="center"/>
                </w:tcPr>
                <w:p w14:paraId="68B6077B">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r>
          </w:tbl>
          <w:p w14:paraId="7C590781">
            <w:pPr>
              <w:pStyle w:val="15"/>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废水</w:t>
            </w:r>
          </w:p>
          <w:p w14:paraId="37292218">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施工期施工废水主要为生活污水，经三级化粪池处理后排入市政污水管网，再进入大榄坪污水处理厂处理。</w:t>
            </w:r>
          </w:p>
          <w:p w14:paraId="7AC70259">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运营期洗车废水和地面冲洗废水经沉淀池沉淀后回用；干雾抑尘用水挥发或附着在原料、产品上，不外排；生活污水执行《污水排放综合标准》（GB8978-1996）三级标准和大榄坪污水处理厂进水水质标准中更严格者。</w:t>
            </w:r>
          </w:p>
          <w:p w14:paraId="439CFA3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表3-9 项目污水排放执行标准   单位：mg/L</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000"/>
              <w:gridCol w:w="2070"/>
              <w:gridCol w:w="2070"/>
              <w:gridCol w:w="2071"/>
            </w:tblGrid>
            <w:tr w14:paraId="0AC8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vAlign w:val="center"/>
                </w:tcPr>
                <w:p w14:paraId="1BCFAEA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序号</w:t>
                  </w:r>
                </w:p>
              </w:tc>
              <w:tc>
                <w:tcPr>
                  <w:tcW w:w="1000" w:type="dxa"/>
                  <w:vMerge w:val="restart"/>
                  <w:vAlign w:val="center"/>
                </w:tcPr>
                <w:p w14:paraId="309116E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控制项目</w:t>
                  </w:r>
                </w:p>
              </w:tc>
              <w:tc>
                <w:tcPr>
                  <w:tcW w:w="6211" w:type="dxa"/>
                  <w:gridSpan w:val="3"/>
                  <w:vAlign w:val="center"/>
                </w:tcPr>
                <w:p w14:paraId="2759A7A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排放标准</w:t>
                  </w:r>
                </w:p>
              </w:tc>
            </w:tr>
            <w:tr w14:paraId="45A4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vAlign w:val="center"/>
                </w:tcPr>
                <w:p w14:paraId="3D383F3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p>
              </w:tc>
              <w:tc>
                <w:tcPr>
                  <w:tcW w:w="1000" w:type="dxa"/>
                  <w:vMerge w:val="continue"/>
                  <w:vAlign w:val="center"/>
                </w:tcPr>
                <w:p w14:paraId="7B09AAE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p>
              </w:tc>
              <w:tc>
                <w:tcPr>
                  <w:tcW w:w="2070" w:type="dxa"/>
                  <w:vAlign w:val="center"/>
                </w:tcPr>
                <w:p w14:paraId="2707285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《污水综合排放标准》（GB8978-1996）三级标准</w:t>
                  </w:r>
                </w:p>
              </w:tc>
              <w:tc>
                <w:tcPr>
                  <w:tcW w:w="2070" w:type="dxa"/>
                  <w:vAlign w:val="center"/>
                </w:tcPr>
                <w:p w14:paraId="49CDC80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大榄坪污水处理厂进水标准</w:t>
                  </w:r>
                </w:p>
              </w:tc>
              <w:tc>
                <w:tcPr>
                  <w:tcW w:w="2071" w:type="dxa"/>
                  <w:vAlign w:val="center"/>
                </w:tcPr>
                <w:p w14:paraId="144F688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本项目执行标准</w:t>
                  </w:r>
                </w:p>
              </w:tc>
            </w:tr>
            <w:tr w14:paraId="2052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F6AE39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w:t>
                  </w:r>
                </w:p>
              </w:tc>
              <w:tc>
                <w:tcPr>
                  <w:tcW w:w="1000" w:type="dxa"/>
                  <w:vAlign w:val="center"/>
                </w:tcPr>
                <w:p w14:paraId="6D97CFC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pH</w:t>
                  </w:r>
                </w:p>
              </w:tc>
              <w:tc>
                <w:tcPr>
                  <w:tcW w:w="2070" w:type="dxa"/>
                  <w:vAlign w:val="center"/>
                </w:tcPr>
                <w:p w14:paraId="52F0120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6-9</w:t>
                  </w:r>
                </w:p>
              </w:tc>
              <w:tc>
                <w:tcPr>
                  <w:tcW w:w="2070" w:type="dxa"/>
                  <w:vAlign w:val="center"/>
                </w:tcPr>
                <w:p w14:paraId="43A0860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6-9</w:t>
                  </w:r>
                </w:p>
              </w:tc>
              <w:tc>
                <w:tcPr>
                  <w:tcW w:w="2071" w:type="dxa"/>
                  <w:shd w:val="clear" w:color="auto" w:fill="auto"/>
                  <w:vAlign w:val="center"/>
                </w:tcPr>
                <w:p w14:paraId="15015AC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6-9</w:t>
                  </w:r>
                </w:p>
              </w:tc>
            </w:tr>
            <w:tr w14:paraId="7517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A1A924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w:t>
                  </w:r>
                </w:p>
              </w:tc>
              <w:tc>
                <w:tcPr>
                  <w:tcW w:w="1000" w:type="dxa"/>
                  <w:vAlign w:val="center"/>
                </w:tcPr>
                <w:p w14:paraId="13D62FB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色度</w:t>
                  </w:r>
                </w:p>
              </w:tc>
              <w:tc>
                <w:tcPr>
                  <w:tcW w:w="2070" w:type="dxa"/>
                  <w:vAlign w:val="center"/>
                </w:tcPr>
                <w:p w14:paraId="091DA68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2070" w:type="dxa"/>
                  <w:vAlign w:val="center"/>
                </w:tcPr>
                <w:p w14:paraId="629E5DC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2071" w:type="dxa"/>
                  <w:shd w:val="clear" w:color="auto" w:fill="auto"/>
                  <w:vAlign w:val="center"/>
                </w:tcPr>
                <w:p w14:paraId="440925A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w:t>
                  </w:r>
                </w:p>
              </w:tc>
            </w:tr>
            <w:tr w14:paraId="4370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5ADC8F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w:t>
                  </w:r>
                </w:p>
              </w:tc>
              <w:tc>
                <w:tcPr>
                  <w:tcW w:w="1000" w:type="dxa"/>
                  <w:vAlign w:val="center"/>
                </w:tcPr>
                <w:p w14:paraId="427657D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COD</w:t>
                  </w:r>
                  <w:r>
                    <w:rPr>
                      <w:rFonts w:hint="eastAsia" w:ascii="Times New Roman" w:hAnsi="Times New Roman" w:cs="Times New Roman"/>
                      <w:b w:val="0"/>
                      <w:bCs w:val="0"/>
                      <w:sz w:val="21"/>
                      <w:szCs w:val="21"/>
                      <w:vertAlign w:val="subscript"/>
                      <w:lang w:val="en-US" w:eastAsia="zh-CN"/>
                    </w:rPr>
                    <w:t>cr</w:t>
                  </w:r>
                </w:p>
              </w:tc>
              <w:tc>
                <w:tcPr>
                  <w:tcW w:w="2070" w:type="dxa"/>
                  <w:vAlign w:val="center"/>
                </w:tcPr>
                <w:p w14:paraId="3C7FECF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500</w:t>
                  </w:r>
                </w:p>
              </w:tc>
              <w:tc>
                <w:tcPr>
                  <w:tcW w:w="2070" w:type="dxa"/>
                  <w:vAlign w:val="center"/>
                </w:tcPr>
                <w:p w14:paraId="385FD6B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500</w:t>
                  </w:r>
                </w:p>
              </w:tc>
              <w:tc>
                <w:tcPr>
                  <w:tcW w:w="2071" w:type="dxa"/>
                  <w:shd w:val="clear" w:color="auto" w:fill="auto"/>
                  <w:vAlign w:val="center"/>
                </w:tcPr>
                <w:p w14:paraId="27B2D9D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500</w:t>
                  </w:r>
                </w:p>
              </w:tc>
            </w:tr>
            <w:tr w14:paraId="6F7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B97327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4</w:t>
                  </w:r>
                </w:p>
              </w:tc>
              <w:tc>
                <w:tcPr>
                  <w:tcW w:w="1000" w:type="dxa"/>
                  <w:vAlign w:val="center"/>
                </w:tcPr>
                <w:p w14:paraId="1DDBB41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BOD</w:t>
                  </w:r>
                  <w:r>
                    <w:rPr>
                      <w:rFonts w:hint="eastAsia" w:ascii="Times New Roman" w:hAnsi="Times New Roman" w:cs="Times New Roman"/>
                      <w:b w:val="0"/>
                      <w:bCs w:val="0"/>
                      <w:sz w:val="21"/>
                      <w:szCs w:val="21"/>
                      <w:vertAlign w:val="subscript"/>
                      <w:lang w:val="en-US" w:eastAsia="zh-CN"/>
                    </w:rPr>
                    <w:t>5</w:t>
                  </w:r>
                </w:p>
              </w:tc>
              <w:tc>
                <w:tcPr>
                  <w:tcW w:w="2070" w:type="dxa"/>
                  <w:vAlign w:val="center"/>
                </w:tcPr>
                <w:p w14:paraId="622EB62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300</w:t>
                  </w:r>
                </w:p>
              </w:tc>
              <w:tc>
                <w:tcPr>
                  <w:tcW w:w="2070" w:type="dxa"/>
                  <w:vAlign w:val="center"/>
                </w:tcPr>
                <w:p w14:paraId="20B25E6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200</w:t>
                  </w:r>
                </w:p>
              </w:tc>
              <w:tc>
                <w:tcPr>
                  <w:tcW w:w="2071" w:type="dxa"/>
                  <w:shd w:val="clear" w:color="auto" w:fill="auto"/>
                  <w:vAlign w:val="center"/>
                </w:tcPr>
                <w:p w14:paraId="77F1514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200</w:t>
                  </w:r>
                </w:p>
              </w:tc>
            </w:tr>
            <w:tr w14:paraId="1561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CDD9E4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5</w:t>
                  </w:r>
                </w:p>
              </w:tc>
              <w:tc>
                <w:tcPr>
                  <w:tcW w:w="1000" w:type="dxa"/>
                  <w:vAlign w:val="center"/>
                </w:tcPr>
                <w:p w14:paraId="1824984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SS</w:t>
                  </w:r>
                </w:p>
              </w:tc>
              <w:tc>
                <w:tcPr>
                  <w:tcW w:w="2070" w:type="dxa"/>
                  <w:vAlign w:val="center"/>
                </w:tcPr>
                <w:p w14:paraId="6EF151B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400</w:t>
                  </w:r>
                </w:p>
              </w:tc>
              <w:tc>
                <w:tcPr>
                  <w:tcW w:w="2070" w:type="dxa"/>
                  <w:vAlign w:val="center"/>
                </w:tcPr>
                <w:p w14:paraId="54EB016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300</w:t>
                  </w:r>
                </w:p>
              </w:tc>
              <w:tc>
                <w:tcPr>
                  <w:tcW w:w="2071" w:type="dxa"/>
                  <w:shd w:val="clear" w:color="auto" w:fill="auto"/>
                  <w:vAlign w:val="center"/>
                </w:tcPr>
                <w:p w14:paraId="3D978A1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300</w:t>
                  </w:r>
                </w:p>
              </w:tc>
            </w:tr>
            <w:tr w14:paraId="6419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D3EC6F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6</w:t>
                  </w:r>
                </w:p>
              </w:tc>
              <w:tc>
                <w:tcPr>
                  <w:tcW w:w="1000" w:type="dxa"/>
                  <w:vAlign w:val="center"/>
                </w:tcPr>
                <w:p w14:paraId="44D8967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TN</w:t>
                  </w:r>
                </w:p>
              </w:tc>
              <w:tc>
                <w:tcPr>
                  <w:tcW w:w="2070" w:type="dxa"/>
                  <w:vAlign w:val="center"/>
                </w:tcPr>
                <w:p w14:paraId="7D3CF90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2070" w:type="dxa"/>
                  <w:vAlign w:val="center"/>
                </w:tcPr>
                <w:p w14:paraId="3A84115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45</w:t>
                  </w:r>
                </w:p>
              </w:tc>
              <w:tc>
                <w:tcPr>
                  <w:tcW w:w="2071" w:type="dxa"/>
                  <w:shd w:val="clear" w:color="auto" w:fill="auto"/>
                  <w:vAlign w:val="center"/>
                </w:tcPr>
                <w:p w14:paraId="0DD7F31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45</w:t>
                  </w:r>
                </w:p>
              </w:tc>
            </w:tr>
            <w:tr w14:paraId="26F2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D756E5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7</w:t>
                  </w:r>
                </w:p>
              </w:tc>
              <w:tc>
                <w:tcPr>
                  <w:tcW w:w="1000" w:type="dxa"/>
                  <w:vAlign w:val="center"/>
                </w:tcPr>
                <w:p w14:paraId="1ED9DB9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NH</w:t>
                  </w:r>
                  <w:r>
                    <w:rPr>
                      <w:rFonts w:hint="eastAsia" w:ascii="Times New Roman" w:hAnsi="Times New Roman" w:cs="Times New Roman"/>
                      <w:b w:val="0"/>
                      <w:bCs w:val="0"/>
                      <w:sz w:val="21"/>
                      <w:szCs w:val="21"/>
                      <w:vertAlign w:val="subscript"/>
                      <w:lang w:val="en-US" w:eastAsia="zh-CN"/>
                    </w:rPr>
                    <w:t>3</w:t>
                  </w:r>
                  <w:r>
                    <w:rPr>
                      <w:rFonts w:hint="eastAsia" w:ascii="Times New Roman" w:hAnsi="Times New Roman" w:cs="Times New Roman"/>
                      <w:b w:val="0"/>
                      <w:bCs w:val="0"/>
                      <w:sz w:val="21"/>
                      <w:szCs w:val="21"/>
                      <w:vertAlign w:val="baseline"/>
                      <w:lang w:val="en-US" w:eastAsia="zh-CN"/>
                    </w:rPr>
                    <w:t>-N</w:t>
                  </w:r>
                </w:p>
              </w:tc>
              <w:tc>
                <w:tcPr>
                  <w:tcW w:w="2070" w:type="dxa"/>
                  <w:vAlign w:val="center"/>
                </w:tcPr>
                <w:p w14:paraId="45DE68D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2070" w:type="dxa"/>
                  <w:vAlign w:val="center"/>
                </w:tcPr>
                <w:p w14:paraId="0477C6E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45</w:t>
                  </w:r>
                </w:p>
              </w:tc>
              <w:tc>
                <w:tcPr>
                  <w:tcW w:w="2071" w:type="dxa"/>
                  <w:shd w:val="clear" w:color="auto" w:fill="auto"/>
                  <w:vAlign w:val="center"/>
                </w:tcPr>
                <w:p w14:paraId="6F822EA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45</w:t>
                  </w:r>
                </w:p>
              </w:tc>
            </w:tr>
            <w:tr w14:paraId="132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3CDA5F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8</w:t>
                  </w:r>
                </w:p>
              </w:tc>
              <w:tc>
                <w:tcPr>
                  <w:tcW w:w="1000" w:type="dxa"/>
                  <w:vAlign w:val="center"/>
                </w:tcPr>
                <w:p w14:paraId="339DCBA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TP</w:t>
                  </w:r>
                </w:p>
              </w:tc>
              <w:tc>
                <w:tcPr>
                  <w:tcW w:w="2070" w:type="dxa"/>
                  <w:vAlign w:val="center"/>
                </w:tcPr>
                <w:p w14:paraId="344EEFE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p>
              </w:tc>
              <w:tc>
                <w:tcPr>
                  <w:tcW w:w="2070" w:type="dxa"/>
                  <w:vAlign w:val="center"/>
                </w:tcPr>
                <w:p w14:paraId="1449E5A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8</w:t>
                  </w:r>
                </w:p>
              </w:tc>
              <w:tc>
                <w:tcPr>
                  <w:tcW w:w="2071" w:type="dxa"/>
                  <w:shd w:val="clear" w:color="auto" w:fill="auto"/>
                  <w:vAlign w:val="center"/>
                </w:tcPr>
                <w:p w14:paraId="5898A04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cs="Times New Roman"/>
                      <w:b w:val="0"/>
                      <w:bCs w:val="0"/>
                      <w:sz w:val="21"/>
                      <w:szCs w:val="21"/>
                      <w:vertAlign w:val="baseline"/>
                      <w:lang w:val="en-US" w:eastAsia="zh-CN"/>
                    </w:rPr>
                    <w:t>8</w:t>
                  </w:r>
                </w:p>
              </w:tc>
            </w:tr>
          </w:tbl>
          <w:p w14:paraId="0339A300">
            <w:pPr>
              <w:pStyle w:val="15"/>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噪声</w:t>
            </w:r>
          </w:p>
          <w:p w14:paraId="1C76F26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施工期施工噪声《建筑施工噪声排放标准》（GB12523-20</w:t>
            </w:r>
            <w:r>
              <w:rPr>
                <w:rFonts w:hint="eastAsia" w:cs="Times New Roman"/>
                <w:kern w:val="2"/>
                <w:sz w:val="24"/>
                <w:szCs w:val="24"/>
                <w:lang w:val="en-US" w:eastAsia="zh-CN" w:bidi="ar-SA"/>
              </w:rPr>
              <w:t>25</w:t>
            </w:r>
            <w:r>
              <w:rPr>
                <w:rFonts w:hint="eastAsia" w:ascii="Times New Roman" w:hAnsi="Times New Roman" w:eastAsia="宋体" w:cs="Times New Roman"/>
                <w:kern w:val="2"/>
                <w:sz w:val="24"/>
                <w:szCs w:val="24"/>
                <w:lang w:val="en-US" w:eastAsia="zh-CN" w:bidi="ar-SA"/>
              </w:rPr>
              <w:t>）噪声限值。</w:t>
            </w:r>
          </w:p>
          <w:p w14:paraId="02192544">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运营期</w:t>
            </w:r>
            <w:r>
              <w:rPr>
                <w:rFonts w:hint="eastAsia" w:cs="Times New Roman"/>
                <w:kern w:val="2"/>
                <w:sz w:val="24"/>
                <w:szCs w:val="24"/>
                <w:lang w:val="en-US" w:eastAsia="zh-CN" w:bidi="ar-SA"/>
              </w:rPr>
              <w:t>厂界</w:t>
            </w:r>
            <w:r>
              <w:rPr>
                <w:rFonts w:hint="eastAsia" w:ascii="Times New Roman" w:hAnsi="Times New Roman" w:eastAsia="宋体" w:cs="Times New Roman"/>
                <w:kern w:val="2"/>
                <w:sz w:val="24"/>
                <w:szCs w:val="24"/>
                <w:lang w:val="en-US" w:eastAsia="zh-CN" w:bidi="ar-SA"/>
              </w:rPr>
              <w:t>北</w:t>
            </w:r>
            <w:r>
              <w:rPr>
                <w:rFonts w:hint="eastAsia" w:cs="Times New Roman"/>
                <w:kern w:val="2"/>
                <w:sz w:val="24"/>
                <w:szCs w:val="24"/>
                <w:lang w:val="en-US" w:eastAsia="zh-CN" w:bidi="ar-SA"/>
              </w:rPr>
              <w:t>面</w:t>
            </w:r>
            <w:r>
              <w:rPr>
                <w:rFonts w:hint="eastAsia" w:ascii="Times New Roman" w:hAnsi="Times New Roman" w:eastAsia="宋体" w:cs="Times New Roman"/>
                <w:kern w:val="2"/>
                <w:sz w:val="24"/>
                <w:szCs w:val="24"/>
                <w:lang w:val="en-US" w:eastAsia="zh-CN" w:bidi="ar-SA"/>
              </w:rPr>
              <w:t>、南</w:t>
            </w:r>
            <w:r>
              <w:rPr>
                <w:rFonts w:hint="eastAsia" w:cs="Times New Roman"/>
                <w:kern w:val="2"/>
                <w:sz w:val="24"/>
                <w:szCs w:val="24"/>
                <w:lang w:val="en-US" w:eastAsia="zh-CN" w:bidi="ar-SA"/>
              </w:rPr>
              <w:t>面</w:t>
            </w:r>
            <w:r>
              <w:rPr>
                <w:rFonts w:hint="eastAsia" w:ascii="Times New Roman" w:hAnsi="Times New Roman" w:eastAsia="宋体" w:cs="Times New Roman"/>
                <w:kern w:val="2"/>
                <w:sz w:val="24"/>
                <w:szCs w:val="24"/>
                <w:lang w:val="en-US" w:eastAsia="zh-CN" w:bidi="ar-SA"/>
              </w:rPr>
              <w:t>噪声执行《工业企业厂界环境噪声排放标准》（GB12348-2008）3类标准，厂界西面、东</w:t>
            </w:r>
            <w:r>
              <w:rPr>
                <w:rFonts w:hint="eastAsia" w:cs="Times New Roman"/>
                <w:kern w:val="2"/>
                <w:sz w:val="24"/>
                <w:szCs w:val="24"/>
                <w:lang w:val="en-US" w:eastAsia="zh-CN" w:bidi="ar-SA"/>
              </w:rPr>
              <w:t>面紧邻二级公路，噪声</w:t>
            </w:r>
            <w:r>
              <w:rPr>
                <w:rFonts w:hint="eastAsia" w:ascii="Times New Roman" w:hAnsi="Times New Roman" w:eastAsia="宋体" w:cs="Times New Roman"/>
                <w:kern w:val="2"/>
                <w:sz w:val="24"/>
                <w:szCs w:val="24"/>
                <w:lang w:val="en-US" w:eastAsia="zh-CN" w:bidi="ar-SA"/>
              </w:rPr>
              <w:t>执行工业企业厂界环境噪声排放标准》（GB12348-2008）4类标准。</w:t>
            </w:r>
          </w:p>
          <w:p w14:paraId="425A1626">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表3-10 施工期噪声执行标准     单位：dB（A）</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3921"/>
            </w:tblGrid>
            <w:tr w14:paraId="0871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5" w:type="dxa"/>
                  <w:vAlign w:val="center"/>
                </w:tcPr>
                <w:p w14:paraId="14B79A1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昼间</w:t>
                  </w:r>
                </w:p>
              </w:tc>
              <w:tc>
                <w:tcPr>
                  <w:tcW w:w="3926" w:type="dxa"/>
                  <w:vAlign w:val="center"/>
                </w:tcPr>
                <w:p w14:paraId="104CB10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夜间</w:t>
                  </w:r>
                </w:p>
              </w:tc>
            </w:tr>
            <w:tr w14:paraId="36E4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vAlign w:val="center"/>
                </w:tcPr>
                <w:p w14:paraId="7342D6CF">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70</w:t>
                  </w:r>
                </w:p>
              </w:tc>
              <w:tc>
                <w:tcPr>
                  <w:tcW w:w="3926" w:type="dxa"/>
                  <w:vAlign w:val="center"/>
                </w:tcPr>
                <w:p w14:paraId="751BD9BC">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55</w:t>
                  </w:r>
                </w:p>
              </w:tc>
            </w:tr>
          </w:tbl>
          <w:p w14:paraId="66FC453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表3-11 运营期噪声执行标准      单位：dB（A）</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2614"/>
              <w:gridCol w:w="2614"/>
            </w:tblGrid>
            <w:tr w14:paraId="171A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vMerge w:val="restart"/>
                  <w:vAlign w:val="center"/>
                </w:tcPr>
                <w:p w14:paraId="0D3F7DF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厂界外声环境功能区类别</w:t>
                  </w:r>
                </w:p>
              </w:tc>
              <w:tc>
                <w:tcPr>
                  <w:tcW w:w="5228" w:type="dxa"/>
                  <w:gridSpan w:val="2"/>
                  <w:vAlign w:val="center"/>
                </w:tcPr>
                <w:p w14:paraId="0B45D85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时段</w:t>
                  </w:r>
                </w:p>
              </w:tc>
            </w:tr>
            <w:tr w14:paraId="0BE2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vMerge w:val="continue"/>
                  <w:vAlign w:val="center"/>
                </w:tcPr>
                <w:p w14:paraId="541351C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p>
              </w:tc>
              <w:tc>
                <w:tcPr>
                  <w:tcW w:w="2614" w:type="dxa"/>
                  <w:vAlign w:val="center"/>
                </w:tcPr>
                <w:p w14:paraId="62B1DB3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昼间</w:t>
                  </w:r>
                </w:p>
              </w:tc>
              <w:tc>
                <w:tcPr>
                  <w:tcW w:w="2614" w:type="dxa"/>
                  <w:vAlign w:val="center"/>
                </w:tcPr>
                <w:p w14:paraId="4812C1D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夜间</w:t>
                  </w:r>
                </w:p>
              </w:tc>
            </w:tr>
            <w:tr w14:paraId="35F5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vAlign w:val="center"/>
                </w:tcPr>
                <w:p w14:paraId="6B89217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3类</w:t>
                  </w:r>
                </w:p>
              </w:tc>
              <w:tc>
                <w:tcPr>
                  <w:tcW w:w="2614" w:type="dxa"/>
                  <w:vAlign w:val="center"/>
                </w:tcPr>
                <w:p w14:paraId="734E56C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65</w:t>
                  </w:r>
                </w:p>
              </w:tc>
              <w:tc>
                <w:tcPr>
                  <w:tcW w:w="2614" w:type="dxa"/>
                  <w:vAlign w:val="center"/>
                </w:tcPr>
                <w:p w14:paraId="471CCC6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55</w:t>
                  </w:r>
                </w:p>
              </w:tc>
            </w:tr>
            <w:tr w14:paraId="695A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3" w:type="dxa"/>
                  <w:vAlign w:val="center"/>
                </w:tcPr>
                <w:p w14:paraId="751A16A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4类</w:t>
                  </w:r>
                </w:p>
              </w:tc>
              <w:tc>
                <w:tcPr>
                  <w:tcW w:w="2614" w:type="dxa"/>
                  <w:vAlign w:val="center"/>
                </w:tcPr>
                <w:p w14:paraId="58982AF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70</w:t>
                  </w:r>
                </w:p>
              </w:tc>
              <w:tc>
                <w:tcPr>
                  <w:tcW w:w="2614" w:type="dxa"/>
                  <w:vAlign w:val="center"/>
                </w:tcPr>
                <w:p w14:paraId="63B7ABF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vertAlign w:val="baseline"/>
                      <w:lang w:val="en-US" w:eastAsia="zh-CN"/>
                    </w:rPr>
                  </w:pPr>
                  <w:r>
                    <w:rPr>
                      <w:rFonts w:hint="eastAsia"/>
                      <w:vertAlign w:val="baseline"/>
                      <w:lang w:val="en-US" w:eastAsia="zh-CN"/>
                    </w:rPr>
                    <w:t>55</w:t>
                  </w:r>
                </w:p>
              </w:tc>
            </w:tr>
          </w:tbl>
          <w:p w14:paraId="1A24F8D6">
            <w:pPr>
              <w:pStyle w:val="15"/>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固体废物</w:t>
            </w:r>
          </w:p>
          <w:p w14:paraId="0AF6F1E0">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eastAsia"/>
                <w:sz w:val="24"/>
                <w:szCs w:val="24"/>
                <w:lang w:val="en-US" w:eastAsia="zh-CN"/>
              </w:rPr>
              <w:t>一般工业固体废物执行《一般工业固体废物贮存和填埋污染控制标准》（GB18599-2020）相关规定；危险废物贮存执行《危险废物贮存污染控制标准》（GB18597-2023）相关规定。</w:t>
            </w:r>
          </w:p>
        </w:tc>
      </w:tr>
      <w:tr w14:paraId="4775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E5A0FCB">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sz w:val="24"/>
                <w:szCs w:val="24"/>
                <w:vertAlign w:val="baseline"/>
                <w:lang w:val="en-US" w:eastAsia="zh-CN"/>
              </w:rPr>
            </w:pPr>
            <w:r>
              <w:rPr>
                <w:rFonts w:hint="eastAsia"/>
                <w:sz w:val="24"/>
                <w:szCs w:val="24"/>
                <w:vertAlign w:val="baseline"/>
                <w:lang w:val="en-US" w:eastAsia="zh-CN"/>
              </w:rPr>
              <w:t>总量控制标准</w:t>
            </w:r>
          </w:p>
        </w:tc>
        <w:tc>
          <w:tcPr>
            <w:tcW w:w="7907" w:type="dxa"/>
          </w:tcPr>
          <w:p w14:paraId="7DC84B6B">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根据我国“十四五”期间对二氧化硫、氮氧化物、化学需氧量、氨氮试行总量控制；在河湖、近岸海域等重点区域以及重点行业，对总氮、总磷试行污染物总量控制。在大气方面，针对重点区域和行业，把工业烟粉尘、VOCs纳入总量控制中。根据本项目污染源和污染物产排特点，提出本项目污染物总量控制建议指标，作为地方环境管理的依据。</w:t>
            </w:r>
          </w:p>
          <w:p w14:paraId="1D27A07E">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根据“主要环境影响和保护措施”章节，本项目运营期产生的废气污染物为颗粒物，项目颗粒物的排放总</w:t>
            </w:r>
            <w:r>
              <w:rPr>
                <w:rFonts w:hint="eastAsia"/>
                <w:sz w:val="24"/>
                <w:szCs w:val="24"/>
                <w:highlight w:val="none"/>
                <w:vertAlign w:val="baseline"/>
                <w:lang w:val="en-US" w:eastAsia="zh-CN"/>
              </w:rPr>
              <w:t>量为2.785t/a。因此本环评建议申请废气总量控制指标为：颗粒物排放总量为2.785t/a</w:t>
            </w:r>
            <w:r>
              <w:rPr>
                <w:rFonts w:hint="eastAsia"/>
                <w:sz w:val="24"/>
                <w:szCs w:val="24"/>
                <w:vertAlign w:val="baseline"/>
                <w:lang w:val="en-US" w:eastAsia="zh-CN"/>
              </w:rPr>
              <w:t>。</w:t>
            </w:r>
          </w:p>
          <w:p w14:paraId="4CB69C70">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项目运营期生产废水回用，不外排，生活污水经化粪池处理后经市政污水管网排入大榄坪污水处理厂进一步处理，因此本项目不设置废水总量控制标准。</w:t>
            </w:r>
          </w:p>
        </w:tc>
      </w:tr>
    </w:tbl>
    <w:p w14:paraId="3F5F6294">
      <w:pPr>
        <w:pStyle w:val="14"/>
        <w:numPr>
          <w:ilvl w:val="0"/>
          <w:numId w:val="0"/>
        </w:numPr>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053924A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四、主要环境影响和保护措施</w:t>
      </w:r>
      <w:bookmarkEnd w:id="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8029"/>
      </w:tblGrid>
      <w:tr w14:paraId="4A85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Align w:val="center"/>
          </w:tcPr>
          <w:p w14:paraId="79226A7F">
            <w:pPr>
              <w:pStyle w:val="14"/>
              <w:numPr>
                <w:ilvl w:val="0"/>
                <w:numId w:val="0"/>
              </w:numPr>
              <w:jc w:val="center"/>
              <w:rPr>
                <w:rFonts w:hint="default"/>
                <w:vertAlign w:val="baseline"/>
                <w:lang w:val="en-US" w:eastAsia="zh-CN"/>
              </w:rPr>
            </w:pPr>
            <w:r>
              <w:rPr>
                <w:rFonts w:hint="eastAsia"/>
                <w:sz w:val="24"/>
                <w:szCs w:val="24"/>
                <w:vertAlign w:val="baseline"/>
                <w:lang w:val="en-US" w:eastAsia="zh-CN"/>
              </w:rPr>
              <w:t>施工期环境保护措施</w:t>
            </w:r>
          </w:p>
        </w:tc>
        <w:tc>
          <w:tcPr>
            <w:tcW w:w="8029" w:type="dxa"/>
          </w:tcPr>
          <w:p w14:paraId="30734B6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eastAsia"/>
                <w:sz w:val="24"/>
                <w:szCs w:val="24"/>
                <w:vertAlign w:val="baseline"/>
                <w:lang w:val="en-US" w:eastAsia="zh-CN"/>
              </w:rPr>
              <w:t>本项目施工期为18个月。建设单位与钦州北部湾港务投资有限公司签订合作协议，由钦州北部湾港务投资有限公司负责建设卸矿站、混料库、混矿调度中心、地磅房等土建工程及配套公辅设施，且土建单位已取得相关部门的意见；建设单位负责采购安装混矿生产线及相关环保、安全设备。</w:t>
            </w:r>
          </w:p>
          <w:p w14:paraId="005A722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sz w:val="24"/>
                <w:szCs w:val="24"/>
                <w:vertAlign w:val="baseline"/>
                <w:lang w:val="en-US" w:eastAsia="zh-CN"/>
              </w:rPr>
              <w:t>施工内容主要为在生产车间进行设备安装调试，不涉及设备拆除及土建施工，不涉及施工扬尘，但在施工过程中会产生施工废水、施工噪声和一定量的施工固体废物。</w:t>
            </w:r>
          </w:p>
          <w:p w14:paraId="4E1E987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vertAlign w:val="baseline"/>
                <w:lang w:val="en-US" w:eastAsia="zh-CN"/>
              </w:rPr>
            </w:pPr>
            <w:r>
              <w:rPr>
                <w:rFonts w:hint="eastAsia" w:ascii="Times New Roman" w:hAnsi="Times New Roman" w:eastAsia="宋体" w:cs="Times New Roman"/>
                <w:kern w:val="2"/>
                <w:sz w:val="24"/>
                <w:szCs w:val="24"/>
                <w:vertAlign w:val="baseline"/>
                <w:lang w:val="en-US" w:eastAsia="zh-CN" w:bidi="ar-SA"/>
              </w:rPr>
              <w:t>1、</w:t>
            </w:r>
            <w:r>
              <w:rPr>
                <w:rFonts w:hint="eastAsia"/>
                <w:sz w:val="24"/>
                <w:szCs w:val="24"/>
                <w:vertAlign w:val="baseline"/>
                <w:lang w:val="en-US" w:eastAsia="zh-CN"/>
              </w:rPr>
              <w:t>施工废水防治措施</w:t>
            </w:r>
          </w:p>
          <w:p w14:paraId="4B95673E">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本项目施工期产生的废水主要为施工人员生活污水，排入三级化粪池处理后经市政污水管网排入大榄坪污水处理厂进一步处理。</w:t>
            </w:r>
          </w:p>
          <w:p w14:paraId="7A84980B">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2、</w:t>
            </w:r>
            <w:r>
              <w:rPr>
                <w:rFonts w:hint="eastAsia"/>
                <w:sz w:val="24"/>
                <w:szCs w:val="24"/>
                <w:vertAlign w:val="baseline"/>
                <w:lang w:val="en-US" w:eastAsia="zh-CN"/>
              </w:rPr>
              <w:t>施工噪声防治措施</w:t>
            </w:r>
          </w:p>
          <w:p w14:paraId="2CB50CD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施工噪声主要为车间外设备运输机械和车间内设备吊装机械产生的噪声。为最大限度避免和减轻施工及运输噪声对周围声环境的不利影响，本评价建议建设单位在进行工程施工时采取以下噪声控制对策和措施： </w:t>
            </w:r>
          </w:p>
          <w:p w14:paraId="29F0C16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（1）建设单位应要求施工单位使用低噪声机械设备，并在施工中有专人对其进行保养维护，施工单位应对现场使用设备的人员进行培训，严格按操作规范使用各类机械； </w:t>
            </w:r>
          </w:p>
          <w:p w14:paraId="4BF26CA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（2）建设单位应加强对施工车间的噪声管理，施工单位也应文明施工，减少施工噪声影响，避免因施工噪声</w:t>
            </w:r>
            <w:r>
              <w:rPr>
                <w:rFonts w:hint="eastAsia" w:cs="Times New Roman"/>
                <w:sz w:val="24"/>
                <w:szCs w:val="24"/>
                <w:lang w:val="en-US" w:eastAsia="zh-CN"/>
              </w:rPr>
              <w:t>产生</w:t>
            </w:r>
            <w:r>
              <w:rPr>
                <w:rFonts w:hint="eastAsia" w:ascii="Times New Roman" w:hAnsi="Times New Roman" w:eastAsia="宋体" w:cs="Times New Roman"/>
                <w:sz w:val="24"/>
                <w:szCs w:val="24"/>
                <w:lang w:val="en-US" w:eastAsia="zh-CN"/>
              </w:rPr>
              <w:t xml:space="preserve">纠纷。 </w:t>
            </w:r>
          </w:p>
          <w:p w14:paraId="51B35E8B">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ascii="Times New Roman" w:hAnsi="Times New Roman" w:eastAsia="宋体" w:cs="Times New Roman"/>
                <w:sz w:val="24"/>
                <w:szCs w:val="24"/>
                <w:lang w:val="en-US" w:eastAsia="zh-CN"/>
              </w:rPr>
              <w:t>（3）合理安排施工时间和施工顺序，利用距离衰减措施，在不影响施工情况下将强噪声设备尽量分散布置使用。</w:t>
            </w:r>
          </w:p>
          <w:p w14:paraId="4DDC00D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sz w:val="24"/>
                <w:szCs w:val="24"/>
                <w:vertAlign w:val="baseline"/>
                <w:lang w:val="en-US" w:eastAsia="zh-CN"/>
              </w:rPr>
            </w:pPr>
            <w:r>
              <w:rPr>
                <w:rFonts w:hint="default" w:ascii="Times New Roman" w:hAnsi="Times New Roman" w:eastAsia="宋体" w:cs="Times New Roman"/>
                <w:kern w:val="2"/>
                <w:sz w:val="24"/>
                <w:szCs w:val="24"/>
                <w:vertAlign w:val="baseline"/>
                <w:lang w:val="en-US" w:eastAsia="zh-CN" w:bidi="ar-SA"/>
              </w:rPr>
              <w:t>3、</w:t>
            </w:r>
            <w:r>
              <w:rPr>
                <w:rFonts w:hint="eastAsia"/>
                <w:sz w:val="24"/>
                <w:szCs w:val="24"/>
                <w:vertAlign w:val="baseline"/>
                <w:lang w:val="en-US" w:eastAsia="zh-CN"/>
              </w:rPr>
              <w:t>施工固体废物防治措施</w:t>
            </w:r>
          </w:p>
          <w:p w14:paraId="321996B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vertAlign w:val="baseline"/>
                <w:lang w:val="en-US" w:eastAsia="zh-CN"/>
              </w:rPr>
            </w:pPr>
            <w:r>
              <w:rPr>
                <w:rFonts w:hint="eastAsia" w:ascii="Times New Roman" w:hAnsi="Times New Roman" w:eastAsia="宋体" w:cs="Times New Roman"/>
                <w:sz w:val="24"/>
                <w:szCs w:val="24"/>
                <w:lang w:val="en-US" w:eastAsia="zh-CN"/>
              </w:rPr>
              <w:t>本项目施工期产生的固体废物主要为废包装材料和施工人员产生的生活垃圾，废包装材料经收集后外售给废品回收单位，生活垃圾由环卫部门统一收集处理。</w:t>
            </w:r>
            <w:r>
              <w:rPr>
                <w:rFonts w:hint="eastAsia"/>
                <w:sz w:val="24"/>
                <w:szCs w:val="24"/>
                <w:vertAlign w:val="baseline"/>
                <w:lang w:val="en-US" w:eastAsia="zh-CN"/>
              </w:rPr>
              <w:t xml:space="preserve">                                                                                                                                                                                                                                                                                                                                                                                                                                                                                                                                                                                                                                                                                                                                                                                                                                                                                                                                                                                                                                                                                                                                                                                                                                                                                                                                                                                                                                                                                                                                                                                                                                                                                                                                                                                                                                                                                                                                                                                                                                                                                                                                                                                                                                                                                                                                                                                                                                                                                                                                                                                                                                                                                                                                                                                                                                                                                                                                                                                                                                                                                                                                                                                                                                                                                                                                                                                                                                                                                                                                                                                                                                                                                                                                                                                                                                                                                                                                                                                                                                                                                                                                                                                                                </w:t>
            </w:r>
            <w:r>
              <w:rPr>
                <w:rFonts w:hint="eastAsia"/>
                <w:sz w:val="24"/>
                <w:szCs w:val="24"/>
                <w:vertAlign w:val="baseline"/>
                <w:lang w:val="en-US" w:eastAsia="zh-CN"/>
              </w:rPr>
              <w:t xml:space="preserve">                                                                                                                                                                                                                                                                                                                                                                                                                                                                                                                                                                                                                                                                                                                                                                                                                                                                                                                                                                                                                                                                                       </w:t>
            </w:r>
          </w:p>
        </w:tc>
      </w:tr>
      <w:tr w14:paraId="4EB7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2" w:hRule="atLeast"/>
        </w:trPr>
        <w:tc>
          <w:tcPr>
            <w:tcW w:w="493" w:type="dxa"/>
            <w:vAlign w:val="center"/>
          </w:tcPr>
          <w:p w14:paraId="29F4822A">
            <w:pPr>
              <w:pStyle w:val="14"/>
              <w:numPr>
                <w:ilvl w:val="0"/>
                <w:numId w:val="0"/>
              </w:numPr>
              <w:jc w:val="center"/>
              <w:rPr>
                <w:rFonts w:hint="default"/>
                <w:vertAlign w:val="baseline"/>
                <w:lang w:val="en-US" w:eastAsia="zh-CN"/>
              </w:rPr>
            </w:pPr>
            <w:r>
              <w:rPr>
                <w:rFonts w:hint="eastAsia"/>
                <w:sz w:val="24"/>
                <w:szCs w:val="24"/>
                <w:vertAlign w:val="baseline"/>
                <w:lang w:val="en-US" w:eastAsia="zh-CN"/>
              </w:rPr>
              <w:t>运营期环境保护措施</w:t>
            </w:r>
          </w:p>
        </w:tc>
        <w:tc>
          <w:tcPr>
            <w:tcW w:w="8029" w:type="dxa"/>
          </w:tcPr>
          <w:p w14:paraId="4BE311F1">
            <w:pPr>
              <w:pStyle w:val="14"/>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firstLine="0" w:firstLineChars="0"/>
              <w:textAlignment w:val="auto"/>
              <w:rPr>
                <w:rFonts w:hint="eastAsia"/>
                <w:b/>
                <w:bCs/>
                <w:sz w:val="24"/>
                <w:szCs w:val="24"/>
                <w:vertAlign w:val="baseline"/>
                <w:lang w:val="en-US" w:eastAsia="zh-CN"/>
              </w:rPr>
            </w:pPr>
            <w:r>
              <w:rPr>
                <w:rFonts w:hint="eastAsia"/>
                <w:b/>
                <w:bCs/>
                <w:sz w:val="24"/>
                <w:szCs w:val="24"/>
                <w:vertAlign w:val="baseline"/>
                <w:lang w:val="en-US" w:eastAsia="zh-CN"/>
              </w:rPr>
              <w:t>废气</w:t>
            </w:r>
          </w:p>
          <w:p w14:paraId="4769D7D9">
            <w:pPr>
              <w:pStyle w:val="15"/>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废气源强核算</w:t>
            </w:r>
          </w:p>
          <w:p w14:paraId="56C884C3">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default" w:cs="Times New Roman"/>
                <w:kern w:val="2"/>
                <w:sz w:val="24"/>
                <w:szCs w:val="24"/>
                <w:lang w:val="en-US" w:eastAsia="zh-CN" w:bidi="ar-SA"/>
              </w:rPr>
            </w:pPr>
            <w:r>
              <w:rPr>
                <w:rFonts w:hint="eastAsia" w:cs="Times New Roman"/>
                <w:kern w:val="2"/>
                <w:sz w:val="24"/>
                <w:szCs w:val="24"/>
                <w:lang w:val="en-US" w:eastAsia="zh-CN" w:bidi="ar-SA"/>
              </w:rPr>
              <w:t>本项目运营期废气主要包括厂区道路运输扬尘、堆场扬尘、混矿生产线粉尘等。</w:t>
            </w:r>
          </w:p>
          <w:p w14:paraId="45CA1C0A">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sz w:val="24"/>
                <w:szCs w:val="24"/>
                <w:lang w:val="en-US" w:eastAsia="zh-CN"/>
              </w:rPr>
              <w:t>混矿生产线废气</w:t>
            </w:r>
          </w:p>
          <w:p w14:paraId="5986A8FE">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项目原料混矿过程密闭，混矿工序上料及落料过程中会产生一定量的粉尘，参照《逸散性粉尘控制技术》，其中上料过程中产生的粉尘量为0.0029kg/t-原料，落料过程中产生的粉尘量为0.01kg/t-原料，本项目共设置1条混矿生产线，采取输送带输送。根据业主提供的资料，本项目原料年用量为120万吨。经计算，本项目上料和落料过程中产生的混矿生产线粉尘总量为15.48t/a。</w:t>
            </w:r>
          </w:p>
          <w:p w14:paraId="5FB099FD">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本项目拟在混矿工序投料口、落料口处设置密闭吸尘罩（集气效率为90%）对粉尘进行负压收集，收集后进入布袋除尘器进行处理，除尘效率为99%，风机风量拟设计为10000m</w:t>
            </w:r>
            <w:r>
              <w:rPr>
                <w:rFonts w:hint="eastAsia"/>
                <w:sz w:val="24"/>
                <w:szCs w:val="24"/>
                <w:vertAlign w:val="superscript"/>
                <w:lang w:val="en-US" w:eastAsia="zh-CN"/>
              </w:rPr>
              <w:t>3</w:t>
            </w:r>
            <w:r>
              <w:rPr>
                <w:rFonts w:hint="eastAsia"/>
                <w:sz w:val="24"/>
                <w:szCs w:val="24"/>
                <w:lang w:val="en-US" w:eastAsia="zh-CN"/>
              </w:rPr>
              <w:t>/h。根据《铜冶炼污染防治可行技术指南（试行）》（生态环境部</w:t>
            </w:r>
            <w:bookmarkStart w:id="17" w:name="_GoBack"/>
            <w:bookmarkEnd w:id="17"/>
            <w:r>
              <w:rPr>
                <w:rFonts w:hint="eastAsia"/>
                <w:sz w:val="24"/>
                <w:szCs w:val="24"/>
                <w:lang w:val="en-US" w:eastAsia="zh-CN"/>
              </w:rPr>
              <w:t>公告2015年第24号），布袋除尘器效率大于99.5%，最高可达99.99%，本项目布袋除尘器除尘效率取99.5%。混矿生产线粉尘经密闭吸尘罩+布袋除尘器处理后通过1根20m高排气筒（DA001）排放，然后经车间内干雾抑尘装置降尘后基本沉降在全封闭生产车间内，降尘率99%，则混矿生产线粉尘无组织排放量为0.015t/a。</w:t>
            </w:r>
          </w:p>
          <w:p w14:paraId="236B9BE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表4-1 项目混矿生产线粉尘产排情况一览表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687"/>
              <w:gridCol w:w="1013"/>
              <w:gridCol w:w="865"/>
              <w:gridCol w:w="1510"/>
              <w:gridCol w:w="1087"/>
              <w:gridCol w:w="1100"/>
              <w:gridCol w:w="847"/>
            </w:tblGrid>
            <w:tr w14:paraId="4130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94" w:type="dxa"/>
                  <w:vMerge w:val="restart"/>
                  <w:vAlign w:val="center"/>
                </w:tcPr>
                <w:p w14:paraId="282790A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污染源</w:t>
                  </w:r>
                </w:p>
              </w:tc>
              <w:tc>
                <w:tcPr>
                  <w:tcW w:w="687" w:type="dxa"/>
                  <w:vMerge w:val="restart"/>
                  <w:vAlign w:val="center"/>
                </w:tcPr>
                <w:p w14:paraId="4529A24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污染因子</w:t>
                  </w:r>
                </w:p>
              </w:tc>
              <w:tc>
                <w:tcPr>
                  <w:tcW w:w="1878" w:type="dxa"/>
                  <w:gridSpan w:val="2"/>
                  <w:vAlign w:val="center"/>
                </w:tcPr>
                <w:p w14:paraId="0EFB41D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产生情况</w:t>
                  </w:r>
                </w:p>
              </w:tc>
              <w:tc>
                <w:tcPr>
                  <w:tcW w:w="1510" w:type="dxa"/>
                  <w:vMerge w:val="restart"/>
                  <w:vAlign w:val="center"/>
                </w:tcPr>
                <w:p w14:paraId="6413798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污染物防治措施</w:t>
                  </w:r>
                </w:p>
              </w:tc>
              <w:tc>
                <w:tcPr>
                  <w:tcW w:w="3034" w:type="dxa"/>
                  <w:gridSpan w:val="3"/>
                  <w:vAlign w:val="center"/>
                </w:tcPr>
                <w:p w14:paraId="32D8F7F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排放情况</w:t>
                  </w:r>
                </w:p>
              </w:tc>
            </w:tr>
            <w:tr w14:paraId="482B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94" w:type="dxa"/>
                  <w:vMerge w:val="continue"/>
                  <w:vAlign w:val="center"/>
                </w:tcPr>
                <w:p w14:paraId="075D975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687" w:type="dxa"/>
                  <w:vMerge w:val="continue"/>
                  <w:vAlign w:val="center"/>
                </w:tcPr>
                <w:p w14:paraId="60884F3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013" w:type="dxa"/>
                  <w:vAlign w:val="center"/>
                </w:tcPr>
                <w:p w14:paraId="38661C9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eastAsia="宋体"/>
                      <w:lang w:val="en-US" w:eastAsia="zh-CN"/>
                    </w:rPr>
                  </w:pPr>
                  <w:r>
                    <w:rPr>
                      <w:rFonts w:hint="eastAsia"/>
                      <w:lang w:val="en-US" w:eastAsia="zh-CN"/>
                    </w:rPr>
                    <w:t>产生速率（kg/h）</w:t>
                  </w:r>
                </w:p>
              </w:tc>
              <w:tc>
                <w:tcPr>
                  <w:tcW w:w="865" w:type="dxa"/>
                  <w:vAlign w:val="center"/>
                </w:tcPr>
                <w:p w14:paraId="4F6E7D6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eastAsia="宋体"/>
                      <w:lang w:val="en-US" w:eastAsia="zh-CN"/>
                    </w:rPr>
                  </w:pPr>
                  <w:r>
                    <w:rPr>
                      <w:rFonts w:hint="eastAsia"/>
                      <w:lang w:val="en-US" w:eastAsia="zh-CN"/>
                    </w:rPr>
                    <w:t>产生量（t/a）</w:t>
                  </w:r>
                </w:p>
              </w:tc>
              <w:tc>
                <w:tcPr>
                  <w:tcW w:w="1510" w:type="dxa"/>
                  <w:vMerge w:val="continue"/>
                  <w:vAlign w:val="center"/>
                </w:tcPr>
                <w:p w14:paraId="6ABFD37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087" w:type="dxa"/>
                  <w:vAlign w:val="center"/>
                </w:tcPr>
                <w:p w14:paraId="70B9173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排放速率（kg/h）</w:t>
                  </w:r>
                </w:p>
              </w:tc>
              <w:tc>
                <w:tcPr>
                  <w:tcW w:w="1100" w:type="dxa"/>
                  <w:vAlign w:val="center"/>
                </w:tcPr>
                <w:p w14:paraId="45DD2A5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排放浓度（mg/m</w:t>
                  </w:r>
                  <w:r>
                    <w:rPr>
                      <w:rFonts w:hint="eastAsia"/>
                      <w:sz w:val="21"/>
                      <w:szCs w:val="21"/>
                      <w:vertAlign w:val="superscript"/>
                      <w:lang w:val="en-US" w:eastAsia="zh-CN"/>
                    </w:rPr>
                    <w:t>3</w:t>
                  </w:r>
                  <w:r>
                    <w:rPr>
                      <w:rFonts w:hint="eastAsia"/>
                      <w:sz w:val="21"/>
                      <w:szCs w:val="21"/>
                      <w:vertAlign w:val="baseline"/>
                      <w:lang w:val="en-US" w:eastAsia="zh-CN"/>
                    </w:rPr>
                    <w:t>）</w:t>
                  </w:r>
                </w:p>
              </w:tc>
              <w:tc>
                <w:tcPr>
                  <w:tcW w:w="847" w:type="dxa"/>
                  <w:vAlign w:val="center"/>
                </w:tcPr>
                <w:p w14:paraId="00ED41C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排放量（t/a）</w:t>
                  </w:r>
                </w:p>
              </w:tc>
            </w:tr>
            <w:tr w14:paraId="25F8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3" w:type="dxa"/>
                  <w:gridSpan w:val="8"/>
                  <w:vAlign w:val="center"/>
                </w:tcPr>
                <w:p w14:paraId="680AE69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有组织</w:t>
                  </w:r>
                </w:p>
              </w:tc>
            </w:tr>
            <w:tr w14:paraId="00D2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E97C16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配料混矿</w:t>
                  </w:r>
                </w:p>
              </w:tc>
              <w:tc>
                <w:tcPr>
                  <w:tcW w:w="687" w:type="dxa"/>
                  <w:vAlign w:val="center"/>
                </w:tcPr>
                <w:p w14:paraId="5E6F20B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013" w:type="dxa"/>
                  <w:vAlign w:val="center"/>
                </w:tcPr>
                <w:p w14:paraId="3513B60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1.95</w:t>
                  </w:r>
                </w:p>
              </w:tc>
              <w:tc>
                <w:tcPr>
                  <w:tcW w:w="865" w:type="dxa"/>
                  <w:vAlign w:val="center"/>
                </w:tcPr>
                <w:p w14:paraId="3CF1900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15.48</w:t>
                  </w:r>
                </w:p>
              </w:tc>
              <w:tc>
                <w:tcPr>
                  <w:tcW w:w="1510" w:type="dxa"/>
                  <w:vAlign w:val="center"/>
                </w:tcPr>
                <w:p w14:paraId="305FC54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密闭吸尘罩+布袋除尘器，集气效率为90%，除尘效率为99.5%</w:t>
                  </w:r>
                </w:p>
              </w:tc>
              <w:tc>
                <w:tcPr>
                  <w:tcW w:w="1087" w:type="dxa"/>
                  <w:vAlign w:val="center"/>
                </w:tcPr>
                <w:p w14:paraId="090740E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0.018</w:t>
                  </w:r>
                </w:p>
              </w:tc>
              <w:tc>
                <w:tcPr>
                  <w:tcW w:w="1100" w:type="dxa"/>
                  <w:vAlign w:val="center"/>
                </w:tcPr>
                <w:p w14:paraId="4E42F4A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1.76</w:t>
                  </w:r>
                </w:p>
              </w:tc>
              <w:tc>
                <w:tcPr>
                  <w:tcW w:w="847" w:type="dxa"/>
                  <w:vAlign w:val="center"/>
                </w:tcPr>
                <w:p w14:paraId="418489D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0.14</w:t>
                  </w:r>
                </w:p>
              </w:tc>
            </w:tr>
            <w:tr w14:paraId="47A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3" w:type="dxa"/>
                  <w:gridSpan w:val="8"/>
                  <w:vAlign w:val="center"/>
                </w:tcPr>
                <w:p w14:paraId="5EDFE75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无组织</w:t>
                  </w:r>
                </w:p>
              </w:tc>
            </w:tr>
            <w:tr w14:paraId="54F3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6920686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配料混矿</w:t>
                  </w:r>
                </w:p>
              </w:tc>
              <w:tc>
                <w:tcPr>
                  <w:tcW w:w="687" w:type="dxa"/>
                  <w:vAlign w:val="center"/>
                </w:tcPr>
                <w:p w14:paraId="38A4E79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013" w:type="dxa"/>
                  <w:vAlign w:val="center"/>
                </w:tcPr>
                <w:p w14:paraId="20D387D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0.196</w:t>
                  </w:r>
                </w:p>
              </w:tc>
              <w:tc>
                <w:tcPr>
                  <w:tcW w:w="865" w:type="dxa"/>
                  <w:vAlign w:val="center"/>
                </w:tcPr>
                <w:p w14:paraId="6A383DE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1.55</w:t>
                  </w:r>
                </w:p>
              </w:tc>
              <w:tc>
                <w:tcPr>
                  <w:tcW w:w="1510" w:type="dxa"/>
                  <w:vAlign w:val="center"/>
                </w:tcPr>
                <w:p w14:paraId="31DF525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干雾抑尘+密闭车间沉降，降尘率为99%</w:t>
                  </w:r>
                </w:p>
              </w:tc>
              <w:tc>
                <w:tcPr>
                  <w:tcW w:w="1087" w:type="dxa"/>
                  <w:vAlign w:val="center"/>
                </w:tcPr>
                <w:p w14:paraId="76A5B64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0.002</w:t>
                  </w:r>
                </w:p>
              </w:tc>
              <w:tc>
                <w:tcPr>
                  <w:tcW w:w="1100" w:type="dxa"/>
                  <w:vAlign w:val="center"/>
                </w:tcPr>
                <w:p w14:paraId="3632AD7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w:t>
                  </w:r>
                </w:p>
              </w:tc>
              <w:tc>
                <w:tcPr>
                  <w:tcW w:w="847" w:type="dxa"/>
                  <w:vAlign w:val="center"/>
                </w:tcPr>
                <w:p w14:paraId="32DDB5E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0.015</w:t>
                  </w:r>
                </w:p>
              </w:tc>
            </w:tr>
          </w:tbl>
          <w:p w14:paraId="16274EC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厂区道路运输扬尘</w:t>
            </w:r>
          </w:p>
          <w:p w14:paraId="680DD6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原料的运入及铜精矿的外运会产生道路烟尘。根据国内道路扬尘实测资料结果类比分析，工业扬尘浓度随距离增加而衰减，随着车流量增加而增大，主要影响范围在公路两侧</w:t>
            </w:r>
            <w:r>
              <w:rPr>
                <w:rFonts w:hint="default" w:ascii="Times New Roman" w:hAnsi="Times New Roman" w:eastAsia="宋体" w:cs="Times New Roman"/>
                <w:kern w:val="2"/>
                <w:sz w:val="24"/>
                <w:szCs w:val="24"/>
                <w:lang w:val="en-US" w:eastAsia="zh-CN" w:bidi="ar-SA"/>
              </w:rPr>
              <w:t>100m</w:t>
            </w:r>
            <w:r>
              <w:rPr>
                <w:rFonts w:hint="eastAsia" w:ascii="Times New Roman" w:hAnsi="Times New Roman" w:eastAsia="宋体" w:cs="Times New Roman"/>
                <w:kern w:val="2"/>
                <w:sz w:val="24"/>
                <w:szCs w:val="24"/>
                <w:lang w:val="en-US" w:eastAsia="zh-CN" w:bidi="ar-SA"/>
              </w:rPr>
              <w:t>范围内。项目厂区采取限速、冲洗车辆、路面洒水、定期冲洗露天地面及保护路面整洁、对运输车辆加盖帆布等措施降低运输车辆行驶扬尘，这样可将道路扬尘基本控制在厂区范围以内，使粉尘外排浓度满足《大气污染物综合排放标准》（</w:t>
            </w:r>
            <w:r>
              <w:rPr>
                <w:rFonts w:hint="default" w:ascii="Times New Roman" w:hAnsi="Times New Roman" w:eastAsia="宋体" w:cs="Times New Roman"/>
                <w:kern w:val="2"/>
                <w:sz w:val="24"/>
                <w:szCs w:val="24"/>
                <w:lang w:val="en-US" w:eastAsia="zh-CN" w:bidi="ar-SA"/>
              </w:rPr>
              <w:t>GB16297-1996</w:t>
            </w:r>
            <w:r>
              <w:rPr>
                <w:rFonts w:hint="eastAsia" w:ascii="Times New Roman" w:hAnsi="Times New Roman" w:eastAsia="宋体" w:cs="Times New Roman"/>
                <w:kern w:val="2"/>
                <w:sz w:val="24"/>
                <w:szCs w:val="24"/>
                <w:lang w:val="en-US" w:eastAsia="zh-CN" w:bidi="ar-SA"/>
              </w:rPr>
              <w:t>）表</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 xml:space="preserve">中的无组织排放监控浓度限值。 </w:t>
            </w:r>
          </w:p>
          <w:p w14:paraId="72BA1D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由于本项目运输路线距离较短且路面硬化，同时项目原料通过集装箱卡车或封闭式自卸车密闭运输，基本上不会洒落，因此，项目运输扬尘主要为道路起尘，</w:t>
            </w:r>
            <w:r>
              <w:rPr>
                <w:rFonts w:hint="eastAsia" w:cs="Times New Roman"/>
                <w:kern w:val="2"/>
                <w:sz w:val="24"/>
                <w:szCs w:val="24"/>
                <w:lang w:val="en-US" w:eastAsia="zh-CN" w:bidi="ar-SA"/>
              </w:rPr>
              <w:t>运输过程中原料洒落产生的粉尘很少，可忽略不计。本项目采取洒水降尘措施后，道路运输扬尘对周边环境影响很小，可忽略不计</w:t>
            </w:r>
            <w:r>
              <w:rPr>
                <w:rFonts w:hint="eastAsia" w:ascii="Times New Roman" w:hAnsi="Times New Roman" w:eastAsia="宋体" w:cs="Times New Roman"/>
                <w:kern w:val="2"/>
                <w:sz w:val="24"/>
                <w:szCs w:val="24"/>
                <w:lang w:val="en-US" w:eastAsia="zh-CN" w:bidi="ar-SA"/>
              </w:rPr>
              <w:t>。</w:t>
            </w:r>
          </w:p>
          <w:p w14:paraId="2844BBAE">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（3）堆场扬尘</w:t>
            </w:r>
          </w:p>
          <w:p w14:paraId="1E182E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0000FF"/>
                <w:kern w:val="2"/>
                <w:sz w:val="24"/>
                <w:szCs w:val="24"/>
                <w:lang w:val="en-US" w:eastAsia="zh-CN" w:bidi="ar-SA"/>
              </w:rPr>
            </w:pPr>
            <w:r>
              <w:rPr>
                <w:rFonts w:hint="eastAsia" w:cs="Times New Roman"/>
                <w:color w:val="auto"/>
                <w:kern w:val="2"/>
                <w:sz w:val="24"/>
                <w:szCs w:val="24"/>
                <w:lang w:val="en-US" w:eastAsia="zh-CN" w:bidi="ar-SA"/>
              </w:rPr>
              <w:t>项目堆场主要包括原料堆场和成品堆场。堆场起尘主要与装卸机械强度与风速等密切相关。原料仓与成品仓设置干雾抑尘装置，定期对堆场表面洒水降尘。根据《排放源统计调查产排污核算方法和系数手册（公告2021年第24号）》附表2《固体物料堆存颗粒物产排污核算系数手册》，本项目堆存扬尘包括装卸扬尘和风蚀扬尘，颗粒物产生量核算公式如下：</w:t>
            </w:r>
          </w:p>
          <w:p w14:paraId="66E25A48">
            <w:pPr>
              <w:pStyle w:val="14"/>
              <w:ind w:left="0" w:leftChars="0" w:firstLine="0" w:firstLineChars="0"/>
              <w:jc w:val="center"/>
              <w:rPr>
                <w:rFonts w:hint="default"/>
                <w:lang w:val="en-US" w:eastAsia="zh-CN"/>
              </w:rPr>
            </w:pPr>
            <w:r>
              <w:rPr>
                <w:rFonts w:hint="default"/>
                <w:position w:val="-14"/>
                <w:lang w:val="en-US" w:eastAsia="zh-CN"/>
              </w:rPr>
              <w:object>
                <v:shape id="_x0000_i1025" o:spt="75" type="#_x0000_t75" style="height:28.85pt;width:113.7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14:paraId="650D2108">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式中：P——颗粒物产生量，t/a；</w:t>
            </w:r>
          </w:p>
          <w:p w14:paraId="02ADC91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ZC</w:t>
            </w:r>
            <w:r>
              <w:rPr>
                <w:rFonts w:hint="eastAsia"/>
                <w:sz w:val="24"/>
                <w:szCs w:val="24"/>
                <w:vertAlign w:val="subscript"/>
                <w:lang w:val="en-US" w:eastAsia="zh-CN"/>
              </w:rPr>
              <w:t>y</w:t>
            </w:r>
            <w:r>
              <w:rPr>
                <w:rFonts w:hint="eastAsia"/>
                <w:sz w:val="24"/>
                <w:szCs w:val="24"/>
                <w:lang w:val="en-US" w:eastAsia="zh-CN"/>
              </w:rPr>
              <w:t>——装卸扬尘产生量，t/a；</w:t>
            </w:r>
          </w:p>
          <w:p w14:paraId="657B0EE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FC</w:t>
            </w:r>
            <w:r>
              <w:rPr>
                <w:rFonts w:hint="eastAsia"/>
                <w:sz w:val="24"/>
                <w:szCs w:val="24"/>
                <w:vertAlign w:val="subscript"/>
                <w:lang w:val="en-US" w:eastAsia="zh-CN"/>
              </w:rPr>
              <w:t>y</w:t>
            </w:r>
            <w:r>
              <w:rPr>
                <w:rFonts w:hint="eastAsia"/>
                <w:sz w:val="24"/>
                <w:szCs w:val="24"/>
                <w:lang w:val="en-US" w:eastAsia="zh-CN"/>
              </w:rPr>
              <w:t>——风湿扬尘产生量，t/a；</w:t>
            </w:r>
          </w:p>
          <w:p w14:paraId="5470836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本项目混矿仓库全封闭，可实现对自然风蚀的有效隔绝，因此仅对装卸扬尘产生量进行计算。装卸扬尘产生量计算公式如下：</w:t>
            </w:r>
          </w:p>
          <w:p w14:paraId="0F58E197">
            <w:pPr>
              <w:pStyle w:val="15"/>
              <w:ind w:left="0" w:leftChars="0" w:firstLine="0" w:firstLineChars="0"/>
              <w:jc w:val="center"/>
              <w:rPr>
                <w:rFonts w:hint="default"/>
                <w:lang w:val="en-US" w:eastAsia="zh-CN"/>
              </w:rPr>
            </w:pPr>
            <w:r>
              <w:rPr>
                <w:rFonts w:hint="default"/>
                <w:position w:val="-14"/>
                <w:lang w:val="en-US" w:eastAsia="zh-CN"/>
              </w:rPr>
              <w:object>
                <v:shape id="_x0000_i1026" o:spt="75" type="#_x0000_t75" style="height:30.55pt;width:207.7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p w14:paraId="51E9983A">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N</w:t>
            </w:r>
            <w:r>
              <w:rPr>
                <w:rFonts w:hint="eastAsia"/>
                <w:sz w:val="24"/>
                <w:szCs w:val="24"/>
                <w:vertAlign w:val="subscript"/>
                <w:lang w:val="en-US" w:eastAsia="zh-CN"/>
              </w:rPr>
              <w:t>c</w:t>
            </w:r>
            <w:r>
              <w:rPr>
                <w:rFonts w:hint="eastAsia"/>
                <w:sz w:val="24"/>
                <w:szCs w:val="24"/>
                <w:lang w:val="en-US" w:eastAsia="zh-CN"/>
              </w:rPr>
              <w:t>——年物料运载车次，车；</w:t>
            </w:r>
          </w:p>
          <w:p w14:paraId="758515C2">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D——单车平均运载量，t/车；</w:t>
            </w:r>
          </w:p>
          <w:p w14:paraId="7B1E9B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a/b）指装卸扬尘概化系数（单位：kg/t），a指各省风速概化系数，本项目位于广西，取值为0.0008；b指物料含水率概化系数，本项目堆存物料为铜精矿，根据业主提供的资料，堆存物料的含水率约为8%，经查看《固体物料堆存颗粒物产排污核算系数手册》附录 2，其中粒径与本项目物料较为相近的物料是</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混合矿石</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，因此本项目的物料含水率概化系数b参考</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混合矿石</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取值为0.0084。</w:t>
            </w:r>
          </w:p>
          <w:p w14:paraId="35BF37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根据上式计算可得出本项目堆场扬尘产生量为231.6t/a。</w:t>
            </w:r>
          </w:p>
          <w:p w14:paraId="7E9761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根据《固体物料堆存颗粒物产排污核算系数手册》，本项目砂石原料堆存扬尘的颗粒物排放量核算公式如下：</w:t>
            </w:r>
          </w:p>
          <w:p w14:paraId="3EBC3243">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sz w:val="24"/>
                <w:szCs w:val="24"/>
                <w:lang w:val="en-US" w:eastAsia="zh-CN"/>
              </w:rPr>
            </w:pPr>
            <w:r>
              <w:rPr>
                <w:rFonts w:hint="default"/>
                <w:position w:val="-12"/>
                <w:sz w:val="24"/>
                <w:szCs w:val="24"/>
                <w:lang w:val="en-US" w:eastAsia="zh-CN"/>
              </w:rPr>
              <w:object>
                <v:shape id="_x0000_i1027" o:spt="75" type="#_x0000_t75" style="height:28.55pt;width:198.2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p w14:paraId="4912A1F7">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式中：P——颗粒物产生量，t/a；</w:t>
            </w:r>
          </w:p>
          <w:p w14:paraId="49DEF0CE">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Uc——颗粒物排放量，t/a；</w:t>
            </w:r>
          </w:p>
          <w:p w14:paraId="12771F3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Cm——颗粒物控制措施控制效率，%；</w:t>
            </w:r>
          </w:p>
          <w:p w14:paraId="2F2CA5A0">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Tm——堆场类型控制效率，%。</w:t>
            </w:r>
          </w:p>
          <w:p w14:paraId="3648DD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eastAsia" w:ascii="宋体" w:hAnsi="宋体" w:eastAsia="宋体" w:cs="宋体"/>
                <w:color w:val="000000"/>
                <w:kern w:val="0"/>
                <w:sz w:val="24"/>
                <w:szCs w:val="24"/>
                <w:lang w:val="en-US" w:eastAsia="zh-CN" w:bidi="ar"/>
              </w:rPr>
              <w:t>本</w:t>
            </w:r>
            <w:r>
              <w:rPr>
                <w:rFonts w:hint="default" w:ascii="Times New Roman" w:hAnsi="Times New Roman" w:eastAsia="宋体" w:cs="Times New Roman"/>
                <w:color w:val="000000"/>
                <w:kern w:val="0"/>
                <w:sz w:val="24"/>
                <w:szCs w:val="24"/>
                <w:lang w:val="en-US" w:eastAsia="zh-CN" w:bidi="ar"/>
              </w:rPr>
              <w:t>项目</w:t>
            </w:r>
            <w:r>
              <w:rPr>
                <w:rFonts w:hint="eastAsia" w:cs="Times New Roman"/>
                <w:color w:val="000000"/>
                <w:kern w:val="0"/>
                <w:sz w:val="24"/>
                <w:szCs w:val="24"/>
                <w:lang w:val="en-US" w:eastAsia="zh-CN" w:bidi="ar"/>
              </w:rPr>
              <w:t>在</w:t>
            </w:r>
            <w:r>
              <w:rPr>
                <w:rFonts w:hint="default" w:ascii="Times New Roman" w:hAnsi="Times New Roman" w:eastAsia="宋体" w:cs="Times New Roman"/>
                <w:color w:val="000000"/>
                <w:kern w:val="0"/>
                <w:sz w:val="24"/>
                <w:szCs w:val="24"/>
                <w:lang w:val="en-US" w:eastAsia="zh-CN" w:bidi="ar"/>
              </w:rPr>
              <w:t>密闭式厂房</w:t>
            </w:r>
            <w:r>
              <w:rPr>
                <w:rFonts w:hint="eastAsia" w:cs="Times New Roman"/>
                <w:color w:val="000000"/>
                <w:kern w:val="0"/>
                <w:sz w:val="24"/>
                <w:szCs w:val="24"/>
                <w:lang w:val="en-US" w:eastAsia="zh-CN" w:bidi="ar"/>
              </w:rPr>
              <w:t>中</w:t>
            </w:r>
            <w:r>
              <w:rPr>
                <w:rFonts w:hint="default" w:ascii="Times New Roman" w:hAnsi="Times New Roman" w:eastAsia="宋体" w:cs="Times New Roman"/>
                <w:color w:val="000000"/>
                <w:kern w:val="0"/>
                <w:sz w:val="24"/>
                <w:szCs w:val="24"/>
                <w:lang w:val="en-US" w:eastAsia="zh-CN" w:bidi="ar"/>
              </w:rPr>
              <w:t>堆放原料和产品，装卸过程也在</w:t>
            </w:r>
            <w:r>
              <w:rPr>
                <w:rFonts w:hint="eastAsia" w:cs="Times New Roman"/>
                <w:color w:val="000000"/>
                <w:kern w:val="0"/>
                <w:sz w:val="24"/>
                <w:szCs w:val="24"/>
                <w:lang w:val="en-US" w:eastAsia="zh-CN" w:bidi="ar"/>
              </w:rPr>
              <w:t>封闭</w:t>
            </w:r>
            <w:r>
              <w:rPr>
                <w:rFonts w:hint="default" w:ascii="Times New Roman" w:hAnsi="Times New Roman" w:eastAsia="宋体" w:cs="Times New Roman"/>
                <w:color w:val="000000"/>
                <w:kern w:val="0"/>
                <w:sz w:val="24"/>
                <w:szCs w:val="24"/>
                <w:lang w:val="en-US" w:eastAsia="zh-CN" w:bidi="ar"/>
              </w:rPr>
              <w:t>厂房中，并且采取洒水和出入车辆冲洗的措施，根据《</w:t>
            </w:r>
            <w:r>
              <w:rPr>
                <w:rFonts w:hint="eastAsia" w:cs="Times New Roman"/>
                <w:color w:val="000000"/>
                <w:kern w:val="0"/>
                <w:sz w:val="24"/>
                <w:szCs w:val="24"/>
                <w:lang w:val="en-US" w:eastAsia="zh-CN" w:bidi="ar"/>
              </w:rPr>
              <w:t>排放源统计调查产排污核算方法和系数手册（环境部公告2021年第24号）</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中“附表2工业源</w:t>
            </w:r>
            <w:r>
              <w:rPr>
                <w:rFonts w:hint="default" w:ascii="Times New Roman" w:hAnsi="Times New Roman" w:eastAsia="宋体" w:cs="Times New Roman"/>
                <w:color w:val="000000"/>
                <w:kern w:val="0"/>
                <w:sz w:val="24"/>
                <w:szCs w:val="24"/>
                <w:lang w:val="en-US" w:eastAsia="zh-CN" w:bidi="ar"/>
              </w:rPr>
              <w:t>固体物料堆存颗粒物产排污核算系数手册</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密闭式堆场、洒水和出入车辆冲洗等措施的粉尘控制效率分别为99%、74%和78%，上述措施对扬尘的控制效率约为99%。另外，原料和产品均采用集装箱卡车或封闭式自卸车运输（包装形式主要为集装箱散装、集装箱袋装、封闭式自卸车散装），减少二次扬尘对大气环境的污染，企业加强管理，健全各项环保规章制度。在采取上述措施的情况下，项目堆场无组织排放扬尘量为2.3</w:t>
            </w: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t/a</w:t>
            </w:r>
            <w:r>
              <w:rPr>
                <w:rFonts w:hint="eastAsia" w:ascii="Times New Roman" w:hAnsi="Times New Roman" w:eastAsia="宋体" w:cs="Times New Roman"/>
                <w:color w:val="000000"/>
                <w:kern w:val="0"/>
                <w:sz w:val="24"/>
                <w:szCs w:val="24"/>
                <w:lang w:val="en-US" w:eastAsia="zh-CN" w:bidi="ar"/>
              </w:rPr>
              <w:t>。</w:t>
            </w:r>
          </w:p>
          <w:p w14:paraId="631B53A3">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（4）卸矿粉尘</w:t>
            </w:r>
          </w:p>
          <w:p w14:paraId="7B4128F8">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rPr>
            </w:pPr>
            <w:r>
              <w:rPr>
                <w:rFonts w:hint="eastAsia"/>
                <w:kern w:val="0"/>
                <w:sz w:val="24"/>
              </w:rPr>
              <w:t>根据《逸散性工业粉尘控制技术》中物料装卸逸散粉尘排放因子为0.01kg/t，</w:t>
            </w:r>
            <w:r>
              <w:rPr>
                <w:rFonts w:hint="eastAsia"/>
                <w:kern w:val="0"/>
                <w:sz w:val="24"/>
                <w:lang w:val="en-US" w:eastAsia="zh-CN"/>
              </w:rPr>
              <w:t>本项目原料使用量为120万t，则卸矿粉尘产生量为12t，</w:t>
            </w:r>
            <w:r>
              <w:rPr>
                <w:rFonts w:hint="eastAsia"/>
                <w:kern w:val="0"/>
                <w:sz w:val="24"/>
              </w:rPr>
              <w:t>根据《扬尘源颗粒物排放清单编制技术指南</w:t>
            </w:r>
            <w:r>
              <w:rPr>
                <w:rFonts w:hint="eastAsia"/>
                <w:kern w:val="0"/>
                <w:sz w:val="24"/>
                <w:lang w:eastAsia="zh-CN"/>
              </w:rPr>
              <w:t>（</w:t>
            </w:r>
            <w:r>
              <w:rPr>
                <w:rFonts w:hint="eastAsia"/>
                <w:kern w:val="0"/>
                <w:sz w:val="24"/>
                <w:lang w:val="en-US" w:eastAsia="zh-CN"/>
              </w:rPr>
              <w:t>试行</w:t>
            </w:r>
            <w:r>
              <w:rPr>
                <w:rFonts w:hint="eastAsia"/>
                <w:kern w:val="0"/>
                <w:sz w:val="24"/>
                <w:lang w:eastAsia="zh-CN"/>
              </w:rPr>
              <w:t>）</w:t>
            </w:r>
            <w:r>
              <w:rPr>
                <w:rFonts w:hint="eastAsia"/>
                <w:kern w:val="0"/>
                <w:sz w:val="24"/>
              </w:rPr>
              <w:t>》中表12</w:t>
            </w:r>
            <w:r>
              <w:rPr>
                <w:rFonts w:hint="eastAsia"/>
                <w:kern w:val="0"/>
                <w:sz w:val="24"/>
                <w:lang w:eastAsia="zh-CN"/>
              </w:rPr>
              <w:t>“</w:t>
            </w:r>
            <w:r>
              <w:rPr>
                <w:rFonts w:hint="eastAsia"/>
                <w:kern w:val="0"/>
                <w:sz w:val="24"/>
              </w:rPr>
              <w:t>建筑料堆的三边用孔隙度50%的围挡遮围，对TSP的控制效率达到90%</w:t>
            </w:r>
            <w:r>
              <w:rPr>
                <w:rFonts w:hint="eastAsia"/>
                <w:kern w:val="0"/>
                <w:sz w:val="24"/>
                <w:lang w:eastAsia="zh-CN"/>
              </w:rPr>
              <w:t>”</w:t>
            </w:r>
            <w:r>
              <w:rPr>
                <w:rFonts w:hint="eastAsia"/>
                <w:kern w:val="0"/>
                <w:sz w:val="24"/>
              </w:rPr>
              <w:t>，</w:t>
            </w:r>
            <w:r>
              <w:rPr>
                <w:rFonts w:hint="eastAsia"/>
                <w:kern w:val="0"/>
                <w:sz w:val="24"/>
                <w:u w:val="none"/>
              </w:rPr>
              <w:t>本项目</w:t>
            </w:r>
            <w:r>
              <w:rPr>
                <w:rFonts w:hint="eastAsia"/>
                <w:kern w:val="0"/>
                <w:sz w:val="24"/>
                <w:u w:val="none"/>
                <w:lang w:val="en-US" w:eastAsia="zh-CN"/>
              </w:rPr>
              <w:t>卸矿站</w:t>
            </w:r>
            <w:r>
              <w:rPr>
                <w:rFonts w:hint="eastAsia"/>
                <w:sz w:val="24"/>
                <w:szCs w:val="24"/>
                <w:u w:val="none"/>
              </w:rPr>
              <w:t>拟建设为仅留人与车辆出口的封闭厂房，</w:t>
            </w:r>
            <w:r>
              <w:rPr>
                <w:rFonts w:hint="eastAsia"/>
                <w:sz w:val="24"/>
                <w:szCs w:val="24"/>
              </w:rPr>
              <w:t>且卸料口设有</w:t>
            </w:r>
            <w:r>
              <w:rPr>
                <w:rFonts w:hint="eastAsia"/>
                <w:sz w:val="24"/>
                <w:szCs w:val="24"/>
                <w:lang w:val="en-US" w:eastAsia="zh-CN"/>
              </w:rPr>
              <w:t>干雾抑尘装置</w:t>
            </w:r>
            <w:r>
              <w:rPr>
                <w:rFonts w:hint="eastAsia"/>
                <w:sz w:val="24"/>
                <w:szCs w:val="24"/>
              </w:rPr>
              <w:t>，在卸料时可喷洒水进行降尘抑尘，</w:t>
            </w:r>
            <w:r>
              <w:rPr>
                <w:rFonts w:hint="eastAsia"/>
                <w:sz w:val="24"/>
                <w:szCs w:val="24"/>
                <w:lang w:val="en-US" w:eastAsia="zh-CN"/>
              </w:rPr>
              <w:t>洒水抑尘措施</w:t>
            </w:r>
            <w:r>
              <w:rPr>
                <w:rFonts w:hint="eastAsia" w:cs="Times New Roman"/>
                <w:kern w:val="2"/>
                <w:sz w:val="24"/>
                <w:szCs w:val="24"/>
                <w:lang w:val="en-US" w:eastAsia="zh-CN" w:bidi="ar-SA"/>
              </w:rPr>
              <w:t>对粉尘的控制效率为74%</w:t>
            </w:r>
            <w:r>
              <w:rPr>
                <w:rFonts w:hint="eastAsia" w:eastAsia="宋体" w:cs="Times New Roman"/>
                <w:kern w:val="2"/>
                <w:sz w:val="24"/>
                <w:szCs w:val="24"/>
                <w:lang w:val="en-US" w:eastAsia="zh-CN" w:bidi="ar-SA"/>
              </w:rPr>
              <w:t>。</w:t>
            </w:r>
            <w:r>
              <w:rPr>
                <w:rFonts w:hint="eastAsia"/>
                <w:sz w:val="24"/>
                <w:szCs w:val="24"/>
              </w:rPr>
              <w:t>经上述措施后，卸</w:t>
            </w:r>
            <w:r>
              <w:rPr>
                <w:rFonts w:hint="eastAsia"/>
                <w:sz w:val="24"/>
                <w:szCs w:val="24"/>
                <w:lang w:val="en-US" w:eastAsia="zh-CN"/>
              </w:rPr>
              <w:t>矿</w:t>
            </w:r>
            <w:r>
              <w:rPr>
                <w:rFonts w:hint="eastAsia"/>
                <w:sz w:val="24"/>
                <w:szCs w:val="24"/>
              </w:rPr>
              <w:t>粉尘的排放量为</w:t>
            </w:r>
            <w:r>
              <w:rPr>
                <w:rFonts w:hint="eastAsia"/>
                <w:sz w:val="24"/>
                <w:szCs w:val="24"/>
                <w:lang w:val="en-US" w:eastAsia="zh-CN"/>
              </w:rPr>
              <w:t>0.24</w:t>
            </w:r>
            <w:r>
              <w:rPr>
                <w:rFonts w:hint="eastAsia"/>
                <w:sz w:val="24"/>
                <w:szCs w:val="24"/>
              </w:rPr>
              <w:t>t/a。</w:t>
            </w:r>
          </w:p>
          <w:p w14:paraId="66801C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表4-</w:t>
            </w:r>
            <w:r>
              <w:rPr>
                <w:rFonts w:hint="eastAsia" w:cs="Times New Roman"/>
                <w:b/>
                <w:bCs/>
                <w:kern w:val="2"/>
                <w:sz w:val="24"/>
                <w:szCs w:val="24"/>
                <w:lang w:val="en-US" w:eastAsia="zh-CN" w:bidi="ar-SA"/>
              </w:rPr>
              <w:t>2</w:t>
            </w:r>
            <w:r>
              <w:rPr>
                <w:rFonts w:hint="eastAsia" w:eastAsia="宋体" w:cs="Times New Roman"/>
                <w:b/>
                <w:bCs/>
                <w:kern w:val="2"/>
                <w:sz w:val="24"/>
                <w:szCs w:val="24"/>
                <w:lang w:val="en-US" w:eastAsia="zh-CN" w:bidi="ar-SA"/>
              </w:rPr>
              <w:t xml:space="preserve"> 卸</w:t>
            </w:r>
            <w:r>
              <w:rPr>
                <w:rFonts w:hint="eastAsia" w:cs="Times New Roman"/>
                <w:b/>
                <w:bCs/>
                <w:kern w:val="2"/>
                <w:sz w:val="24"/>
                <w:szCs w:val="24"/>
                <w:lang w:val="en-US" w:eastAsia="zh-CN" w:bidi="ar-SA"/>
              </w:rPr>
              <w:t>矿</w:t>
            </w:r>
            <w:r>
              <w:rPr>
                <w:rFonts w:hint="eastAsia" w:eastAsia="宋体" w:cs="Times New Roman"/>
                <w:b/>
                <w:bCs/>
                <w:kern w:val="2"/>
                <w:sz w:val="24"/>
                <w:szCs w:val="24"/>
                <w:lang w:val="en-US" w:eastAsia="zh-CN" w:bidi="ar-SA"/>
              </w:rPr>
              <w:t>粉尘无组织废气产排情况一览表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77"/>
              <w:gridCol w:w="1010"/>
              <w:gridCol w:w="940"/>
              <w:gridCol w:w="1869"/>
              <w:gridCol w:w="1432"/>
              <w:gridCol w:w="1243"/>
            </w:tblGrid>
            <w:tr w14:paraId="05D0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32" w:type="dxa"/>
                  <w:vMerge w:val="restart"/>
                  <w:vAlign w:val="center"/>
                </w:tcPr>
                <w:p w14:paraId="24A244E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污染源</w:t>
                  </w:r>
                </w:p>
              </w:tc>
              <w:tc>
                <w:tcPr>
                  <w:tcW w:w="777" w:type="dxa"/>
                  <w:vMerge w:val="restart"/>
                  <w:vAlign w:val="center"/>
                </w:tcPr>
                <w:p w14:paraId="412A44D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污染因子</w:t>
                  </w:r>
                </w:p>
              </w:tc>
              <w:tc>
                <w:tcPr>
                  <w:tcW w:w="1950" w:type="dxa"/>
                  <w:gridSpan w:val="2"/>
                  <w:vAlign w:val="center"/>
                </w:tcPr>
                <w:p w14:paraId="6227450F">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产生情况</w:t>
                  </w:r>
                </w:p>
              </w:tc>
              <w:tc>
                <w:tcPr>
                  <w:tcW w:w="1869" w:type="dxa"/>
                  <w:vMerge w:val="restart"/>
                  <w:vAlign w:val="center"/>
                </w:tcPr>
                <w:p w14:paraId="427F386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污染物防治措施</w:t>
                  </w:r>
                </w:p>
              </w:tc>
              <w:tc>
                <w:tcPr>
                  <w:tcW w:w="2675" w:type="dxa"/>
                  <w:gridSpan w:val="2"/>
                  <w:vAlign w:val="center"/>
                </w:tcPr>
                <w:p w14:paraId="6CD5997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排放情况</w:t>
                  </w:r>
                </w:p>
              </w:tc>
            </w:tr>
            <w:tr w14:paraId="3CA6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32" w:type="dxa"/>
                  <w:vMerge w:val="continue"/>
                  <w:vAlign w:val="center"/>
                </w:tcPr>
                <w:p w14:paraId="63C713A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777" w:type="dxa"/>
                  <w:vMerge w:val="continue"/>
                  <w:vAlign w:val="center"/>
                </w:tcPr>
                <w:p w14:paraId="51FA001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010" w:type="dxa"/>
                  <w:vAlign w:val="center"/>
                </w:tcPr>
                <w:p w14:paraId="16DDC0C0">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eastAsia="宋体"/>
                      <w:lang w:val="en-US" w:eastAsia="zh-CN"/>
                    </w:rPr>
                  </w:pPr>
                  <w:r>
                    <w:rPr>
                      <w:rFonts w:hint="eastAsia"/>
                      <w:lang w:val="en-US" w:eastAsia="zh-CN"/>
                    </w:rPr>
                    <w:t>产生速率（kg/h）</w:t>
                  </w:r>
                </w:p>
              </w:tc>
              <w:tc>
                <w:tcPr>
                  <w:tcW w:w="940" w:type="dxa"/>
                  <w:vAlign w:val="center"/>
                </w:tcPr>
                <w:p w14:paraId="00A7236A">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eastAsia="宋体"/>
                      <w:lang w:val="en-US" w:eastAsia="zh-CN"/>
                    </w:rPr>
                  </w:pPr>
                  <w:r>
                    <w:rPr>
                      <w:rFonts w:hint="eastAsia"/>
                      <w:lang w:val="en-US" w:eastAsia="zh-CN"/>
                    </w:rPr>
                    <w:t>产生量（t/a）</w:t>
                  </w:r>
                </w:p>
              </w:tc>
              <w:tc>
                <w:tcPr>
                  <w:tcW w:w="1869" w:type="dxa"/>
                  <w:vMerge w:val="continue"/>
                  <w:vAlign w:val="center"/>
                </w:tcPr>
                <w:p w14:paraId="3D6BB102">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pPr>
                </w:p>
              </w:tc>
              <w:tc>
                <w:tcPr>
                  <w:tcW w:w="1432" w:type="dxa"/>
                  <w:vAlign w:val="center"/>
                </w:tcPr>
                <w:p w14:paraId="1B23C7C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排放速率（kg/h）</w:t>
                  </w:r>
                </w:p>
              </w:tc>
              <w:tc>
                <w:tcPr>
                  <w:tcW w:w="1243" w:type="dxa"/>
                  <w:vAlign w:val="center"/>
                </w:tcPr>
                <w:p w14:paraId="4FEE5FE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排放量（t/a）</w:t>
                  </w:r>
                </w:p>
              </w:tc>
            </w:tr>
            <w:tr w14:paraId="7D71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center"/>
                </w:tcPr>
                <w:p w14:paraId="563E77F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卸矿粉尘</w:t>
                  </w:r>
                </w:p>
              </w:tc>
              <w:tc>
                <w:tcPr>
                  <w:tcW w:w="777" w:type="dxa"/>
                  <w:vAlign w:val="center"/>
                </w:tcPr>
                <w:p w14:paraId="6CFC8D9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010" w:type="dxa"/>
                  <w:vAlign w:val="center"/>
                </w:tcPr>
                <w:p w14:paraId="545E4BF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1.52</w:t>
                  </w:r>
                </w:p>
              </w:tc>
              <w:tc>
                <w:tcPr>
                  <w:tcW w:w="940" w:type="dxa"/>
                  <w:vAlign w:val="center"/>
                </w:tcPr>
                <w:p w14:paraId="16EE78BD">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12</w:t>
                  </w:r>
                </w:p>
              </w:tc>
              <w:tc>
                <w:tcPr>
                  <w:tcW w:w="1869" w:type="dxa"/>
                  <w:vAlign w:val="center"/>
                </w:tcPr>
                <w:p w14:paraId="2726A8EE">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铺设防尘网、设置干雾抑尘装置，定期洒水抑尘</w:t>
                  </w:r>
                </w:p>
              </w:tc>
              <w:tc>
                <w:tcPr>
                  <w:tcW w:w="1432" w:type="dxa"/>
                  <w:vAlign w:val="center"/>
                </w:tcPr>
                <w:p w14:paraId="18CBF799">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0.03</w:t>
                  </w:r>
                </w:p>
              </w:tc>
              <w:tc>
                <w:tcPr>
                  <w:tcW w:w="1243" w:type="dxa"/>
                  <w:vAlign w:val="center"/>
                </w:tcPr>
                <w:p w14:paraId="196896C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0.31</w:t>
                  </w:r>
                </w:p>
              </w:tc>
            </w:tr>
          </w:tbl>
          <w:p w14:paraId="3A9A9235">
            <w:pPr>
              <w:pStyle w:val="15"/>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sz w:val="24"/>
                <w:szCs w:val="24"/>
                <w:lang w:val="en-US" w:eastAsia="zh-CN"/>
              </w:rPr>
            </w:pPr>
            <w:r>
              <w:rPr>
                <w:rFonts w:hint="eastAsia"/>
                <w:b/>
                <w:bCs/>
                <w:sz w:val="24"/>
                <w:szCs w:val="24"/>
                <w:lang w:val="en-US" w:eastAsia="zh-CN"/>
              </w:rPr>
              <w:t>废气治理措施影响分析</w:t>
            </w:r>
          </w:p>
          <w:p w14:paraId="58412312">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eastAsia"/>
                <w:sz w:val="24"/>
                <w:szCs w:val="24"/>
                <w:lang w:val="en-US" w:eastAsia="zh-CN"/>
              </w:rPr>
              <w:t>①布袋除尘器</w:t>
            </w:r>
          </w:p>
          <w:p w14:paraId="4766BB6B">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default" w:ascii="Times New Roman" w:hAnsi="Times New Roman" w:cs="Times New Roman"/>
                <w:sz w:val="24"/>
                <w:lang w:val="en-US" w:eastAsia="zh-CN"/>
              </w:rPr>
              <w:t>布袋除尘器原理是尘粒在绕过滤布纤维时因惯性力作用与纤维碰撞而被拦截。布袋除尘器是一种干式除尘装置</w:t>
            </w:r>
            <w:r>
              <w:rPr>
                <w:rFonts w:hint="eastAsia" w:ascii="Times New Roman" w:cs="Times New Roman"/>
                <w:sz w:val="24"/>
                <w:lang w:val="en-US" w:eastAsia="zh-CN"/>
              </w:rPr>
              <w:t>，</w:t>
            </w:r>
            <w:r>
              <w:rPr>
                <w:rFonts w:hint="default" w:ascii="Times New Roman" w:hAnsi="Times New Roman" w:cs="Times New Roman"/>
                <w:sz w:val="24"/>
                <w:lang w:val="en-US" w:eastAsia="zh-CN"/>
              </w:rPr>
              <w:t>它适用于捕集细小、干燥非纤维性粉尘。滤袋采用纺织的滤布或非纺织的毡制成，利用纤维织物的过滤作用对含尘气体进行过滤，当含尘气体进入布袋除尘器，颗粒大、比重大的粉尘，由于重力的作用沉降下来，落入灰斗，含有较细小粉尘的气体在通过滤料时，粉尘被阻留，使气体得到净化。一般新滤料的除尘效率是不够高的。滤料使用一段时间后，由于筛滤、碰撞、滞留、扩散、静电等效应，滤袋表面积聚了一层粉尘，这层粉尘称为初层，在此以后的运动过程中，初层成了滤料的主要过滤层，依靠初层的作用，网孔较大的滤料也能获得较高的过滤效率。随着粉尘在滤料表面的积聚，除尘器的效率和阻力都相应</w:t>
            </w:r>
            <w:r>
              <w:rPr>
                <w:rFonts w:hint="eastAsia" w:ascii="Times New Roman" w:cs="Times New Roman"/>
                <w:sz w:val="24"/>
                <w:lang w:val="en-US" w:eastAsia="zh-CN"/>
              </w:rPr>
              <w:t>地</w:t>
            </w:r>
            <w:r>
              <w:rPr>
                <w:rFonts w:hint="default" w:ascii="Times New Roman" w:hAnsi="Times New Roman" w:cs="Times New Roman"/>
                <w:sz w:val="24"/>
                <w:lang w:val="en-US" w:eastAsia="zh-CN"/>
              </w:rPr>
              <w:t>增加，当滤料两侧的压力差很大时，会把有些已附着在滤料上的细小尘粒挤压过去，使除尘器效率下降。另外，除尘器的阻力过高会使除尘系统的风量显著下降。因此，除尘器的阻力达到一定数值后，要及时清灰。清灰时不能破坏初层，以免效率下降。布袋除尘器结构主要由上部箱体、中部箱体、下部箱体（灰斗）、清灰系统和排灰机构等部分组成。布袋除尘器性能的好坏，除了正确选择滤袋材料外，清灰系统对布袋除尘器起着决定性的作用。</w:t>
            </w:r>
          </w:p>
          <w:p w14:paraId="0A9796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sz w:val="24"/>
                <w:szCs w:val="24"/>
                <w:lang w:val="en-US" w:eastAsia="zh-CN"/>
              </w:rPr>
            </w:pPr>
            <w:r>
              <w:rPr>
                <w:rFonts w:hint="eastAsia"/>
                <w:sz w:val="24"/>
                <w:szCs w:val="24"/>
                <w:lang w:val="en-US" w:eastAsia="zh-CN"/>
              </w:rPr>
              <w:t>②干雾抑尘装置</w:t>
            </w:r>
          </w:p>
          <w:p w14:paraId="3836EB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干雾抑尘装置是利用压缩空气将水雾化成干雾颗粒，这些微小的水滴能够与空气中的粉尘颗粒结合，增加粉尘的重量，使其沉降，从而达到抑尘的目的，这种技术的优势在于它不仅能有效降低粉尘浓度，改善工作环境，还能减少物料的浪费。相比传统的水雾喷淋装置，干雾抑尘装置在细水雾生成和喷射过程中能够实现节能，减少用水量，降低对环境的影响。目前，干雾抑尘装置适用于多种工业生产工序。本项目配料仓入料口</w:t>
            </w:r>
            <w:r>
              <w:rPr>
                <w:rFonts w:hint="eastAsia" w:cs="Times New Roman"/>
                <w:kern w:val="2"/>
                <w:sz w:val="24"/>
                <w:szCs w:val="24"/>
                <w:lang w:val="en-US" w:eastAsia="zh-CN" w:bidi="ar-SA"/>
              </w:rPr>
              <w:t>、出料口</w:t>
            </w:r>
            <w:r>
              <w:rPr>
                <w:rFonts w:hint="eastAsia" w:ascii="Times New Roman" w:hAnsi="Times New Roman" w:eastAsia="宋体" w:cs="Times New Roman"/>
                <w:kern w:val="2"/>
                <w:sz w:val="24"/>
                <w:szCs w:val="24"/>
                <w:lang w:val="en-US" w:eastAsia="zh-CN" w:bidi="ar-SA"/>
              </w:rPr>
              <w:t>设置干雾抑尘装置，在配料仓进料</w:t>
            </w:r>
            <w:r>
              <w:rPr>
                <w:rFonts w:hint="eastAsia" w:cs="Times New Roman"/>
                <w:kern w:val="2"/>
                <w:sz w:val="24"/>
                <w:szCs w:val="24"/>
                <w:lang w:val="en-US" w:eastAsia="zh-CN" w:bidi="ar-SA"/>
              </w:rPr>
              <w:t>、出料</w:t>
            </w:r>
            <w:r>
              <w:rPr>
                <w:rFonts w:hint="eastAsia" w:ascii="Times New Roman" w:hAnsi="Times New Roman" w:eastAsia="宋体" w:cs="Times New Roman"/>
                <w:kern w:val="2"/>
                <w:sz w:val="24"/>
                <w:szCs w:val="24"/>
                <w:lang w:val="en-US" w:eastAsia="zh-CN" w:bidi="ar-SA"/>
              </w:rPr>
              <w:t xml:space="preserve">过程中开启干雾抑尘装置，减少废气排放。 </w:t>
            </w:r>
          </w:p>
          <w:p w14:paraId="09F02316">
            <w:pPr>
              <w:pStyle w:val="1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eastAsia"/>
                <w:sz w:val="24"/>
                <w:szCs w:val="24"/>
                <w:lang w:val="en-US" w:eastAsia="zh-CN"/>
              </w:rPr>
              <w:t>综上所述，本项目废气治理措施可行。</w:t>
            </w:r>
          </w:p>
          <w:p w14:paraId="066E3738">
            <w:pPr>
              <w:pStyle w:val="15"/>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废气影响分析</w:t>
            </w:r>
          </w:p>
          <w:p w14:paraId="120CC2C4">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根据工程分析可知，项目采取相关废气防治措施后，配料混矿废气能满足《大气污染物综合排放标准》（GB16297-1996）表2新污染源大气污染物排放限值，对周边大气环境影响不大。</w:t>
            </w:r>
          </w:p>
          <w:p w14:paraId="4A7309DA">
            <w:pPr>
              <w:pStyle w:val="15"/>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非正常工况污染物排放情况</w:t>
            </w:r>
          </w:p>
          <w:p w14:paraId="02495C2E">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sz w:val="24"/>
                <w:szCs w:val="24"/>
                <w:lang w:val="en-US" w:eastAsia="zh-CN"/>
              </w:rPr>
            </w:pPr>
            <w:r>
              <w:rPr>
                <w:rFonts w:hint="default"/>
                <w:sz w:val="24"/>
                <w:szCs w:val="24"/>
                <w:lang w:val="en-US" w:eastAsia="zh-CN"/>
              </w:rPr>
              <w:t>非正常工况包括生产设施非正常工况或污染防治（控制）设施非正常工况，其中生产设施非正常工况指开停机、设备检修、工艺设备运转异常，污染防治（控制）设施非正常状况指达不到应有治理效率或同步运转率等情况。本次评价主要考虑开停机及环保设施治理效率下降的污染物排放。本次评价主要考虑</w:t>
            </w:r>
            <w:r>
              <w:rPr>
                <w:rFonts w:hint="eastAsia"/>
                <w:sz w:val="24"/>
                <w:szCs w:val="24"/>
                <w:lang w:val="en-US" w:eastAsia="zh-CN"/>
              </w:rPr>
              <w:t>布袋除尘器</w:t>
            </w:r>
            <w:r>
              <w:rPr>
                <w:rFonts w:hint="default"/>
                <w:sz w:val="24"/>
                <w:szCs w:val="24"/>
                <w:lang w:val="en-US" w:eastAsia="zh-CN"/>
              </w:rPr>
              <w:t>故障导致废气处理效率降低（处置效率为0%）。非正常工况下项目污染物排放量见表</w:t>
            </w:r>
            <w:r>
              <w:rPr>
                <w:rFonts w:hint="eastAsia"/>
                <w:sz w:val="24"/>
                <w:szCs w:val="24"/>
                <w:lang w:val="en-US" w:eastAsia="zh-CN"/>
              </w:rPr>
              <w:t>4-3。</w:t>
            </w:r>
          </w:p>
          <w:p w14:paraId="150271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表4-3 项目非正常工况污染物排放情况一览表</w:t>
            </w:r>
          </w:p>
          <w:tbl>
            <w:tblPr>
              <w:tblStyle w:val="17"/>
              <w:tblW w:w="766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1095"/>
              <w:gridCol w:w="1096"/>
              <w:gridCol w:w="1010"/>
              <w:gridCol w:w="984"/>
              <w:gridCol w:w="1294"/>
            </w:tblGrid>
            <w:tr w14:paraId="496E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0C815427">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污染源</w:t>
                  </w:r>
                </w:p>
              </w:tc>
              <w:tc>
                <w:tcPr>
                  <w:tcW w:w="1095" w:type="dxa"/>
                  <w:vAlign w:val="center"/>
                </w:tcPr>
                <w:p w14:paraId="17D3D6CA">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非正常排放原因</w:t>
                  </w:r>
                </w:p>
              </w:tc>
              <w:tc>
                <w:tcPr>
                  <w:tcW w:w="1095" w:type="dxa"/>
                  <w:vAlign w:val="center"/>
                </w:tcPr>
                <w:p w14:paraId="739F7D60">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污染物</w:t>
                  </w:r>
                </w:p>
              </w:tc>
              <w:tc>
                <w:tcPr>
                  <w:tcW w:w="1096" w:type="dxa"/>
                  <w:vAlign w:val="center"/>
                </w:tcPr>
                <w:p w14:paraId="55EDEF29">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非正常排放速率（kg/h）</w:t>
                  </w:r>
                </w:p>
              </w:tc>
              <w:tc>
                <w:tcPr>
                  <w:tcW w:w="1010" w:type="dxa"/>
                  <w:vAlign w:val="center"/>
                </w:tcPr>
                <w:p w14:paraId="78544457">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单次持续事件</w:t>
                  </w:r>
                </w:p>
              </w:tc>
              <w:tc>
                <w:tcPr>
                  <w:tcW w:w="984" w:type="dxa"/>
                  <w:vAlign w:val="center"/>
                </w:tcPr>
                <w:p w14:paraId="7AB12AD8">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年发生次数</w:t>
                  </w:r>
                </w:p>
              </w:tc>
              <w:tc>
                <w:tcPr>
                  <w:tcW w:w="1294" w:type="dxa"/>
                  <w:vAlign w:val="center"/>
                </w:tcPr>
                <w:p w14:paraId="6C481142">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b/>
                      <w:bCs/>
                      <w:sz w:val="21"/>
                      <w:szCs w:val="21"/>
                      <w:vertAlign w:val="baseline"/>
                      <w:lang w:val="en-US" w:eastAsia="zh-CN"/>
                    </w:rPr>
                  </w:pPr>
                  <w:r>
                    <w:rPr>
                      <w:rFonts w:hint="eastAsia" w:ascii="Times New Roman" w:cs="Times New Roman"/>
                      <w:b/>
                      <w:bCs/>
                      <w:sz w:val="21"/>
                      <w:szCs w:val="21"/>
                      <w:vertAlign w:val="baseline"/>
                      <w:lang w:val="en-US" w:eastAsia="zh-CN"/>
                    </w:rPr>
                    <w:t>应对措施</w:t>
                  </w:r>
                </w:p>
              </w:tc>
            </w:tr>
            <w:tr w14:paraId="4AA9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95" w:type="dxa"/>
                  <w:vAlign w:val="center"/>
                </w:tcPr>
                <w:p w14:paraId="6D32852D">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配料混矿</w:t>
                  </w:r>
                </w:p>
              </w:tc>
              <w:tc>
                <w:tcPr>
                  <w:tcW w:w="1095" w:type="dxa"/>
                  <w:vAlign w:val="center"/>
                </w:tcPr>
                <w:p w14:paraId="31845FA1">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布袋除尘器发生故障，处置效率按0%计算</w:t>
                  </w:r>
                </w:p>
              </w:tc>
              <w:tc>
                <w:tcPr>
                  <w:tcW w:w="1095" w:type="dxa"/>
                  <w:vAlign w:val="center"/>
                </w:tcPr>
                <w:p w14:paraId="0E0B56F7">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颗粒物</w:t>
                  </w:r>
                </w:p>
              </w:tc>
              <w:tc>
                <w:tcPr>
                  <w:tcW w:w="1096" w:type="dxa"/>
                  <w:vAlign w:val="center"/>
                </w:tcPr>
                <w:p w14:paraId="7A7747B2">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1.95</w:t>
                  </w:r>
                </w:p>
              </w:tc>
              <w:tc>
                <w:tcPr>
                  <w:tcW w:w="1010" w:type="dxa"/>
                  <w:vAlign w:val="center"/>
                </w:tcPr>
                <w:p w14:paraId="02A4CCE4">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1h</w:t>
                  </w:r>
                </w:p>
              </w:tc>
              <w:tc>
                <w:tcPr>
                  <w:tcW w:w="984" w:type="dxa"/>
                  <w:vAlign w:val="center"/>
                </w:tcPr>
                <w:p w14:paraId="1627A0B2">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2次</w:t>
                  </w:r>
                </w:p>
              </w:tc>
              <w:tc>
                <w:tcPr>
                  <w:tcW w:w="1294" w:type="dxa"/>
                  <w:vAlign w:val="center"/>
                </w:tcPr>
                <w:p w14:paraId="7BDF2885">
                  <w:pPr>
                    <w:pStyle w:val="22"/>
                    <w:keepNext w:val="0"/>
                    <w:keepLines w:val="0"/>
                    <w:pageBreakBefore w:val="0"/>
                    <w:widowControl w:val="0"/>
                    <w:numPr>
                      <w:ilvl w:val="-1"/>
                      <w:numId w:val="0"/>
                    </w:numPr>
                    <w:kinsoku/>
                    <w:wordWrap/>
                    <w:overflowPunct/>
                    <w:topLinePunct w:val="0"/>
                    <w:autoSpaceDE/>
                    <w:autoSpaceDN/>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default" w:ascii="Times New Roman" w:cs="Times New Roman"/>
                      <w:sz w:val="21"/>
                      <w:szCs w:val="21"/>
                      <w:vertAlign w:val="baseline"/>
                      <w:lang w:val="en-US" w:eastAsia="zh-CN"/>
                    </w:rPr>
                    <w:t>立即停止运行，并进行检修，同时生产系统也必须停止生产</w:t>
                  </w:r>
                </w:p>
              </w:tc>
            </w:tr>
          </w:tbl>
          <w:p w14:paraId="4B029543">
            <w:pPr>
              <w:pStyle w:val="15"/>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废气排放口设置情况</w:t>
            </w:r>
          </w:p>
          <w:p w14:paraId="3CE82BC5">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cs="Times New Roman"/>
                <w:b/>
                <w:bCs/>
                <w:kern w:val="2"/>
                <w:sz w:val="24"/>
                <w:szCs w:val="24"/>
                <w:lang w:val="en-US" w:eastAsia="zh-CN" w:bidi="ar-SA"/>
              </w:rPr>
            </w:pPr>
            <w:r>
              <w:rPr>
                <w:rFonts w:hint="eastAsia"/>
                <w:sz w:val="24"/>
                <w:szCs w:val="24"/>
                <w:lang w:val="en-US" w:eastAsia="zh-CN"/>
              </w:rPr>
              <w:t>根据《《大气污染物综合排放标准》（GB16297-1996）标准规定：排气筒高度除需遵守排放速率标准值外，还应高出周围半径200m范围建筑物5m以上。本项目配料混矿废气经密闭吸尘罩+布袋除尘器处理后经1根20m高排气筒（DA001）排放，项目排气筒四周200m范围内主要为工业企业，高度大约为15m，因此，本项目设置20m高排气筒符合《大气污染物综合排放标准》（GB16297-1996）标准相关规定。</w:t>
            </w:r>
          </w:p>
          <w:p w14:paraId="638D93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表4-4 废气排放口设置情况一览表</w:t>
            </w:r>
          </w:p>
          <w:tbl>
            <w:tblPr>
              <w:tblStyle w:val="17"/>
              <w:tblW w:w="7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8"/>
              <w:gridCol w:w="949"/>
              <w:gridCol w:w="949"/>
              <w:gridCol w:w="1087"/>
              <w:gridCol w:w="1089"/>
              <w:gridCol w:w="752"/>
              <w:gridCol w:w="932"/>
            </w:tblGrid>
            <w:tr w14:paraId="7F4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48" w:type="dxa"/>
                  <w:vAlign w:val="center"/>
                </w:tcPr>
                <w:p w14:paraId="6C87F809">
                  <w:pPr>
                    <w:jc w:val="center"/>
                    <w:rPr>
                      <w:szCs w:val="21"/>
                    </w:rPr>
                  </w:pPr>
                  <w:r>
                    <w:rPr>
                      <w:rFonts w:hint="eastAsia"/>
                      <w:szCs w:val="21"/>
                    </w:rPr>
                    <w:t>排放方式</w:t>
                  </w:r>
                </w:p>
              </w:tc>
              <w:tc>
                <w:tcPr>
                  <w:tcW w:w="948" w:type="dxa"/>
                  <w:vAlign w:val="center"/>
                </w:tcPr>
                <w:p w14:paraId="2EE5361E">
                  <w:pPr>
                    <w:jc w:val="center"/>
                    <w:rPr>
                      <w:szCs w:val="21"/>
                    </w:rPr>
                  </w:pPr>
                  <w:r>
                    <w:rPr>
                      <w:rFonts w:hint="eastAsia"/>
                      <w:szCs w:val="21"/>
                    </w:rPr>
                    <w:t>编号</w:t>
                  </w:r>
                </w:p>
              </w:tc>
              <w:tc>
                <w:tcPr>
                  <w:tcW w:w="949" w:type="dxa"/>
                  <w:vAlign w:val="center"/>
                </w:tcPr>
                <w:p w14:paraId="68DAE092">
                  <w:pPr>
                    <w:jc w:val="center"/>
                    <w:rPr>
                      <w:szCs w:val="21"/>
                    </w:rPr>
                  </w:pPr>
                  <w:r>
                    <w:rPr>
                      <w:rFonts w:hint="eastAsia"/>
                      <w:szCs w:val="21"/>
                    </w:rPr>
                    <w:t>排放口名称</w:t>
                  </w:r>
                </w:p>
              </w:tc>
              <w:tc>
                <w:tcPr>
                  <w:tcW w:w="949" w:type="dxa"/>
                  <w:vAlign w:val="center"/>
                </w:tcPr>
                <w:p w14:paraId="0130F5FD">
                  <w:pPr>
                    <w:jc w:val="center"/>
                    <w:rPr>
                      <w:szCs w:val="21"/>
                    </w:rPr>
                  </w:pPr>
                  <w:r>
                    <w:rPr>
                      <w:rFonts w:hint="eastAsia"/>
                      <w:szCs w:val="21"/>
                    </w:rPr>
                    <w:t>污染物</w:t>
                  </w:r>
                </w:p>
              </w:tc>
              <w:tc>
                <w:tcPr>
                  <w:tcW w:w="1087" w:type="dxa"/>
                  <w:vAlign w:val="center"/>
                </w:tcPr>
                <w:p w14:paraId="6CF6E286">
                  <w:pPr>
                    <w:jc w:val="center"/>
                    <w:rPr>
                      <w:szCs w:val="21"/>
                    </w:rPr>
                  </w:pPr>
                  <w:r>
                    <w:rPr>
                      <w:rFonts w:hint="eastAsia"/>
                      <w:szCs w:val="21"/>
                    </w:rPr>
                    <w:t>经度</w:t>
                  </w:r>
                </w:p>
              </w:tc>
              <w:tc>
                <w:tcPr>
                  <w:tcW w:w="1089" w:type="dxa"/>
                  <w:vAlign w:val="center"/>
                </w:tcPr>
                <w:p w14:paraId="446C21E6">
                  <w:pPr>
                    <w:jc w:val="center"/>
                    <w:rPr>
                      <w:szCs w:val="21"/>
                    </w:rPr>
                  </w:pPr>
                  <w:r>
                    <w:rPr>
                      <w:rFonts w:hint="eastAsia"/>
                      <w:szCs w:val="21"/>
                    </w:rPr>
                    <w:t>维度</w:t>
                  </w:r>
                </w:p>
              </w:tc>
              <w:tc>
                <w:tcPr>
                  <w:tcW w:w="752" w:type="dxa"/>
                  <w:vAlign w:val="center"/>
                </w:tcPr>
                <w:p w14:paraId="57F7C975">
                  <w:pPr>
                    <w:jc w:val="center"/>
                    <w:rPr>
                      <w:szCs w:val="21"/>
                    </w:rPr>
                  </w:pPr>
                  <w:r>
                    <w:rPr>
                      <w:rFonts w:hint="eastAsia"/>
                      <w:szCs w:val="21"/>
                    </w:rPr>
                    <w:t>排放筒高度m</w:t>
                  </w:r>
                </w:p>
              </w:tc>
              <w:tc>
                <w:tcPr>
                  <w:tcW w:w="932" w:type="dxa"/>
                  <w:vAlign w:val="center"/>
                </w:tcPr>
                <w:p w14:paraId="2A00F8CB">
                  <w:pPr>
                    <w:jc w:val="center"/>
                    <w:rPr>
                      <w:szCs w:val="21"/>
                    </w:rPr>
                  </w:pPr>
                  <w:r>
                    <w:rPr>
                      <w:rFonts w:hint="eastAsia"/>
                      <w:szCs w:val="21"/>
                    </w:rPr>
                    <w:t>排气筒出口内径m</w:t>
                  </w:r>
                </w:p>
              </w:tc>
            </w:tr>
            <w:tr w14:paraId="542B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48" w:type="dxa"/>
                  <w:vAlign w:val="center"/>
                </w:tcPr>
                <w:p w14:paraId="1A05AF48">
                  <w:pPr>
                    <w:jc w:val="center"/>
                    <w:rPr>
                      <w:szCs w:val="21"/>
                    </w:rPr>
                  </w:pPr>
                  <w:r>
                    <w:rPr>
                      <w:rFonts w:hint="eastAsia"/>
                      <w:szCs w:val="21"/>
                    </w:rPr>
                    <w:t>有组织</w:t>
                  </w:r>
                </w:p>
              </w:tc>
              <w:tc>
                <w:tcPr>
                  <w:tcW w:w="948" w:type="dxa"/>
                  <w:vAlign w:val="center"/>
                </w:tcPr>
                <w:p w14:paraId="208D13E9">
                  <w:pPr>
                    <w:jc w:val="center"/>
                    <w:rPr>
                      <w:rFonts w:hint="default" w:eastAsia="宋体"/>
                      <w:szCs w:val="21"/>
                      <w:lang w:val="en-US" w:eastAsia="zh-CN"/>
                    </w:rPr>
                  </w:pPr>
                  <w:r>
                    <w:rPr>
                      <w:rFonts w:hint="eastAsia"/>
                      <w:szCs w:val="21"/>
                      <w:lang w:val="en-US" w:eastAsia="zh-CN"/>
                    </w:rPr>
                    <w:t>DA001</w:t>
                  </w:r>
                </w:p>
              </w:tc>
              <w:tc>
                <w:tcPr>
                  <w:tcW w:w="949" w:type="dxa"/>
                  <w:vAlign w:val="center"/>
                </w:tcPr>
                <w:p w14:paraId="1AD053D2">
                  <w:pPr>
                    <w:jc w:val="center"/>
                    <w:rPr>
                      <w:rFonts w:hint="default"/>
                      <w:szCs w:val="21"/>
                      <w:lang w:val="en-US" w:eastAsia="zh-CN"/>
                    </w:rPr>
                  </w:pPr>
                  <w:r>
                    <w:rPr>
                      <w:rFonts w:hint="eastAsia"/>
                      <w:szCs w:val="21"/>
                      <w:lang w:val="en-US" w:eastAsia="zh-CN"/>
                    </w:rPr>
                    <w:t>配料混矿废气排气筒</w:t>
                  </w:r>
                </w:p>
              </w:tc>
              <w:tc>
                <w:tcPr>
                  <w:tcW w:w="949" w:type="dxa"/>
                  <w:vAlign w:val="center"/>
                </w:tcPr>
                <w:p w14:paraId="1866AF58">
                  <w:pPr>
                    <w:jc w:val="center"/>
                    <w:rPr>
                      <w:rFonts w:hint="default" w:eastAsia="宋体"/>
                      <w:szCs w:val="21"/>
                      <w:lang w:val="en-US" w:eastAsia="zh-CN"/>
                    </w:rPr>
                  </w:pPr>
                  <w:r>
                    <w:rPr>
                      <w:rFonts w:hint="eastAsia"/>
                      <w:szCs w:val="21"/>
                      <w:lang w:val="en-US" w:eastAsia="zh-CN"/>
                    </w:rPr>
                    <w:t>颗粒物</w:t>
                  </w:r>
                </w:p>
              </w:tc>
              <w:tc>
                <w:tcPr>
                  <w:tcW w:w="1087" w:type="dxa"/>
                  <w:vAlign w:val="center"/>
                </w:tcPr>
                <w:p w14:paraId="6E00DF71">
                  <w:pPr>
                    <w:jc w:val="center"/>
                    <w:rPr>
                      <w:rFonts w:hint="default" w:eastAsia="宋体"/>
                      <w:szCs w:val="21"/>
                      <w:lang w:val="en-US" w:eastAsia="zh-CN"/>
                    </w:rPr>
                  </w:pPr>
                  <w:r>
                    <w:rPr>
                      <w:rFonts w:hint="eastAsia"/>
                      <w:szCs w:val="21"/>
                    </w:rPr>
                    <w:t>108.655535353</w:t>
                  </w:r>
                </w:p>
              </w:tc>
              <w:tc>
                <w:tcPr>
                  <w:tcW w:w="1089" w:type="dxa"/>
                  <w:vAlign w:val="center"/>
                </w:tcPr>
                <w:p w14:paraId="2BDED582">
                  <w:pPr>
                    <w:jc w:val="center"/>
                    <w:rPr>
                      <w:rFonts w:hint="default" w:eastAsia="宋体"/>
                      <w:szCs w:val="21"/>
                      <w:lang w:val="en-US" w:eastAsia="zh-CN"/>
                    </w:rPr>
                  </w:pPr>
                  <w:r>
                    <w:rPr>
                      <w:rFonts w:hint="eastAsia"/>
                      <w:szCs w:val="21"/>
                      <w:lang w:val="en-US" w:eastAsia="zh-CN"/>
                    </w:rPr>
                    <w:t>21.677173927</w:t>
                  </w:r>
                </w:p>
              </w:tc>
              <w:tc>
                <w:tcPr>
                  <w:tcW w:w="752" w:type="dxa"/>
                  <w:vAlign w:val="center"/>
                </w:tcPr>
                <w:p w14:paraId="0BA3B13F">
                  <w:pPr>
                    <w:jc w:val="center"/>
                    <w:rPr>
                      <w:rFonts w:hint="default"/>
                      <w:szCs w:val="21"/>
                      <w:lang w:val="en-US" w:eastAsia="zh-CN"/>
                    </w:rPr>
                  </w:pPr>
                  <w:r>
                    <w:rPr>
                      <w:rFonts w:hint="eastAsia"/>
                      <w:szCs w:val="21"/>
                      <w:lang w:val="en-US" w:eastAsia="zh-CN"/>
                    </w:rPr>
                    <w:t>20</w:t>
                  </w:r>
                </w:p>
              </w:tc>
              <w:tc>
                <w:tcPr>
                  <w:tcW w:w="932" w:type="dxa"/>
                  <w:vAlign w:val="center"/>
                </w:tcPr>
                <w:p w14:paraId="25939361">
                  <w:pPr>
                    <w:jc w:val="center"/>
                    <w:rPr>
                      <w:rFonts w:hint="default" w:eastAsia="宋体"/>
                      <w:szCs w:val="21"/>
                      <w:lang w:val="en-US" w:eastAsia="zh-CN"/>
                    </w:rPr>
                  </w:pPr>
                  <w:r>
                    <w:rPr>
                      <w:rFonts w:hint="eastAsia"/>
                      <w:szCs w:val="21"/>
                      <w:lang w:val="en-US" w:eastAsia="zh-CN"/>
                    </w:rPr>
                    <w:t>0.5</w:t>
                  </w:r>
                </w:p>
              </w:tc>
            </w:tr>
          </w:tbl>
          <w:p w14:paraId="342CE01D">
            <w:pPr>
              <w:pStyle w:val="15"/>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监测计划</w:t>
            </w:r>
          </w:p>
          <w:p w14:paraId="5E04DCC5">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根据《排污单位自行监测技术指南 总则》（HJ819-2017）及污染物排放标准中相关要求，制定本项目废气污染源监测计划，详见表4-5。</w:t>
            </w:r>
          </w:p>
          <w:p w14:paraId="2D7DB8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表4-5 本项目废气污染源监测计划一览表</w:t>
            </w:r>
          </w:p>
          <w:tbl>
            <w:tblPr>
              <w:tblStyle w:val="17"/>
              <w:tblW w:w="7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953"/>
              <w:gridCol w:w="1953"/>
              <w:gridCol w:w="1954"/>
            </w:tblGrid>
            <w:tr w14:paraId="5390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restart"/>
                  <w:vAlign w:val="center"/>
                </w:tcPr>
                <w:p w14:paraId="268DC6B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监测项目</w:t>
                  </w:r>
                </w:p>
              </w:tc>
              <w:tc>
                <w:tcPr>
                  <w:tcW w:w="5860" w:type="dxa"/>
                  <w:gridSpan w:val="3"/>
                  <w:vAlign w:val="center"/>
                </w:tcPr>
                <w:p w14:paraId="377E54A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监测要求</w:t>
                  </w:r>
                </w:p>
              </w:tc>
            </w:tr>
            <w:tr w14:paraId="44CF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vAlign w:val="center"/>
                </w:tcPr>
                <w:p w14:paraId="089D996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953" w:type="dxa"/>
                  <w:vAlign w:val="center"/>
                </w:tcPr>
                <w:p w14:paraId="0B8D252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取样点位</w:t>
                  </w:r>
                </w:p>
              </w:tc>
              <w:tc>
                <w:tcPr>
                  <w:tcW w:w="1953" w:type="dxa"/>
                  <w:vAlign w:val="center"/>
                </w:tcPr>
                <w:p w14:paraId="6C3D3991">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监测因子</w:t>
                  </w:r>
                </w:p>
              </w:tc>
              <w:tc>
                <w:tcPr>
                  <w:tcW w:w="1954" w:type="dxa"/>
                  <w:vAlign w:val="center"/>
                </w:tcPr>
                <w:p w14:paraId="296B8BE4">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监测频次</w:t>
                  </w:r>
                </w:p>
              </w:tc>
            </w:tr>
            <w:tr w14:paraId="4943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6A3E2466">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配料混矿废气</w:t>
                  </w:r>
                </w:p>
              </w:tc>
              <w:tc>
                <w:tcPr>
                  <w:tcW w:w="1953" w:type="dxa"/>
                  <w:vAlign w:val="center"/>
                </w:tcPr>
                <w:p w14:paraId="37F573D8">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排气筒采样孔</w:t>
                  </w:r>
                </w:p>
              </w:tc>
              <w:tc>
                <w:tcPr>
                  <w:tcW w:w="1953" w:type="dxa"/>
                  <w:vMerge w:val="restart"/>
                  <w:vAlign w:val="center"/>
                </w:tcPr>
                <w:p w14:paraId="462251B3">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颗粒物</w:t>
                  </w:r>
                </w:p>
              </w:tc>
              <w:tc>
                <w:tcPr>
                  <w:tcW w:w="1954" w:type="dxa"/>
                  <w:vMerge w:val="restart"/>
                  <w:vAlign w:val="center"/>
                </w:tcPr>
                <w:p w14:paraId="2817FE1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1次/年</w:t>
                  </w:r>
                </w:p>
              </w:tc>
            </w:tr>
            <w:tr w14:paraId="3E65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Align w:val="center"/>
                </w:tcPr>
                <w:p w14:paraId="0CAFECFC">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厂界无组织废气</w:t>
                  </w:r>
                </w:p>
              </w:tc>
              <w:tc>
                <w:tcPr>
                  <w:tcW w:w="1953" w:type="dxa"/>
                  <w:vAlign w:val="center"/>
                </w:tcPr>
                <w:p w14:paraId="74CEF3D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r>
                    <w:rPr>
                      <w:rFonts w:hint="eastAsia"/>
                      <w:sz w:val="21"/>
                      <w:szCs w:val="21"/>
                      <w:vertAlign w:val="baseline"/>
                      <w:lang w:val="en-US" w:eastAsia="zh-CN"/>
                    </w:rPr>
                    <w:t>厂界外1m处</w:t>
                  </w:r>
                </w:p>
              </w:tc>
              <w:tc>
                <w:tcPr>
                  <w:tcW w:w="1953" w:type="dxa"/>
                  <w:vMerge w:val="continue"/>
                  <w:vAlign w:val="center"/>
                </w:tcPr>
                <w:p w14:paraId="50C5D597">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c>
                <w:tcPr>
                  <w:tcW w:w="1954" w:type="dxa"/>
                  <w:vMerge w:val="continue"/>
                  <w:vAlign w:val="center"/>
                </w:tcPr>
                <w:p w14:paraId="5E7798F5">
                  <w:pPr>
                    <w:pStyle w:val="14"/>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rPr>
                      <w:rFonts w:hint="default"/>
                      <w:sz w:val="21"/>
                      <w:szCs w:val="21"/>
                      <w:vertAlign w:val="baseline"/>
                      <w:lang w:val="en-US" w:eastAsia="zh-CN"/>
                    </w:rPr>
                  </w:pPr>
                </w:p>
              </w:tc>
            </w:tr>
          </w:tbl>
          <w:p w14:paraId="2A77B2C2">
            <w:pPr>
              <w:pStyle w:val="15"/>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0" w:firstLineChars="0"/>
              <w:textAlignment w:val="auto"/>
              <w:rPr>
                <w:rFonts w:hint="default"/>
                <w:b/>
                <w:bCs/>
                <w:sz w:val="24"/>
                <w:szCs w:val="24"/>
                <w:lang w:val="en-US" w:eastAsia="zh-CN"/>
              </w:rPr>
            </w:pPr>
            <w:r>
              <w:rPr>
                <w:rFonts w:hint="eastAsia"/>
                <w:b/>
                <w:bCs/>
                <w:sz w:val="24"/>
                <w:szCs w:val="24"/>
                <w:lang w:val="en-US" w:eastAsia="zh-CN"/>
              </w:rPr>
              <w:t>废水</w:t>
            </w:r>
          </w:p>
          <w:p w14:paraId="46702A9A">
            <w:pPr>
              <w:pStyle w:val="1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废水源强核算</w:t>
            </w:r>
          </w:p>
          <w:p w14:paraId="0F93531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eastAsia"/>
                <w:sz w:val="24"/>
                <w:szCs w:val="24"/>
                <w:lang w:val="en-US" w:eastAsia="zh-CN"/>
              </w:rPr>
              <w:t>本项目运营期产生的废水为生活污水、地面冲洗废水、洗车废水。干雾抑尘用水蒸发或附着在原料、产品上，不会形成地表径流，不产生废水。</w:t>
            </w:r>
          </w:p>
          <w:p w14:paraId="56C4EA8E">
            <w:pPr>
              <w:pStyle w:val="15"/>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洗车废水</w:t>
            </w:r>
          </w:p>
          <w:p w14:paraId="789FCF6B">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根据工程分析，项目洗车废水产生量为5.36m</w:t>
            </w:r>
            <w:r>
              <w:rPr>
                <w:rFonts w:hint="eastAsia"/>
                <w:sz w:val="24"/>
                <w:szCs w:val="24"/>
                <w:vertAlign w:val="superscript"/>
                <w:lang w:val="en-US" w:eastAsia="zh-CN"/>
              </w:rPr>
              <w:t>3</w:t>
            </w:r>
            <w:r>
              <w:rPr>
                <w:rFonts w:hint="eastAsia"/>
                <w:sz w:val="24"/>
                <w:szCs w:val="24"/>
                <w:lang w:val="en-US" w:eastAsia="zh-CN"/>
              </w:rPr>
              <w:t>/d，1768.8m</w:t>
            </w:r>
            <w:r>
              <w:rPr>
                <w:rFonts w:hint="eastAsia"/>
                <w:sz w:val="24"/>
                <w:szCs w:val="24"/>
                <w:vertAlign w:val="superscript"/>
                <w:lang w:val="en-US" w:eastAsia="zh-CN"/>
              </w:rPr>
              <w:t>3</w:t>
            </w:r>
            <w:r>
              <w:rPr>
                <w:rFonts w:hint="eastAsia"/>
                <w:sz w:val="24"/>
                <w:szCs w:val="24"/>
                <w:lang w:val="en-US" w:eastAsia="zh-CN"/>
              </w:rPr>
              <w:t>/a，经沉淀池沉淀后循环利用，不外排。</w:t>
            </w:r>
          </w:p>
          <w:p w14:paraId="0E6A95F7">
            <w:pPr>
              <w:pStyle w:val="15"/>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地面冲洗废水</w:t>
            </w:r>
          </w:p>
          <w:p w14:paraId="2DF7A4DB">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根据工程分析，本项目地面冲洗废水产生量为10.8m</w:t>
            </w:r>
            <w:r>
              <w:rPr>
                <w:rFonts w:hint="eastAsia"/>
                <w:sz w:val="24"/>
                <w:szCs w:val="24"/>
                <w:vertAlign w:val="superscript"/>
                <w:lang w:val="en-US" w:eastAsia="zh-CN"/>
              </w:rPr>
              <w:t>3</w:t>
            </w:r>
            <w:r>
              <w:rPr>
                <w:rFonts w:hint="eastAsia"/>
                <w:sz w:val="24"/>
                <w:szCs w:val="24"/>
                <w:lang w:val="en-US" w:eastAsia="zh-CN"/>
              </w:rPr>
              <w:t>/次，518.4m</w:t>
            </w:r>
            <w:r>
              <w:rPr>
                <w:rFonts w:hint="eastAsia"/>
                <w:sz w:val="24"/>
                <w:szCs w:val="24"/>
                <w:vertAlign w:val="superscript"/>
                <w:lang w:val="en-US" w:eastAsia="zh-CN"/>
              </w:rPr>
              <w:t>3</w:t>
            </w:r>
            <w:r>
              <w:rPr>
                <w:rFonts w:hint="eastAsia"/>
                <w:sz w:val="24"/>
                <w:szCs w:val="24"/>
                <w:lang w:val="en-US" w:eastAsia="zh-CN"/>
              </w:rPr>
              <w:t>/a，经沉淀池沉淀后循环利用，不外排。</w:t>
            </w:r>
          </w:p>
          <w:p w14:paraId="606A261A">
            <w:pPr>
              <w:pStyle w:val="15"/>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生活污水</w:t>
            </w:r>
          </w:p>
          <w:p w14:paraId="550E6A4C">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根据工程分析，项目运营期生活污水产生量为2.24m</w:t>
            </w:r>
            <w:r>
              <w:rPr>
                <w:rFonts w:hint="eastAsia"/>
                <w:sz w:val="24"/>
                <w:szCs w:val="24"/>
                <w:vertAlign w:val="superscript"/>
                <w:lang w:val="en-US" w:eastAsia="zh-CN"/>
              </w:rPr>
              <w:t>3</w:t>
            </w:r>
            <w:r>
              <w:rPr>
                <w:rFonts w:hint="eastAsia"/>
                <w:sz w:val="24"/>
                <w:szCs w:val="24"/>
                <w:lang w:val="en-US" w:eastAsia="zh-CN"/>
              </w:rPr>
              <w:t>/d，739.2m</w:t>
            </w:r>
            <w:r>
              <w:rPr>
                <w:rFonts w:hint="eastAsia"/>
                <w:sz w:val="24"/>
                <w:szCs w:val="24"/>
                <w:vertAlign w:val="superscript"/>
                <w:lang w:val="en-US" w:eastAsia="zh-CN"/>
              </w:rPr>
              <w:t>3</w:t>
            </w:r>
            <w:r>
              <w:rPr>
                <w:rFonts w:hint="eastAsia"/>
                <w:sz w:val="24"/>
                <w:szCs w:val="24"/>
                <w:lang w:val="en-US" w:eastAsia="zh-CN"/>
              </w:rPr>
              <w:t>/a，经化粪池处理达到《污水综合排放》（GB8978-1996）三级标准和大榄坪污水处理厂进水水质标准后经市政污水管网进入大榄坪污水处理厂进一步处理。</w:t>
            </w:r>
          </w:p>
          <w:p w14:paraId="67B1B63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根据中华人民共和国生态环境部发布的《排放源统计调查产排污核算方法和系数手册》－生活污染源产排污系数手册，本项目位于广西壮族自治区南宁市，属于五区城市，城镇综合生活污水排放至环境水体或集中式污染治理设施前的产污系数为COD：285mg/L、NH3-N：28.3mg/L、TN：39.4mg/L、TP：4.10mg/L，生活污水污染物的综合去除效率为COD：64%、NH3-N：53%、TN：46%、TP：48%。生活污水各主要污染物产生及排放情况见下表</w:t>
            </w:r>
            <w:r>
              <w:rPr>
                <w:rFonts w:hint="eastAsia" w:ascii="Times New Roman" w:hAnsi="Times New Roman" w:cs="Times New Roman"/>
                <w:kern w:val="2"/>
                <w:sz w:val="24"/>
                <w:szCs w:val="24"/>
                <w:lang w:val="en-US" w:eastAsia="zh-CN" w:bidi="ar-SA"/>
              </w:rPr>
              <w:t>4-6</w:t>
            </w:r>
            <w:r>
              <w:rPr>
                <w:rFonts w:hint="default" w:ascii="Times New Roman" w:hAnsi="Times New Roman" w:eastAsia="宋体" w:cs="Times New Roman"/>
                <w:kern w:val="2"/>
                <w:sz w:val="24"/>
                <w:szCs w:val="24"/>
                <w:lang w:val="en-US" w:eastAsia="zh-CN" w:bidi="ar-SA"/>
              </w:rPr>
              <w:t>：</w:t>
            </w:r>
          </w:p>
          <w:p w14:paraId="298D39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表4-6 项目生活污水产排情况一览表</w:t>
            </w:r>
          </w:p>
          <w:tbl>
            <w:tblPr>
              <w:tblStyle w:val="16"/>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12"/>
              <w:gridCol w:w="1264"/>
              <w:gridCol w:w="1264"/>
              <w:gridCol w:w="1264"/>
              <w:gridCol w:w="1280"/>
            </w:tblGrid>
            <w:tr w14:paraId="6C83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restart"/>
                  <w:vAlign w:val="center"/>
                </w:tcPr>
                <w:p w14:paraId="0AF0444F">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b/>
                      <w:bCs/>
                      <w:szCs w:val="21"/>
                    </w:rPr>
                    <w:t>污染源</w:t>
                  </w:r>
                </w:p>
              </w:tc>
              <w:tc>
                <w:tcPr>
                  <w:tcW w:w="1612" w:type="dxa"/>
                  <w:vMerge w:val="restart"/>
                  <w:vAlign w:val="center"/>
                </w:tcPr>
                <w:p w14:paraId="2C6EC7F4">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b/>
                      <w:bCs/>
                      <w:szCs w:val="21"/>
                    </w:rPr>
                    <w:t>项目</w:t>
                  </w:r>
                </w:p>
              </w:tc>
              <w:tc>
                <w:tcPr>
                  <w:tcW w:w="5072" w:type="dxa"/>
                  <w:gridSpan w:val="4"/>
                  <w:vAlign w:val="center"/>
                </w:tcPr>
                <w:p w14:paraId="1169959A">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b/>
                      <w:bCs/>
                      <w:szCs w:val="21"/>
                    </w:rPr>
                    <w:t>污染物</w:t>
                  </w:r>
                </w:p>
              </w:tc>
            </w:tr>
            <w:tr w14:paraId="1682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2C7E1AEB">
                  <w:pPr>
                    <w:keepNext w:val="0"/>
                    <w:keepLines w:val="0"/>
                    <w:pageBreakBefore w:val="0"/>
                    <w:widowControl w:val="0"/>
                    <w:kinsoku/>
                    <w:wordWrap/>
                    <w:overflowPunct/>
                    <w:topLinePunct w:val="0"/>
                    <w:autoSpaceDE/>
                    <w:autoSpaceDN/>
                    <w:bidi w:val="0"/>
                    <w:adjustRightInd/>
                    <w:snapToGrid/>
                    <w:jc w:val="center"/>
                    <w:textAlignment w:val="auto"/>
                    <w:rPr>
                      <w:b/>
                      <w:bCs/>
                      <w:szCs w:val="21"/>
                    </w:rPr>
                  </w:pPr>
                </w:p>
              </w:tc>
              <w:tc>
                <w:tcPr>
                  <w:tcW w:w="1612" w:type="dxa"/>
                  <w:vMerge w:val="continue"/>
                  <w:vAlign w:val="center"/>
                </w:tcPr>
                <w:p w14:paraId="16DEAE20">
                  <w:pPr>
                    <w:keepNext w:val="0"/>
                    <w:keepLines w:val="0"/>
                    <w:pageBreakBefore w:val="0"/>
                    <w:widowControl w:val="0"/>
                    <w:kinsoku/>
                    <w:wordWrap/>
                    <w:overflowPunct/>
                    <w:topLinePunct w:val="0"/>
                    <w:autoSpaceDE/>
                    <w:autoSpaceDN/>
                    <w:bidi w:val="0"/>
                    <w:adjustRightInd/>
                    <w:snapToGrid/>
                    <w:jc w:val="center"/>
                    <w:textAlignment w:val="auto"/>
                    <w:rPr>
                      <w:b/>
                      <w:bCs/>
                      <w:szCs w:val="21"/>
                    </w:rPr>
                  </w:pPr>
                </w:p>
              </w:tc>
              <w:tc>
                <w:tcPr>
                  <w:tcW w:w="1264" w:type="dxa"/>
                  <w:vAlign w:val="center"/>
                </w:tcPr>
                <w:p w14:paraId="6687F4E2">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b/>
                      <w:bCs/>
                      <w:szCs w:val="21"/>
                    </w:rPr>
                    <w:t>COD</w:t>
                  </w:r>
                </w:p>
              </w:tc>
              <w:tc>
                <w:tcPr>
                  <w:tcW w:w="1264" w:type="dxa"/>
                  <w:vAlign w:val="center"/>
                </w:tcPr>
                <w:p w14:paraId="26489F19">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b/>
                      <w:bCs/>
                      <w:szCs w:val="21"/>
                    </w:rPr>
                    <w:t>NH</w:t>
                  </w:r>
                  <w:r>
                    <w:rPr>
                      <w:b/>
                      <w:bCs/>
                      <w:szCs w:val="21"/>
                      <w:vertAlign w:val="subscript"/>
                    </w:rPr>
                    <w:t>3</w:t>
                  </w:r>
                  <w:r>
                    <w:rPr>
                      <w:b/>
                      <w:bCs/>
                      <w:szCs w:val="21"/>
                    </w:rPr>
                    <w:t>-N</w:t>
                  </w:r>
                </w:p>
              </w:tc>
              <w:tc>
                <w:tcPr>
                  <w:tcW w:w="1264" w:type="dxa"/>
                  <w:vAlign w:val="center"/>
                </w:tcPr>
                <w:p w14:paraId="5C2C7A76">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rFonts w:hint="eastAsia"/>
                      <w:b/>
                      <w:bCs/>
                      <w:szCs w:val="21"/>
                    </w:rPr>
                    <w:t>TN</w:t>
                  </w:r>
                </w:p>
              </w:tc>
              <w:tc>
                <w:tcPr>
                  <w:tcW w:w="1280" w:type="dxa"/>
                  <w:vAlign w:val="center"/>
                </w:tcPr>
                <w:p w14:paraId="7FD6FC97">
                  <w:pPr>
                    <w:keepNext w:val="0"/>
                    <w:keepLines w:val="0"/>
                    <w:pageBreakBefore w:val="0"/>
                    <w:widowControl w:val="0"/>
                    <w:kinsoku/>
                    <w:wordWrap/>
                    <w:overflowPunct/>
                    <w:topLinePunct w:val="0"/>
                    <w:autoSpaceDE/>
                    <w:autoSpaceDN/>
                    <w:bidi w:val="0"/>
                    <w:adjustRightInd/>
                    <w:snapToGrid/>
                    <w:jc w:val="center"/>
                    <w:textAlignment w:val="auto"/>
                    <w:rPr>
                      <w:b/>
                      <w:bCs/>
                      <w:szCs w:val="21"/>
                    </w:rPr>
                  </w:pPr>
                  <w:r>
                    <w:rPr>
                      <w:rFonts w:hint="eastAsia"/>
                      <w:b/>
                      <w:bCs/>
                      <w:szCs w:val="21"/>
                    </w:rPr>
                    <w:t>TP</w:t>
                  </w:r>
                </w:p>
              </w:tc>
            </w:tr>
            <w:tr w14:paraId="074C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4" w:type="dxa"/>
                  <w:vMerge w:val="restart"/>
                  <w:vAlign w:val="center"/>
                </w:tcPr>
                <w:p w14:paraId="027B31AF">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生活污水</w:t>
                  </w:r>
                </w:p>
                <w:p w14:paraId="1D323582">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lang w:val="en-US" w:eastAsia="zh-CN"/>
                    </w:rPr>
                    <w:t>739.2</w:t>
                  </w:r>
                  <w:r>
                    <w:rPr>
                      <w:szCs w:val="21"/>
                    </w:rPr>
                    <w:t>m</w:t>
                  </w:r>
                  <w:r>
                    <w:rPr>
                      <w:szCs w:val="21"/>
                      <w:vertAlign w:val="superscript"/>
                    </w:rPr>
                    <w:t>3</w:t>
                  </w:r>
                  <w:r>
                    <w:rPr>
                      <w:szCs w:val="21"/>
                    </w:rPr>
                    <w:t>/a</w:t>
                  </w:r>
                </w:p>
              </w:tc>
              <w:tc>
                <w:tcPr>
                  <w:tcW w:w="1612" w:type="dxa"/>
                  <w:vAlign w:val="center"/>
                </w:tcPr>
                <w:p w14:paraId="31A06B97">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产生浓度（mg/L）</w:t>
                  </w:r>
                </w:p>
              </w:tc>
              <w:tc>
                <w:tcPr>
                  <w:tcW w:w="1264" w:type="dxa"/>
                  <w:vAlign w:val="center"/>
                </w:tcPr>
                <w:p w14:paraId="1B5BE20F">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792</w:t>
                  </w:r>
                </w:p>
              </w:tc>
              <w:tc>
                <w:tcPr>
                  <w:tcW w:w="1264" w:type="dxa"/>
                  <w:vAlign w:val="center"/>
                </w:tcPr>
                <w:p w14:paraId="27C6269F">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60</w:t>
                  </w:r>
                </w:p>
              </w:tc>
              <w:tc>
                <w:tcPr>
                  <w:tcW w:w="1264" w:type="dxa"/>
                  <w:vAlign w:val="center"/>
                </w:tcPr>
                <w:p w14:paraId="4CA893BE">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73</w:t>
                  </w:r>
                </w:p>
              </w:tc>
              <w:tc>
                <w:tcPr>
                  <w:tcW w:w="1280" w:type="dxa"/>
                  <w:vAlign w:val="center"/>
                </w:tcPr>
                <w:p w14:paraId="1E872549">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7.9</w:t>
                  </w:r>
                </w:p>
              </w:tc>
            </w:tr>
            <w:tr w14:paraId="7E95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26E69D7D">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009E583A">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产生量t/a</w:t>
                  </w:r>
                </w:p>
              </w:tc>
              <w:tc>
                <w:tcPr>
                  <w:tcW w:w="1264" w:type="dxa"/>
                  <w:vAlign w:val="center"/>
                </w:tcPr>
                <w:p w14:paraId="0C9C11E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0.59</w:t>
                  </w:r>
                </w:p>
              </w:tc>
              <w:tc>
                <w:tcPr>
                  <w:tcW w:w="1264" w:type="dxa"/>
                  <w:vAlign w:val="center"/>
                </w:tcPr>
                <w:p w14:paraId="369D8472">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0.04</w:t>
                  </w:r>
                </w:p>
              </w:tc>
              <w:tc>
                <w:tcPr>
                  <w:tcW w:w="1264" w:type="dxa"/>
                  <w:vAlign w:val="center"/>
                </w:tcPr>
                <w:p w14:paraId="12A38048">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0.05</w:t>
                  </w:r>
                </w:p>
              </w:tc>
              <w:tc>
                <w:tcPr>
                  <w:tcW w:w="1280" w:type="dxa"/>
                  <w:vAlign w:val="center"/>
                </w:tcPr>
                <w:p w14:paraId="5E4E31FB">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0.006</w:t>
                  </w:r>
                </w:p>
              </w:tc>
            </w:tr>
            <w:tr w14:paraId="3727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1B0F2C6F">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02EAA2E5">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处理设施</w:t>
                  </w:r>
                </w:p>
              </w:tc>
              <w:tc>
                <w:tcPr>
                  <w:tcW w:w="5072" w:type="dxa"/>
                  <w:gridSpan w:val="4"/>
                  <w:vAlign w:val="center"/>
                </w:tcPr>
                <w:p w14:paraId="54505942">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三级化粪池</w:t>
                  </w:r>
                </w:p>
              </w:tc>
            </w:tr>
            <w:tr w14:paraId="424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75229907">
                  <w:pPr>
                    <w:keepNext w:val="0"/>
                    <w:keepLines w:val="0"/>
                    <w:pageBreakBefore w:val="0"/>
                    <w:widowControl w:val="0"/>
                    <w:kinsoku/>
                    <w:wordWrap/>
                    <w:overflowPunct/>
                    <w:topLinePunct w:val="0"/>
                    <w:autoSpaceDE/>
                    <w:autoSpaceDN/>
                    <w:bidi w:val="0"/>
                    <w:adjustRightInd/>
                    <w:snapToGrid/>
                    <w:jc w:val="center"/>
                    <w:textAlignment w:val="auto"/>
                  </w:pPr>
                </w:p>
              </w:tc>
              <w:tc>
                <w:tcPr>
                  <w:tcW w:w="1612" w:type="dxa"/>
                  <w:vAlign w:val="center"/>
                </w:tcPr>
                <w:p w14:paraId="438B1D48">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去除效率</w:t>
                  </w:r>
                </w:p>
              </w:tc>
              <w:tc>
                <w:tcPr>
                  <w:tcW w:w="1264" w:type="dxa"/>
                  <w:vAlign w:val="center"/>
                </w:tcPr>
                <w:p w14:paraId="247499B6">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64%</w:t>
                  </w:r>
                </w:p>
              </w:tc>
              <w:tc>
                <w:tcPr>
                  <w:tcW w:w="1264" w:type="dxa"/>
                  <w:vAlign w:val="center"/>
                </w:tcPr>
                <w:p w14:paraId="588A93F6">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53%</w:t>
                  </w:r>
                </w:p>
              </w:tc>
              <w:tc>
                <w:tcPr>
                  <w:tcW w:w="1264" w:type="dxa"/>
                  <w:vAlign w:val="center"/>
                </w:tcPr>
                <w:p w14:paraId="604CA4F8">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46%</w:t>
                  </w:r>
                </w:p>
              </w:tc>
              <w:tc>
                <w:tcPr>
                  <w:tcW w:w="1280" w:type="dxa"/>
                  <w:vAlign w:val="center"/>
                </w:tcPr>
                <w:p w14:paraId="7B6E895F">
                  <w:pPr>
                    <w:keepNext w:val="0"/>
                    <w:keepLines w:val="0"/>
                    <w:pageBreakBefore w:val="0"/>
                    <w:widowControl w:val="0"/>
                    <w:kinsoku/>
                    <w:wordWrap/>
                    <w:overflowPunct/>
                    <w:topLinePunct w:val="0"/>
                    <w:autoSpaceDE/>
                    <w:autoSpaceDN/>
                    <w:bidi w:val="0"/>
                    <w:adjustRightInd/>
                    <w:snapToGrid/>
                    <w:jc w:val="center"/>
                    <w:textAlignment w:val="auto"/>
                    <w:rPr>
                      <w:szCs w:val="21"/>
                    </w:rPr>
                  </w:pPr>
                  <w:r>
                    <w:rPr>
                      <w:rFonts w:hint="eastAsia"/>
                      <w:szCs w:val="21"/>
                    </w:rPr>
                    <w:t>48%</w:t>
                  </w:r>
                </w:p>
              </w:tc>
            </w:tr>
            <w:tr w14:paraId="6BDA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94" w:type="dxa"/>
                  <w:vMerge w:val="continue"/>
                  <w:vAlign w:val="center"/>
                </w:tcPr>
                <w:p w14:paraId="2C52E6A0">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5AF84279">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排放浓度（mg/L）</w:t>
                  </w:r>
                </w:p>
              </w:tc>
              <w:tc>
                <w:tcPr>
                  <w:tcW w:w="1264" w:type="dxa"/>
                  <w:vAlign w:val="center"/>
                </w:tcPr>
                <w:p w14:paraId="4E733945">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285</w:t>
                  </w:r>
                </w:p>
              </w:tc>
              <w:tc>
                <w:tcPr>
                  <w:tcW w:w="1264" w:type="dxa"/>
                  <w:vAlign w:val="center"/>
                </w:tcPr>
                <w:p w14:paraId="69A9713D">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28.3</w:t>
                  </w:r>
                </w:p>
              </w:tc>
              <w:tc>
                <w:tcPr>
                  <w:tcW w:w="1264" w:type="dxa"/>
                  <w:vAlign w:val="center"/>
                </w:tcPr>
                <w:p w14:paraId="0013D74A">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39.4</w:t>
                  </w:r>
                </w:p>
              </w:tc>
              <w:tc>
                <w:tcPr>
                  <w:tcW w:w="1280" w:type="dxa"/>
                  <w:vAlign w:val="center"/>
                </w:tcPr>
                <w:p w14:paraId="45473B79">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4.10</w:t>
                  </w:r>
                </w:p>
              </w:tc>
            </w:tr>
            <w:tr w14:paraId="0603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3769395D">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6483C493">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排放量t/a</w:t>
                  </w:r>
                </w:p>
              </w:tc>
              <w:tc>
                <w:tcPr>
                  <w:tcW w:w="1264" w:type="dxa"/>
                  <w:vAlign w:val="center"/>
                </w:tcPr>
                <w:p w14:paraId="68E8E024">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0.21</w:t>
                  </w:r>
                </w:p>
              </w:tc>
              <w:tc>
                <w:tcPr>
                  <w:tcW w:w="1264" w:type="dxa"/>
                  <w:vAlign w:val="center"/>
                </w:tcPr>
                <w:p w14:paraId="7A9061DA">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0.02</w:t>
                  </w:r>
                </w:p>
              </w:tc>
              <w:tc>
                <w:tcPr>
                  <w:tcW w:w="1264" w:type="dxa"/>
                  <w:vAlign w:val="center"/>
                </w:tcPr>
                <w:p w14:paraId="43834B86">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0.03</w:t>
                  </w:r>
                </w:p>
              </w:tc>
              <w:tc>
                <w:tcPr>
                  <w:tcW w:w="1280" w:type="dxa"/>
                  <w:vAlign w:val="center"/>
                </w:tcPr>
                <w:p w14:paraId="55FE200F">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0.003</w:t>
                  </w:r>
                </w:p>
              </w:tc>
            </w:tr>
            <w:tr w14:paraId="4757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94" w:type="dxa"/>
                  <w:vMerge w:val="continue"/>
                  <w:vAlign w:val="center"/>
                </w:tcPr>
                <w:p w14:paraId="0779E39A">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79B43EFB">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排放方式</w:t>
                  </w:r>
                </w:p>
              </w:tc>
              <w:tc>
                <w:tcPr>
                  <w:tcW w:w="5072" w:type="dxa"/>
                  <w:gridSpan w:val="4"/>
                  <w:vAlign w:val="center"/>
                </w:tcPr>
                <w:p w14:paraId="5BA2F3F6">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委托</w:t>
                  </w:r>
                  <w:r>
                    <w:rPr>
                      <w:rFonts w:hint="eastAsia" w:eastAsia="宋体"/>
                      <w:szCs w:val="21"/>
                      <w:lang w:val="en-US" w:eastAsia="zh-CN"/>
                    </w:rPr>
                    <w:t>处置</w:t>
                  </w:r>
                </w:p>
              </w:tc>
            </w:tr>
            <w:tr w14:paraId="221B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94" w:type="dxa"/>
                  <w:vMerge w:val="continue"/>
                  <w:vAlign w:val="center"/>
                </w:tcPr>
                <w:p w14:paraId="76F85B11">
                  <w:pPr>
                    <w:keepNext w:val="0"/>
                    <w:keepLines w:val="0"/>
                    <w:pageBreakBefore w:val="0"/>
                    <w:widowControl w:val="0"/>
                    <w:kinsoku/>
                    <w:wordWrap/>
                    <w:overflowPunct/>
                    <w:topLinePunct w:val="0"/>
                    <w:autoSpaceDE/>
                    <w:autoSpaceDN/>
                    <w:bidi w:val="0"/>
                    <w:adjustRightInd/>
                    <w:snapToGrid/>
                    <w:jc w:val="center"/>
                    <w:textAlignment w:val="auto"/>
                    <w:rPr>
                      <w:szCs w:val="21"/>
                    </w:rPr>
                  </w:pPr>
                </w:p>
              </w:tc>
              <w:tc>
                <w:tcPr>
                  <w:tcW w:w="1612" w:type="dxa"/>
                  <w:vAlign w:val="center"/>
                </w:tcPr>
                <w:p w14:paraId="728AA4CE">
                  <w:pPr>
                    <w:keepNext w:val="0"/>
                    <w:keepLines w:val="0"/>
                    <w:pageBreakBefore w:val="0"/>
                    <w:widowControl w:val="0"/>
                    <w:kinsoku/>
                    <w:wordWrap/>
                    <w:overflowPunct/>
                    <w:topLinePunct w:val="0"/>
                    <w:autoSpaceDE/>
                    <w:autoSpaceDN/>
                    <w:bidi w:val="0"/>
                    <w:adjustRightInd/>
                    <w:snapToGrid/>
                    <w:jc w:val="center"/>
                    <w:textAlignment w:val="auto"/>
                    <w:rPr>
                      <w:szCs w:val="21"/>
                    </w:rPr>
                  </w:pPr>
                  <w:r>
                    <w:rPr>
                      <w:szCs w:val="21"/>
                    </w:rPr>
                    <w:t>排放去向</w:t>
                  </w:r>
                </w:p>
              </w:tc>
              <w:tc>
                <w:tcPr>
                  <w:tcW w:w="5072" w:type="dxa"/>
                  <w:gridSpan w:val="4"/>
                  <w:vAlign w:val="center"/>
                </w:tcPr>
                <w:p w14:paraId="44042D94">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Cs w:val="21"/>
                      <w:lang w:val="en-US" w:eastAsia="zh-CN"/>
                    </w:rPr>
                  </w:pPr>
                  <w:r>
                    <w:rPr>
                      <w:rFonts w:hint="eastAsia"/>
                      <w:szCs w:val="21"/>
                      <w:lang w:val="en-US" w:eastAsia="zh-CN"/>
                    </w:rPr>
                    <w:t>经市政污水管网进入大榄坪污水处理厂进一步处理</w:t>
                  </w:r>
                </w:p>
              </w:tc>
            </w:tr>
          </w:tbl>
          <w:p w14:paraId="0BF21ACA">
            <w:pPr>
              <w:pStyle w:val="15"/>
              <w:keepNext w:val="0"/>
              <w:keepLines w:val="0"/>
              <w:pageBreakBefore w:val="0"/>
              <w:widowControl w:val="0"/>
              <w:numPr>
                <w:ilvl w:val="0"/>
                <w:numId w:val="13"/>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初期雨水</w:t>
            </w:r>
          </w:p>
          <w:p w14:paraId="4B20D9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项目设置一座初期雨水池，容积为</w:t>
            </w:r>
            <w:r>
              <w:rPr>
                <w:rFonts w:hint="eastAsia" w:cs="Times New Roman"/>
                <w:kern w:val="2"/>
                <w:sz w:val="24"/>
                <w:szCs w:val="24"/>
                <w:lang w:val="en-US" w:eastAsia="zh-CN" w:bidi="ar-SA"/>
              </w:rPr>
              <w:t>400</w:t>
            </w:r>
            <w:r>
              <w:rPr>
                <w:rFonts w:hint="eastAsia" w:ascii="Times New Roman" w:hAnsi="Times New Roman" w:eastAsia="宋体" w:cs="Times New Roman"/>
                <w:kern w:val="2"/>
                <w:sz w:val="24"/>
                <w:szCs w:val="24"/>
                <w:lang w:val="en-US" w:eastAsia="zh-CN" w:bidi="ar-SA"/>
              </w:rPr>
              <w:t>m</w:t>
            </w:r>
            <w:r>
              <w:rPr>
                <w:rFonts w:hint="eastAsia" w:ascii="Times New Roman" w:hAnsi="Times New Roman" w:eastAsia="宋体" w:cs="Times New Roman"/>
                <w:kern w:val="2"/>
                <w:sz w:val="24"/>
                <w:szCs w:val="24"/>
                <w:vertAlign w:val="superscript"/>
                <w:lang w:val="en-US" w:eastAsia="zh-CN" w:bidi="ar-SA"/>
              </w:rPr>
              <w:t>3</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项目</w:t>
            </w:r>
            <w:r>
              <w:rPr>
                <w:rFonts w:hint="eastAsia" w:ascii="Times New Roman" w:hAnsi="Times New Roman" w:eastAsia="宋体" w:cs="Times New Roman"/>
                <w:kern w:val="2"/>
                <w:sz w:val="24"/>
                <w:szCs w:val="24"/>
                <w:lang w:val="en-US" w:eastAsia="zh-CN" w:bidi="ar-SA"/>
              </w:rPr>
              <w:t>收集的初期雨水经沉淀后回用于车辆、地面冲洗等用水，不外排。根据《有色金属工业环境保护工程设计》（</w:t>
            </w:r>
            <w:r>
              <w:rPr>
                <w:rFonts w:hint="default" w:ascii="Times New Roman" w:hAnsi="Times New Roman" w:eastAsia="宋体" w:cs="Times New Roman"/>
                <w:kern w:val="2"/>
                <w:sz w:val="24"/>
                <w:szCs w:val="24"/>
                <w:lang w:val="en-US" w:eastAsia="zh-CN" w:bidi="ar-SA"/>
              </w:rPr>
              <w:t>GB50988-2014</w:t>
            </w:r>
            <w:r>
              <w:rPr>
                <w:rFonts w:hint="eastAsia" w:ascii="Times New Roman" w:hAnsi="Times New Roman" w:eastAsia="宋体" w:cs="Times New Roman"/>
                <w:kern w:val="2"/>
                <w:sz w:val="24"/>
                <w:szCs w:val="24"/>
                <w:lang w:val="en-US" w:eastAsia="zh-CN" w:bidi="ar-SA"/>
              </w:rPr>
              <w:t>）的相关要求，收集的初期雨水应当在</w:t>
            </w: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日内全部利用</w:t>
            </w:r>
            <w:r>
              <w:rPr>
                <w:rFonts w:hint="eastAsia" w:cs="Times New Roman"/>
                <w:kern w:val="2"/>
                <w:sz w:val="24"/>
                <w:szCs w:val="24"/>
                <w:lang w:val="en-US" w:eastAsia="zh-CN" w:bidi="ar-SA"/>
              </w:rPr>
              <w:t>。钦州市暴雨公式计算如下：</w:t>
            </w:r>
          </w:p>
          <w:p w14:paraId="1D7C30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cs="Times New Roman"/>
                <w:kern w:val="2"/>
                <w:sz w:val="24"/>
                <w:szCs w:val="24"/>
                <w:lang w:val="en-US" w:eastAsia="zh-CN" w:bidi="ar-SA"/>
              </w:rPr>
            </w:pPr>
            <w:r>
              <w:rPr>
                <w:rFonts w:hint="default" w:ascii="Times New Roman" w:hAnsi="Times New Roman" w:cs="Times New Roman"/>
                <w:color w:val="auto"/>
                <w:position w:val="-30"/>
                <w:sz w:val="24"/>
                <w:szCs w:val="24"/>
                <w:highlight w:val="none"/>
                <w:u w:val="none"/>
              </w:rPr>
              <w:object>
                <v:shape id="_x0000_i1028" o:spt="75" type="#_x0000_t75" style="height:42.75pt;width:140.8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p w14:paraId="6C767C8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式中：q——暴雨强度（L/s·hm</w:t>
            </w:r>
            <w:r>
              <w:rPr>
                <w:rFonts w:hint="default"/>
                <w:sz w:val="24"/>
                <w:szCs w:val="24"/>
                <w:vertAlign w:val="superscript"/>
                <w:lang w:val="en-US" w:eastAsia="zh-CN"/>
              </w:rPr>
              <w:t>2</w:t>
            </w:r>
            <w:r>
              <w:rPr>
                <w:rFonts w:hint="default"/>
                <w:sz w:val="24"/>
                <w:szCs w:val="24"/>
                <w:lang w:val="en-US" w:eastAsia="zh-CN"/>
              </w:rPr>
              <w:t>）；</w:t>
            </w:r>
          </w:p>
          <w:p w14:paraId="4FAD8D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 xml:space="preserve">      P——重现期，取2年；</w:t>
            </w:r>
          </w:p>
          <w:p w14:paraId="4F1F26FA">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 xml:space="preserve">      t——降雨历时（min），取15min；</w:t>
            </w:r>
          </w:p>
          <w:p w14:paraId="01BDAD3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经计算，钦州市暴雨强度q为361.04L/s•hm</w:t>
            </w:r>
            <w:r>
              <w:rPr>
                <w:rFonts w:hint="default"/>
                <w:sz w:val="24"/>
                <w:szCs w:val="24"/>
                <w:vertAlign w:val="superscript"/>
                <w:lang w:val="en-US" w:eastAsia="zh-CN"/>
              </w:rPr>
              <w:t>2</w:t>
            </w:r>
            <w:r>
              <w:rPr>
                <w:rFonts w:hint="default"/>
                <w:sz w:val="24"/>
                <w:szCs w:val="24"/>
                <w:lang w:val="en-US" w:eastAsia="zh-CN"/>
              </w:rPr>
              <w:t>。</w:t>
            </w:r>
          </w:p>
          <w:p w14:paraId="6A3FE87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sz w:val="24"/>
                <w:szCs w:val="24"/>
                <w:lang w:val="en-US" w:eastAsia="zh-CN"/>
              </w:rPr>
            </w:pPr>
            <w:r>
              <w:rPr>
                <w:rFonts w:hint="default"/>
                <w:sz w:val="24"/>
                <w:szCs w:val="24"/>
                <w:lang w:val="en-US" w:eastAsia="zh-CN"/>
              </w:rPr>
              <w:t>Q= qFΨT</w:t>
            </w:r>
          </w:p>
          <w:p w14:paraId="7FB8E595">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式中：Q——初期雨水排放量；</w:t>
            </w:r>
          </w:p>
          <w:p w14:paraId="36316E7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 xml:space="preserve">      F——汇水面积（公顷）</w:t>
            </w:r>
            <w:r>
              <w:rPr>
                <w:rFonts w:hint="eastAsia"/>
                <w:sz w:val="24"/>
                <w:szCs w:val="24"/>
                <w:lang w:val="en-US" w:eastAsia="zh-CN"/>
              </w:rPr>
              <w:t>，本项目汇水面积为12000m</w:t>
            </w:r>
            <w:r>
              <w:rPr>
                <w:rFonts w:hint="eastAsia"/>
                <w:sz w:val="24"/>
                <w:szCs w:val="24"/>
                <w:vertAlign w:val="superscript"/>
                <w:lang w:val="en-US" w:eastAsia="zh-CN"/>
              </w:rPr>
              <w:t>2</w:t>
            </w:r>
            <w:r>
              <w:rPr>
                <w:rFonts w:hint="default"/>
                <w:sz w:val="24"/>
                <w:szCs w:val="24"/>
                <w:lang w:val="en-US" w:eastAsia="zh-CN"/>
              </w:rPr>
              <w:t>；</w:t>
            </w:r>
          </w:p>
          <w:p w14:paraId="0EEA6C2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 xml:space="preserve">      Ψ——为径流系数（径流系数取0.9）；</w:t>
            </w:r>
          </w:p>
          <w:p w14:paraId="7552AE96">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sz w:val="24"/>
                <w:szCs w:val="24"/>
                <w:lang w:val="en-US" w:eastAsia="zh-CN"/>
              </w:rPr>
            </w:pPr>
            <w:r>
              <w:rPr>
                <w:rFonts w:hint="default"/>
                <w:sz w:val="24"/>
                <w:szCs w:val="24"/>
                <w:lang w:val="en-US" w:eastAsia="zh-CN"/>
              </w:rPr>
              <w:t xml:space="preserve">      T——为集水时间，取15min。</w:t>
            </w:r>
          </w:p>
          <w:p w14:paraId="08960AF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default"/>
                <w:sz w:val="24"/>
                <w:szCs w:val="24"/>
                <w:lang w:val="en-US" w:eastAsia="zh-CN"/>
              </w:rPr>
              <w:t>根据计算可得出，项目厂区初期雨水量为</w:t>
            </w:r>
            <w:r>
              <w:rPr>
                <w:rFonts w:hint="eastAsia"/>
                <w:sz w:val="24"/>
                <w:szCs w:val="24"/>
                <w:lang w:val="en-US" w:eastAsia="zh-CN"/>
              </w:rPr>
              <w:t>350.9</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/次</w:t>
            </w:r>
            <w:r>
              <w:rPr>
                <w:rFonts w:hint="eastAsia"/>
                <w:sz w:val="24"/>
                <w:szCs w:val="24"/>
                <w:lang w:val="en-US" w:eastAsia="zh-CN"/>
              </w:rPr>
              <w:t>。本次评价建议建设单位</w:t>
            </w:r>
            <w:r>
              <w:rPr>
                <w:rFonts w:hint="default"/>
                <w:sz w:val="24"/>
                <w:szCs w:val="24"/>
                <w:lang w:val="en-US" w:eastAsia="zh-CN"/>
              </w:rPr>
              <w:t>设置</w:t>
            </w:r>
            <w:r>
              <w:rPr>
                <w:rFonts w:hint="eastAsia"/>
                <w:sz w:val="24"/>
                <w:szCs w:val="24"/>
                <w:lang w:val="en-US" w:eastAsia="zh-CN"/>
              </w:rPr>
              <w:t>一座</w:t>
            </w:r>
            <w:r>
              <w:rPr>
                <w:rFonts w:hint="default"/>
                <w:sz w:val="24"/>
                <w:szCs w:val="24"/>
                <w:lang w:val="en-US" w:eastAsia="zh-CN"/>
              </w:rPr>
              <w:t>容积为</w:t>
            </w:r>
            <w:r>
              <w:rPr>
                <w:rFonts w:hint="eastAsia"/>
                <w:sz w:val="24"/>
                <w:szCs w:val="24"/>
                <w:lang w:val="en-US" w:eastAsia="zh-CN"/>
              </w:rPr>
              <w:t>400</w:t>
            </w:r>
            <w:r>
              <w:rPr>
                <w:rFonts w:hint="default"/>
                <w:sz w:val="24"/>
                <w:szCs w:val="24"/>
                <w:lang w:val="en-US" w:eastAsia="zh-CN"/>
              </w:rPr>
              <w:t>m</w:t>
            </w:r>
            <w:r>
              <w:rPr>
                <w:rFonts w:hint="default"/>
                <w:sz w:val="24"/>
                <w:szCs w:val="24"/>
                <w:vertAlign w:val="superscript"/>
                <w:lang w:val="en-US" w:eastAsia="zh-CN"/>
              </w:rPr>
              <w:t>3</w:t>
            </w:r>
            <w:r>
              <w:rPr>
                <w:rFonts w:hint="eastAsia"/>
                <w:sz w:val="24"/>
                <w:szCs w:val="24"/>
                <w:vertAlign w:val="baseline"/>
                <w:lang w:val="en-US" w:eastAsia="zh-CN"/>
              </w:rPr>
              <w:t>的</w:t>
            </w:r>
            <w:r>
              <w:rPr>
                <w:rFonts w:hint="default"/>
                <w:sz w:val="24"/>
                <w:szCs w:val="24"/>
                <w:lang w:val="en-US" w:eastAsia="zh-CN"/>
              </w:rPr>
              <w:t>雨水收集池，完全可容纳项目产生的初期雨水。初期雨水收集于</w:t>
            </w:r>
            <w:r>
              <w:rPr>
                <w:rFonts w:hint="eastAsia"/>
                <w:sz w:val="24"/>
                <w:szCs w:val="24"/>
                <w:lang w:val="en-US" w:eastAsia="zh-CN"/>
              </w:rPr>
              <w:t>初期雨水池</w:t>
            </w:r>
            <w:r>
              <w:rPr>
                <w:rFonts w:hint="default"/>
                <w:sz w:val="24"/>
                <w:szCs w:val="24"/>
                <w:lang w:val="en-US" w:eastAsia="zh-CN"/>
              </w:rPr>
              <w:t>，</w:t>
            </w:r>
            <w:r>
              <w:rPr>
                <w:rFonts w:hint="eastAsia"/>
                <w:sz w:val="24"/>
                <w:szCs w:val="24"/>
                <w:lang w:val="en-US" w:eastAsia="zh-CN"/>
              </w:rPr>
              <w:t>经沉淀后</w:t>
            </w:r>
            <w:r>
              <w:rPr>
                <w:rFonts w:hint="default"/>
                <w:sz w:val="24"/>
                <w:szCs w:val="24"/>
                <w:lang w:val="en-US" w:eastAsia="zh-CN"/>
              </w:rPr>
              <w:t>回用</w:t>
            </w:r>
            <w:r>
              <w:rPr>
                <w:rFonts w:hint="eastAsia"/>
                <w:sz w:val="24"/>
                <w:szCs w:val="24"/>
                <w:lang w:val="en-US" w:eastAsia="zh-CN"/>
              </w:rPr>
              <w:t>于车辆、地面冲洗用水</w:t>
            </w:r>
            <w:r>
              <w:rPr>
                <w:rFonts w:hint="default"/>
                <w:sz w:val="24"/>
                <w:szCs w:val="24"/>
                <w:lang w:val="en-US" w:eastAsia="zh-CN"/>
              </w:rPr>
              <w:t>。</w:t>
            </w:r>
          </w:p>
          <w:p w14:paraId="5D1CBBC9">
            <w:pPr>
              <w:pStyle w:val="1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2" w:firstLineChars="200"/>
              <w:textAlignment w:val="auto"/>
              <w:rPr>
                <w:rFonts w:hint="default"/>
                <w:b/>
                <w:bCs/>
                <w:sz w:val="24"/>
                <w:szCs w:val="24"/>
                <w:lang w:val="en-US" w:eastAsia="zh-CN"/>
              </w:rPr>
            </w:pPr>
            <w:r>
              <w:rPr>
                <w:rFonts w:hint="eastAsia"/>
                <w:b/>
                <w:bCs/>
                <w:sz w:val="24"/>
                <w:szCs w:val="24"/>
                <w:lang w:val="en-US" w:eastAsia="zh-CN"/>
              </w:rPr>
              <w:t>废水处理措施可行性分析</w:t>
            </w:r>
          </w:p>
          <w:p w14:paraId="70FF655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default"/>
                <w:sz w:val="24"/>
                <w:szCs w:val="24"/>
                <w:lang w:val="en-US" w:eastAsia="zh-CN"/>
              </w:rPr>
              <w:t>本项目生活污水经三级化粪池处理后排入市政管网，最终由</w:t>
            </w:r>
            <w:r>
              <w:rPr>
                <w:rFonts w:hint="eastAsia"/>
                <w:sz w:val="24"/>
                <w:szCs w:val="24"/>
                <w:lang w:val="en-US" w:eastAsia="zh-CN"/>
              </w:rPr>
              <w:t>大榄坪</w:t>
            </w:r>
            <w:r>
              <w:rPr>
                <w:rFonts w:hint="default"/>
                <w:sz w:val="24"/>
                <w:szCs w:val="24"/>
                <w:lang w:val="en-US" w:eastAsia="zh-CN"/>
              </w:rPr>
              <w:t>污水处理厂进一步处理。项目所产</w:t>
            </w:r>
            <w:r>
              <w:rPr>
                <w:rFonts w:hint="eastAsia"/>
                <w:sz w:val="24"/>
                <w:szCs w:val="24"/>
                <w:lang w:val="en-US" w:eastAsia="zh-CN"/>
              </w:rPr>
              <w:t>生的生活</w:t>
            </w:r>
            <w:r>
              <w:rPr>
                <w:rFonts w:hint="default"/>
                <w:sz w:val="24"/>
                <w:szCs w:val="24"/>
                <w:lang w:val="en-US" w:eastAsia="zh-CN"/>
              </w:rPr>
              <w:t>污水由三级化粪池处理，化粪池是一种利用沉淀和厌氧发酵的原理，去除生活污水中悬浮性有机物的常用处理设施，属于初级的过渡性生活处理构筑物，其工作过程大致分为四个环节：过滤沉淀-厌氧发酵-固体物分解</w:t>
            </w:r>
            <w:r>
              <w:rPr>
                <w:rFonts w:hint="eastAsia"/>
                <w:sz w:val="24"/>
                <w:szCs w:val="24"/>
                <w:lang w:val="en-US" w:eastAsia="zh-CN"/>
              </w:rPr>
              <w:t>－</w:t>
            </w:r>
            <w:r>
              <w:rPr>
                <w:rFonts w:hint="default"/>
                <w:sz w:val="24"/>
                <w:szCs w:val="24"/>
                <w:lang w:val="en-US" w:eastAsia="zh-CN"/>
              </w:rPr>
              <w:t>粪液排放。根据《排污许可证申请与核发技术规范</w:t>
            </w:r>
            <w:r>
              <w:rPr>
                <w:rFonts w:hint="eastAsia"/>
                <w:sz w:val="24"/>
                <w:szCs w:val="24"/>
                <w:lang w:val="en-US" w:eastAsia="zh-CN"/>
              </w:rPr>
              <w:t xml:space="preserve"> </w:t>
            </w:r>
            <w:r>
              <w:rPr>
                <w:rFonts w:hint="default"/>
                <w:sz w:val="24"/>
                <w:szCs w:val="24"/>
                <w:lang w:val="en-US" w:eastAsia="zh-CN"/>
              </w:rPr>
              <w:t>总则》（HJ942-2018），项目采用三级化粪池废水处理工艺属于可行废水污染治理技术。项目所</w:t>
            </w:r>
            <w:r>
              <w:rPr>
                <w:rFonts w:hint="eastAsia"/>
                <w:sz w:val="24"/>
                <w:szCs w:val="24"/>
                <w:lang w:val="en-US" w:eastAsia="zh-CN"/>
              </w:rPr>
              <w:t>产生的生活</w:t>
            </w:r>
            <w:r>
              <w:rPr>
                <w:rFonts w:hint="default"/>
                <w:sz w:val="24"/>
                <w:szCs w:val="24"/>
                <w:lang w:val="en-US" w:eastAsia="zh-CN"/>
              </w:rPr>
              <w:t>污水经三级化粪池处理后可满足《污水综合排放标准》</w:t>
            </w:r>
            <w:r>
              <w:rPr>
                <w:rFonts w:hint="eastAsia"/>
                <w:sz w:val="24"/>
                <w:szCs w:val="24"/>
                <w:lang w:val="en-US" w:eastAsia="zh-CN"/>
              </w:rPr>
              <w:t>（</w:t>
            </w:r>
            <w:r>
              <w:rPr>
                <w:rFonts w:hint="default"/>
                <w:sz w:val="24"/>
                <w:szCs w:val="24"/>
                <w:lang w:val="en-US" w:eastAsia="zh-CN"/>
              </w:rPr>
              <w:t>GB8978-1996</w:t>
            </w:r>
            <w:r>
              <w:rPr>
                <w:rFonts w:hint="eastAsia"/>
                <w:sz w:val="24"/>
                <w:szCs w:val="24"/>
                <w:lang w:val="en-US" w:eastAsia="zh-CN"/>
              </w:rPr>
              <w:t>）</w:t>
            </w:r>
            <w:r>
              <w:rPr>
                <w:rFonts w:hint="default"/>
                <w:sz w:val="24"/>
                <w:szCs w:val="24"/>
                <w:lang w:val="en-US" w:eastAsia="zh-CN"/>
              </w:rPr>
              <w:t>三级标准及</w:t>
            </w:r>
            <w:r>
              <w:rPr>
                <w:rFonts w:hint="eastAsia"/>
                <w:sz w:val="24"/>
                <w:szCs w:val="24"/>
                <w:lang w:val="en-US" w:eastAsia="zh-CN"/>
              </w:rPr>
              <w:t>大榄坪</w:t>
            </w:r>
            <w:r>
              <w:rPr>
                <w:rFonts w:hint="default"/>
                <w:sz w:val="24"/>
                <w:szCs w:val="24"/>
                <w:lang w:val="en-US" w:eastAsia="zh-CN"/>
              </w:rPr>
              <w:t>污水处理厂进水水质标准。</w:t>
            </w:r>
          </w:p>
          <w:p w14:paraId="433A3445">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eastAsia"/>
                <w:sz w:val="24"/>
                <w:szCs w:val="24"/>
                <w:lang w:val="en-US" w:eastAsia="zh-CN"/>
              </w:rPr>
              <w:t>本项目初期雨水经初期雨水池沉淀后泵入污水处理设施进一步沉淀处理。项目污水处理设施为一体化净水器，采用的工艺为絮凝+沉淀+过滤，可进一步沉淀出初期雨水中的悬浮物，降低初期雨水中悬浮物浓度。</w:t>
            </w:r>
          </w:p>
          <w:p w14:paraId="1023F47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sz w:val="24"/>
                <w:szCs w:val="24"/>
                <w:lang w:val="en-US" w:eastAsia="zh-CN"/>
              </w:rPr>
            </w:pPr>
            <w:r>
              <w:rPr>
                <w:rFonts w:hint="default"/>
                <w:sz w:val="24"/>
                <w:szCs w:val="24"/>
                <w:lang w:val="en-US" w:eastAsia="zh-CN"/>
              </w:rPr>
              <w:t>因此，项目采用的废水治理措施具有可行性。</w:t>
            </w:r>
          </w:p>
          <w:p w14:paraId="3D413B5A">
            <w:pPr>
              <w:pStyle w:val="15"/>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依托大榄坪污水处理厂可行性分析</w:t>
            </w:r>
          </w:p>
          <w:p w14:paraId="0CC8FD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（1）大榄坪污水处理厂简介</w:t>
            </w:r>
          </w:p>
          <w:p w14:paraId="42286B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大榄坪污水处理厂位于钦州市钦州港，钦州市大榄坪污水处理厂及管网一期工程设计污水处理规模为5万m</w:t>
            </w:r>
            <w:r>
              <w:rPr>
                <w:rFonts w:hint="eastAsia" w:ascii="Times New Roman" w:hAnsi="Times New Roman" w:eastAsia="宋体" w:cs="Times New Roman"/>
                <w:kern w:val="2"/>
                <w:sz w:val="24"/>
                <w:szCs w:val="24"/>
                <w:vertAlign w:val="superscript"/>
                <w:lang w:val="en-US" w:eastAsia="zh-CN" w:bidi="ar-SA"/>
              </w:rPr>
              <w:t>3</w:t>
            </w:r>
            <w:r>
              <w:rPr>
                <w:rFonts w:hint="eastAsia" w:ascii="Times New Roman" w:hAnsi="Times New Roman" w:eastAsia="宋体" w:cs="Times New Roman"/>
                <w:kern w:val="2"/>
                <w:sz w:val="24"/>
                <w:szCs w:val="24"/>
                <w:lang w:val="en-US" w:eastAsia="zh-CN" w:bidi="ar-SA"/>
              </w:rPr>
              <w:t>/d，建设内容主要有粗格栅及进水泵房、细格栅及沉砂池、</w:t>
            </w:r>
            <w:r>
              <w:rPr>
                <w:rFonts w:hint="default" w:ascii="Times New Roman" w:hAnsi="Times New Roman" w:eastAsia="宋体" w:cs="Times New Roman"/>
                <w:kern w:val="2"/>
                <w:sz w:val="24"/>
                <w:szCs w:val="24"/>
                <w:lang w:val="en-US" w:eastAsia="zh-CN" w:bidi="ar-SA"/>
              </w:rPr>
              <w:t>AA/O</w:t>
            </w:r>
            <w:r>
              <w:rPr>
                <w:rFonts w:hint="eastAsia" w:ascii="Times New Roman" w:hAnsi="Times New Roman" w:eastAsia="宋体" w:cs="Times New Roman"/>
                <w:kern w:val="2"/>
                <w:sz w:val="24"/>
                <w:szCs w:val="24"/>
                <w:lang w:val="en-US" w:eastAsia="zh-CN" w:bidi="ar-SA"/>
              </w:rPr>
              <w:t>微曝氧化沟及二沉池、紫外消毒池、鼓风机房、脱水机房、变配电系统、自动控制室、道路绿化及附属建筑物等</w:t>
            </w:r>
            <w:r>
              <w:rPr>
                <w:rFonts w:hint="eastAsia" w:cs="Times New Roman"/>
                <w:kern w:val="2"/>
                <w:sz w:val="24"/>
                <w:szCs w:val="24"/>
                <w:lang w:val="en-US" w:eastAsia="zh-CN" w:bidi="ar-SA"/>
              </w:rPr>
              <w:t>，出水水质执行《城镇污水处理厂污染物排放标准》（GB18918-2002）一级A标准</w:t>
            </w:r>
          </w:p>
          <w:p w14:paraId="22890D71">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大榄坪污水处理厂主要服务区域为大榄坪物流加工区、行政生物中心、综合保税港区、中码钦州产业园区（金鼓江以东区域），服务面积约110平方公里。</w:t>
            </w:r>
          </w:p>
          <w:p w14:paraId="618263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（2）处理能力</w:t>
            </w:r>
          </w:p>
          <w:p w14:paraId="514517D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sz w:val="24"/>
                <w:szCs w:val="24"/>
                <w:lang w:val="en-US" w:eastAsia="zh-CN"/>
              </w:rPr>
            </w:pPr>
            <w:r>
              <w:rPr>
                <w:rFonts w:hint="eastAsia"/>
                <w:sz w:val="24"/>
                <w:szCs w:val="24"/>
                <w:lang w:val="en-US" w:eastAsia="zh-CN"/>
              </w:rPr>
              <w:t>大榄坪污水处理厂位于钦州市钦州港，一期占地约4.0hm</w:t>
            </w:r>
            <w:r>
              <w:rPr>
                <w:rFonts w:hint="eastAsia"/>
                <w:sz w:val="24"/>
                <w:szCs w:val="24"/>
                <w:vertAlign w:val="superscript"/>
                <w:lang w:val="en-US" w:eastAsia="zh-CN"/>
              </w:rPr>
              <w:t>2</w:t>
            </w:r>
            <w:r>
              <w:rPr>
                <w:rFonts w:hint="eastAsia"/>
                <w:sz w:val="24"/>
                <w:szCs w:val="24"/>
                <w:vertAlign w:val="baseline"/>
                <w:lang w:val="en-US" w:eastAsia="zh-CN"/>
              </w:rPr>
              <w:t>，一期污水处理能力为5万m</w:t>
            </w:r>
            <w:r>
              <w:rPr>
                <w:rFonts w:hint="eastAsia"/>
                <w:sz w:val="24"/>
                <w:szCs w:val="24"/>
                <w:vertAlign w:val="superscript"/>
                <w:lang w:val="en-US" w:eastAsia="zh-CN"/>
              </w:rPr>
              <w:t>3</w:t>
            </w:r>
            <w:r>
              <w:rPr>
                <w:rFonts w:hint="eastAsia"/>
                <w:sz w:val="24"/>
                <w:szCs w:val="24"/>
                <w:vertAlign w:val="baseline"/>
                <w:lang w:val="en-US" w:eastAsia="zh-CN"/>
              </w:rPr>
              <w:t>/d</w:t>
            </w:r>
            <w:r>
              <w:rPr>
                <w:rFonts w:hint="eastAsia"/>
                <w:sz w:val="24"/>
                <w:szCs w:val="24"/>
                <w:lang w:val="en-US" w:eastAsia="zh-CN"/>
              </w:rPr>
              <w:t>。大榄坪污水处理厂于2015年6月18日完成厂区土建工程竣工验收，2016年7月22日工程厂区和部分管网完工正式进入试运行阶段，并于2020年3月31日取得钦州市生态环境局核发的排污许可证。本项目每天排入市政污水管网的生活污水量为2.16m</w:t>
            </w:r>
            <w:r>
              <w:rPr>
                <w:rFonts w:hint="eastAsia"/>
                <w:sz w:val="24"/>
                <w:szCs w:val="24"/>
                <w:vertAlign w:val="superscript"/>
                <w:lang w:val="en-US" w:eastAsia="zh-CN"/>
              </w:rPr>
              <w:t>3</w:t>
            </w:r>
            <w:r>
              <w:rPr>
                <w:rFonts w:hint="eastAsia"/>
                <w:sz w:val="24"/>
                <w:szCs w:val="24"/>
                <w:lang w:val="en-US" w:eastAsia="zh-CN"/>
              </w:rPr>
              <w:t>，仅占污水处理厂一期处理规模的0.04%。因此，本项目生活污水排入大榄坪污水处理厂，对污水处理厂的正常运行和处理效果不会产生较大的冲击影响。</w:t>
            </w:r>
          </w:p>
          <w:p w14:paraId="45ADE1F9">
            <w:pPr>
              <w:pStyle w:val="15"/>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进出水质</w:t>
            </w:r>
          </w:p>
          <w:p w14:paraId="4A3104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表4-7 大榄坪污水处理厂设计进出水质标准一览表</w:t>
            </w:r>
          </w:p>
          <w:tbl>
            <w:tblPr>
              <w:tblStyle w:val="16"/>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315"/>
              <w:gridCol w:w="1111"/>
              <w:gridCol w:w="1111"/>
              <w:gridCol w:w="918"/>
              <w:gridCol w:w="918"/>
              <w:gridCol w:w="918"/>
            </w:tblGrid>
            <w:tr w14:paraId="1D99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27" w:type="dxa"/>
                  <w:vAlign w:val="center"/>
                </w:tcPr>
                <w:p w14:paraId="1D71B3B5">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指标</w:t>
                  </w:r>
                </w:p>
              </w:tc>
              <w:tc>
                <w:tcPr>
                  <w:tcW w:w="1315" w:type="dxa"/>
                  <w:vAlign w:val="center"/>
                </w:tcPr>
                <w:p w14:paraId="752C4B24">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COD</w:t>
                  </w:r>
                </w:p>
              </w:tc>
              <w:tc>
                <w:tcPr>
                  <w:tcW w:w="1111" w:type="dxa"/>
                  <w:vAlign w:val="center"/>
                </w:tcPr>
                <w:p w14:paraId="10289DEE">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BOD</w:t>
                  </w:r>
                  <w:r>
                    <w:rPr>
                      <w:rFonts w:ascii="Times New Roman" w:hAnsi="Times New Roman" w:cs="Times New Roman"/>
                      <w:color w:val="auto"/>
                      <w:sz w:val="21"/>
                      <w:szCs w:val="21"/>
                      <w:vertAlign w:val="subscript"/>
                    </w:rPr>
                    <w:t>5</w:t>
                  </w:r>
                </w:p>
              </w:tc>
              <w:tc>
                <w:tcPr>
                  <w:tcW w:w="1111" w:type="dxa"/>
                  <w:vAlign w:val="center"/>
                </w:tcPr>
                <w:p w14:paraId="78A38711">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SS</w:t>
                  </w:r>
                </w:p>
              </w:tc>
              <w:tc>
                <w:tcPr>
                  <w:tcW w:w="918" w:type="dxa"/>
                  <w:vAlign w:val="center"/>
                </w:tcPr>
                <w:p w14:paraId="075CF0AF">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NH</w:t>
                  </w:r>
                  <w:r>
                    <w:rPr>
                      <w:rFonts w:ascii="Times New Roman" w:hAnsi="Times New Roman" w:cs="Times New Roman"/>
                      <w:color w:val="auto"/>
                      <w:sz w:val="21"/>
                      <w:szCs w:val="21"/>
                      <w:vertAlign w:val="subscript"/>
                    </w:rPr>
                    <w:t>3</w:t>
                  </w:r>
                  <w:r>
                    <w:rPr>
                      <w:rFonts w:ascii="Times New Roman" w:hAnsi="Times New Roman" w:cs="Times New Roman"/>
                      <w:color w:val="auto"/>
                      <w:sz w:val="21"/>
                      <w:szCs w:val="21"/>
                    </w:rPr>
                    <w:t>-N</w:t>
                  </w:r>
                </w:p>
              </w:tc>
              <w:tc>
                <w:tcPr>
                  <w:tcW w:w="918" w:type="dxa"/>
                  <w:vAlign w:val="center"/>
                </w:tcPr>
                <w:p w14:paraId="4C1D45E7">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TP</w:t>
                  </w:r>
                </w:p>
              </w:tc>
              <w:tc>
                <w:tcPr>
                  <w:tcW w:w="918" w:type="dxa"/>
                  <w:vAlign w:val="center"/>
                </w:tcPr>
                <w:p w14:paraId="112072BD">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TN</w:t>
                  </w:r>
                </w:p>
              </w:tc>
            </w:tr>
            <w:tr w14:paraId="3D87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27" w:type="dxa"/>
                  <w:vAlign w:val="center"/>
                </w:tcPr>
                <w:p w14:paraId="3C30D096">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进水水质</w:t>
                  </w:r>
                </w:p>
              </w:tc>
              <w:tc>
                <w:tcPr>
                  <w:tcW w:w="1315" w:type="dxa"/>
                  <w:vAlign w:val="center"/>
                </w:tcPr>
                <w:p w14:paraId="2451B4DC">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w:t>
                  </w:r>
                </w:p>
              </w:tc>
              <w:tc>
                <w:tcPr>
                  <w:tcW w:w="1111" w:type="dxa"/>
                  <w:vAlign w:val="center"/>
                </w:tcPr>
                <w:p w14:paraId="4386B12C">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1111" w:type="dxa"/>
                  <w:vAlign w:val="center"/>
                </w:tcPr>
                <w:p w14:paraId="6DF73E86">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918" w:type="dxa"/>
                  <w:vAlign w:val="center"/>
                </w:tcPr>
                <w:p w14:paraId="70E542BC">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45</w:t>
                  </w:r>
                </w:p>
              </w:tc>
              <w:tc>
                <w:tcPr>
                  <w:tcW w:w="918" w:type="dxa"/>
                  <w:vAlign w:val="center"/>
                </w:tcPr>
                <w:p w14:paraId="19CA8007">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918" w:type="dxa"/>
                  <w:vAlign w:val="center"/>
                </w:tcPr>
                <w:p w14:paraId="27229E17">
                  <w:pPr>
                    <w:tabs>
                      <w:tab w:val="left" w:pos="-423"/>
                    </w:tabs>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45</w:t>
                  </w:r>
                </w:p>
              </w:tc>
            </w:tr>
            <w:tr w14:paraId="2D23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7" w:type="dxa"/>
                  <w:vAlign w:val="center"/>
                </w:tcPr>
                <w:p w14:paraId="2129B2A0">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出水水质</w:t>
                  </w:r>
                </w:p>
              </w:tc>
              <w:tc>
                <w:tcPr>
                  <w:tcW w:w="1315" w:type="dxa"/>
                  <w:vAlign w:val="center"/>
                </w:tcPr>
                <w:p w14:paraId="48B2C476">
                  <w:pPr>
                    <w:tabs>
                      <w:tab w:val="left" w:pos="-423"/>
                    </w:tabs>
                    <w:jc w:val="center"/>
                    <w:rPr>
                      <w:rFonts w:hint="default"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60</w:t>
                  </w:r>
                </w:p>
              </w:tc>
              <w:tc>
                <w:tcPr>
                  <w:tcW w:w="1111" w:type="dxa"/>
                  <w:vAlign w:val="center"/>
                </w:tcPr>
                <w:p w14:paraId="31A4A092">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rPr>
                    <w:t>0</w:t>
                  </w:r>
                </w:p>
              </w:tc>
              <w:tc>
                <w:tcPr>
                  <w:tcW w:w="1111" w:type="dxa"/>
                  <w:vAlign w:val="center"/>
                </w:tcPr>
                <w:p w14:paraId="56B3C110">
                  <w:pPr>
                    <w:tabs>
                      <w:tab w:val="left" w:pos="-423"/>
                    </w:tabs>
                    <w:jc w:val="center"/>
                    <w:rPr>
                      <w:rFonts w:ascii="Times New Roman" w:hAnsi="Times New Roman" w:cs="Times New Roman"/>
                      <w:color w:val="auto"/>
                      <w:sz w:val="21"/>
                      <w:szCs w:val="21"/>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rPr>
                    <w:t>0</w:t>
                  </w:r>
                </w:p>
              </w:tc>
              <w:tc>
                <w:tcPr>
                  <w:tcW w:w="918" w:type="dxa"/>
                  <w:vAlign w:val="center"/>
                </w:tcPr>
                <w:p w14:paraId="5B8BE571">
                  <w:pPr>
                    <w:tabs>
                      <w:tab w:val="left" w:pos="-423"/>
                    </w:tabs>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8</w:t>
                  </w:r>
                </w:p>
              </w:tc>
              <w:tc>
                <w:tcPr>
                  <w:tcW w:w="918" w:type="dxa"/>
                  <w:vAlign w:val="center"/>
                </w:tcPr>
                <w:p w14:paraId="24DDC944">
                  <w:pPr>
                    <w:tabs>
                      <w:tab w:val="left" w:pos="-423"/>
                    </w:tabs>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w:t>
                  </w:r>
                </w:p>
              </w:tc>
              <w:tc>
                <w:tcPr>
                  <w:tcW w:w="918" w:type="dxa"/>
                  <w:vAlign w:val="center"/>
                </w:tcPr>
                <w:p w14:paraId="580EF080">
                  <w:pPr>
                    <w:tabs>
                      <w:tab w:val="left" w:pos="-423"/>
                    </w:tabs>
                    <w:jc w:val="center"/>
                    <w:rPr>
                      <w:rFonts w:hint="eastAsia" w:ascii="Times New Roman" w:hAnsi="Times New Roman" w:eastAsia="宋体" w:cs="Times New Roman"/>
                      <w:color w:val="auto"/>
                      <w:sz w:val="21"/>
                      <w:szCs w:val="21"/>
                      <w:lang w:eastAsia="zh-CN"/>
                    </w:rPr>
                  </w:pP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8</w:t>
                  </w:r>
                </w:p>
              </w:tc>
            </w:tr>
          </w:tbl>
          <w:p w14:paraId="33A7FEB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项目外排废水主要污染物主要为COD、BOD</w:t>
            </w:r>
            <w:r>
              <w:rPr>
                <w:rFonts w:hint="default"/>
                <w:sz w:val="24"/>
                <w:szCs w:val="24"/>
                <w:vertAlign w:val="subscript"/>
                <w:lang w:val="en-US" w:eastAsia="zh-CN"/>
              </w:rPr>
              <w:t>5</w:t>
            </w:r>
            <w:r>
              <w:rPr>
                <w:rFonts w:hint="default"/>
                <w:sz w:val="24"/>
                <w:szCs w:val="24"/>
                <w:lang w:val="en-US" w:eastAsia="zh-CN"/>
              </w:rPr>
              <w:t>、SS、NH</w:t>
            </w:r>
            <w:r>
              <w:rPr>
                <w:rFonts w:hint="default"/>
                <w:sz w:val="24"/>
                <w:szCs w:val="24"/>
                <w:vertAlign w:val="subscript"/>
                <w:lang w:val="en-US" w:eastAsia="zh-CN"/>
              </w:rPr>
              <w:t>3</w:t>
            </w:r>
            <w:r>
              <w:rPr>
                <w:rFonts w:hint="default"/>
                <w:sz w:val="24"/>
                <w:szCs w:val="24"/>
                <w:lang w:val="en-US" w:eastAsia="zh-CN"/>
              </w:rPr>
              <w:t>-N等，不含有</w:t>
            </w:r>
            <w:r>
              <w:rPr>
                <w:rFonts w:hint="eastAsia"/>
                <w:sz w:val="24"/>
                <w:szCs w:val="24"/>
                <w:lang w:val="en-US" w:eastAsia="zh-CN"/>
              </w:rPr>
              <w:t>其他有毒</w:t>
            </w:r>
            <w:r>
              <w:rPr>
                <w:rFonts w:hint="default"/>
                <w:sz w:val="24"/>
                <w:szCs w:val="24"/>
                <w:lang w:val="en-US" w:eastAsia="zh-CN"/>
              </w:rPr>
              <w:t>有害污染物。</w:t>
            </w:r>
            <w:r>
              <w:rPr>
                <w:rFonts w:hint="eastAsia"/>
                <w:sz w:val="24"/>
                <w:szCs w:val="24"/>
                <w:lang w:val="en-US" w:eastAsia="zh-CN"/>
              </w:rPr>
              <w:t>生活污水</w:t>
            </w:r>
            <w:r>
              <w:rPr>
                <w:rFonts w:hint="default"/>
                <w:sz w:val="24"/>
                <w:szCs w:val="24"/>
                <w:lang w:val="en-US" w:eastAsia="zh-CN"/>
              </w:rPr>
              <w:t>经三级化粪池处理后，可达到《污水综合排放标准》（GB8978-1996）三级标准及</w:t>
            </w:r>
            <w:r>
              <w:rPr>
                <w:rFonts w:hint="eastAsia"/>
                <w:sz w:val="24"/>
                <w:szCs w:val="24"/>
                <w:lang w:val="en-US" w:eastAsia="zh-CN"/>
              </w:rPr>
              <w:t>大榄坪</w:t>
            </w:r>
            <w:r>
              <w:rPr>
                <w:rFonts w:hint="default"/>
                <w:sz w:val="24"/>
                <w:szCs w:val="24"/>
                <w:lang w:val="en-US" w:eastAsia="zh-CN"/>
              </w:rPr>
              <w:t>污水处理厂进水水质标准，因此，项目排放的</w:t>
            </w:r>
            <w:r>
              <w:rPr>
                <w:rFonts w:hint="eastAsia"/>
                <w:sz w:val="24"/>
                <w:szCs w:val="24"/>
                <w:lang w:val="en-US" w:eastAsia="zh-CN"/>
              </w:rPr>
              <w:t>生活污水</w:t>
            </w:r>
            <w:r>
              <w:rPr>
                <w:rFonts w:hint="default"/>
                <w:sz w:val="24"/>
                <w:szCs w:val="24"/>
                <w:lang w:val="en-US" w:eastAsia="zh-CN"/>
              </w:rPr>
              <w:t>不影响污水处理厂的进水水质，不会对其运行负荷造成太大冲击。</w:t>
            </w:r>
          </w:p>
          <w:p w14:paraId="1BBF9F89">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default"/>
                <w:sz w:val="24"/>
                <w:szCs w:val="24"/>
                <w:lang w:val="en-US" w:eastAsia="zh-CN"/>
              </w:rPr>
              <w:t>综上，本项目</w:t>
            </w:r>
            <w:r>
              <w:rPr>
                <w:rFonts w:hint="eastAsia"/>
                <w:sz w:val="24"/>
                <w:szCs w:val="24"/>
                <w:lang w:val="en-US" w:eastAsia="zh-CN"/>
              </w:rPr>
              <w:t>产生的生活污水</w:t>
            </w:r>
            <w:r>
              <w:rPr>
                <w:rFonts w:hint="default"/>
                <w:sz w:val="24"/>
                <w:szCs w:val="24"/>
                <w:lang w:val="en-US" w:eastAsia="zh-CN"/>
              </w:rPr>
              <w:t>经</w:t>
            </w:r>
            <w:r>
              <w:rPr>
                <w:rFonts w:hint="eastAsia"/>
                <w:sz w:val="24"/>
                <w:szCs w:val="24"/>
                <w:lang w:val="en-US" w:eastAsia="zh-CN"/>
              </w:rPr>
              <w:t>三级化粪池</w:t>
            </w:r>
            <w:r>
              <w:rPr>
                <w:rFonts w:hint="default"/>
                <w:sz w:val="24"/>
                <w:szCs w:val="24"/>
                <w:lang w:val="en-US" w:eastAsia="zh-CN"/>
              </w:rPr>
              <w:t>处理达标后排入市政污水管网，纳入</w:t>
            </w:r>
            <w:r>
              <w:rPr>
                <w:rFonts w:hint="eastAsia"/>
                <w:sz w:val="24"/>
                <w:szCs w:val="24"/>
                <w:lang w:val="en-US" w:eastAsia="zh-CN"/>
              </w:rPr>
              <w:t>大榄坪</w:t>
            </w:r>
            <w:r>
              <w:rPr>
                <w:rFonts w:hint="default"/>
                <w:sz w:val="24"/>
                <w:szCs w:val="24"/>
                <w:lang w:val="en-US" w:eastAsia="zh-CN"/>
              </w:rPr>
              <w:t>污水处理厂进行深度处理，对污水处理厂的正常运行和处理效果不会造成较大的影响。</w:t>
            </w:r>
          </w:p>
          <w:p w14:paraId="2C0F3610">
            <w:pPr>
              <w:pStyle w:val="1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废水排放达标分析</w:t>
            </w:r>
          </w:p>
          <w:p w14:paraId="4F684075">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Times New Roman" w:hAnsi="Times New Roman" w:eastAsia="宋体" w:cs="Times New Roman"/>
                <w:sz w:val="24"/>
                <w:szCs w:val="24"/>
                <w:lang w:val="en-US" w:eastAsia="zh-CN"/>
              </w:rPr>
            </w:pPr>
            <w:r>
              <w:rPr>
                <w:rFonts w:hint="eastAsia"/>
                <w:sz w:val="24"/>
                <w:szCs w:val="24"/>
                <w:lang w:val="en-US" w:eastAsia="zh-CN"/>
              </w:rPr>
              <w:t>由表4-6、表4-7可知，项目外排生活污水经三级化粪池预</w:t>
            </w:r>
            <w:r>
              <w:rPr>
                <w:rFonts w:hint="eastAsia" w:ascii="Times New Roman" w:hAnsi="Times New Roman" w:eastAsia="宋体" w:cs="Times New Roman"/>
                <w:sz w:val="24"/>
                <w:szCs w:val="24"/>
                <w:lang w:val="en-US" w:eastAsia="zh-CN"/>
              </w:rPr>
              <w:t>处理后，各污染物指标可满足《污水综合排放标准》（GB8978-1996）三级标准及大榄坪污水处理厂进水水质标准，因此，项目生活污水可实现达标排放。</w:t>
            </w:r>
          </w:p>
          <w:p w14:paraId="028A0DF9">
            <w:pPr>
              <w:pStyle w:val="14"/>
              <w:keepNext w:val="0"/>
              <w:keepLines w:val="0"/>
              <w:pageBreakBefore w:val="0"/>
              <w:widowControl w:val="0"/>
              <w:numPr>
                <w:ilvl w:val="0"/>
                <w:numId w:val="12"/>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监测计划</w:t>
            </w:r>
          </w:p>
          <w:p w14:paraId="4F383429">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由于本项目综合废水经三级化粪池处理后，排入市政污水管网，最终进入</w:t>
            </w:r>
            <w:r>
              <w:rPr>
                <w:rFonts w:hint="eastAsia" w:ascii="Times New Roman" w:hAnsi="Times New Roman" w:eastAsia="宋体" w:cs="Times New Roman"/>
                <w:sz w:val="24"/>
                <w:szCs w:val="24"/>
                <w:lang w:val="en-US" w:eastAsia="zh-CN"/>
              </w:rPr>
              <w:t>大榄坪</w:t>
            </w:r>
            <w:r>
              <w:rPr>
                <w:rFonts w:hint="default" w:ascii="Times New Roman" w:hAnsi="Times New Roman" w:eastAsia="宋体" w:cs="Times New Roman"/>
                <w:sz w:val="24"/>
                <w:szCs w:val="24"/>
                <w:lang w:val="en-US" w:eastAsia="zh-CN"/>
              </w:rPr>
              <w:t>污水处理厂处理，根据《排污单位自行监测技术指南总则》（HJ819-2017），</w:t>
            </w:r>
            <w:r>
              <w:rPr>
                <w:rFonts w:hint="eastAsia" w:cs="Times New Roman"/>
                <w:sz w:val="24"/>
                <w:szCs w:val="24"/>
                <w:lang w:val="en-US" w:eastAsia="zh-CN"/>
              </w:rPr>
              <w:t>本项目可不</w:t>
            </w:r>
            <w:r>
              <w:rPr>
                <w:rFonts w:hint="default" w:ascii="Times New Roman" w:hAnsi="Times New Roman" w:eastAsia="宋体" w:cs="Times New Roman"/>
                <w:sz w:val="24"/>
                <w:szCs w:val="24"/>
                <w:lang w:val="en-US" w:eastAsia="zh-CN"/>
              </w:rPr>
              <w:t>开展自行监测。</w:t>
            </w:r>
          </w:p>
          <w:p w14:paraId="5BBE18F5">
            <w:pPr>
              <w:pStyle w:val="14"/>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噪声</w:t>
            </w:r>
          </w:p>
          <w:p w14:paraId="525969D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1、噪声源强核算</w:t>
            </w:r>
          </w:p>
          <w:p w14:paraId="55BD7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本项目噪声污染源主要为桥式抓斗起重机、</w:t>
            </w:r>
            <w:r>
              <w:rPr>
                <w:rFonts w:hint="eastAsia" w:cs="Times New Roman"/>
                <w:kern w:val="2"/>
                <w:sz w:val="24"/>
                <w:szCs w:val="24"/>
                <w:lang w:val="en-US" w:eastAsia="zh-CN" w:bidi="ar-SA"/>
              </w:rPr>
              <w:t>横向</w:t>
            </w:r>
            <w:r>
              <w:rPr>
                <w:rFonts w:hint="eastAsia" w:ascii="Times New Roman" w:hAnsi="Times New Roman" w:eastAsia="宋体" w:cs="Times New Roman"/>
                <w:kern w:val="2"/>
                <w:sz w:val="24"/>
                <w:szCs w:val="24"/>
                <w:lang w:val="en-US" w:eastAsia="zh-CN" w:bidi="ar-SA"/>
              </w:rPr>
              <w:t>布料机、电子皮带秤、胶带运输机、圆筒混料机、除尘风机等设备运行噪声，产噪声级为70～</w:t>
            </w:r>
            <w:r>
              <w:rPr>
                <w:rFonts w:hint="eastAsia" w:cs="Times New Roman"/>
                <w:kern w:val="2"/>
                <w:sz w:val="24"/>
                <w:szCs w:val="24"/>
                <w:lang w:val="en-US" w:eastAsia="zh-CN" w:bidi="ar-SA"/>
              </w:rPr>
              <w:t>85</w:t>
            </w:r>
            <w:r>
              <w:rPr>
                <w:rFonts w:hint="eastAsia" w:ascii="Times New Roman" w:hAnsi="Times New Roman" w:eastAsia="宋体" w:cs="Times New Roman"/>
                <w:kern w:val="2"/>
                <w:sz w:val="24"/>
                <w:szCs w:val="24"/>
                <w:lang w:val="en-US" w:eastAsia="zh-CN" w:bidi="ar-SA"/>
              </w:rPr>
              <w:t>dB</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，采取厂房隔声的降噪措施，除尘风机加装</w:t>
            </w:r>
            <w:r>
              <w:rPr>
                <w:rFonts w:hint="eastAsia" w:cs="Times New Roman"/>
                <w:kern w:val="2"/>
                <w:sz w:val="24"/>
                <w:szCs w:val="24"/>
                <w:lang w:val="en-US" w:eastAsia="zh-CN" w:bidi="ar-SA"/>
              </w:rPr>
              <w:t>基础减振措施</w:t>
            </w:r>
            <w:r>
              <w:rPr>
                <w:rFonts w:hint="eastAsia" w:ascii="Times New Roman" w:hAnsi="Times New Roman" w:eastAsia="宋体" w:cs="Times New Roman"/>
                <w:kern w:val="2"/>
                <w:sz w:val="24"/>
                <w:szCs w:val="24"/>
                <w:lang w:val="en-US" w:eastAsia="zh-CN" w:bidi="ar-SA"/>
              </w:rPr>
              <w:t>。</w:t>
            </w:r>
          </w:p>
          <w:p w14:paraId="0314040C">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表4-8 项目运营期噪声源及源强一览表</w:t>
            </w:r>
          </w:p>
          <w:tbl>
            <w:tblPr>
              <w:tblStyle w:val="17"/>
              <w:tblW w:w="7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907"/>
              <w:gridCol w:w="1313"/>
              <w:gridCol w:w="1217"/>
              <w:gridCol w:w="1250"/>
              <w:gridCol w:w="688"/>
              <w:gridCol w:w="655"/>
              <w:gridCol w:w="539"/>
              <w:gridCol w:w="810"/>
            </w:tblGrid>
            <w:tr w14:paraId="0CBD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Merge w:val="restart"/>
                  <w:vAlign w:val="center"/>
                </w:tcPr>
                <w:p w14:paraId="31275F2E">
                  <w:pPr>
                    <w:jc w:val="center"/>
                    <w:rPr>
                      <w:b/>
                      <w:bCs/>
                      <w:szCs w:val="21"/>
                    </w:rPr>
                  </w:pPr>
                  <w:r>
                    <w:rPr>
                      <w:rFonts w:hint="eastAsia"/>
                      <w:b/>
                      <w:bCs/>
                      <w:szCs w:val="21"/>
                    </w:rPr>
                    <w:t>序号</w:t>
                  </w:r>
                </w:p>
              </w:tc>
              <w:tc>
                <w:tcPr>
                  <w:tcW w:w="907" w:type="dxa"/>
                  <w:vMerge w:val="restart"/>
                  <w:vAlign w:val="center"/>
                </w:tcPr>
                <w:p w14:paraId="2E0DF118">
                  <w:pPr>
                    <w:jc w:val="center"/>
                    <w:rPr>
                      <w:b/>
                      <w:bCs/>
                      <w:szCs w:val="21"/>
                    </w:rPr>
                  </w:pPr>
                  <w:r>
                    <w:rPr>
                      <w:rFonts w:hint="eastAsia"/>
                      <w:b/>
                      <w:bCs/>
                      <w:szCs w:val="21"/>
                    </w:rPr>
                    <w:t>声源名称</w:t>
                  </w:r>
                </w:p>
              </w:tc>
              <w:tc>
                <w:tcPr>
                  <w:tcW w:w="1313" w:type="dxa"/>
                  <w:vMerge w:val="restart"/>
                  <w:vAlign w:val="center"/>
                </w:tcPr>
                <w:p w14:paraId="70C80B45">
                  <w:pPr>
                    <w:jc w:val="center"/>
                    <w:rPr>
                      <w:b/>
                      <w:bCs/>
                      <w:szCs w:val="21"/>
                    </w:rPr>
                  </w:pPr>
                  <w:r>
                    <w:rPr>
                      <w:rFonts w:hint="eastAsia"/>
                      <w:b/>
                      <w:bCs/>
                      <w:szCs w:val="21"/>
                    </w:rPr>
                    <w:t>型号</w:t>
                  </w:r>
                </w:p>
              </w:tc>
              <w:tc>
                <w:tcPr>
                  <w:tcW w:w="1217" w:type="dxa"/>
                  <w:vAlign w:val="center"/>
                </w:tcPr>
                <w:p w14:paraId="04F4A8FB">
                  <w:pPr>
                    <w:jc w:val="center"/>
                    <w:rPr>
                      <w:b/>
                      <w:bCs/>
                      <w:szCs w:val="21"/>
                    </w:rPr>
                  </w:pPr>
                  <w:r>
                    <w:rPr>
                      <w:rFonts w:hint="eastAsia"/>
                      <w:b/>
                      <w:bCs/>
                      <w:szCs w:val="21"/>
                    </w:rPr>
                    <w:t>声源源强</w:t>
                  </w:r>
                </w:p>
              </w:tc>
              <w:tc>
                <w:tcPr>
                  <w:tcW w:w="1250" w:type="dxa"/>
                  <w:vMerge w:val="restart"/>
                  <w:vAlign w:val="center"/>
                </w:tcPr>
                <w:p w14:paraId="13639DCE">
                  <w:pPr>
                    <w:jc w:val="center"/>
                    <w:rPr>
                      <w:b/>
                      <w:bCs/>
                      <w:szCs w:val="21"/>
                    </w:rPr>
                  </w:pPr>
                  <w:r>
                    <w:rPr>
                      <w:rFonts w:hint="eastAsia"/>
                      <w:b/>
                      <w:bCs/>
                      <w:szCs w:val="21"/>
                    </w:rPr>
                    <w:t>声源控制措施</w:t>
                  </w:r>
                </w:p>
              </w:tc>
              <w:tc>
                <w:tcPr>
                  <w:tcW w:w="1882" w:type="dxa"/>
                  <w:gridSpan w:val="3"/>
                  <w:vAlign w:val="center"/>
                </w:tcPr>
                <w:p w14:paraId="75C6043E">
                  <w:pPr>
                    <w:jc w:val="center"/>
                    <w:rPr>
                      <w:b/>
                      <w:bCs/>
                      <w:szCs w:val="21"/>
                    </w:rPr>
                  </w:pPr>
                  <w:r>
                    <w:rPr>
                      <w:rFonts w:hint="eastAsia"/>
                      <w:b/>
                      <w:bCs/>
                      <w:szCs w:val="21"/>
                    </w:rPr>
                    <w:t>空间相对位置/m</w:t>
                  </w:r>
                </w:p>
              </w:tc>
              <w:tc>
                <w:tcPr>
                  <w:tcW w:w="810" w:type="dxa"/>
                  <w:vMerge w:val="restart"/>
                  <w:vAlign w:val="center"/>
                </w:tcPr>
                <w:p w14:paraId="1D198E0C">
                  <w:pPr>
                    <w:jc w:val="center"/>
                    <w:rPr>
                      <w:b/>
                      <w:bCs/>
                      <w:szCs w:val="21"/>
                    </w:rPr>
                  </w:pPr>
                  <w:r>
                    <w:rPr>
                      <w:rFonts w:hint="eastAsia"/>
                      <w:b/>
                      <w:bCs/>
                      <w:szCs w:val="21"/>
                    </w:rPr>
                    <w:t>运行时段</w:t>
                  </w:r>
                </w:p>
              </w:tc>
            </w:tr>
            <w:tr w14:paraId="4B8B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Merge w:val="continue"/>
                  <w:vAlign w:val="center"/>
                </w:tcPr>
                <w:p w14:paraId="1EE4D1CE">
                  <w:pPr>
                    <w:jc w:val="center"/>
                    <w:rPr>
                      <w:szCs w:val="21"/>
                    </w:rPr>
                  </w:pPr>
                </w:p>
              </w:tc>
              <w:tc>
                <w:tcPr>
                  <w:tcW w:w="907" w:type="dxa"/>
                  <w:vMerge w:val="continue"/>
                  <w:vAlign w:val="center"/>
                </w:tcPr>
                <w:p w14:paraId="4D77D769">
                  <w:pPr>
                    <w:jc w:val="center"/>
                    <w:rPr>
                      <w:szCs w:val="21"/>
                    </w:rPr>
                  </w:pPr>
                </w:p>
              </w:tc>
              <w:tc>
                <w:tcPr>
                  <w:tcW w:w="1313" w:type="dxa"/>
                  <w:vMerge w:val="continue"/>
                  <w:vAlign w:val="center"/>
                </w:tcPr>
                <w:p w14:paraId="296C45FC">
                  <w:pPr>
                    <w:jc w:val="center"/>
                    <w:rPr>
                      <w:szCs w:val="21"/>
                    </w:rPr>
                  </w:pPr>
                </w:p>
              </w:tc>
              <w:tc>
                <w:tcPr>
                  <w:tcW w:w="1217" w:type="dxa"/>
                  <w:vAlign w:val="center"/>
                </w:tcPr>
                <w:p w14:paraId="3D5880D0">
                  <w:pPr>
                    <w:jc w:val="center"/>
                    <w:rPr>
                      <w:b/>
                      <w:bCs/>
                      <w:szCs w:val="21"/>
                    </w:rPr>
                  </w:pPr>
                  <w:r>
                    <w:rPr>
                      <w:rFonts w:hint="eastAsia"/>
                      <w:b/>
                      <w:bCs/>
                      <w:szCs w:val="21"/>
                    </w:rPr>
                    <w:t>声功率级/dB（A）</w:t>
                  </w:r>
                </w:p>
              </w:tc>
              <w:tc>
                <w:tcPr>
                  <w:tcW w:w="1250" w:type="dxa"/>
                  <w:vMerge w:val="continue"/>
                  <w:vAlign w:val="center"/>
                </w:tcPr>
                <w:p w14:paraId="34808538">
                  <w:pPr>
                    <w:jc w:val="center"/>
                    <w:rPr>
                      <w:b/>
                      <w:bCs/>
                      <w:szCs w:val="21"/>
                    </w:rPr>
                  </w:pPr>
                </w:p>
              </w:tc>
              <w:tc>
                <w:tcPr>
                  <w:tcW w:w="688" w:type="dxa"/>
                  <w:vAlign w:val="center"/>
                </w:tcPr>
                <w:p w14:paraId="76373502">
                  <w:pPr>
                    <w:jc w:val="center"/>
                    <w:rPr>
                      <w:b/>
                      <w:bCs/>
                      <w:szCs w:val="21"/>
                    </w:rPr>
                  </w:pPr>
                  <w:r>
                    <w:rPr>
                      <w:rFonts w:hint="eastAsia"/>
                      <w:b/>
                      <w:bCs/>
                      <w:szCs w:val="21"/>
                    </w:rPr>
                    <w:t>X</w:t>
                  </w:r>
                </w:p>
              </w:tc>
              <w:tc>
                <w:tcPr>
                  <w:tcW w:w="655" w:type="dxa"/>
                  <w:vAlign w:val="center"/>
                </w:tcPr>
                <w:p w14:paraId="2FD0127E">
                  <w:pPr>
                    <w:jc w:val="center"/>
                    <w:rPr>
                      <w:b/>
                      <w:bCs/>
                      <w:szCs w:val="21"/>
                    </w:rPr>
                  </w:pPr>
                  <w:r>
                    <w:rPr>
                      <w:rFonts w:hint="eastAsia"/>
                      <w:b/>
                      <w:bCs/>
                      <w:szCs w:val="21"/>
                    </w:rPr>
                    <w:t>Y</w:t>
                  </w:r>
                </w:p>
              </w:tc>
              <w:tc>
                <w:tcPr>
                  <w:tcW w:w="539" w:type="dxa"/>
                  <w:vAlign w:val="center"/>
                </w:tcPr>
                <w:p w14:paraId="15604439">
                  <w:pPr>
                    <w:jc w:val="center"/>
                    <w:rPr>
                      <w:b/>
                      <w:bCs/>
                      <w:szCs w:val="21"/>
                    </w:rPr>
                  </w:pPr>
                  <w:r>
                    <w:rPr>
                      <w:rFonts w:hint="eastAsia"/>
                      <w:b/>
                      <w:bCs/>
                      <w:szCs w:val="21"/>
                    </w:rPr>
                    <w:t>Z</w:t>
                  </w:r>
                </w:p>
              </w:tc>
              <w:tc>
                <w:tcPr>
                  <w:tcW w:w="810" w:type="dxa"/>
                  <w:vMerge w:val="continue"/>
                  <w:vAlign w:val="center"/>
                </w:tcPr>
                <w:p w14:paraId="2F2D941A">
                  <w:pPr>
                    <w:jc w:val="center"/>
                    <w:rPr>
                      <w:szCs w:val="21"/>
                    </w:rPr>
                  </w:pPr>
                </w:p>
              </w:tc>
            </w:tr>
            <w:tr w14:paraId="5877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280C5975">
                  <w:pPr>
                    <w:jc w:val="center"/>
                    <w:rPr>
                      <w:rFonts w:hint="eastAsia" w:eastAsia="宋体"/>
                      <w:szCs w:val="21"/>
                      <w:lang w:val="en-US" w:eastAsia="zh-CN"/>
                    </w:rPr>
                  </w:pPr>
                  <w:bookmarkStart w:id="8" w:name="_Hlk210111950"/>
                  <w:r>
                    <w:rPr>
                      <w:rFonts w:hint="eastAsia"/>
                      <w:szCs w:val="21"/>
                      <w:lang w:val="en-US" w:eastAsia="zh-CN"/>
                    </w:rPr>
                    <w:t>1</w:t>
                  </w:r>
                </w:p>
              </w:tc>
              <w:tc>
                <w:tcPr>
                  <w:tcW w:w="907" w:type="dxa"/>
                  <w:vAlign w:val="center"/>
                </w:tcPr>
                <w:p w14:paraId="73790652">
                  <w:pPr>
                    <w:jc w:val="center"/>
                    <w:rPr>
                      <w:rFonts w:hint="default" w:eastAsia="宋体"/>
                      <w:szCs w:val="21"/>
                      <w:lang w:val="en-US" w:eastAsia="zh-CN"/>
                    </w:rPr>
                  </w:pPr>
                </w:p>
              </w:tc>
              <w:tc>
                <w:tcPr>
                  <w:tcW w:w="1313" w:type="dxa"/>
                  <w:vAlign w:val="center"/>
                </w:tcPr>
                <w:p w14:paraId="696DB302">
                  <w:pPr>
                    <w:jc w:val="center"/>
                    <w:rPr>
                      <w:rFonts w:hint="default" w:eastAsia="宋体"/>
                      <w:szCs w:val="21"/>
                      <w:lang w:val="en-US" w:eastAsia="zh-CN"/>
                    </w:rPr>
                  </w:pPr>
                </w:p>
              </w:tc>
              <w:tc>
                <w:tcPr>
                  <w:tcW w:w="1217" w:type="dxa"/>
                  <w:vAlign w:val="center"/>
                </w:tcPr>
                <w:p w14:paraId="46EEC562">
                  <w:pPr>
                    <w:jc w:val="center"/>
                    <w:rPr>
                      <w:rFonts w:hint="default" w:eastAsia="宋体"/>
                      <w:szCs w:val="21"/>
                      <w:lang w:val="en-US" w:eastAsia="zh-CN"/>
                    </w:rPr>
                  </w:pPr>
                  <w:r>
                    <w:rPr>
                      <w:rFonts w:hint="eastAsia"/>
                      <w:szCs w:val="21"/>
                      <w:lang w:val="en-US" w:eastAsia="zh-CN"/>
                    </w:rPr>
                    <w:t>85</w:t>
                  </w:r>
                </w:p>
              </w:tc>
              <w:tc>
                <w:tcPr>
                  <w:tcW w:w="1250" w:type="dxa"/>
                  <w:vMerge w:val="restart"/>
                  <w:vAlign w:val="center"/>
                </w:tcPr>
                <w:p w14:paraId="6D842B82">
                  <w:pPr>
                    <w:jc w:val="center"/>
                    <w:rPr>
                      <w:rFonts w:hint="eastAsia"/>
                      <w:szCs w:val="21"/>
                      <w:lang w:val="en-US" w:eastAsia="zh-CN"/>
                    </w:rPr>
                  </w:pPr>
                  <w:r>
                    <w:rPr>
                      <w:rFonts w:hint="eastAsia"/>
                      <w:szCs w:val="21"/>
                      <w:lang w:val="en-US" w:eastAsia="zh-CN"/>
                    </w:rPr>
                    <w:t>封闭车间、厂房隔声</w:t>
                  </w:r>
                </w:p>
                <w:p w14:paraId="41BC980A">
                  <w:pPr>
                    <w:jc w:val="center"/>
                    <w:rPr>
                      <w:rFonts w:hint="default" w:eastAsia="宋体"/>
                      <w:szCs w:val="21"/>
                      <w:lang w:val="en-US" w:eastAsia="zh-CN"/>
                    </w:rPr>
                  </w:pPr>
                </w:p>
              </w:tc>
              <w:tc>
                <w:tcPr>
                  <w:tcW w:w="688" w:type="dxa"/>
                  <w:vAlign w:val="center"/>
                </w:tcPr>
                <w:p w14:paraId="0F477FC9">
                  <w:pPr>
                    <w:jc w:val="center"/>
                    <w:rPr>
                      <w:rFonts w:hint="default" w:eastAsia="宋体"/>
                      <w:szCs w:val="21"/>
                      <w:lang w:val="en-US" w:eastAsia="zh-CN"/>
                    </w:rPr>
                  </w:pPr>
                  <w:r>
                    <w:rPr>
                      <w:rFonts w:hint="eastAsia"/>
                      <w:szCs w:val="21"/>
                      <w:lang w:val="en-US" w:eastAsia="zh-CN"/>
                    </w:rPr>
                    <w:t>-158</w:t>
                  </w:r>
                </w:p>
              </w:tc>
              <w:tc>
                <w:tcPr>
                  <w:tcW w:w="655" w:type="dxa"/>
                  <w:vAlign w:val="center"/>
                </w:tcPr>
                <w:p w14:paraId="670FCC70">
                  <w:pPr>
                    <w:jc w:val="center"/>
                    <w:rPr>
                      <w:rFonts w:hint="default" w:eastAsia="宋体"/>
                      <w:szCs w:val="21"/>
                      <w:lang w:val="en-US" w:eastAsia="zh-CN"/>
                    </w:rPr>
                  </w:pPr>
                  <w:r>
                    <w:rPr>
                      <w:rFonts w:hint="eastAsia"/>
                      <w:szCs w:val="21"/>
                      <w:lang w:val="en-US" w:eastAsia="zh-CN"/>
                    </w:rPr>
                    <w:t>-78</w:t>
                  </w:r>
                </w:p>
              </w:tc>
              <w:tc>
                <w:tcPr>
                  <w:tcW w:w="539" w:type="dxa"/>
                  <w:vAlign w:val="center"/>
                </w:tcPr>
                <w:p w14:paraId="5D333B8A">
                  <w:pPr>
                    <w:jc w:val="center"/>
                    <w:rPr>
                      <w:rFonts w:hint="default" w:eastAsia="宋体"/>
                      <w:szCs w:val="21"/>
                      <w:lang w:val="en-US" w:eastAsia="zh-CN"/>
                    </w:rPr>
                  </w:pPr>
                  <w:r>
                    <w:rPr>
                      <w:rFonts w:hint="eastAsia"/>
                      <w:szCs w:val="21"/>
                      <w:lang w:val="en-US" w:eastAsia="zh-CN"/>
                    </w:rPr>
                    <w:t>1.5</w:t>
                  </w:r>
                </w:p>
              </w:tc>
              <w:tc>
                <w:tcPr>
                  <w:tcW w:w="810" w:type="dxa"/>
                  <w:vMerge w:val="restart"/>
                  <w:vAlign w:val="center"/>
                </w:tcPr>
                <w:p w14:paraId="7B2A4786">
                  <w:pPr>
                    <w:jc w:val="center"/>
                    <w:rPr>
                      <w:rFonts w:hint="default" w:eastAsia="宋体"/>
                      <w:szCs w:val="21"/>
                      <w:lang w:val="en-US" w:eastAsia="zh-CN"/>
                    </w:rPr>
                  </w:pPr>
                  <w:r>
                    <w:rPr>
                      <w:rFonts w:hint="eastAsia"/>
                      <w:szCs w:val="21"/>
                      <w:lang w:val="en-US" w:eastAsia="zh-CN"/>
                    </w:rPr>
                    <w:t>昼间、夜间</w:t>
                  </w:r>
                </w:p>
              </w:tc>
            </w:tr>
            <w:bookmarkEnd w:id="8"/>
            <w:tr w14:paraId="6D8A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16CCB35A">
                  <w:pPr>
                    <w:jc w:val="center"/>
                    <w:rPr>
                      <w:szCs w:val="21"/>
                    </w:rPr>
                  </w:pPr>
                  <w:r>
                    <w:rPr>
                      <w:rFonts w:hint="eastAsia"/>
                      <w:szCs w:val="21"/>
                    </w:rPr>
                    <w:t>2</w:t>
                  </w:r>
                </w:p>
              </w:tc>
              <w:tc>
                <w:tcPr>
                  <w:tcW w:w="907" w:type="dxa"/>
                  <w:vAlign w:val="center"/>
                </w:tcPr>
                <w:p w14:paraId="0C21B9B1">
                  <w:pPr>
                    <w:jc w:val="center"/>
                    <w:rPr>
                      <w:rFonts w:hint="eastAsia" w:eastAsia="宋体"/>
                      <w:szCs w:val="21"/>
                      <w:lang w:val="en-US" w:eastAsia="zh-CN"/>
                    </w:rPr>
                  </w:pPr>
                </w:p>
              </w:tc>
              <w:tc>
                <w:tcPr>
                  <w:tcW w:w="1313" w:type="dxa"/>
                  <w:vAlign w:val="center"/>
                </w:tcPr>
                <w:p w14:paraId="2B29C5F6">
                  <w:pPr>
                    <w:jc w:val="center"/>
                    <w:rPr>
                      <w:rFonts w:hint="default" w:eastAsia="宋体"/>
                      <w:szCs w:val="21"/>
                      <w:lang w:val="en-US" w:eastAsia="zh-CN"/>
                    </w:rPr>
                  </w:pPr>
                </w:p>
              </w:tc>
              <w:tc>
                <w:tcPr>
                  <w:tcW w:w="1217" w:type="dxa"/>
                  <w:vAlign w:val="center"/>
                </w:tcPr>
                <w:p w14:paraId="0AEF5D7F">
                  <w:pPr>
                    <w:jc w:val="center"/>
                    <w:rPr>
                      <w:rFonts w:hint="default" w:eastAsia="宋体"/>
                      <w:szCs w:val="21"/>
                      <w:lang w:val="en-US" w:eastAsia="zh-CN"/>
                    </w:rPr>
                  </w:pPr>
                  <w:r>
                    <w:rPr>
                      <w:rFonts w:hint="eastAsia"/>
                      <w:szCs w:val="21"/>
                      <w:lang w:val="en-US" w:eastAsia="zh-CN"/>
                    </w:rPr>
                    <w:t>85</w:t>
                  </w:r>
                </w:p>
              </w:tc>
              <w:tc>
                <w:tcPr>
                  <w:tcW w:w="1250" w:type="dxa"/>
                  <w:vMerge w:val="continue"/>
                  <w:vAlign w:val="center"/>
                </w:tcPr>
                <w:p w14:paraId="0BC7BCE4">
                  <w:pPr>
                    <w:jc w:val="center"/>
                    <w:rPr>
                      <w:szCs w:val="21"/>
                    </w:rPr>
                  </w:pPr>
                </w:p>
              </w:tc>
              <w:tc>
                <w:tcPr>
                  <w:tcW w:w="688" w:type="dxa"/>
                  <w:vAlign w:val="center"/>
                </w:tcPr>
                <w:p w14:paraId="69FEBA09">
                  <w:pPr>
                    <w:jc w:val="center"/>
                    <w:rPr>
                      <w:rFonts w:hint="default" w:eastAsia="宋体"/>
                      <w:szCs w:val="21"/>
                      <w:lang w:val="en-US" w:eastAsia="zh-CN"/>
                    </w:rPr>
                  </w:pPr>
                  <w:r>
                    <w:rPr>
                      <w:rFonts w:hint="eastAsia"/>
                      <w:szCs w:val="21"/>
                      <w:lang w:val="en-US" w:eastAsia="zh-CN"/>
                    </w:rPr>
                    <w:t>-101</w:t>
                  </w:r>
                </w:p>
              </w:tc>
              <w:tc>
                <w:tcPr>
                  <w:tcW w:w="655" w:type="dxa"/>
                  <w:vAlign w:val="center"/>
                </w:tcPr>
                <w:p w14:paraId="42CF2781">
                  <w:pPr>
                    <w:jc w:val="center"/>
                    <w:rPr>
                      <w:rFonts w:hint="default" w:eastAsia="宋体"/>
                      <w:szCs w:val="21"/>
                      <w:lang w:val="en-US" w:eastAsia="zh-CN"/>
                    </w:rPr>
                  </w:pPr>
                  <w:r>
                    <w:rPr>
                      <w:rFonts w:hint="eastAsia"/>
                      <w:szCs w:val="21"/>
                      <w:lang w:val="en-US" w:eastAsia="zh-CN"/>
                    </w:rPr>
                    <w:t>-167</w:t>
                  </w:r>
                </w:p>
              </w:tc>
              <w:tc>
                <w:tcPr>
                  <w:tcW w:w="539" w:type="dxa"/>
                  <w:vAlign w:val="center"/>
                </w:tcPr>
                <w:p w14:paraId="02B0D85A">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66FA558C">
                  <w:pPr>
                    <w:jc w:val="center"/>
                    <w:rPr>
                      <w:szCs w:val="21"/>
                    </w:rPr>
                  </w:pPr>
                </w:p>
              </w:tc>
            </w:tr>
            <w:tr w14:paraId="0200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6D31EDD6">
                  <w:pPr>
                    <w:jc w:val="center"/>
                    <w:rPr>
                      <w:rFonts w:hint="eastAsia" w:eastAsia="宋体"/>
                      <w:szCs w:val="21"/>
                      <w:lang w:val="en-US" w:eastAsia="zh-CN"/>
                    </w:rPr>
                  </w:pPr>
                  <w:r>
                    <w:rPr>
                      <w:rFonts w:hint="eastAsia"/>
                      <w:szCs w:val="21"/>
                      <w:lang w:val="en-US" w:eastAsia="zh-CN"/>
                    </w:rPr>
                    <w:t>3</w:t>
                  </w:r>
                </w:p>
              </w:tc>
              <w:tc>
                <w:tcPr>
                  <w:tcW w:w="907" w:type="dxa"/>
                  <w:vAlign w:val="center"/>
                </w:tcPr>
                <w:p w14:paraId="52CE6EA0">
                  <w:pPr>
                    <w:jc w:val="center"/>
                    <w:rPr>
                      <w:rFonts w:hint="eastAsia"/>
                      <w:sz w:val="21"/>
                      <w:szCs w:val="21"/>
                      <w:vertAlign w:val="baseline"/>
                      <w:lang w:val="en-US" w:eastAsia="zh-CN"/>
                    </w:rPr>
                  </w:pPr>
                </w:p>
              </w:tc>
              <w:tc>
                <w:tcPr>
                  <w:tcW w:w="1313" w:type="dxa"/>
                  <w:vAlign w:val="center"/>
                </w:tcPr>
                <w:p w14:paraId="6CAF6B4A">
                  <w:pPr>
                    <w:jc w:val="center"/>
                    <w:rPr>
                      <w:rFonts w:hint="eastAsia"/>
                      <w:szCs w:val="21"/>
                      <w:lang w:val="en-US" w:eastAsia="zh-CN"/>
                    </w:rPr>
                  </w:pPr>
                </w:p>
              </w:tc>
              <w:tc>
                <w:tcPr>
                  <w:tcW w:w="1217" w:type="dxa"/>
                  <w:vAlign w:val="center"/>
                </w:tcPr>
                <w:p w14:paraId="16D54CD4">
                  <w:pPr>
                    <w:jc w:val="center"/>
                    <w:rPr>
                      <w:rFonts w:hint="default"/>
                      <w:szCs w:val="21"/>
                      <w:lang w:val="en-US" w:eastAsia="zh-CN"/>
                    </w:rPr>
                  </w:pPr>
                  <w:r>
                    <w:rPr>
                      <w:rFonts w:hint="eastAsia"/>
                      <w:szCs w:val="21"/>
                      <w:lang w:val="en-US" w:eastAsia="zh-CN"/>
                    </w:rPr>
                    <w:t>85</w:t>
                  </w:r>
                </w:p>
              </w:tc>
              <w:tc>
                <w:tcPr>
                  <w:tcW w:w="1250" w:type="dxa"/>
                  <w:vMerge w:val="continue"/>
                  <w:vAlign w:val="center"/>
                </w:tcPr>
                <w:p w14:paraId="08EE5F06">
                  <w:pPr>
                    <w:jc w:val="center"/>
                    <w:rPr>
                      <w:szCs w:val="21"/>
                    </w:rPr>
                  </w:pPr>
                </w:p>
              </w:tc>
              <w:tc>
                <w:tcPr>
                  <w:tcW w:w="688" w:type="dxa"/>
                  <w:vAlign w:val="center"/>
                </w:tcPr>
                <w:p w14:paraId="3BEB80AD">
                  <w:pPr>
                    <w:jc w:val="center"/>
                    <w:rPr>
                      <w:rFonts w:hint="default" w:eastAsia="宋体"/>
                      <w:szCs w:val="21"/>
                      <w:lang w:val="en-US" w:eastAsia="zh-CN"/>
                    </w:rPr>
                  </w:pPr>
                  <w:r>
                    <w:rPr>
                      <w:rFonts w:hint="eastAsia"/>
                      <w:szCs w:val="21"/>
                      <w:lang w:val="en-US" w:eastAsia="zh-CN"/>
                    </w:rPr>
                    <w:t>-60</w:t>
                  </w:r>
                </w:p>
              </w:tc>
              <w:tc>
                <w:tcPr>
                  <w:tcW w:w="655" w:type="dxa"/>
                  <w:vAlign w:val="center"/>
                </w:tcPr>
                <w:p w14:paraId="0536B770">
                  <w:pPr>
                    <w:jc w:val="center"/>
                    <w:rPr>
                      <w:rFonts w:hint="default" w:eastAsia="宋体"/>
                      <w:szCs w:val="21"/>
                      <w:lang w:val="en-US" w:eastAsia="zh-CN"/>
                    </w:rPr>
                  </w:pPr>
                  <w:r>
                    <w:rPr>
                      <w:rFonts w:hint="eastAsia"/>
                      <w:szCs w:val="21"/>
                      <w:lang w:val="en-US" w:eastAsia="zh-CN"/>
                    </w:rPr>
                    <w:t>-21</w:t>
                  </w:r>
                </w:p>
              </w:tc>
              <w:tc>
                <w:tcPr>
                  <w:tcW w:w="539" w:type="dxa"/>
                  <w:vAlign w:val="center"/>
                </w:tcPr>
                <w:p w14:paraId="3C47BC92">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24377453">
                  <w:pPr>
                    <w:jc w:val="center"/>
                    <w:rPr>
                      <w:szCs w:val="21"/>
                    </w:rPr>
                  </w:pPr>
                </w:p>
              </w:tc>
            </w:tr>
            <w:tr w14:paraId="41D0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287DC3BF">
                  <w:pPr>
                    <w:jc w:val="center"/>
                    <w:rPr>
                      <w:rFonts w:hint="eastAsia" w:eastAsia="宋体"/>
                      <w:szCs w:val="21"/>
                      <w:lang w:val="en-US" w:eastAsia="zh-CN"/>
                    </w:rPr>
                  </w:pPr>
                  <w:r>
                    <w:rPr>
                      <w:rFonts w:hint="eastAsia"/>
                      <w:szCs w:val="21"/>
                      <w:lang w:val="en-US" w:eastAsia="zh-CN"/>
                    </w:rPr>
                    <w:t>4</w:t>
                  </w:r>
                </w:p>
              </w:tc>
              <w:tc>
                <w:tcPr>
                  <w:tcW w:w="907" w:type="dxa"/>
                  <w:vAlign w:val="center"/>
                </w:tcPr>
                <w:p w14:paraId="136C09AC">
                  <w:pPr>
                    <w:jc w:val="center"/>
                    <w:rPr>
                      <w:rFonts w:hint="eastAsia"/>
                      <w:sz w:val="21"/>
                      <w:szCs w:val="21"/>
                      <w:vertAlign w:val="baseline"/>
                      <w:lang w:val="en-US" w:eastAsia="zh-CN"/>
                    </w:rPr>
                  </w:pPr>
                </w:p>
              </w:tc>
              <w:tc>
                <w:tcPr>
                  <w:tcW w:w="1313" w:type="dxa"/>
                  <w:vAlign w:val="center"/>
                </w:tcPr>
                <w:p w14:paraId="6028C6B1">
                  <w:pPr>
                    <w:jc w:val="center"/>
                    <w:rPr>
                      <w:rFonts w:hint="eastAsia"/>
                      <w:szCs w:val="21"/>
                      <w:lang w:val="en-US" w:eastAsia="zh-CN"/>
                    </w:rPr>
                  </w:pPr>
                </w:p>
              </w:tc>
              <w:tc>
                <w:tcPr>
                  <w:tcW w:w="1217" w:type="dxa"/>
                  <w:vAlign w:val="center"/>
                </w:tcPr>
                <w:p w14:paraId="316E821C">
                  <w:pPr>
                    <w:jc w:val="center"/>
                    <w:rPr>
                      <w:rFonts w:hint="default"/>
                      <w:szCs w:val="21"/>
                      <w:lang w:val="en-US" w:eastAsia="zh-CN"/>
                    </w:rPr>
                  </w:pPr>
                  <w:r>
                    <w:rPr>
                      <w:rFonts w:hint="eastAsia"/>
                      <w:szCs w:val="21"/>
                      <w:lang w:val="en-US" w:eastAsia="zh-CN"/>
                    </w:rPr>
                    <w:t>85</w:t>
                  </w:r>
                </w:p>
              </w:tc>
              <w:tc>
                <w:tcPr>
                  <w:tcW w:w="1250" w:type="dxa"/>
                  <w:vMerge w:val="continue"/>
                  <w:vAlign w:val="center"/>
                </w:tcPr>
                <w:p w14:paraId="41B34AA7">
                  <w:pPr>
                    <w:jc w:val="center"/>
                    <w:rPr>
                      <w:szCs w:val="21"/>
                    </w:rPr>
                  </w:pPr>
                </w:p>
              </w:tc>
              <w:tc>
                <w:tcPr>
                  <w:tcW w:w="688" w:type="dxa"/>
                  <w:vAlign w:val="center"/>
                </w:tcPr>
                <w:p w14:paraId="118C46E9">
                  <w:pPr>
                    <w:jc w:val="center"/>
                    <w:rPr>
                      <w:rFonts w:hint="default" w:eastAsia="宋体"/>
                      <w:szCs w:val="21"/>
                      <w:lang w:val="en-US" w:eastAsia="zh-CN"/>
                    </w:rPr>
                  </w:pPr>
                  <w:r>
                    <w:rPr>
                      <w:rFonts w:hint="eastAsia"/>
                      <w:szCs w:val="21"/>
                      <w:lang w:val="en-US" w:eastAsia="zh-CN"/>
                    </w:rPr>
                    <w:t>-4</w:t>
                  </w:r>
                </w:p>
              </w:tc>
              <w:tc>
                <w:tcPr>
                  <w:tcW w:w="655" w:type="dxa"/>
                  <w:vAlign w:val="center"/>
                </w:tcPr>
                <w:p w14:paraId="309364AC">
                  <w:pPr>
                    <w:jc w:val="center"/>
                    <w:rPr>
                      <w:rFonts w:hint="default" w:eastAsia="宋体"/>
                      <w:szCs w:val="21"/>
                      <w:lang w:val="en-US" w:eastAsia="zh-CN"/>
                    </w:rPr>
                  </w:pPr>
                  <w:r>
                    <w:rPr>
                      <w:rFonts w:hint="eastAsia"/>
                      <w:szCs w:val="21"/>
                      <w:lang w:val="en-US" w:eastAsia="zh-CN"/>
                    </w:rPr>
                    <w:t>-114</w:t>
                  </w:r>
                </w:p>
              </w:tc>
              <w:tc>
                <w:tcPr>
                  <w:tcW w:w="539" w:type="dxa"/>
                  <w:vAlign w:val="center"/>
                </w:tcPr>
                <w:p w14:paraId="3A006966">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02E0A3DA">
                  <w:pPr>
                    <w:jc w:val="center"/>
                    <w:rPr>
                      <w:szCs w:val="21"/>
                    </w:rPr>
                  </w:pPr>
                </w:p>
              </w:tc>
            </w:tr>
            <w:tr w14:paraId="6A68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5535A3D4">
                  <w:pPr>
                    <w:jc w:val="center"/>
                    <w:rPr>
                      <w:rFonts w:hint="default" w:eastAsia="宋体"/>
                      <w:szCs w:val="21"/>
                      <w:lang w:val="en-US" w:eastAsia="zh-CN"/>
                    </w:rPr>
                  </w:pPr>
                  <w:r>
                    <w:rPr>
                      <w:rFonts w:hint="eastAsia"/>
                      <w:szCs w:val="21"/>
                      <w:lang w:val="en-US" w:eastAsia="zh-CN"/>
                    </w:rPr>
                    <w:t>5</w:t>
                  </w:r>
                </w:p>
              </w:tc>
              <w:tc>
                <w:tcPr>
                  <w:tcW w:w="907" w:type="dxa"/>
                  <w:vAlign w:val="center"/>
                </w:tcPr>
                <w:p w14:paraId="214FCF2C">
                  <w:pPr>
                    <w:jc w:val="center"/>
                    <w:rPr>
                      <w:rFonts w:hint="default" w:eastAsia="宋体"/>
                      <w:szCs w:val="21"/>
                      <w:lang w:val="en-US" w:eastAsia="zh-CN"/>
                    </w:rPr>
                  </w:pPr>
                </w:p>
              </w:tc>
              <w:tc>
                <w:tcPr>
                  <w:tcW w:w="1313" w:type="dxa"/>
                  <w:vAlign w:val="center"/>
                </w:tcPr>
                <w:p w14:paraId="6D9840AB">
                  <w:pPr>
                    <w:jc w:val="center"/>
                    <w:rPr>
                      <w:rFonts w:hint="default" w:eastAsia="宋体"/>
                      <w:szCs w:val="21"/>
                      <w:lang w:val="en-US" w:eastAsia="zh-CN"/>
                    </w:rPr>
                  </w:pPr>
                </w:p>
              </w:tc>
              <w:tc>
                <w:tcPr>
                  <w:tcW w:w="1217" w:type="dxa"/>
                  <w:vAlign w:val="center"/>
                </w:tcPr>
                <w:p w14:paraId="19CC0688">
                  <w:pPr>
                    <w:jc w:val="center"/>
                    <w:rPr>
                      <w:rFonts w:hint="default" w:eastAsia="宋体"/>
                      <w:szCs w:val="21"/>
                      <w:lang w:val="en-US" w:eastAsia="zh-CN"/>
                    </w:rPr>
                  </w:pPr>
                  <w:r>
                    <w:rPr>
                      <w:rFonts w:hint="eastAsia"/>
                      <w:szCs w:val="21"/>
                      <w:lang w:val="en-US" w:eastAsia="zh-CN"/>
                    </w:rPr>
                    <w:t>85</w:t>
                  </w:r>
                </w:p>
              </w:tc>
              <w:tc>
                <w:tcPr>
                  <w:tcW w:w="1250" w:type="dxa"/>
                  <w:vMerge w:val="continue"/>
                  <w:vAlign w:val="center"/>
                </w:tcPr>
                <w:p w14:paraId="6C90202A">
                  <w:pPr>
                    <w:jc w:val="center"/>
                    <w:rPr>
                      <w:rFonts w:hint="default" w:eastAsia="宋体"/>
                      <w:szCs w:val="21"/>
                      <w:lang w:val="en-US" w:eastAsia="zh-CN"/>
                    </w:rPr>
                  </w:pPr>
                </w:p>
              </w:tc>
              <w:tc>
                <w:tcPr>
                  <w:tcW w:w="688" w:type="dxa"/>
                  <w:vAlign w:val="center"/>
                </w:tcPr>
                <w:p w14:paraId="0BC64FD2">
                  <w:pPr>
                    <w:jc w:val="center"/>
                    <w:rPr>
                      <w:rFonts w:hint="default" w:eastAsia="宋体"/>
                      <w:szCs w:val="21"/>
                      <w:lang w:val="en-US" w:eastAsia="zh-CN"/>
                    </w:rPr>
                  </w:pPr>
                  <w:r>
                    <w:rPr>
                      <w:rFonts w:hint="eastAsia"/>
                      <w:szCs w:val="21"/>
                      <w:lang w:val="en-US" w:eastAsia="zh-CN"/>
                    </w:rPr>
                    <w:t>112</w:t>
                  </w:r>
                </w:p>
              </w:tc>
              <w:tc>
                <w:tcPr>
                  <w:tcW w:w="655" w:type="dxa"/>
                  <w:vAlign w:val="center"/>
                </w:tcPr>
                <w:p w14:paraId="4B444D18">
                  <w:pPr>
                    <w:jc w:val="center"/>
                    <w:rPr>
                      <w:rFonts w:hint="default" w:eastAsia="宋体"/>
                      <w:szCs w:val="21"/>
                      <w:lang w:val="en-US" w:eastAsia="zh-CN"/>
                    </w:rPr>
                  </w:pPr>
                  <w:r>
                    <w:rPr>
                      <w:rFonts w:hint="eastAsia"/>
                      <w:szCs w:val="21"/>
                      <w:lang w:val="en-US" w:eastAsia="zh-CN"/>
                    </w:rPr>
                    <w:t>101</w:t>
                  </w:r>
                </w:p>
              </w:tc>
              <w:tc>
                <w:tcPr>
                  <w:tcW w:w="539" w:type="dxa"/>
                  <w:vAlign w:val="center"/>
                </w:tcPr>
                <w:p w14:paraId="13F9007D">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7A966F4C">
                  <w:pPr>
                    <w:jc w:val="center"/>
                    <w:rPr>
                      <w:szCs w:val="21"/>
                    </w:rPr>
                  </w:pPr>
                </w:p>
              </w:tc>
            </w:tr>
            <w:tr w14:paraId="6B88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7606E07D">
                  <w:pPr>
                    <w:jc w:val="center"/>
                    <w:rPr>
                      <w:rFonts w:hint="default" w:eastAsia="宋体"/>
                      <w:szCs w:val="21"/>
                      <w:lang w:val="en-US" w:eastAsia="zh-CN"/>
                    </w:rPr>
                  </w:pPr>
                  <w:r>
                    <w:rPr>
                      <w:rFonts w:hint="eastAsia"/>
                      <w:szCs w:val="21"/>
                      <w:lang w:val="en-US" w:eastAsia="zh-CN"/>
                    </w:rPr>
                    <w:t>6</w:t>
                  </w:r>
                </w:p>
              </w:tc>
              <w:tc>
                <w:tcPr>
                  <w:tcW w:w="907" w:type="dxa"/>
                  <w:vAlign w:val="center"/>
                </w:tcPr>
                <w:p w14:paraId="590F1AC7">
                  <w:pPr>
                    <w:jc w:val="center"/>
                    <w:rPr>
                      <w:rFonts w:hint="eastAsia" w:eastAsia="宋体"/>
                      <w:szCs w:val="21"/>
                      <w:lang w:val="en-US" w:eastAsia="zh-CN"/>
                    </w:rPr>
                  </w:pPr>
                </w:p>
              </w:tc>
              <w:tc>
                <w:tcPr>
                  <w:tcW w:w="1313" w:type="dxa"/>
                  <w:vAlign w:val="center"/>
                </w:tcPr>
                <w:p w14:paraId="1EF08042">
                  <w:pPr>
                    <w:jc w:val="center"/>
                    <w:rPr>
                      <w:rFonts w:hint="default" w:eastAsia="宋体"/>
                      <w:szCs w:val="21"/>
                      <w:lang w:val="en-US" w:eastAsia="zh-CN"/>
                    </w:rPr>
                  </w:pPr>
                </w:p>
              </w:tc>
              <w:tc>
                <w:tcPr>
                  <w:tcW w:w="1217" w:type="dxa"/>
                  <w:vAlign w:val="center"/>
                </w:tcPr>
                <w:p w14:paraId="355AF39C">
                  <w:pPr>
                    <w:jc w:val="center"/>
                    <w:rPr>
                      <w:rFonts w:hint="default" w:eastAsia="宋体"/>
                      <w:szCs w:val="21"/>
                      <w:lang w:val="en-US" w:eastAsia="zh-CN"/>
                    </w:rPr>
                  </w:pPr>
                  <w:r>
                    <w:rPr>
                      <w:rFonts w:hint="eastAsia"/>
                      <w:szCs w:val="21"/>
                      <w:lang w:val="en-US" w:eastAsia="zh-CN"/>
                    </w:rPr>
                    <w:t>85</w:t>
                  </w:r>
                </w:p>
              </w:tc>
              <w:tc>
                <w:tcPr>
                  <w:tcW w:w="1250" w:type="dxa"/>
                  <w:vMerge w:val="continue"/>
                  <w:vAlign w:val="center"/>
                </w:tcPr>
                <w:p w14:paraId="741951D3">
                  <w:pPr>
                    <w:jc w:val="center"/>
                    <w:rPr>
                      <w:szCs w:val="21"/>
                    </w:rPr>
                  </w:pPr>
                </w:p>
              </w:tc>
              <w:tc>
                <w:tcPr>
                  <w:tcW w:w="688" w:type="dxa"/>
                  <w:shd w:val="clear" w:color="auto" w:fill="auto"/>
                  <w:vAlign w:val="center"/>
                </w:tcPr>
                <w:p w14:paraId="398D36D9">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187</w:t>
                  </w:r>
                </w:p>
              </w:tc>
              <w:tc>
                <w:tcPr>
                  <w:tcW w:w="655" w:type="dxa"/>
                  <w:shd w:val="clear" w:color="auto" w:fill="auto"/>
                  <w:vAlign w:val="center"/>
                </w:tcPr>
                <w:p w14:paraId="4ED5F92F">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11</w:t>
                  </w:r>
                </w:p>
              </w:tc>
              <w:tc>
                <w:tcPr>
                  <w:tcW w:w="539" w:type="dxa"/>
                  <w:vAlign w:val="center"/>
                </w:tcPr>
                <w:p w14:paraId="586898F7">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0BA90242">
                  <w:pPr>
                    <w:jc w:val="center"/>
                    <w:rPr>
                      <w:szCs w:val="21"/>
                    </w:rPr>
                  </w:pPr>
                </w:p>
              </w:tc>
            </w:tr>
            <w:tr w14:paraId="314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7D3CD6BC">
                  <w:pPr>
                    <w:jc w:val="center"/>
                    <w:rPr>
                      <w:rFonts w:hint="default"/>
                      <w:szCs w:val="21"/>
                      <w:lang w:val="en-US" w:eastAsia="zh-CN"/>
                    </w:rPr>
                  </w:pPr>
                  <w:r>
                    <w:rPr>
                      <w:rFonts w:hint="eastAsia"/>
                      <w:szCs w:val="21"/>
                      <w:lang w:val="en-US" w:eastAsia="zh-CN"/>
                    </w:rPr>
                    <w:t>7</w:t>
                  </w:r>
                </w:p>
              </w:tc>
              <w:tc>
                <w:tcPr>
                  <w:tcW w:w="907" w:type="dxa"/>
                  <w:vAlign w:val="center"/>
                </w:tcPr>
                <w:p w14:paraId="3BBEC346">
                  <w:pPr>
                    <w:jc w:val="center"/>
                    <w:rPr>
                      <w:rFonts w:hint="eastAsia"/>
                      <w:sz w:val="21"/>
                      <w:szCs w:val="21"/>
                      <w:vertAlign w:val="baseline"/>
                      <w:lang w:val="en-US" w:eastAsia="zh-CN"/>
                    </w:rPr>
                  </w:pPr>
                </w:p>
              </w:tc>
              <w:tc>
                <w:tcPr>
                  <w:tcW w:w="1313" w:type="dxa"/>
                  <w:vAlign w:val="center"/>
                </w:tcPr>
                <w:p w14:paraId="15344C08">
                  <w:pPr>
                    <w:jc w:val="center"/>
                    <w:rPr>
                      <w:rFonts w:hint="eastAsia"/>
                      <w:szCs w:val="21"/>
                      <w:lang w:val="en-US" w:eastAsia="zh-CN"/>
                    </w:rPr>
                  </w:pPr>
                </w:p>
              </w:tc>
              <w:tc>
                <w:tcPr>
                  <w:tcW w:w="1217" w:type="dxa"/>
                  <w:vAlign w:val="center"/>
                </w:tcPr>
                <w:p w14:paraId="585F44B5">
                  <w:pPr>
                    <w:jc w:val="center"/>
                    <w:rPr>
                      <w:rFonts w:hint="default"/>
                      <w:szCs w:val="21"/>
                      <w:lang w:val="en-US" w:eastAsia="zh-CN"/>
                    </w:rPr>
                  </w:pPr>
                  <w:r>
                    <w:rPr>
                      <w:rFonts w:hint="eastAsia"/>
                      <w:szCs w:val="21"/>
                      <w:lang w:val="en-US" w:eastAsia="zh-CN"/>
                    </w:rPr>
                    <w:t>85</w:t>
                  </w:r>
                </w:p>
              </w:tc>
              <w:tc>
                <w:tcPr>
                  <w:tcW w:w="1250" w:type="dxa"/>
                  <w:vMerge w:val="continue"/>
                  <w:vAlign w:val="center"/>
                </w:tcPr>
                <w:p w14:paraId="156E5D38">
                  <w:pPr>
                    <w:jc w:val="center"/>
                    <w:rPr>
                      <w:szCs w:val="21"/>
                    </w:rPr>
                  </w:pPr>
                </w:p>
              </w:tc>
              <w:tc>
                <w:tcPr>
                  <w:tcW w:w="688" w:type="dxa"/>
                  <w:shd w:val="clear" w:color="auto" w:fill="auto"/>
                  <w:vAlign w:val="center"/>
                </w:tcPr>
                <w:p w14:paraId="1A5D9F1D">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25</w:t>
                  </w:r>
                </w:p>
              </w:tc>
              <w:tc>
                <w:tcPr>
                  <w:tcW w:w="655" w:type="dxa"/>
                  <w:shd w:val="clear" w:color="auto" w:fill="auto"/>
                  <w:vAlign w:val="center"/>
                </w:tcPr>
                <w:p w14:paraId="2DF4CCB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33</w:t>
                  </w:r>
                </w:p>
              </w:tc>
              <w:tc>
                <w:tcPr>
                  <w:tcW w:w="539" w:type="dxa"/>
                  <w:vAlign w:val="center"/>
                </w:tcPr>
                <w:p w14:paraId="7C9816B5">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42450B0A">
                  <w:pPr>
                    <w:jc w:val="center"/>
                    <w:rPr>
                      <w:szCs w:val="21"/>
                    </w:rPr>
                  </w:pPr>
                </w:p>
              </w:tc>
            </w:tr>
            <w:tr w14:paraId="34B9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042CFB4B">
                  <w:pPr>
                    <w:jc w:val="center"/>
                    <w:rPr>
                      <w:rFonts w:hint="default"/>
                      <w:szCs w:val="21"/>
                      <w:lang w:val="en-US" w:eastAsia="zh-CN"/>
                    </w:rPr>
                  </w:pPr>
                  <w:r>
                    <w:rPr>
                      <w:rFonts w:hint="eastAsia"/>
                      <w:szCs w:val="21"/>
                      <w:lang w:val="en-US" w:eastAsia="zh-CN"/>
                    </w:rPr>
                    <w:t>8</w:t>
                  </w:r>
                </w:p>
              </w:tc>
              <w:tc>
                <w:tcPr>
                  <w:tcW w:w="907" w:type="dxa"/>
                  <w:vAlign w:val="center"/>
                </w:tcPr>
                <w:p w14:paraId="18928C55">
                  <w:pPr>
                    <w:jc w:val="center"/>
                    <w:rPr>
                      <w:rFonts w:hint="eastAsia"/>
                      <w:sz w:val="21"/>
                      <w:szCs w:val="21"/>
                      <w:vertAlign w:val="baseline"/>
                      <w:lang w:val="en-US" w:eastAsia="zh-CN"/>
                    </w:rPr>
                  </w:pPr>
                </w:p>
              </w:tc>
              <w:tc>
                <w:tcPr>
                  <w:tcW w:w="1313" w:type="dxa"/>
                  <w:vAlign w:val="center"/>
                </w:tcPr>
                <w:p w14:paraId="10BA6CD9">
                  <w:pPr>
                    <w:jc w:val="center"/>
                    <w:rPr>
                      <w:rFonts w:hint="eastAsia"/>
                      <w:szCs w:val="21"/>
                      <w:lang w:val="en-US" w:eastAsia="zh-CN"/>
                    </w:rPr>
                  </w:pPr>
                </w:p>
              </w:tc>
              <w:tc>
                <w:tcPr>
                  <w:tcW w:w="1217" w:type="dxa"/>
                  <w:vAlign w:val="center"/>
                </w:tcPr>
                <w:p w14:paraId="2E4F2A6E">
                  <w:pPr>
                    <w:jc w:val="center"/>
                    <w:rPr>
                      <w:rFonts w:hint="default"/>
                      <w:szCs w:val="21"/>
                      <w:lang w:val="en-US" w:eastAsia="zh-CN"/>
                    </w:rPr>
                  </w:pPr>
                  <w:r>
                    <w:rPr>
                      <w:rFonts w:hint="eastAsia"/>
                      <w:szCs w:val="21"/>
                      <w:lang w:val="en-US" w:eastAsia="zh-CN"/>
                    </w:rPr>
                    <w:t>85</w:t>
                  </w:r>
                </w:p>
              </w:tc>
              <w:tc>
                <w:tcPr>
                  <w:tcW w:w="1250" w:type="dxa"/>
                  <w:vMerge w:val="continue"/>
                  <w:vAlign w:val="center"/>
                </w:tcPr>
                <w:p w14:paraId="4E5AE9FF">
                  <w:pPr>
                    <w:jc w:val="center"/>
                    <w:rPr>
                      <w:szCs w:val="21"/>
                    </w:rPr>
                  </w:pPr>
                </w:p>
              </w:tc>
              <w:tc>
                <w:tcPr>
                  <w:tcW w:w="688" w:type="dxa"/>
                  <w:shd w:val="clear" w:color="auto" w:fill="auto"/>
                  <w:vAlign w:val="center"/>
                </w:tcPr>
                <w:p w14:paraId="611A88C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91</w:t>
                  </w:r>
                </w:p>
              </w:tc>
              <w:tc>
                <w:tcPr>
                  <w:tcW w:w="655" w:type="dxa"/>
                  <w:shd w:val="clear" w:color="auto" w:fill="auto"/>
                  <w:vAlign w:val="center"/>
                </w:tcPr>
                <w:p w14:paraId="60A2C570">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-51</w:t>
                  </w:r>
                </w:p>
              </w:tc>
              <w:tc>
                <w:tcPr>
                  <w:tcW w:w="539" w:type="dxa"/>
                  <w:vAlign w:val="center"/>
                </w:tcPr>
                <w:p w14:paraId="28EBBB82">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7C7780E4">
                  <w:pPr>
                    <w:jc w:val="center"/>
                    <w:rPr>
                      <w:szCs w:val="21"/>
                    </w:rPr>
                  </w:pPr>
                </w:p>
              </w:tc>
            </w:tr>
            <w:tr w14:paraId="1879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708BC67E">
                  <w:pPr>
                    <w:jc w:val="center"/>
                    <w:rPr>
                      <w:rFonts w:hint="default"/>
                      <w:szCs w:val="21"/>
                      <w:lang w:val="en-US" w:eastAsia="zh-CN"/>
                    </w:rPr>
                  </w:pPr>
                  <w:r>
                    <w:rPr>
                      <w:rFonts w:hint="eastAsia"/>
                      <w:szCs w:val="21"/>
                      <w:lang w:val="en-US" w:eastAsia="zh-CN"/>
                    </w:rPr>
                    <w:t>9</w:t>
                  </w:r>
                </w:p>
              </w:tc>
              <w:tc>
                <w:tcPr>
                  <w:tcW w:w="907" w:type="dxa"/>
                  <w:vAlign w:val="center"/>
                </w:tcPr>
                <w:p w14:paraId="0516882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1313" w:type="dxa"/>
                  <w:vAlign w:val="center"/>
                </w:tcPr>
                <w:p w14:paraId="32C9D92D">
                  <w:pPr>
                    <w:jc w:val="center"/>
                    <w:rPr>
                      <w:rFonts w:hint="eastAsia"/>
                      <w:szCs w:val="21"/>
                      <w:lang w:val="en-US" w:eastAsia="zh-CN"/>
                    </w:rPr>
                  </w:pPr>
                </w:p>
              </w:tc>
              <w:tc>
                <w:tcPr>
                  <w:tcW w:w="1217" w:type="dxa"/>
                  <w:vAlign w:val="center"/>
                </w:tcPr>
                <w:p w14:paraId="3ED4680B">
                  <w:pPr>
                    <w:jc w:val="center"/>
                    <w:rPr>
                      <w:rFonts w:hint="default"/>
                      <w:szCs w:val="21"/>
                      <w:lang w:val="en-US" w:eastAsia="zh-CN"/>
                    </w:rPr>
                  </w:pPr>
                  <w:r>
                    <w:rPr>
                      <w:rFonts w:hint="eastAsia"/>
                      <w:szCs w:val="21"/>
                      <w:lang w:val="en-US" w:eastAsia="zh-CN"/>
                    </w:rPr>
                    <w:t>80</w:t>
                  </w:r>
                </w:p>
              </w:tc>
              <w:tc>
                <w:tcPr>
                  <w:tcW w:w="1250" w:type="dxa"/>
                  <w:vMerge w:val="continue"/>
                  <w:vAlign w:val="center"/>
                </w:tcPr>
                <w:p w14:paraId="03292E56">
                  <w:pPr>
                    <w:jc w:val="center"/>
                    <w:rPr>
                      <w:szCs w:val="21"/>
                    </w:rPr>
                  </w:pPr>
                </w:p>
              </w:tc>
              <w:tc>
                <w:tcPr>
                  <w:tcW w:w="688" w:type="dxa"/>
                  <w:shd w:val="clear" w:color="auto" w:fill="auto"/>
                  <w:vAlign w:val="center"/>
                </w:tcPr>
                <w:p w14:paraId="0268988B">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-82</w:t>
                  </w:r>
                </w:p>
              </w:tc>
              <w:tc>
                <w:tcPr>
                  <w:tcW w:w="655" w:type="dxa"/>
                  <w:shd w:val="clear" w:color="auto" w:fill="auto"/>
                  <w:vAlign w:val="center"/>
                </w:tcPr>
                <w:p w14:paraId="7A35FE1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-97</w:t>
                  </w:r>
                </w:p>
              </w:tc>
              <w:tc>
                <w:tcPr>
                  <w:tcW w:w="539" w:type="dxa"/>
                  <w:vAlign w:val="center"/>
                </w:tcPr>
                <w:p w14:paraId="3B4E0FD8">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6175BA91">
                  <w:pPr>
                    <w:jc w:val="center"/>
                    <w:rPr>
                      <w:szCs w:val="21"/>
                    </w:rPr>
                  </w:pPr>
                </w:p>
              </w:tc>
            </w:tr>
            <w:tr w14:paraId="0B93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314FA799">
                  <w:pPr>
                    <w:jc w:val="center"/>
                    <w:rPr>
                      <w:rFonts w:hint="default"/>
                      <w:szCs w:val="21"/>
                      <w:lang w:val="en-US" w:eastAsia="zh-CN"/>
                    </w:rPr>
                  </w:pPr>
                  <w:r>
                    <w:rPr>
                      <w:rFonts w:hint="eastAsia"/>
                      <w:szCs w:val="21"/>
                      <w:lang w:val="en-US" w:eastAsia="zh-CN"/>
                    </w:rPr>
                    <w:t>10</w:t>
                  </w:r>
                </w:p>
              </w:tc>
              <w:tc>
                <w:tcPr>
                  <w:tcW w:w="907" w:type="dxa"/>
                  <w:vAlign w:val="center"/>
                </w:tcPr>
                <w:p w14:paraId="42A807C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1313" w:type="dxa"/>
                  <w:vAlign w:val="center"/>
                </w:tcPr>
                <w:p w14:paraId="790B298D">
                  <w:pPr>
                    <w:jc w:val="center"/>
                    <w:rPr>
                      <w:rFonts w:hint="default"/>
                      <w:szCs w:val="21"/>
                      <w:lang w:val="en-US" w:eastAsia="zh-CN"/>
                    </w:rPr>
                  </w:pPr>
                </w:p>
              </w:tc>
              <w:tc>
                <w:tcPr>
                  <w:tcW w:w="1217" w:type="dxa"/>
                  <w:vAlign w:val="center"/>
                </w:tcPr>
                <w:p w14:paraId="11153EF7">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4DFADE28">
                  <w:pPr>
                    <w:jc w:val="center"/>
                    <w:rPr>
                      <w:szCs w:val="21"/>
                    </w:rPr>
                  </w:pPr>
                </w:p>
              </w:tc>
              <w:tc>
                <w:tcPr>
                  <w:tcW w:w="688" w:type="dxa"/>
                  <w:shd w:val="clear" w:color="auto" w:fill="auto"/>
                  <w:vAlign w:val="center"/>
                </w:tcPr>
                <w:p w14:paraId="3E95B15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-137</w:t>
                  </w:r>
                </w:p>
              </w:tc>
              <w:tc>
                <w:tcPr>
                  <w:tcW w:w="655" w:type="dxa"/>
                  <w:shd w:val="clear" w:color="auto" w:fill="auto"/>
                  <w:vAlign w:val="center"/>
                </w:tcPr>
                <w:p w14:paraId="6FA1A81E">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-60</w:t>
                  </w:r>
                </w:p>
              </w:tc>
              <w:tc>
                <w:tcPr>
                  <w:tcW w:w="539" w:type="dxa"/>
                  <w:vAlign w:val="center"/>
                </w:tcPr>
                <w:p w14:paraId="23624A23">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1342F598">
                  <w:pPr>
                    <w:jc w:val="center"/>
                    <w:rPr>
                      <w:szCs w:val="21"/>
                    </w:rPr>
                  </w:pPr>
                </w:p>
              </w:tc>
            </w:tr>
            <w:tr w14:paraId="35E7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43CFDA39">
                  <w:pPr>
                    <w:jc w:val="center"/>
                    <w:rPr>
                      <w:rFonts w:hint="default"/>
                      <w:szCs w:val="21"/>
                      <w:lang w:val="en-US" w:eastAsia="zh-CN"/>
                    </w:rPr>
                  </w:pPr>
                  <w:r>
                    <w:rPr>
                      <w:rFonts w:hint="eastAsia"/>
                      <w:szCs w:val="21"/>
                      <w:lang w:val="en-US" w:eastAsia="zh-CN"/>
                    </w:rPr>
                    <w:t>11</w:t>
                  </w:r>
                </w:p>
              </w:tc>
              <w:tc>
                <w:tcPr>
                  <w:tcW w:w="907" w:type="dxa"/>
                  <w:vAlign w:val="center"/>
                </w:tcPr>
                <w:p w14:paraId="5777EAC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200D702B">
                  <w:pPr>
                    <w:jc w:val="center"/>
                    <w:rPr>
                      <w:rFonts w:hint="eastAsia"/>
                      <w:szCs w:val="21"/>
                      <w:lang w:val="en-US" w:eastAsia="zh-CN"/>
                    </w:rPr>
                  </w:pPr>
                </w:p>
              </w:tc>
              <w:tc>
                <w:tcPr>
                  <w:tcW w:w="1217" w:type="dxa"/>
                  <w:vAlign w:val="center"/>
                </w:tcPr>
                <w:p w14:paraId="2F016FA9">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4548614E">
                  <w:pPr>
                    <w:jc w:val="center"/>
                    <w:rPr>
                      <w:szCs w:val="21"/>
                    </w:rPr>
                  </w:pPr>
                </w:p>
              </w:tc>
              <w:tc>
                <w:tcPr>
                  <w:tcW w:w="688" w:type="dxa"/>
                  <w:shd w:val="clear" w:color="auto" w:fill="auto"/>
                  <w:vAlign w:val="center"/>
                </w:tcPr>
                <w:p w14:paraId="764667E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-93</w:t>
                  </w:r>
                </w:p>
              </w:tc>
              <w:tc>
                <w:tcPr>
                  <w:tcW w:w="655" w:type="dxa"/>
                  <w:shd w:val="clear" w:color="auto" w:fill="auto"/>
                  <w:vAlign w:val="center"/>
                </w:tcPr>
                <w:p w14:paraId="614A35B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-151</w:t>
                  </w:r>
                </w:p>
              </w:tc>
              <w:tc>
                <w:tcPr>
                  <w:tcW w:w="539" w:type="dxa"/>
                  <w:vAlign w:val="center"/>
                </w:tcPr>
                <w:p w14:paraId="049DE71B">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3296DDF0">
                  <w:pPr>
                    <w:jc w:val="center"/>
                    <w:rPr>
                      <w:szCs w:val="21"/>
                    </w:rPr>
                  </w:pPr>
                </w:p>
              </w:tc>
            </w:tr>
            <w:tr w14:paraId="3472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66D32C4F">
                  <w:pPr>
                    <w:jc w:val="center"/>
                    <w:rPr>
                      <w:rFonts w:hint="default"/>
                      <w:szCs w:val="21"/>
                      <w:lang w:val="en-US" w:eastAsia="zh-CN"/>
                    </w:rPr>
                  </w:pPr>
                  <w:r>
                    <w:rPr>
                      <w:rFonts w:hint="eastAsia"/>
                      <w:szCs w:val="21"/>
                      <w:lang w:val="en-US" w:eastAsia="zh-CN"/>
                    </w:rPr>
                    <w:t>12</w:t>
                  </w:r>
                </w:p>
              </w:tc>
              <w:tc>
                <w:tcPr>
                  <w:tcW w:w="907" w:type="dxa"/>
                  <w:vAlign w:val="center"/>
                </w:tcPr>
                <w:p w14:paraId="475281E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644538B0">
                  <w:pPr>
                    <w:jc w:val="center"/>
                    <w:rPr>
                      <w:rFonts w:hint="eastAsia"/>
                      <w:szCs w:val="21"/>
                      <w:lang w:val="en-US" w:eastAsia="zh-CN"/>
                    </w:rPr>
                  </w:pPr>
                </w:p>
              </w:tc>
              <w:tc>
                <w:tcPr>
                  <w:tcW w:w="1217" w:type="dxa"/>
                  <w:vAlign w:val="center"/>
                </w:tcPr>
                <w:p w14:paraId="73132CD2">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1857ACD2">
                  <w:pPr>
                    <w:jc w:val="center"/>
                    <w:rPr>
                      <w:szCs w:val="21"/>
                    </w:rPr>
                  </w:pPr>
                </w:p>
              </w:tc>
              <w:tc>
                <w:tcPr>
                  <w:tcW w:w="688" w:type="dxa"/>
                  <w:shd w:val="clear" w:color="auto" w:fill="auto"/>
                  <w:vAlign w:val="center"/>
                </w:tcPr>
                <w:p w14:paraId="74F046F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-68</w:t>
                  </w:r>
                </w:p>
              </w:tc>
              <w:tc>
                <w:tcPr>
                  <w:tcW w:w="655" w:type="dxa"/>
                  <w:shd w:val="clear" w:color="auto" w:fill="auto"/>
                  <w:vAlign w:val="center"/>
                </w:tcPr>
                <w:p w14:paraId="094199A7">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-38</w:t>
                  </w:r>
                </w:p>
              </w:tc>
              <w:tc>
                <w:tcPr>
                  <w:tcW w:w="539" w:type="dxa"/>
                  <w:vAlign w:val="center"/>
                </w:tcPr>
                <w:p w14:paraId="068B33C5">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501933A0">
                  <w:pPr>
                    <w:jc w:val="center"/>
                    <w:rPr>
                      <w:szCs w:val="21"/>
                    </w:rPr>
                  </w:pPr>
                </w:p>
              </w:tc>
            </w:tr>
            <w:tr w14:paraId="30E7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2F71BDA2">
                  <w:pPr>
                    <w:jc w:val="center"/>
                    <w:rPr>
                      <w:rFonts w:hint="default"/>
                      <w:szCs w:val="21"/>
                      <w:lang w:val="en-US" w:eastAsia="zh-CN"/>
                    </w:rPr>
                  </w:pPr>
                  <w:r>
                    <w:rPr>
                      <w:rFonts w:hint="eastAsia"/>
                      <w:szCs w:val="21"/>
                      <w:lang w:val="en-US" w:eastAsia="zh-CN"/>
                    </w:rPr>
                    <w:t>13</w:t>
                  </w:r>
                </w:p>
              </w:tc>
              <w:tc>
                <w:tcPr>
                  <w:tcW w:w="907" w:type="dxa"/>
                  <w:vAlign w:val="center"/>
                </w:tcPr>
                <w:p w14:paraId="1931387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43B9068E">
                  <w:pPr>
                    <w:jc w:val="center"/>
                    <w:rPr>
                      <w:rFonts w:hint="eastAsia"/>
                      <w:szCs w:val="21"/>
                      <w:lang w:val="en-US" w:eastAsia="zh-CN"/>
                    </w:rPr>
                  </w:pPr>
                </w:p>
              </w:tc>
              <w:tc>
                <w:tcPr>
                  <w:tcW w:w="1217" w:type="dxa"/>
                  <w:vAlign w:val="center"/>
                </w:tcPr>
                <w:p w14:paraId="0A0BF9C1">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31D6C16A">
                  <w:pPr>
                    <w:jc w:val="center"/>
                    <w:rPr>
                      <w:szCs w:val="21"/>
                    </w:rPr>
                  </w:pPr>
                </w:p>
              </w:tc>
              <w:tc>
                <w:tcPr>
                  <w:tcW w:w="688" w:type="dxa"/>
                  <w:shd w:val="clear" w:color="auto" w:fill="auto"/>
                  <w:vAlign w:val="center"/>
                </w:tcPr>
                <w:p w14:paraId="4B3E1C7E">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-21</w:t>
                  </w:r>
                </w:p>
              </w:tc>
              <w:tc>
                <w:tcPr>
                  <w:tcW w:w="655" w:type="dxa"/>
                  <w:shd w:val="clear" w:color="auto" w:fill="auto"/>
                  <w:vAlign w:val="center"/>
                </w:tcPr>
                <w:p w14:paraId="7DBFCEF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-116</w:t>
                  </w:r>
                </w:p>
              </w:tc>
              <w:tc>
                <w:tcPr>
                  <w:tcW w:w="539" w:type="dxa"/>
                  <w:vAlign w:val="center"/>
                </w:tcPr>
                <w:p w14:paraId="7E50B840">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14CA9051">
                  <w:pPr>
                    <w:jc w:val="center"/>
                    <w:rPr>
                      <w:szCs w:val="21"/>
                    </w:rPr>
                  </w:pPr>
                </w:p>
              </w:tc>
            </w:tr>
            <w:tr w14:paraId="3D46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58" w:type="dxa"/>
                  <w:vAlign w:val="center"/>
                </w:tcPr>
                <w:p w14:paraId="777D1631">
                  <w:pPr>
                    <w:jc w:val="center"/>
                    <w:rPr>
                      <w:rFonts w:hint="default" w:eastAsia="宋体"/>
                      <w:szCs w:val="21"/>
                      <w:lang w:val="en-US" w:eastAsia="zh-CN"/>
                    </w:rPr>
                  </w:pPr>
                  <w:r>
                    <w:rPr>
                      <w:rFonts w:hint="eastAsia"/>
                      <w:szCs w:val="21"/>
                      <w:lang w:val="en-US" w:eastAsia="zh-CN"/>
                    </w:rPr>
                    <w:t>14</w:t>
                  </w:r>
                </w:p>
              </w:tc>
              <w:tc>
                <w:tcPr>
                  <w:tcW w:w="907" w:type="dxa"/>
                  <w:vAlign w:val="center"/>
                </w:tcPr>
                <w:p w14:paraId="2DF288F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Cs w:val="21"/>
                      <w:lang w:val="en-US" w:eastAsia="zh-CN"/>
                    </w:rPr>
                  </w:pPr>
                </w:p>
              </w:tc>
              <w:tc>
                <w:tcPr>
                  <w:tcW w:w="1313" w:type="dxa"/>
                  <w:vAlign w:val="center"/>
                </w:tcPr>
                <w:p w14:paraId="60C3864F">
                  <w:pPr>
                    <w:jc w:val="center"/>
                    <w:rPr>
                      <w:rFonts w:hint="default" w:eastAsia="宋体"/>
                      <w:szCs w:val="21"/>
                      <w:lang w:val="en-US" w:eastAsia="zh-CN"/>
                    </w:rPr>
                  </w:pPr>
                </w:p>
              </w:tc>
              <w:tc>
                <w:tcPr>
                  <w:tcW w:w="1217" w:type="dxa"/>
                  <w:vAlign w:val="center"/>
                </w:tcPr>
                <w:p w14:paraId="6F3D91D1">
                  <w:pPr>
                    <w:jc w:val="center"/>
                    <w:rPr>
                      <w:rFonts w:hint="default" w:eastAsia="宋体"/>
                      <w:szCs w:val="21"/>
                      <w:lang w:val="en-US" w:eastAsia="zh-CN"/>
                    </w:rPr>
                  </w:pPr>
                  <w:r>
                    <w:rPr>
                      <w:rFonts w:hint="eastAsia"/>
                      <w:szCs w:val="21"/>
                      <w:lang w:val="en-US" w:eastAsia="zh-CN"/>
                    </w:rPr>
                    <w:t>70</w:t>
                  </w:r>
                </w:p>
              </w:tc>
              <w:tc>
                <w:tcPr>
                  <w:tcW w:w="1250" w:type="dxa"/>
                  <w:vMerge w:val="continue"/>
                  <w:vAlign w:val="center"/>
                </w:tcPr>
                <w:p w14:paraId="26E7C7E8">
                  <w:pPr>
                    <w:jc w:val="center"/>
                    <w:rPr>
                      <w:szCs w:val="21"/>
                    </w:rPr>
                  </w:pPr>
                </w:p>
              </w:tc>
              <w:tc>
                <w:tcPr>
                  <w:tcW w:w="688" w:type="dxa"/>
                  <w:shd w:val="clear" w:color="auto" w:fill="auto"/>
                  <w:vAlign w:val="center"/>
                </w:tcPr>
                <w:p w14:paraId="2AC321F5">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46</w:t>
                  </w:r>
                </w:p>
              </w:tc>
              <w:tc>
                <w:tcPr>
                  <w:tcW w:w="655" w:type="dxa"/>
                  <w:shd w:val="clear" w:color="auto" w:fill="auto"/>
                  <w:vAlign w:val="center"/>
                </w:tcPr>
                <w:p w14:paraId="5DC6AFE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33</w:t>
                  </w:r>
                </w:p>
              </w:tc>
              <w:tc>
                <w:tcPr>
                  <w:tcW w:w="539" w:type="dxa"/>
                  <w:vAlign w:val="center"/>
                </w:tcPr>
                <w:p w14:paraId="4E84F733">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147150FC">
                  <w:pPr>
                    <w:jc w:val="center"/>
                    <w:rPr>
                      <w:szCs w:val="21"/>
                    </w:rPr>
                  </w:pPr>
                </w:p>
              </w:tc>
            </w:tr>
            <w:tr w14:paraId="39CF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3D56B718">
                  <w:pPr>
                    <w:jc w:val="center"/>
                    <w:rPr>
                      <w:rFonts w:hint="default" w:eastAsia="宋体"/>
                      <w:szCs w:val="21"/>
                      <w:lang w:val="en-US" w:eastAsia="zh-CN"/>
                    </w:rPr>
                  </w:pPr>
                  <w:r>
                    <w:rPr>
                      <w:rFonts w:hint="eastAsia"/>
                      <w:szCs w:val="21"/>
                      <w:lang w:val="en-US" w:eastAsia="zh-CN"/>
                    </w:rPr>
                    <w:t>15</w:t>
                  </w:r>
                </w:p>
              </w:tc>
              <w:tc>
                <w:tcPr>
                  <w:tcW w:w="907" w:type="dxa"/>
                  <w:vAlign w:val="center"/>
                </w:tcPr>
                <w:p w14:paraId="7B13291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Cs w:val="21"/>
                      <w:lang w:val="en-US" w:eastAsia="zh-CN"/>
                    </w:rPr>
                  </w:pPr>
                </w:p>
              </w:tc>
              <w:tc>
                <w:tcPr>
                  <w:tcW w:w="1313" w:type="dxa"/>
                  <w:vAlign w:val="center"/>
                </w:tcPr>
                <w:p w14:paraId="7F1E4101">
                  <w:pPr>
                    <w:jc w:val="center"/>
                    <w:rPr>
                      <w:rFonts w:hint="default" w:eastAsia="宋体"/>
                      <w:szCs w:val="21"/>
                      <w:lang w:val="en-US" w:eastAsia="zh-CN"/>
                    </w:rPr>
                  </w:pPr>
                </w:p>
              </w:tc>
              <w:tc>
                <w:tcPr>
                  <w:tcW w:w="1217" w:type="dxa"/>
                  <w:vAlign w:val="center"/>
                </w:tcPr>
                <w:p w14:paraId="1893B7DF">
                  <w:pPr>
                    <w:jc w:val="center"/>
                    <w:rPr>
                      <w:rFonts w:hint="default" w:eastAsia="宋体"/>
                      <w:szCs w:val="21"/>
                      <w:lang w:val="en-US" w:eastAsia="zh-CN"/>
                    </w:rPr>
                  </w:pPr>
                  <w:r>
                    <w:rPr>
                      <w:rFonts w:hint="eastAsia"/>
                      <w:szCs w:val="21"/>
                      <w:lang w:val="en-US" w:eastAsia="zh-CN"/>
                    </w:rPr>
                    <w:t>70</w:t>
                  </w:r>
                </w:p>
              </w:tc>
              <w:tc>
                <w:tcPr>
                  <w:tcW w:w="1250" w:type="dxa"/>
                  <w:vMerge w:val="continue"/>
                  <w:vAlign w:val="center"/>
                </w:tcPr>
                <w:p w14:paraId="2553BBFC">
                  <w:pPr>
                    <w:jc w:val="center"/>
                    <w:rPr>
                      <w:szCs w:val="21"/>
                    </w:rPr>
                  </w:pPr>
                </w:p>
              </w:tc>
              <w:tc>
                <w:tcPr>
                  <w:tcW w:w="688" w:type="dxa"/>
                  <w:shd w:val="clear" w:color="auto" w:fill="auto"/>
                  <w:vAlign w:val="center"/>
                </w:tcPr>
                <w:p w14:paraId="227D9F4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100</w:t>
                  </w:r>
                </w:p>
              </w:tc>
              <w:tc>
                <w:tcPr>
                  <w:tcW w:w="655" w:type="dxa"/>
                  <w:shd w:val="clear" w:color="auto" w:fill="auto"/>
                  <w:vAlign w:val="center"/>
                </w:tcPr>
                <w:p w14:paraId="3C5CD3E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-34</w:t>
                  </w:r>
                </w:p>
              </w:tc>
              <w:tc>
                <w:tcPr>
                  <w:tcW w:w="539" w:type="dxa"/>
                  <w:vAlign w:val="center"/>
                </w:tcPr>
                <w:p w14:paraId="5F44AC54">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32D1C525">
                  <w:pPr>
                    <w:jc w:val="center"/>
                    <w:rPr>
                      <w:szCs w:val="21"/>
                    </w:rPr>
                  </w:pPr>
                </w:p>
              </w:tc>
            </w:tr>
            <w:tr w14:paraId="2916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0BE6E63F">
                  <w:pPr>
                    <w:jc w:val="center"/>
                    <w:rPr>
                      <w:rFonts w:hint="default"/>
                      <w:szCs w:val="21"/>
                      <w:lang w:val="en-US" w:eastAsia="zh-CN"/>
                    </w:rPr>
                  </w:pPr>
                  <w:r>
                    <w:rPr>
                      <w:rFonts w:hint="eastAsia"/>
                      <w:szCs w:val="21"/>
                      <w:lang w:val="en-US" w:eastAsia="zh-CN"/>
                    </w:rPr>
                    <w:t>16</w:t>
                  </w:r>
                </w:p>
              </w:tc>
              <w:tc>
                <w:tcPr>
                  <w:tcW w:w="907" w:type="dxa"/>
                  <w:vAlign w:val="center"/>
                </w:tcPr>
                <w:p w14:paraId="34B7C2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6A4C0CCE">
                  <w:pPr>
                    <w:jc w:val="center"/>
                    <w:rPr>
                      <w:rFonts w:hint="eastAsia"/>
                      <w:szCs w:val="21"/>
                      <w:lang w:val="en-US" w:eastAsia="zh-CN"/>
                    </w:rPr>
                  </w:pPr>
                </w:p>
              </w:tc>
              <w:tc>
                <w:tcPr>
                  <w:tcW w:w="1217" w:type="dxa"/>
                  <w:vAlign w:val="center"/>
                </w:tcPr>
                <w:p w14:paraId="2F2CCCEF">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68434AE2">
                  <w:pPr>
                    <w:jc w:val="center"/>
                    <w:rPr>
                      <w:szCs w:val="21"/>
                    </w:rPr>
                  </w:pPr>
                </w:p>
              </w:tc>
              <w:tc>
                <w:tcPr>
                  <w:tcW w:w="688" w:type="dxa"/>
                  <w:shd w:val="clear" w:color="auto" w:fill="auto"/>
                  <w:vAlign w:val="center"/>
                </w:tcPr>
                <w:p w14:paraId="60B10DE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105</w:t>
                  </w:r>
                </w:p>
              </w:tc>
              <w:tc>
                <w:tcPr>
                  <w:tcW w:w="655" w:type="dxa"/>
                  <w:shd w:val="clear" w:color="auto" w:fill="auto"/>
                  <w:vAlign w:val="center"/>
                </w:tcPr>
                <w:p w14:paraId="471DE94D">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82</w:t>
                  </w:r>
                </w:p>
              </w:tc>
              <w:tc>
                <w:tcPr>
                  <w:tcW w:w="539" w:type="dxa"/>
                  <w:vAlign w:val="center"/>
                </w:tcPr>
                <w:p w14:paraId="3E037B88">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4D7C0276">
                  <w:pPr>
                    <w:jc w:val="center"/>
                    <w:rPr>
                      <w:szCs w:val="21"/>
                    </w:rPr>
                  </w:pPr>
                </w:p>
              </w:tc>
            </w:tr>
            <w:tr w14:paraId="73D7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17181BBA">
                  <w:pPr>
                    <w:jc w:val="center"/>
                    <w:rPr>
                      <w:rFonts w:hint="default"/>
                      <w:szCs w:val="21"/>
                      <w:lang w:val="en-US" w:eastAsia="zh-CN"/>
                    </w:rPr>
                  </w:pPr>
                  <w:r>
                    <w:rPr>
                      <w:rFonts w:hint="eastAsia"/>
                      <w:szCs w:val="21"/>
                      <w:lang w:val="en-US" w:eastAsia="zh-CN"/>
                    </w:rPr>
                    <w:t>17</w:t>
                  </w:r>
                </w:p>
              </w:tc>
              <w:tc>
                <w:tcPr>
                  <w:tcW w:w="907" w:type="dxa"/>
                  <w:vAlign w:val="center"/>
                </w:tcPr>
                <w:p w14:paraId="18AB154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707026F4">
                  <w:pPr>
                    <w:jc w:val="center"/>
                    <w:rPr>
                      <w:rFonts w:hint="eastAsia"/>
                      <w:szCs w:val="21"/>
                      <w:lang w:val="en-US" w:eastAsia="zh-CN"/>
                    </w:rPr>
                  </w:pPr>
                </w:p>
              </w:tc>
              <w:tc>
                <w:tcPr>
                  <w:tcW w:w="1217" w:type="dxa"/>
                  <w:vAlign w:val="center"/>
                </w:tcPr>
                <w:p w14:paraId="32C405EF">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68BAEB4F">
                  <w:pPr>
                    <w:jc w:val="center"/>
                    <w:rPr>
                      <w:szCs w:val="21"/>
                    </w:rPr>
                  </w:pPr>
                </w:p>
              </w:tc>
              <w:tc>
                <w:tcPr>
                  <w:tcW w:w="688" w:type="dxa"/>
                  <w:shd w:val="clear" w:color="auto" w:fill="auto"/>
                  <w:vAlign w:val="center"/>
                </w:tcPr>
                <w:p w14:paraId="31F029E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169</w:t>
                  </w:r>
                </w:p>
              </w:tc>
              <w:tc>
                <w:tcPr>
                  <w:tcW w:w="655" w:type="dxa"/>
                  <w:shd w:val="clear" w:color="auto" w:fill="auto"/>
                  <w:vAlign w:val="center"/>
                </w:tcPr>
                <w:p w14:paraId="2F979C0F">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w:t>
                  </w:r>
                </w:p>
              </w:tc>
              <w:tc>
                <w:tcPr>
                  <w:tcW w:w="539" w:type="dxa"/>
                  <w:vAlign w:val="center"/>
                </w:tcPr>
                <w:p w14:paraId="0FB6FD84">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4791C038">
                  <w:pPr>
                    <w:jc w:val="center"/>
                    <w:rPr>
                      <w:szCs w:val="21"/>
                    </w:rPr>
                  </w:pPr>
                </w:p>
              </w:tc>
            </w:tr>
            <w:tr w14:paraId="09CB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vAlign w:val="center"/>
                </w:tcPr>
                <w:p w14:paraId="6D9B9131">
                  <w:pPr>
                    <w:jc w:val="center"/>
                    <w:rPr>
                      <w:rFonts w:hint="default"/>
                      <w:szCs w:val="21"/>
                      <w:lang w:val="en-US" w:eastAsia="zh-CN"/>
                    </w:rPr>
                  </w:pPr>
                  <w:r>
                    <w:rPr>
                      <w:rFonts w:hint="eastAsia"/>
                      <w:szCs w:val="21"/>
                      <w:lang w:val="en-US" w:eastAsia="zh-CN"/>
                    </w:rPr>
                    <w:t>18</w:t>
                  </w:r>
                </w:p>
              </w:tc>
              <w:tc>
                <w:tcPr>
                  <w:tcW w:w="907" w:type="dxa"/>
                  <w:vAlign w:val="center"/>
                </w:tcPr>
                <w:p w14:paraId="31EE49B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1313" w:type="dxa"/>
                  <w:vAlign w:val="center"/>
                </w:tcPr>
                <w:p w14:paraId="5A30ABAF">
                  <w:pPr>
                    <w:jc w:val="center"/>
                    <w:rPr>
                      <w:rFonts w:hint="default"/>
                      <w:szCs w:val="21"/>
                      <w:lang w:val="en-US" w:eastAsia="zh-CN"/>
                    </w:rPr>
                  </w:pPr>
                </w:p>
              </w:tc>
              <w:tc>
                <w:tcPr>
                  <w:tcW w:w="1217" w:type="dxa"/>
                  <w:vAlign w:val="center"/>
                </w:tcPr>
                <w:p w14:paraId="792FD7B5">
                  <w:pPr>
                    <w:jc w:val="center"/>
                    <w:rPr>
                      <w:rFonts w:hint="default"/>
                      <w:szCs w:val="21"/>
                      <w:lang w:val="en-US" w:eastAsia="zh-CN"/>
                    </w:rPr>
                  </w:pPr>
                  <w:r>
                    <w:rPr>
                      <w:rFonts w:hint="eastAsia"/>
                      <w:szCs w:val="21"/>
                      <w:lang w:val="en-US" w:eastAsia="zh-CN"/>
                    </w:rPr>
                    <w:t>75</w:t>
                  </w:r>
                </w:p>
              </w:tc>
              <w:tc>
                <w:tcPr>
                  <w:tcW w:w="1250" w:type="dxa"/>
                  <w:vMerge w:val="continue"/>
                  <w:vAlign w:val="center"/>
                </w:tcPr>
                <w:p w14:paraId="784F757E">
                  <w:pPr>
                    <w:jc w:val="center"/>
                    <w:rPr>
                      <w:szCs w:val="21"/>
                    </w:rPr>
                  </w:pPr>
                </w:p>
              </w:tc>
              <w:tc>
                <w:tcPr>
                  <w:tcW w:w="688" w:type="dxa"/>
                  <w:shd w:val="clear" w:color="auto" w:fill="auto"/>
                  <w:vAlign w:val="center"/>
                </w:tcPr>
                <w:p w14:paraId="0B11854C">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196</w:t>
                  </w:r>
                </w:p>
              </w:tc>
              <w:tc>
                <w:tcPr>
                  <w:tcW w:w="655" w:type="dxa"/>
                  <w:shd w:val="clear" w:color="auto" w:fill="auto"/>
                  <w:vAlign w:val="center"/>
                </w:tcPr>
                <w:p w14:paraId="7052D58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37</w:t>
                  </w:r>
                </w:p>
              </w:tc>
              <w:tc>
                <w:tcPr>
                  <w:tcW w:w="539" w:type="dxa"/>
                  <w:vAlign w:val="center"/>
                </w:tcPr>
                <w:p w14:paraId="0D565C1C">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2196D05F">
                  <w:pPr>
                    <w:jc w:val="center"/>
                    <w:rPr>
                      <w:szCs w:val="21"/>
                    </w:rPr>
                  </w:pPr>
                </w:p>
              </w:tc>
            </w:tr>
            <w:tr w14:paraId="768C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64444890">
                  <w:pPr>
                    <w:jc w:val="center"/>
                    <w:rPr>
                      <w:rFonts w:hint="default"/>
                      <w:szCs w:val="21"/>
                      <w:lang w:val="en-US" w:eastAsia="zh-CN"/>
                    </w:rPr>
                  </w:pPr>
                  <w:r>
                    <w:rPr>
                      <w:rFonts w:hint="eastAsia"/>
                      <w:szCs w:val="21"/>
                      <w:lang w:val="en-US" w:eastAsia="zh-CN"/>
                    </w:rPr>
                    <w:t>19</w:t>
                  </w:r>
                </w:p>
              </w:tc>
              <w:tc>
                <w:tcPr>
                  <w:tcW w:w="907" w:type="dxa"/>
                  <w:vAlign w:val="center"/>
                </w:tcPr>
                <w:p w14:paraId="22A2F71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1313" w:type="dxa"/>
                  <w:vAlign w:val="center"/>
                </w:tcPr>
                <w:p w14:paraId="16DB9DE4">
                  <w:pPr>
                    <w:jc w:val="center"/>
                    <w:rPr>
                      <w:rFonts w:hint="default"/>
                      <w:szCs w:val="21"/>
                      <w:lang w:val="en-US" w:eastAsia="zh-CN"/>
                    </w:rPr>
                  </w:pPr>
                </w:p>
              </w:tc>
              <w:tc>
                <w:tcPr>
                  <w:tcW w:w="1217" w:type="dxa"/>
                  <w:vAlign w:val="center"/>
                </w:tcPr>
                <w:p w14:paraId="5DC37313">
                  <w:pPr>
                    <w:jc w:val="center"/>
                    <w:rPr>
                      <w:rFonts w:hint="default"/>
                      <w:szCs w:val="21"/>
                      <w:lang w:val="en-US" w:eastAsia="zh-CN"/>
                    </w:rPr>
                  </w:pPr>
                  <w:r>
                    <w:rPr>
                      <w:rFonts w:hint="eastAsia"/>
                      <w:szCs w:val="21"/>
                      <w:lang w:val="en-US" w:eastAsia="zh-CN"/>
                    </w:rPr>
                    <w:t>75</w:t>
                  </w:r>
                </w:p>
              </w:tc>
              <w:tc>
                <w:tcPr>
                  <w:tcW w:w="1250" w:type="dxa"/>
                  <w:vMerge w:val="continue"/>
                  <w:vAlign w:val="center"/>
                </w:tcPr>
                <w:p w14:paraId="64C89EBA">
                  <w:pPr>
                    <w:jc w:val="center"/>
                    <w:rPr>
                      <w:szCs w:val="21"/>
                    </w:rPr>
                  </w:pPr>
                </w:p>
              </w:tc>
              <w:tc>
                <w:tcPr>
                  <w:tcW w:w="688" w:type="dxa"/>
                  <w:shd w:val="clear" w:color="auto" w:fill="auto"/>
                  <w:vAlign w:val="center"/>
                </w:tcPr>
                <w:p w14:paraId="4B1CA25D">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-187</w:t>
                  </w:r>
                </w:p>
              </w:tc>
              <w:tc>
                <w:tcPr>
                  <w:tcW w:w="655" w:type="dxa"/>
                  <w:shd w:val="clear" w:color="auto" w:fill="auto"/>
                  <w:vAlign w:val="center"/>
                </w:tcPr>
                <w:p w14:paraId="6E4B7377">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-45</w:t>
                  </w:r>
                </w:p>
              </w:tc>
              <w:tc>
                <w:tcPr>
                  <w:tcW w:w="539" w:type="dxa"/>
                  <w:vAlign w:val="center"/>
                </w:tcPr>
                <w:p w14:paraId="4A32E230">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1DE54CA7">
                  <w:pPr>
                    <w:jc w:val="center"/>
                    <w:rPr>
                      <w:szCs w:val="21"/>
                    </w:rPr>
                  </w:pPr>
                </w:p>
              </w:tc>
            </w:tr>
            <w:tr w14:paraId="5BD5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10BDEF58">
                  <w:pPr>
                    <w:jc w:val="center"/>
                    <w:rPr>
                      <w:rFonts w:hint="default"/>
                      <w:szCs w:val="21"/>
                      <w:lang w:val="en-US" w:eastAsia="zh-CN"/>
                    </w:rPr>
                  </w:pPr>
                  <w:r>
                    <w:rPr>
                      <w:rFonts w:hint="eastAsia"/>
                      <w:szCs w:val="21"/>
                      <w:lang w:val="en-US" w:eastAsia="zh-CN"/>
                    </w:rPr>
                    <w:t>20</w:t>
                  </w:r>
                </w:p>
              </w:tc>
              <w:tc>
                <w:tcPr>
                  <w:tcW w:w="907" w:type="dxa"/>
                  <w:vAlign w:val="center"/>
                </w:tcPr>
                <w:p w14:paraId="4A9475C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5FFE1087">
                  <w:pPr>
                    <w:jc w:val="center"/>
                    <w:rPr>
                      <w:rFonts w:hint="eastAsia"/>
                      <w:szCs w:val="21"/>
                      <w:lang w:val="en-US" w:eastAsia="zh-CN"/>
                    </w:rPr>
                  </w:pPr>
                </w:p>
              </w:tc>
              <w:tc>
                <w:tcPr>
                  <w:tcW w:w="1217" w:type="dxa"/>
                  <w:vAlign w:val="center"/>
                </w:tcPr>
                <w:p w14:paraId="156CDA9E">
                  <w:pPr>
                    <w:jc w:val="center"/>
                    <w:rPr>
                      <w:rFonts w:hint="eastAsia"/>
                      <w:szCs w:val="21"/>
                      <w:lang w:val="en-US" w:eastAsia="zh-CN"/>
                    </w:rPr>
                  </w:pPr>
                  <w:r>
                    <w:rPr>
                      <w:rFonts w:hint="eastAsia"/>
                      <w:szCs w:val="21"/>
                      <w:lang w:val="en-US" w:eastAsia="zh-CN"/>
                    </w:rPr>
                    <w:t>75</w:t>
                  </w:r>
                </w:p>
              </w:tc>
              <w:tc>
                <w:tcPr>
                  <w:tcW w:w="1250" w:type="dxa"/>
                  <w:vMerge w:val="continue"/>
                  <w:vAlign w:val="center"/>
                </w:tcPr>
                <w:p w14:paraId="62CD3E00">
                  <w:pPr>
                    <w:jc w:val="center"/>
                    <w:rPr>
                      <w:szCs w:val="21"/>
                    </w:rPr>
                  </w:pPr>
                </w:p>
              </w:tc>
              <w:tc>
                <w:tcPr>
                  <w:tcW w:w="688" w:type="dxa"/>
                  <w:shd w:val="clear" w:color="auto" w:fill="auto"/>
                  <w:vAlign w:val="center"/>
                </w:tcPr>
                <w:p w14:paraId="2D55F73C">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-126</w:t>
                  </w:r>
                </w:p>
              </w:tc>
              <w:tc>
                <w:tcPr>
                  <w:tcW w:w="655" w:type="dxa"/>
                  <w:shd w:val="clear" w:color="auto" w:fill="auto"/>
                  <w:vAlign w:val="center"/>
                </w:tcPr>
                <w:p w14:paraId="5E1FB6D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539" w:type="dxa"/>
                  <w:vAlign w:val="center"/>
                </w:tcPr>
                <w:p w14:paraId="7C6291A7">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495CFA5F">
                  <w:pPr>
                    <w:jc w:val="center"/>
                    <w:rPr>
                      <w:szCs w:val="21"/>
                    </w:rPr>
                  </w:pPr>
                </w:p>
              </w:tc>
            </w:tr>
            <w:tr w14:paraId="34D1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1FD77B95">
                  <w:pPr>
                    <w:jc w:val="center"/>
                    <w:rPr>
                      <w:rFonts w:hint="default"/>
                      <w:szCs w:val="21"/>
                      <w:lang w:val="en-US" w:eastAsia="zh-CN"/>
                    </w:rPr>
                  </w:pPr>
                  <w:r>
                    <w:rPr>
                      <w:rFonts w:hint="eastAsia"/>
                      <w:szCs w:val="21"/>
                      <w:lang w:val="en-US" w:eastAsia="zh-CN"/>
                    </w:rPr>
                    <w:t>21</w:t>
                  </w:r>
                </w:p>
              </w:tc>
              <w:tc>
                <w:tcPr>
                  <w:tcW w:w="907" w:type="dxa"/>
                  <w:vAlign w:val="center"/>
                </w:tcPr>
                <w:p w14:paraId="7A9788A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71351F78">
                  <w:pPr>
                    <w:jc w:val="center"/>
                    <w:rPr>
                      <w:rFonts w:hint="eastAsia"/>
                      <w:szCs w:val="21"/>
                      <w:lang w:val="en-US" w:eastAsia="zh-CN"/>
                    </w:rPr>
                  </w:pPr>
                </w:p>
              </w:tc>
              <w:tc>
                <w:tcPr>
                  <w:tcW w:w="1217" w:type="dxa"/>
                  <w:vAlign w:val="center"/>
                </w:tcPr>
                <w:p w14:paraId="4C86336F">
                  <w:pPr>
                    <w:jc w:val="center"/>
                    <w:rPr>
                      <w:rFonts w:hint="eastAsia"/>
                      <w:szCs w:val="21"/>
                      <w:lang w:val="en-US" w:eastAsia="zh-CN"/>
                    </w:rPr>
                  </w:pPr>
                  <w:r>
                    <w:rPr>
                      <w:rFonts w:hint="eastAsia"/>
                      <w:szCs w:val="21"/>
                      <w:lang w:val="en-US" w:eastAsia="zh-CN"/>
                    </w:rPr>
                    <w:t>75</w:t>
                  </w:r>
                </w:p>
              </w:tc>
              <w:tc>
                <w:tcPr>
                  <w:tcW w:w="1250" w:type="dxa"/>
                  <w:vMerge w:val="continue"/>
                  <w:vAlign w:val="center"/>
                </w:tcPr>
                <w:p w14:paraId="08B79A0A">
                  <w:pPr>
                    <w:jc w:val="center"/>
                    <w:rPr>
                      <w:szCs w:val="21"/>
                    </w:rPr>
                  </w:pPr>
                </w:p>
              </w:tc>
              <w:tc>
                <w:tcPr>
                  <w:tcW w:w="688" w:type="dxa"/>
                  <w:shd w:val="clear" w:color="auto" w:fill="auto"/>
                  <w:vAlign w:val="center"/>
                </w:tcPr>
                <w:p w14:paraId="16691986">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-130</w:t>
                  </w:r>
                </w:p>
              </w:tc>
              <w:tc>
                <w:tcPr>
                  <w:tcW w:w="655" w:type="dxa"/>
                  <w:shd w:val="clear" w:color="auto" w:fill="auto"/>
                  <w:vAlign w:val="center"/>
                </w:tcPr>
                <w:p w14:paraId="03A439B9">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-42</w:t>
                  </w:r>
                </w:p>
              </w:tc>
              <w:tc>
                <w:tcPr>
                  <w:tcW w:w="539" w:type="dxa"/>
                  <w:vAlign w:val="center"/>
                </w:tcPr>
                <w:p w14:paraId="763A194B">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29F832B4">
                  <w:pPr>
                    <w:jc w:val="center"/>
                    <w:rPr>
                      <w:szCs w:val="21"/>
                    </w:rPr>
                  </w:pPr>
                </w:p>
              </w:tc>
            </w:tr>
            <w:tr w14:paraId="43E0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3E83D387">
                  <w:pPr>
                    <w:jc w:val="center"/>
                    <w:rPr>
                      <w:rFonts w:hint="default"/>
                      <w:szCs w:val="21"/>
                      <w:lang w:val="en-US" w:eastAsia="zh-CN"/>
                    </w:rPr>
                  </w:pPr>
                  <w:r>
                    <w:rPr>
                      <w:rFonts w:hint="eastAsia"/>
                      <w:szCs w:val="21"/>
                      <w:lang w:val="en-US" w:eastAsia="zh-CN"/>
                    </w:rPr>
                    <w:t>22</w:t>
                  </w:r>
                </w:p>
              </w:tc>
              <w:tc>
                <w:tcPr>
                  <w:tcW w:w="907" w:type="dxa"/>
                  <w:vAlign w:val="center"/>
                </w:tcPr>
                <w:p w14:paraId="45C2766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42E93111">
                  <w:pPr>
                    <w:jc w:val="center"/>
                    <w:rPr>
                      <w:rFonts w:hint="eastAsia"/>
                      <w:szCs w:val="21"/>
                      <w:lang w:val="en-US" w:eastAsia="zh-CN"/>
                    </w:rPr>
                  </w:pPr>
                </w:p>
              </w:tc>
              <w:tc>
                <w:tcPr>
                  <w:tcW w:w="1217" w:type="dxa"/>
                  <w:vAlign w:val="center"/>
                </w:tcPr>
                <w:p w14:paraId="4578A1D6">
                  <w:pPr>
                    <w:jc w:val="center"/>
                    <w:rPr>
                      <w:rFonts w:hint="eastAsia"/>
                      <w:szCs w:val="21"/>
                      <w:lang w:val="en-US" w:eastAsia="zh-CN"/>
                    </w:rPr>
                  </w:pPr>
                  <w:r>
                    <w:rPr>
                      <w:rFonts w:hint="eastAsia"/>
                      <w:szCs w:val="21"/>
                      <w:lang w:val="en-US" w:eastAsia="zh-CN"/>
                    </w:rPr>
                    <w:t>75</w:t>
                  </w:r>
                </w:p>
              </w:tc>
              <w:tc>
                <w:tcPr>
                  <w:tcW w:w="1250" w:type="dxa"/>
                  <w:vMerge w:val="continue"/>
                  <w:vAlign w:val="center"/>
                </w:tcPr>
                <w:p w14:paraId="0EE1B250">
                  <w:pPr>
                    <w:jc w:val="center"/>
                    <w:rPr>
                      <w:szCs w:val="21"/>
                    </w:rPr>
                  </w:pPr>
                </w:p>
              </w:tc>
              <w:tc>
                <w:tcPr>
                  <w:tcW w:w="688" w:type="dxa"/>
                  <w:shd w:val="clear" w:color="auto" w:fill="auto"/>
                  <w:vAlign w:val="center"/>
                </w:tcPr>
                <w:p w14:paraId="5F116A70">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-28</w:t>
                  </w:r>
                </w:p>
              </w:tc>
              <w:tc>
                <w:tcPr>
                  <w:tcW w:w="655" w:type="dxa"/>
                  <w:shd w:val="clear" w:color="auto" w:fill="auto"/>
                  <w:vAlign w:val="center"/>
                </w:tcPr>
                <w:p w14:paraId="272DFB6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-41</w:t>
                  </w:r>
                </w:p>
              </w:tc>
              <w:tc>
                <w:tcPr>
                  <w:tcW w:w="539" w:type="dxa"/>
                  <w:vAlign w:val="center"/>
                </w:tcPr>
                <w:p w14:paraId="45C17221">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0DB2974C">
                  <w:pPr>
                    <w:jc w:val="center"/>
                    <w:rPr>
                      <w:szCs w:val="21"/>
                    </w:rPr>
                  </w:pPr>
                </w:p>
              </w:tc>
            </w:tr>
            <w:tr w14:paraId="7C16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07064DE4">
                  <w:pPr>
                    <w:jc w:val="center"/>
                    <w:rPr>
                      <w:rFonts w:hint="default"/>
                      <w:szCs w:val="21"/>
                      <w:lang w:val="en-US" w:eastAsia="zh-CN"/>
                    </w:rPr>
                  </w:pPr>
                  <w:r>
                    <w:rPr>
                      <w:rFonts w:hint="eastAsia"/>
                      <w:szCs w:val="21"/>
                      <w:lang w:val="en-US" w:eastAsia="zh-CN"/>
                    </w:rPr>
                    <w:t>23</w:t>
                  </w:r>
                </w:p>
              </w:tc>
              <w:tc>
                <w:tcPr>
                  <w:tcW w:w="907" w:type="dxa"/>
                  <w:vAlign w:val="center"/>
                </w:tcPr>
                <w:p w14:paraId="59DEE7B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45B4A168">
                  <w:pPr>
                    <w:jc w:val="center"/>
                    <w:rPr>
                      <w:rFonts w:hint="eastAsia"/>
                      <w:szCs w:val="21"/>
                      <w:lang w:val="en-US" w:eastAsia="zh-CN"/>
                    </w:rPr>
                  </w:pPr>
                </w:p>
              </w:tc>
              <w:tc>
                <w:tcPr>
                  <w:tcW w:w="1217" w:type="dxa"/>
                  <w:vAlign w:val="center"/>
                </w:tcPr>
                <w:p w14:paraId="403AB6D5">
                  <w:pPr>
                    <w:jc w:val="center"/>
                    <w:rPr>
                      <w:rFonts w:hint="eastAsia"/>
                      <w:szCs w:val="21"/>
                      <w:lang w:val="en-US" w:eastAsia="zh-CN"/>
                    </w:rPr>
                  </w:pPr>
                  <w:r>
                    <w:rPr>
                      <w:rFonts w:hint="eastAsia"/>
                      <w:szCs w:val="21"/>
                      <w:lang w:val="en-US" w:eastAsia="zh-CN"/>
                    </w:rPr>
                    <w:t>75</w:t>
                  </w:r>
                </w:p>
              </w:tc>
              <w:tc>
                <w:tcPr>
                  <w:tcW w:w="1250" w:type="dxa"/>
                  <w:vMerge w:val="continue"/>
                  <w:vAlign w:val="center"/>
                </w:tcPr>
                <w:p w14:paraId="3D821812">
                  <w:pPr>
                    <w:jc w:val="center"/>
                    <w:rPr>
                      <w:szCs w:val="21"/>
                    </w:rPr>
                  </w:pPr>
                </w:p>
              </w:tc>
              <w:tc>
                <w:tcPr>
                  <w:tcW w:w="688" w:type="dxa"/>
                  <w:shd w:val="clear" w:color="auto" w:fill="auto"/>
                  <w:vAlign w:val="center"/>
                </w:tcPr>
                <w:p w14:paraId="1E38521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w:t>
                  </w:r>
                </w:p>
              </w:tc>
              <w:tc>
                <w:tcPr>
                  <w:tcW w:w="655" w:type="dxa"/>
                  <w:shd w:val="clear" w:color="auto" w:fill="auto"/>
                  <w:vAlign w:val="center"/>
                </w:tcPr>
                <w:p w14:paraId="138BC9A6">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-69</w:t>
                  </w:r>
                </w:p>
              </w:tc>
              <w:tc>
                <w:tcPr>
                  <w:tcW w:w="539" w:type="dxa"/>
                  <w:vAlign w:val="center"/>
                </w:tcPr>
                <w:p w14:paraId="7A4292A6">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4C751E35">
                  <w:pPr>
                    <w:jc w:val="center"/>
                    <w:rPr>
                      <w:szCs w:val="21"/>
                    </w:rPr>
                  </w:pPr>
                </w:p>
              </w:tc>
            </w:tr>
            <w:tr w14:paraId="7DE1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vAlign w:val="center"/>
                </w:tcPr>
                <w:p w14:paraId="149AA9ED">
                  <w:pPr>
                    <w:jc w:val="center"/>
                    <w:rPr>
                      <w:rFonts w:hint="default"/>
                      <w:szCs w:val="21"/>
                      <w:lang w:val="en-US" w:eastAsia="zh-CN"/>
                    </w:rPr>
                  </w:pPr>
                  <w:r>
                    <w:rPr>
                      <w:rFonts w:hint="eastAsia"/>
                      <w:szCs w:val="21"/>
                      <w:lang w:val="en-US" w:eastAsia="zh-CN"/>
                    </w:rPr>
                    <w:t>24</w:t>
                  </w:r>
                </w:p>
              </w:tc>
              <w:tc>
                <w:tcPr>
                  <w:tcW w:w="907" w:type="dxa"/>
                  <w:vAlign w:val="center"/>
                </w:tcPr>
                <w:p w14:paraId="7FCDF95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2F9CB402">
                  <w:pPr>
                    <w:jc w:val="center"/>
                    <w:rPr>
                      <w:rFonts w:hint="eastAsia"/>
                      <w:szCs w:val="21"/>
                      <w:lang w:val="en-US" w:eastAsia="zh-CN"/>
                    </w:rPr>
                  </w:pPr>
                </w:p>
              </w:tc>
              <w:tc>
                <w:tcPr>
                  <w:tcW w:w="1217" w:type="dxa"/>
                  <w:vAlign w:val="center"/>
                </w:tcPr>
                <w:p w14:paraId="73706FA6">
                  <w:pPr>
                    <w:jc w:val="center"/>
                    <w:rPr>
                      <w:rFonts w:hint="eastAsia"/>
                      <w:szCs w:val="21"/>
                      <w:lang w:val="en-US" w:eastAsia="zh-CN"/>
                    </w:rPr>
                  </w:pPr>
                  <w:r>
                    <w:rPr>
                      <w:rFonts w:hint="eastAsia"/>
                      <w:szCs w:val="21"/>
                      <w:lang w:val="en-US" w:eastAsia="zh-CN"/>
                    </w:rPr>
                    <w:t>75</w:t>
                  </w:r>
                </w:p>
              </w:tc>
              <w:tc>
                <w:tcPr>
                  <w:tcW w:w="1250" w:type="dxa"/>
                  <w:vMerge w:val="continue"/>
                  <w:vAlign w:val="center"/>
                </w:tcPr>
                <w:p w14:paraId="2DA880FA">
                  <w:pPr>
                    <w:jc w:val="center"/>
                    <w:rPr>
                      <w:szCs w:val="21"/>
                    </w:rPr>
                  </w:pPr>
                </w:p>
              </w:tc>
              <w:tc>
                <w:tcPr>
                  <w:tcW w:w="688" w:type="dxa"/>
                  <w:shd w:val="clear" w:color="auto" w:fill="auto"/>
                  <w:vAlign w:val="center"/>
                </w:tcPr>
                <w:p w14:paraId="2C4A61C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44</w:t>
                  </w:r>
                </w:p>
              </w:tc>
              <w:tc>
                <w:tcPr>
                  <w:tcW w:w="655" w:type="dxa"/>
                  <w:shd w:val="clear" w:color="auto" w:fill="auto"/>
                  <w:vAlign w:val="center"/>
                </w:tcPr>
                <w:p w14:paraId="1EC4A1D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-22</w:t>
                  </w:r>
                </w:p>
              </w:tc>
              <w:tc>
                <w:tcPr>
                  <w:tcW w:w="539" w:type="dxa"/>
                  <w:vAlign w:val="center"/>
                </w:tcPr>
                <w:p w14:paraId="1FE5D77F">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22ADBB50">
                  <w:pPr>
                    <w:jc w:val="center"/>
                    <w:rPr>
                      <w:szCs w:val="21"/>
                    </w:rPr>
                  </w:pPr>
                </w:p>
              </w:tc>
            </w:tr>
            <w:tr w14:paraId="387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0798BEAF">
                  <w:pPr>
                    <w:jc w:val="center"/>
                    <w:rPr>
                      <w:rFonts w:hint="default"/>
                      <w:szCs w:val="21"/>
                      <w:lang w:val="en-US" w:eastAsia="zh-CN"/>
                    </w:rPr>
                  </w:pPr>
                  <w:r>
                    <w:rPr>
                      <w:rFonts w:hint="eastAsia"/>
                      <w:szCs w:val="21"/>
                      <w:lang w:val="en-US" w:eastAsia="zh-CN"/>
                    </w:rPr>
                    <w:t>25</w:t>
                  </w:r>
                </w:p>
              </w:tc>
              <w:tc>
                <w:tcPr>
                  <w:tcW w:w="907" w:type="dxa"/>
                  <w:vAlign w:val="center"/>
                </w:tcPr>
                <w:p w14:paraId="60BEFA8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sz w:val="21"/>
                      <w:szCs w:val="21"/>
                      <w:vertAlign w:val="baseline"/>
                      <w:lang w:val="en-US" w:eastAsia="zh-CN"/>
                    </w:rPr>
                  </w:pPr>
                </w:p>
              </w:tc>
              <w:tc>
                <w:tcPr>
                  <w:tcW w:w="1313" w:type="dxa"/>
                  <w:vAlign w:val="center"/>
                </w:tcPr>
                <w:p w14:paraId="41C5FFF9">
                  <w:pPr>
                    <w:jc w:val="center"/>
                    <w:rPr>
                      <w:rFonts w:hint="default"/>
                      <w:szCs w:val="21"/>
                      <w:lang w:val="en-US" w:eastAsia="zh-CN"/>
                    </w:rPr>
                  </w:pPr>
                </w:p>
              </w:tc>
              <w:tc>
                <w:tcPr>
                  <w:tcW w:w="1217" w:type="dxa"/>
                  <w:vAlign w:val="center"/>
                </w:tcPr>
                <w:p w14:paraId="19D3A511">
                  <w:pPr>
                    <w:jc w:val="center"/>
                    <w:rPr>
                      <w:rFonts w:hint="default"/>
                      <w:szCs w:val="21"/>
                      <w:lang w:val="en-US" w:eastAsia="zh-CN"/>
                    </w:rPr>
                  </w:pPr>
                  <w:r>
                    <w:rPr>
                      <w:rFonts w:hint="eastAsia"/>
                      <w:szCs w:val="21"/>
                      <w:lang w:val="en-US" w:eastAsia="zh-CN"/>
                    </w:rPr>
                    <w:t>75</w:t>
                  </w:r>
                </w:p>
              </w:tc>
              <w:tc>
                <w:tcPr>
                  <w:tcW w:w="1250" w:type="dxa"/>
                  <w:vMerge w:val="continue"/>
                  <w:vAlign w:val="center"/>
                </w:tcPr>
                <w:p w14:paraId="71BC6AB5">
                  <w:pPr>
                    <w:jc w:val="center"/>
                    <w:rPr>
                      <w:szCs w:val="21"/>
                    </w:rPr>
                  </w:pPr>
                </w:p>
              </w:tc>
              <w:tc>
                <w:tcPr>
                  <w:tcW w:w="688" w:type="dxa"/>
                  <w:shd w:val="clear" w:color="auto" w:fill="auto"/>
                  <w:vAlign w:val="center"/>
                </w:tcPr>
                <w:p w14:paraId="3A9E61F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142</w:t>
                  </w:r>
                </w:p>
              </w:tc>
              <w:tc>
                <w:tcPr>
                  <w:tcW w:w="655" w:type="dxa"/>
                  <w:shd w:val="clear" w:color="auto" w:fill="auto"/>
                  <w:vAlign w:val="center"/>
                </w:tcPr>
                <w:p w14:paraId="43BBBD30">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35</w:t>
                  </w:r>
                </w:p>
              </w:tc>
              <w:tc>
                <w:tcPr>
                  <w:tcW w:w="539" w:type="dxa"/>
                  <w:vAlign w:val="center"/>
                </w:tcPr>
                <w:p w14:paraId="36AABE2D">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77E8F7D6">
                  <w:pPr>
                    <w:jc w:val="center"/>
                    <w:rPr>
                      <w:szCs w:val="21"/>
                    </w:rPr>
                  </w:pPr>
                </w:p>
              </w:tc>
            </w:tr>
            <w:tr w14:paraId="11E8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49DD7D0F">
                  <w:pPr>
                    <w:jc w:val="center"/>
                    <w:rPr>
                      <w:rFonts w:hint="default"/>
                      <w:szCs w:val="21"/>
                      <w:lang w:val="en-US" w:eastAsia="zh-CN"/>
                    </w:rPr>
                  </w:pPr>
                  <w:r>
                    <w:rPr>
                      <w:rFonts w:hint="eastAsia"/>
                      <w:szCs w:val="21"/>
                      <w:lang w:val="en-US" w:eastAsia="zh-CN"/>
                    </w:rPr>
                    <w:t>26</w:t>
                  </w:r>
                </w:p>
              </w:tc>
              <w:tc>
                <w:tcPr>
                  <w:tcW w:w="907" w:type="dxa"/>
                  <w:vAlign w:val="center"/>
                </w:tcPr>
                <w:p w14:paraId="4D58C44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1"/>
                      <w:szCs w:val="21"/>
                      <w:vertAlign w:val="baseline"/>
                      <w:lang w:val="en-US" w:eastAsia="zh-CN"/>
                    </w:rPr>
                  </w:pPr>
                </w:p>
              </w:tc>
              <w:tc>
                <w:tcPr>
                  <w:tcW w:w="1313" w:type="dxa"/>
                  <w:vAlign w:val="center"/>
                </w:tcPr>
                <w:p w14:paraId="773B75CA">
                  <w:pPr>
                    <w:jc w:val="center"/>
                    <w:rPr>
                      <w:rFonts w:hint="default"/>
                      <w:szCs w:val="21"/>
                      <w:lang w:val="en-US" w:eastAsia="zh-CN"/>
                    </w:rPr>
                  </w:pPr>
                </w:p>
              </w:tc>
              <w:tc>
                <w:tcPr>
                  <w:tcW w:w="1217" w:type="dxa"/>
                  <w:vAlign w:val="center"/>
                </w:tcPr>
                <w:p w14:paraId="26CC5492">
                  <w:pPr>
                    <w:jc w:val="center"/>
                    <w:rPr>
                      <w:rFonts w:hint="default"/>
                      <w:szCs w:val="21"/>
                      <w:lang w:val="en-US" w:eastAsia="zh-CN"/>
                    </w:rPr>
                  </w:pPr>
                  <w:r>
                    <w:rPr>
                      <w:rFonts w:hint="eastAsia"/>
                      <w:szCs w:val="21"/>
                      <w:lang w:val="en-US" w:eastAsia="zh-CN"/>
                    </w:rPr>
                    <w:t>70</w:t>
                  </w:r>
                </w:p>
              </w:tc>
              <w:tc>
                <w:tcPr>
                  <w:tcW w:w="1250" w:type="dxa"/>
                  <w:vMerge w:val="continue"/>
                  <w:vAlign w:val="center"/>
                </w:tcPr>
                <w:p w14:paraId="466E8106">
                  <w:pPr>
                    <w:jc w:val="center"/>
                    <w:rPr>
                      <w:szCs w:val="21"/>
                    </w:rPr>
                  </w:pPr>
                </w:p>
              </w:tc>
              <w:tc>
                <w:tcPr>
                  <w:tcW w:w="688" w:type="dxa"/>
                  <w:shd w:val="clear" w:color="auto" w:fill="auto"/>
                  <w:vAlign w:val="center"/>
                </w:tcPr>
                <w:p w14:paraId="0A437D0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-161</w:t>
                  </w:r>
                </w:p>
              </w:tc>
              <w:tc>
                <w:tcPr>
                  <w:tcW w:w="655" w:type="dxa"/>
                  <w:shd w:val="clear" w:color="auto" w:fill="auto"/>
                  <w:vAlign w:val="center"/>
                </w:tcPr>
                <w:p w14:paraId="20920937">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w:t>
                  </w:r>
                </w:p>
              </w:tc>
              <w:tc>
                <w:tcPr>
                  <w:tcW w:w="539" w:type="dxa"/>
                  <w:vAlign w:val="center"/>
                </w:tcPr>
                <w:p w14:paraId="33265FD7">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40017492">
                  <w:pPr>
                    <w:jc w:val="center"/>
                    <w:rPr>
                      <w:szCs w:val="21"/>
                    </w:rPr>
                  </w:pPr>
                </w:p>
              </w:tc>
            </w:tr>
            <w:tr w14:paraId="3C4F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shd w:val="clear" w:color="auto" w:fill="auto"/>
                  <w:vAlign w:val="center"/>
                </w:tcPr>
                <w:p w14:paraId="4F548EA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27</w:t>
                  </w:r>
                </w:p>
              </w:tc>
              <w:tc>
                <w:tcPr>
                  <w:tcW w:w="907" w:type="dxa"/>
                  <w:shd w:val="clear" w:color="auto" w:fill="auto"/>
                  <w:vAlign w:val="center"/>
                </w:tcPr>
                <w:p w14:paraId="7BDC676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1CF1862D">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5876DFE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85</w:t>
                  </w:r>
                </w:p>
              </w:tc>
              <w:tc>
                <w:tcPr>
                  <w:tcW w:w="1250" w:type="dxa"/>
                  <w:vMerge w:val="continue"/>
                  <w:shd w:val="clear" w:color="auto" w:fill="auto"/>
                  <w:vAlign w:val="center"/>
                </w:tcPr>
                <w:p w14:paraId="6F744520">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03F4697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-198</w:t>
                  </w:r>
                </w:p>
              </w:tc>
              <w:tc>
                <w:tcPr>
                  <w:tcW w:w="655" w:type="dxa"/>
                  <w:shd w:val="clear" w:color="auto" w:fill="auto"/>
                  <w:vAlign w:val="center"/>
                </w:tcPr>
                <w:p w14:paraId="036F824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539" w:type="dxa"/>
                  <w:shd w:val="clear" w:color="auto" w:fill="auto"/>
                  <w:vAlign w:val="center"/>
                </w:tcPr>
                <w:p w14:paraId="3E641D86">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1.5</w:t>
                  </w:r>
                </w:p>
              </w:tc>
              <w:tc>
                <w:tcPr>
                  <w:tcW w:w="810" w:type="dxa"/>
                  <w:vMerge w:val="continue"/>
                  <w:vAlign w:val="center"/>
                </w:tcPr>
                <w:p w14:paraId="1DBDF43B">
                  <w:pPr>
                    <w:jc w:val="center"/>
                    <w:rPr>
                      <w:szCs w:val="21"/>
                    </w:rPr>
                  </w:pPr>
                </w:p>
              </w:tc>
            </w:tr>
            <w:tr w14:paraId="645A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shd w:val="clear" w:color="auto" w:fill="auto"/>
                  <w:vAlign w:val="center"/>
                </w:tcPr>
                <w:p w14:paraId="1E3A6955">
                  <w:pPr>
                    <w:jc w:val="center"/>
                    <w:rPr>
                      <w:rFonts w:hint="default"/>
                      <w:szCs w:val="21"/>
                      <w:lang w:val="en-US" w:eastAsia="zh-CN"/>
                    </w:rPr>
                  </w:pPr>
                  <w:r>
                    <w:rPr>
                      <w:rFonts w:hint="eastAsia"/>
                      <w:szCs w:val="21"/>
                      <w:lang w:val="en-US" w:eastAsia="zh-CN"/>
                    </w:rPr>
                    <w:t>28</w:t>
                  </w:r>
                </w:p>
              </w:tc>
              <w:tc>
                <w:tcPr>
                  <w:tcW w:w="907" w:type="dxa"/>
                  <w:shd w:val="clear" w:color="auto" w:fill="auto"/>
                  <w:vAlign w:val="center"/>
                </w:tcPr>
                <w:p w14:paraId="7852F18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01580E1F">
                  <w:pPr>
                    <w:jc w:val="center"/>
                    <w:rPr>
                      <w:rFonts w:hint="eastAsia" w:ascii="Times New Roman" w:hAnsi="Times New Roman" w:eastAsia="宋体" w:cs="Times New Roman"/>
                      <w:kern w:val="2"/>
                      <w:sz w:val="21"/>
                      <w:szCs w:val="21"/>
                      <w:lang w:val="en-US" w:eastAsia="zh-CN" w:bidi="ar-SA"/>
                    </w:rPr>
                  </w:pPr>
                </w:p>
              </w:tc>
              <w:tc>
                <w:tcPr>
                  <w:tcW w:w="1217" w:type="dxa"/>
                  <w:shd w:val="clear" w:color="auto" w:fill="auto"/>
                  <w:vAlign w:val="center"/>
                </w:tcPr>
                <w:p w14:paraId="2BC66436">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85</w:t>
                  </w:r>
                </w:p>
              </w:tc>
              <w:tc>
                <w:tcPr>
                  <w:tcW w:w="1250" w:type="dxa"/>
                  <w:vMerge w:val="continue"/>
                  <w:shd w:val="clear" w:color="auto" w:fill="auto"/>
                  <w:vAlign w:val="center"/>
                </w:tcPr>
                <w:p w14:paraId="1DB561F6">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62913C0F">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-154</w:t>
                  </w:r>
                </w:p>
              </w:tc>
              <w:tc>
                <w:tcPr>
                  <w:tcW w:w="655" w:type="dxa"/>
                  <w:shd w:val="clear" w:color="auto" w:fill="auto"/>
                  <w:vAlign w:val="center"/>
                </w:tcPr>
                <w:p w14:paraId="3C1A0B1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16</w:t>
                  </w:r>
                </w:p>
              </w:tc>
              <w:tc>
                <w:tcPr>
                  <w:tcW w:w="539" w:type="dxa"/>
                  <w:shd w:val="clear" w:color="auto" w:fill="auto"/>
                  <w:vAlign w:val="center"/>
                </w:tcPr>
                <w:p w14:paraId="4A238592">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5A9EE51F">
                  <w:pPr>
                    <w:jc w:val="center"/>
                    <w:rPr>
                      <w:szCs w:val="21"/>
                    </w:rPr>
                  </w:pPr>
                </w:p>
              </w:tc>
            </w:tr>
            <w:tr w14:paraId="6979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shd w:val="clear" w:color="auto" w:fill="auto"/>
                  <w:vAlign w:val="center"/>
                </w:tcPr>
                <w:p w14:paraId="02D21A70">
                  <w:pPr>
                    <w:jc w:val="center"/>
                    <w:rPr>
                      <w:rFonts w:hint="default"/>
                      <w:szCs w:val="21"/>
                      <w:lang w:val="en-US" w:eastAsia="zh-CN"/>
                    </w:rPr>
                  </w:pPr>
                  <w:r>
                    <w:rPr>
                      <w:rFonts w:hint="eastAsia"/>
                      <w:szCs w:val="21"/>
                      <w:lang w:val="en-US" w:eastAsia="zh-CN"/>
                    </w:rPr>
                    <w:t>29</w:t>
                  </w:r>
                </w:p>
              </w:tc>
              <w:tc>
                <w:tcPr>
                  <w:tcW w:w="907" w:type="dxa"/>
                  <w:shd w:val="clear" w:color="auto" w:fill="auto"/>
                  <w:vAlign w:val="center"/>
                </w:tcPr>
                <w:p w14:paraId="1957DD1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05F945EE">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41B692F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0917A9D6">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6A2CE97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-204</w:t>
                  </w:r>
                </w:p>
              </w:tc>
              <w:tc>
                <w:tcPr>
                  <w:tcW w:w="655" w:type="dxa"/>
                  <w:shd w:val="clear" w:color="auto" w:fill="auto"/>
                  <w:vAlign w:val="center"/>
                </w:tcPr>
                <w:p w14:paraId="5818430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-36</w:t>
                  </w:r>
                </w:p>
              </w:tc>
              <w:tc>
                <w:tcPr>
                  <w:tcW w:w="539" w:type="dxa"/>
                  <w:shd w:val="clear" w:color="auto" w:fill="auto"/>
                  <w:vAlign w:val="center"/>
                </w:tcPr>
                <w:p w14:paraId="25A9916F">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126E9DB9">
                  <w:pPr>
                    <w:jc w:val="center"/>
                    <w:rPr>
                      <w:szCs w:val="21"/>
                    </w:rPr>
                  </w:pPr>
                </w:p>
              </w:tc>
            </w:tr>
            <w:tr w14:paraId="602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shd w:val="clear" w:color="auto" w:fill="auto"/>
                  <w:vAlign w:val="center"/>
                </w:tcPr>
                <w:p w14:paraId="43D61C0A">
                  <w:pPr>
                    <w:jc w:val="center"/>
                    <w:rPr>
                      <w:rFonts w:hint="default"/>
                      <w:szCs w:val="21"/>
                      <w:lang w:val="en-US" w:eastAsia="zh-CN"/>
                    </w:rPr>
                  </w:pPr>
                  <w:r>
                    <w:rPr>
                      <w:rFonts w:hint="eastAsia"/>
                      <w:szCs w:val="21"/>
                      <w:lang w:val="en-US" w:eastAsia="zh-CN"/>
                    </w:rPr>
                    <w:t>30</w:t>
                  </w:r>
                </w:p>
              </w:tc>
              <w:tc>
                <w:tcPr>
                  <w:tcW w:w="907" w:type="dxa"/>
                  <w:shd w:val="clear" w:color="auto" w:fill="auto"/>
                  <w:vAlign w:val="center"/>
                </w:tcPr>
                <w:p w14:paraId="10A1EA0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77B81269">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7C327C56">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54011FF4">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3F133FBD">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-221</w:t>
                  </w:r>
                </w:p>
              </w:tc>
              <w:tc>
                <w:tcPr>
                  <w:tcW w:w="655" w:type="dxa"/>
                  <w:shd w:val="clear" w:color="auto" w:fill="auto"/>
                  <w:vAlign w:val="center"/>
                </w:tcPr>
                <w:p w14:paraId="16FCEB49">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w:t>
                  </w:r>
                </w:p>
              </w:tc>
              <w:tc>
                <w:tcPr>
                  <w:tcW w:w="539" w:type="dxa"/>
                  <w:shd w:val="clear" w:color="auto" w:fill="auto"/>
                  <w:vAlign w:val="center"/>
                </w:tcPr>
                <w:p w14:paraId="7F900B10">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78428F13">
                  <w:pPr>
                    <w:jc w:val="center"/>
                    <w:rPr>
                      <w:szCs w:val="21"/>
                    </w:rPr>
                  </w:pPr>
                </w:p>
              </w:tc>
            </w:tr>
            <w:tr w14:paraId="5C6E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shd w:val="clear" w:color="auto" w:fill="auto"/>
                  <w:vAlign w:val="center"/>
                </w:tcPr>
                <w:p w14:paraId="3F9AF41B">
                  <w:pPr>
                    <w:jc w:val="center"/>
                    <w:rPr>
                      <w:rFonts w:hint="default"/>
                      <w:szCs w:val="21"/>
                      <w:lang w:val="en-US" w:eastAsia="zh-CN"/>
                    </w:rPr>
                  </w:pPr>
                  <w:r>
                    <w:rPr>
                      <w:rFonts w:hint="eastAsia"/>
                      <w:szCs w:val="21"/>
                      <w:lang w:val="en-US" w:eastAsia="zh-CN"/>
                    </w:rPr>
                    <w:t>31</w:t>
                  </w:r>
                </w:p>
              </w:tc>
              <w:tc>
                <w:tcPr>
                  <w:tcW w:w="907" w:type="dxa"/>
                  <w:shd w:val="clear" w:color="auto" w:fill="auto"/>
                  <w:vAlign w:val="center"/>
                </w:tcPr>
                <w:p w14:paraId="737DAF4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13D4635C">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17CA68B0">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44C78A0D">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1DCC19DB">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-100</w:t>
                  </w:r>
                </w:p>
              </w:tc>
              <w:tc>
                <w:tcPr>
                  <w:tcW w:w="655" w:type="dxa"/>
                  <w:shd w:val="clear" w:color="auto" w:fill="auto"/>
                  <w:vAlign w:val="center"/>
                </w:tcPr>
                <w:p w14:paraId="4ED6E32E">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-78</w:t>
                  </w:r>
                </w:p>
              </w:tc>
              <w:tc>
                <w:tcPr>
                  <w:tcW w:w="539" w:type="dxa"/>
                  <w:shd w:val="clear" w:color="auto" w:fill="auto"/>
                  <w:vAlign w:val="center"/>
                </w:tcPr>
                <w:p w14:paraId="7CEF291D">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44E395EB">
                  <w:pPr>
                    <w:jc w:val="center"/>
                    <w:rPr>
                      <w:szCs w:val="21"/>
                    </w:rPr>
                  </w:pPr>
                </w:p>
              </w:tc>
            </w:tr>
            <w:tr w14:paraId="6BDE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shd w:val="clear" w:color="auto" w:fill="auto"/>
                  <w:vAlign w:val="center"/>
                </w:tcPr>
                <w:p w14:paraId="59D892F2">
                  <w:pPr>
                    <w:jc w:val="center"/>
                    <w:rPr>
                      <w:rFonts w:hint="default"/>
                      <w:szCs w:val="21"/>
                      <w:lang w:val="en-US" w:eastAsia="zh-CN"/>
                    </w:rPr>
                  </w:pPr>
                  <w:r>
                    <w:rPr>
                      <w:rFonts w:hint="eastAsia"/>
                      <w:szCs w:val="21"/>
                      <w:lang w:val="en-US" w:eastAsia="zh-CN"/>
                    </w:rPr>
                    <w:t>32</w:t>
                  </w:r>
                </w:p>
              </w:tc>
              <w:tc>
                <w:tcPr>
                  <w:tcW w:w="907" w:type="dxa"/>
                  <w:shd w:val="clear" w:color="auto" w:fill="auto"/>
                  <w:vAlign w:val="center"/>
                </w:tcPr>
                <w:p w14:paraId="2D21E0A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2FFB30E1">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305504A3">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466A8D85">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5669491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-67</w:t>
                  </w:r>
                </w:p>
              </w:tc>
              <w:tc>
                <w:tcPr>
                  <w:tcW w:w="655" w:type="dxa"/>
                  <w:shd w:val="clear" w:color="auto" w:fill="auto"/>
                  <w:vAlign w:val="center"/>
                </w:tcPr>
                <w:p w14:paraId="59495FA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-123</w:t>
                  </w:r>
                </w:p>
              </w:tc>
              <w:tc>
                <w:tcPr>
                  <w:tcW w:w="539" w:type="dxa"/>
                  <w:shd w:val="clear" w:color="auto" w:fill="auto"/>
                  <w:vAlign w:val="center"/>
                </w:tcPr>
                <w:p w14:paraId="3BDCA4D0">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09DBA288">
                  <w:pPr>
                    <w:jc w:val="center"/>
                    <w:rPr>
                      <w:szCs w:val="21"/>
                    </w:rPr>
                  </w:pPr>
                </w:p>
              </w:tc>
            </w:tr>
            <w:tr w14:paraId="6CEF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shd w:val="clear" w:color="auto" w:fill="auto"/>
                  <w:vAlign w:val="center"/>
                </w:tcPr>
                <w:p w14:paraId="78BD7E76">
                  <w:pPr>
                    <w:jc w:val="center"/>
                    <w:rPr>
                      <w:rFonts w:hint="default"/>
                      <w:szCs w:val="21"/>
                      <w:lang w:val="en-US" w:eastAsia="zh-CN"/>
                    </w:rPr>
                  </w:pPr>
                  <w:r>
                    <w:rPr>
                      <w:rFonts w:hint="eastAsia"/>
                      <w:szCs w:val="21"/>
                      <w:lang w:val="en-US" w:eastAsia="zh-CN"/>
                    </w:rPr>
                    <w:t>33</w:t>
                  </w:r>
                </w:p>
              </w:tc>
              <w:tc>
                <w:tcPr>
                  <w:tcW w:w="907" w:type="dxa"/>
                  <w:shd w:val="clear" w:color="auto" w:fill="auto"/>
                  <w:vAlign w:val="center"/>
                </w:tcPr>
                <w:p w14:paraId="36E12DB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501ADBBF">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626A81E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40097992">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606E1558">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85</w:t>
                  </w:r>
                </w:p>
              </w:tc>
              <w:tc>
                <w:tcPr>
                  <w:tcW w:w="655" w:type="dxa"/>
                  <w:shd w:val="clear" w:color="auto" w:fill="auto"/>
                  <w:vAlign w:val="center"/>
                </w:tcPr>
                <w:p w14:paraId="626B7F25">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40</w:t>
                  </w:r>
                </w:p>
              </w:tc>
              <w:tc>
                <w:tcPr>
                  <w:tcW w:w="539" w:type="dxa"/>
                  <w:shd w:val="clear" w:color="auto" w:fill="auto"/>
                  <w:vAlign w:val="center"/>
                </w:tcPr>
                <w:p w14:paraId="1EB31508">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6EC8AD45">
                  <w:pPr>
                    <w:jc w:val="center"/>
                    <w:rPr>
                      <w:szCs w:val="21"/>
                    </w:rPr>
                  </w:pPr>
                </w:p>
              </w:tc>
            </w:tr>
            <w:tr w14:paraId="52E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shd w:val="clear" w:color="auto" w:fill="auto"/>
                  <w:vAlign w:val="center"/>
                </w:tcPr>
                <w:p w14:paraId="7F138FD3">
                  <w:pPr>
                    <w:jc w:val="center"/>
                    <w:rPr>
                      <w:rFonts w:hint="default"/>
                      <w:szCs w:val="21"/>
                      <w:lang w:val="en-US" w:eastAsia="zh-CN"/>
                    </w:rPr>
                  </w:pPr>
                  <w:r>
                    <w:rPr>
                      <w:rFonts w:hint="eastAsia"/>
                      <w:szCs w:val="21"/>
                      <w:lang w:val="en-US" w:eastAsia="zh-CN"/>
                    </w:rPr>
                    <w:t>34</w:t>
                  </w:r>
                </w:p>
              </w:tc>
              <w:tc>
                <w:tcPr>
                  <w:tcW w:w="907" w:type="dxa"/>
                  <w:shd w:val="clear" w:color="auto" w:fill="auto"/>
                  <w:vAlign w:val="center"/>
                </w:tcPr>
                <w:p w14:paraId="50C8BE5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313" w:type="dxa"/>
                  <w:shd w:val="clear" w:color="auto" w:fill="auto"/>
                  <w:vAlign w:val="center"/>
                </w:tcPr>
                <w:p w14:paraId="1A8BED85">
                  <w:pPr>
                    <w:jc w:val="center"/>
                    <w:rPr>
                      <w:rFonts w:hint="default" w:ascii="Times New Roman" w:hAnsi="Times New Roman" w:eastAsia="宋体" w:cs="Times New Roman"/>
                      <w:kern w:val="2"/>
                      <w:sz w:val="21"/>
                      <w:szCs w:val="21"/>
                      <w:lang w:val="en-US" w:eastAsia="zh-CN" w:bidi="ar-SA"/>
                    </w:rPr>
                  </w:pPr>
                </w:p>
              </w:tc>
              <w:tc>
                <w:tcPr>
                  <w:tcW w:w="1217" w:type="dxa"/>
                  <w:shd w:val="clear" w:color="auto" w:fill="auto"/>
                  <w:vAlign w:val="center"/>
                </w:tcPr>
                <w:p w14:paraId="0898A17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80</w:t>
                  </w:r>
                </w:p>
              </w:tc>
              <w:tc>
                <w:tcPr>
                  <w:tcW w:w="1250" w:type="dxa"/>
                  <w:vMerge w:val="continue"/>
                  <w:shd w:val="clear" w:color="auto" w:fill="auto"/>
                  <w:vAlign w:val="center"/>
                </w:tcPr>
                <w:p w14:paraId="16683C87">
                  <w:pPr>
                    <w:jc w:val="center"/>
                    <w:rPr>
                      <w:rFonts w:ascii="Times New Roman" w:hAnsi="Times New Roman" w:eastAsia="宋体" w:cs="Times New Roman"/>
                      <w:kern w:val="2"/>
                      <w:sz w:val="21"/>
                      <w:szCs w:val="21"/>
                      <w:lang w:val="en-US" w:eastAsia="zh-CN" w:bidi="ar-SA"/>
                    </w:rPr>
                  </w:pPr>
                </w:p>
              </w:tc>
              <w:tc>
                <w:tcPr>
                  <w:tcW w:w="688" w:type="dxa"/>
                  <w:shd w:val="clear" w:color="auto" w:fill="auto"/>
                  <w:vAlign w:val="center"/>
                </w:tcPr>
                <w:p w14:paraId="7CC671A9">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123</w:t>
                  </w:r>
                </w:p>
              </w:tc>
              <w:tc>
                <w:tcPr>
                  <w:tcW w:w="655" w:type="dxa"/>
                  <w:shd w:val="clear" w:color="auto" w:fill="auto"/>
                  <w:vAlign w:val="center"/>
                </w:tcPr>
                <w:p w14:paraId="034B674D">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539" w:type="dxa"/>
                  <w:shd w:val="clear" w:color="auto" w:fill="auto"/>
                  <w:vAlign w:val="center"/>
                </w:tcPr>
                <w:p w14:paraId="720BBC8F">
                  <w:pPr>
                    <w:jc w:val="center"/>
                    <w:rPr>
                      <w:rFonts w:hint="eastAsia"/>
                      <w:szCs w:val="21"/>
                      <w:lang w:val="en-US" w:eastAsia="zh-CN"/>
                    </w:rPr>
                  </w:pPr>
                  <w:r>
                    <w:rPr>
                      <w:rFonts w:hint="eastAsia"/>
                      <w:szCs w:val="21"/>
                      <w:lang w:val="en-US" w:eastAsia="zh-CN"/>
                    </w:rPr>
                    <w:t>1.5</w:t>
                  </w:r>
                </w:p>
              </w:tc>
              <w:tc>
                <w:tcPr>
                  <w:tcW w:w="810" w:type="dxa"/>
                  <w:vMerge w:val="continue"/>
                  <w:vAlign w:val="center"/>
                </w:tcPr>
                <w:p w14:paraId="7BF0790E">
                  <w:pPr>
                    <w:jc w:val="center"/>
                    <w:rPr>
                      <w:szCs w:val="21"/>
                    </w:rPr>
                  </w:pPr>
                </w:p>
              </w:tc>
            </w:tr>
            <w:tr w14:paraId="5A3A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76900B37">
                  <w:pPr>
                    <w:jc w:val="center"/>
                    <w:rPr>
                      <w:rFonts w:hint="default"/>
                      <w:szCs w:val="21"/>
                      <w:lang w:val="en-US" w:eastAsia="zh-CN"/>
                    </w:rPr>
                  </w:pPr>
                  <w:r>
                    <w:rPr>
                      <w:rFonts w:hint="eastAsia"/>
                      <w:szCs w:val="21"/>
                      <w:lang w:val="en-US" w:eastAsia="zh-CN"/>
                    </w:rPr>
                    <w:t>35</w:t>
                  </w:r>
                </w:p>
              </w:tc>
              <w:tc>
                <w:tcPr>
                  <w:tcW w:w="907" w:type="dxa"/>
                  <w:vAlign w:val="center"/>
                </w:tcPr>
                <w:p w14:paraId="7F18B6DA">
                  <w:pPr>
                    <w:jc w:val="center"/>
                    <w:rPr>
                      <w:rFonts w:hint="default" w:eastAsia="宋体"/>
                      <w:szCs w:val="21"/>
                      <w:lang w:val="en-US" w:eastAsia="zh-CN"/>
                    </w:rPr>
                  </w:pPr>
                </w:p>
              </w:tc>
              <w:tc>
                <w:tcPr>
                  <w:tcW w:w="1313" w:type="dxa"/>
                  <w:vAlign w:val="center"/>
                </w:tcPr>
                <w:p w14:paraId="4FD4953A">
                  <w:pPr>
                    <w:jc w:val="center"/>
                    <w:rPr>
                      <w:rFonts w:hint="default" w:eastAsia="宋体"/>
                      <w:szCs w:val="21"/>
                      <w:lang w:val="en-US" w:eastAsia="zh-CN"/>
                    </w:rPr>
                  </w:pPr>
                </w:p>
              </w:tc>
              <w:tc>
                <w:tcPr>
                  <w:tcW w:w="1217" w:type="dxa"/>
                  <w:vAlign w:val="center"/>
                </w:tcPr>
                <w:p w14:paraId="2C601B93">
                  <w:pPr>
                    <w:jc w:val="center"/>
                    <w:rPr>
                      <w:rFonts w:hint="default" w:eastAsia="宋体"/>
                      <w:szCs w:val="21"/>
                      <w:lang w:val="en-US" w:eastAsia="zh-CN"/>
                    </w:rPr>
                  </w:pPr>
                  <w:r>
                    <w:rPr>
                      <w:rFonts w:hint="eastAsia"/>
                      <w:szCs w:val="21"/>
                      <w:lang w:val="en-US" w:eastAsia="zh-CN"/>
                    </w:rPr>
                    <w:t>85</w:t>
                  </w:r>
                </w:p>
              </w:tc>
              <w:tc>
                <w:tcPr>
                  <w:tcW w:w="1250" w:type="dxa"/>
                  <w:vAlign w:val="center"/>
                </w:tcPr>
                <w:p w14:paraId="38C41C5B">
                  <w:pPr>
                    <w:jc w:val="center"/>
                    <w:rPr>
                      <w:rFonts w:hint="default" w:eastAsia="宋体"/>
                      <w:szCs w:val="21"/>
                      <w:lang w:val="en-US" w:eastAsia="zh-CN"/>
                    </w:rPr>
                  </w:pPr>
                  <w:r>
                    <w:rPr>
                      <w:rFonts w:hint="eastAsia"/>
                      <w:szCs w:val="21"/>
                      <w:lang w:val="en-US" w:eastAsia="zh-CN"/>
                    </w:rPr>
                    <w:t>基础减震</w:t>
                  </w:r>
                </w:p>
              </w:tc>
              <w:tc>
                <w:tcPr>
                  <w:tcW w:w="688" w:type="dxa"/>
                  <w:shd w:val="clear" w:color="auto" w:fill="auto"/>
                  <w:vAlign w:val="center"/>
                </w:tcPr>
                <w:p w14:paraId="3D8A513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-35</w:t>
                  </w:r>
                </w:p>
              </w:tc>
              <w:tc>
                <w:tcPr>
                  <w:tcW w:w="655" w:type="dxa"/>
                  <w:shd w:val="clear" w:color="auto" w:fill="auto"/>
                  <w:vAlign w:val="center"/>
                </w:tcPr>
                <w:p w14:paraId="107CEF0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21</w:t>
                  </w:r>
                </w:p>
              </w:tc>
              <w:tc>
                <w:tcPr>
                  <w:tcW w:w="539" w:type="dxa"/>
                  <w:vAlign w:val="center"/>
                </w:tcPr>
                <w:p w14:paraId="0ED693F2">
                  <w:pPr>
                    <w:jc w:val="center"/>
                    <w:rPr>
                      <w:rFonts w:hint="default" w:eastAsia="宋体"/>
                      <w:szCs w:val="21"/>
                      <w:lang w:val="en-US" w:eastAsia="zh-CN"/>
                    </w:rPr>
                  </w:pPr>
                  <w:r>
                    <w:rPr>
                      <w:rFonts w:hint="eastAsia"/>
                      <w:szCs w:val="21"/>
                      <w:lang w:val="en-US" w:eastAsia="zh-CN"/>
                    </w:rPr>
                    <w:t>1.5</w:t>
                  </w:r>
                </w:p>
              </w:tc>
              <w:tc>
                <w:tcPr>
                  <w:tcW w:w="810" w:type="dxa"/>
                  <w:vMerge w:val="continue"/>
                  <w:vAlign w:val="center"/>
                </w:tcPr>
                <w:p w14:paraId="2AB62B8E">
                  <w:pPr>
                    <w:jc w:val="center"/>
                    <w:rPr>
                      <w:szCs w:val="21"/>
                    </w:rPr>
                  </w:pPr>
                </w:p>
              </w:tc>
            </w:tr>
            <w:tr w14:paraId="4B97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8" w:type="dxa"/>
                  <w:vAlign w:val="center"/>
                </w:tcPr>
                <w:p w14:paraId="496D47D6">
                  <w:pPr>
                    <w:jc w:val="center"/>
                    <w:rPr>
                      <w:rFonts w:hint="default"/>
                      <w:szCs w:val="21"/>
                      <w:lang w:val="en-US" w:eastAsia="zh-CN"/>
                    </w:rPr>
                  </w:pPr>
                  <w:r>
                    <w:rPr>
                      <w:rFonts w:hint="eastAsia"/>
                      <w:szCs w:val="21"/>
                      <w:lang w:val="en-US" w:eastAsia="zh-CN"/>
                    </w:rPr>
                    <w:t>36</w:t>
                  </w:r>
                </w:p>
              </w:tc>
              <w:tc>
                <w:tcPr>
                  <w:tcW w:w="907" w:type="dxa"/>
                  <w:vAlign w:val="center"/>
                </w:tcPr>
                <w:p w14:paraId="3D9C59F4">
                  <w:pPr>
                    <w:jc w:val="center"/>
                    <w:rPr>
                      <w:rFonts w:hint="default"/>
                      <w:szCs w:val="21"/>
                      <w:lang w:val="en-US" w:eastAsia="zh-CN"/>
                    </w:rPr>
                  </w:pPr>
                </w:p>
              </w:tc>
              <w:tc>
                <w:tcPr>
                  <w:tcW w:w="1313" w:type="dxa"/>
                  <w:vAlign w:val="center"/>
                </w:tcPr>
                <w:p w14:paraId="6B3CEE91">
                  <w:pPr>
                    <w:jc w:val="center"/>
                    <w:rPr>
                      <w:rFonts w:hint="default"/>
                      <w:szCs w:val="21"/>
                      <w:lang w:val="en-US" w:eastAsia="zh-CN"/>
                    </w:rPr>
                  </w:pPr>
                </w:p>
              </w:tc>
              <w:tc>
                <w:tcPr>
                  <w:tcW w:w="1217" w:type="dxa"/>
                  <w:vAlign w:val="center"/>
                </w:tcPr>
                <w:p w14:paraId="639A9898">
                  <w:pPr>
                    <w:jc w:val="center"/>
                    <w:rPr>
                      <w:rFonts w:hint="default"/>
                      <w:szCs w:val="21"/>
                      <w:lang w:val="en-US" w:eastAsia="zh-CN"/>
                    </w:rPr>
                  </w:pPr>
                  <w:r>
                    <w:rPr>
                      <w:rFonts w:hint="eastAsia"/>
                      <w:szCs w:val="21"/>
                      <w:lang w:val="en-US" w:eastAsia="zh-CN"/>
                    </w:rPr>
                    <w:t>75</w:t>
                  </w:r>
                </w:p>
              </w:tc>
              <w:tc>
                <w:tcPr>
                  <w:tcW w:w="1250" w:type="dxa"/>
                  <w:vAlign w:val="center"/>
                </w:tcPr>
                <w:p w14:paraId="1601379B">
                  <w:pPr>
                    <w:jc w:val="center"/>
                    <w:rPr>
                      <w:rFonts w:hint="default"/>
                      <w:szCs w:val="21"/>
                      <w:lang w:val="en-US" w:eastAsia="zh-CN"/>
                    </w:rPr>
                  </w:pPr>
                  <w:r>
                    <w:rPr>
                      <w:rFonts w:hint="eastAsia"/>
                      <w:szCs w:val="21"/>
                      <w:lang w:val="en-US" w:eastAsia="zh-CN"/>
                    </w:rPr>
                    <w:t>基础减震</w:t>
                  </w:r>
                </w:p>
              </w:tc>
              <w:tc>
                <w:tcPr>
                  <w:tcW w:w="688" w:type="dxa"/>
                  <w:shd w:val="clear" w:color="auto" w:fill="auto"/>
                  <w:vAlign w:val="center"/>
                </w:tcPr>
                <w:p w14:paraId="441666DF">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-147</w:t>
                  </w:r>
                </w:p>
              </w:tc>
              <w:tc>
                <w:tcPr>
                  <w:tcW w:w="655" w:type="dxa"/>
                  <w:shd w:val="clear" w:color="auto" w:fill="auto"/>
                  <w:vAlign w:val="center"/>
                </w:tcPr>
                <w:p w14:paraId="35113C6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64</w:t>
                  </w:r>
                </w:p>
              </w:tc>
              <w:tc>
                <w:tcPr>
                  <w:tcW w:w="539" w:type="dxa"/>
                  <w:vAlign w:val="center"/>
                </w:tcPr>
                <w:p w14:paraId="60D85D37">
                  <w:pPr>
                    <w:jc w:val="center"/>
                    <w:rPr>
                      <w:rFonts w:hint="default"/>
                      <w:szCs w:val="21"/>
                      <w:lang w:val="en-US" w:eastAsia="zh-CN"/>
                    </w:rPr>
                  </w:pPr>
                  <w:r>
                    <w:rPr>
                      <w:rFonts w:hint="eastAsia"/>
                      <w:szCs w:val="21"/>
                      <w:lang w:val="en-US" w:eastAsia="zh-CN"/>
                    </w:rPr>
                    <w:t>1.5</w:t>
                  </w:r>
                </w:p>
              </w:tc>
              <w:tc>
                <w:tcPr>
                  <w:tcW w:w="810" w:type="dxa"/>
                  <w:vMerge w:val="continue"/>
                  <w:vAlign w:val="center"/>
                </w:tcPr>
                <w:p w14:paraId="24573093">
                  <w:pPr>
                    <w:jc w:val="center"/>
                    <w:rPr>
                      <w:szCs w:val="21"/>
                    </w:rPr>
                  </w:pPr>
                </w:p>
              </w:tc>
            </w:tr>
            <w:tr w14:paraId="2367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 w:type="dxa"/>
                  <w:vAlign w:val="center"/>
                </w:tcPr>
                <w:p w14:paraId="0CA82CE4">
                  <w:pPr>
                    <w:jc w:val="center"/>
                    <w:rPr>
                      <w:rFonts w:hint="default"/>
                      <w:szCs w:val="21"/>
                      <w:lang w:val="en-US" w:eastAsia="zh-CN"/>
                    </w:rPr>
                  </w:pPr>
                  <w:r>
                    <w:rPr>
                      <w:rFonts w:hint="eastAsia"/>
                      <w:szCs w:val="21"/>
                      <w:lang w:val="en-US" w:eastAsia="zh-CN"/>
                    </w:rPr>
                    <w:t>37</w:t>
                  </w:r>
                </w:p>
              </w:tc>
              <w:tc>
                <w:tcPr>
                  <w:tcW w:w="907" w:type="dxa"/>
                  <w:vAlign w:val="center"/>
                </w:tcPr>
                <w:p w14:paraId="34CC5F3E">
                  <w:pPr>
                    <w:jc w:val="center"/>
                    <w:rPr>
                      <w:rFonts w:hint="default"/>
                      <w:szCs w:val="21"/>
                      <w:lang w:val="en-US" w:eastAsia="zh-CN"/>
                    </w:rPr>
                  </w:pPr>
                </w:p>
              </w:tc>
              <w:tc>
                <w:tcPr>
                  <w:tcW w:w="1313" w:type="dxa"/>
                  <w:vAlign w:val="center"/>
                </w:tcPr>
                <w:p w14:paraId="16037B45">
                  <w:pPr>
                    <w:jc w:val="center"/>
                    <w:rPr>
                      <w:rFonts w:hint="default"/>
                      <w:szCs w:val="21"/>
                      <w:lang w:val="en-US" w:eastAsia="zh-CN"/>
                    </w:rPr>
                  </w:pPr>
                </w:p>
              </w:tc>
              <w:tc>
                <w:tcPr>
                  <w:tcW w:w="1217" w:type="dxa"/>
                  <w:vAlign w:val="center"/>
                </w:tcPr>
                <w:p w14:paraId="4FF4AE5D">
                  <w:pPr>
                    <w:jc w:val="center"/>
                    <w:rPr>
                      <w:rFonts w:hint="default"/>
                      <w:szCs w:val="21"/>
                      <w:lang w:val="en-US" w:eastAsia="zh-CN"/>
                    </w:rPr>
                  </w:pPr>
                  <w:r>
                    <w:rPr>
                      <w:rFonts w:hint="eastAsia"/>
                      <w:szCs w:val="21"/>
                      <w:lang w:val="en-US" w:eastAsia="zh-CN"/>
                    </w:rPr>
                    <w:t>75</w:t>
                  </w:r>
                </w:p>
              </w:tc>
              <w:tc>
                <w:tcPr>
                  <w:tcW w:w="1250" w:type="dxa"/>
                  <w:vAlign w:val="center"/>
                </w:tcPr>
                <w:p w14:paraId="7C1245D7">
                  <w:pPr>
                    <w:jc w:val="center"/>
                    <w:rPr>
                      <w:rFonts w:hint="eastAsia"/>
                      <w:szCs w:val="21"/>
                      <w:lang w:val="en-US" w:eastAsia="zh-CN"/>
                    </w:rPr>
                  </w:pPr>
                  <w:r>
                    <w:rPr>
                      <w:rFonts w:hint="eastAsia"/>
                      <w:szCs w:val="21"/>
                      <w:lang w:val="en-US" w:eastAsia="zh-CN"/>
                    </w:rPr>
                    <w:t>基础减震</w:t>
                  </w:r>
                </w:p>
              </w:tc>
              <w:tc>
                <w:tcPr>
                  <w:tcW w:w="688" w:type="dxa"/>
                  <w:shd w:val="clear" w:color="auto" w:fill="auto"/>
                  <w:vAlign w:val="center"/>
                </w:tcPr>
                <w:p w14:paraId="53110506">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-107</w:t>
                  </w:r>
                </w:p>
              </w:tc>
              <w:tc>
                <w:tcPr>
                  <w:tcW w:w="655" w:type="dxa"/>
                  <w:shd w:val="clear" w:color="auto" w:fill="auto"/>
                  <w:vAlign w:val="center"/>
                </w:tcPr>
                <w:p w14:paraId="3FC42CF2">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539" w:type="dxa"/>
                  <w:vAlign w:val="center"/>
                </w:tcPr>
                <w:p w14:paraId="1D86014E">
                  <w:pPr>
                    <w:jc w:val="center"/>
                    <w:rPr>
                      <w:rFonts w:hint="default"/>
                      <w:szCs w:val="21"/>
                      <w:lang w:val="en-US" w:eastAsia="zh-CN"/>
                    </w:rPr>
                  </w:pPr>
                  <w:r>
                    <w:rPr>
                      <w:rFonts w:hint="eastAsia"/>
                      <w:szCs w:val="21"/>
                      <w:lang w:val="en-US" w:eastAsia="zh-CN"/>
                    </w:rPr>
                    <w:t>1.5</w:t>
                  </w:r>
                </w:p>
              </w:tc>
              <w:tc>
                <w:tcPr>
                  <w:tcW w:w="810" w:type="dxa"/>
                  <w:vMerge w:val="continue"/>
                  <w:vAlign w:val="center"/>
                </w:tcPr>
                <w:p w14:paraId="452E5DD2">
                  <w:pPr>
                    <w:jc w:val="center"/>
                    <w:rPr>
                      <w:szCs w:val="21"/>
                    </w:rPr>
                  </w:pPr>
                </w:p>
              </w:tc>
            </w:tr>
          </w:tbl>
          <w:p w14:paraId="7C29AA92">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cs="Times New Roman"/>
                <w:b/>
                <w:bCs/>
                <w:kern w:val="2"/>
                <w:sz w:val="24"/>
                <w:szCs w:val="24"/>
                <w:lang w:val="en-US" w:eastAsia="zh-CN" w:bidi="ar-SA"/>
              </w:rPr>
              <w:t>2</w:t>
            </w:r>
            <w:r>
              <w:rPr>
                <w:rFonts w:hint="default" w:ascii="Times New Roman" w:hAnsi="Times New Roman" w:eastAsia="宋体" w:cs="Times New Roman"/>
                <w:b/>
                <w:bCs/>
                <w:kern w:val="2"/>
                <w:sz w:val="24"/>
                <w:szCs w:val="24"/>
                <w:lang w:val="en-US" w:eastAsia="zh-CN" w:bidi="ar-SA"/>
              </w:rPr>
              <w:t>、</w:t>
            </w:r>
            <w:r>
              <w:rPr>
                <w:rFonts w:hint="eastAsia"/>
                <w:b/>
                <w:bCs/>
                <w:sz w:val="24"/>
                <w:szCs w:val="24"/>
                <w:lang w:val="en-US" w:eastAsia="zh-CN"/>
              </w:rPr>
              <w:t>预测模式</w:t>
            </w:r>
          </w:p>
          <w:p w14:paraId="3D5D8DF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根据《环境影响评价技术导则 声环境》（HJ2.4-2021）推荐的方法，采用点声源半自由声场传播公式对设备噪声的影响范围进行预测。预测公式如下：</w:t>
            </w:r>
          </w:p>
          <w:p w14:paraId="50D713A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center"/>
              <w:textAlignment w:val="auto"/>
              <w:rPr>
                <w:rFonts w:hint="default" w:ascii="Times New Roman" w:cs="Times New Roman"/>
                <w:vertAlign w:val="baseline"/>
                <w:lang w:val="en-US" w:eastAsia="zh-CN"/>
              </w:rPr>
            </w:pPr>
            <w:r>
              <w:rPr>
                <w:rFonts w:hint="default" w:ascii="Times New Roman" w:cs="Times New Roman"/>
                <w:position w:val="-14"/>
                <w:vertAlign w:val="baseline"/>
                <w:lang w:val="en-US" w:eastAsia="zh-CN"/>
              </w:rPr>
              <w:object>
                <v:shape id="_x0000_i1029" o:spt="75" type="#_x0000_t75" style="height:25.6pt;width:175.15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p w14:paraId="3C395C9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式中：Lp——距声源r米处声压级，dB（A）；</w:t>
            </w:r>
          </w:p>
          <w:p w14:paraId="3D12083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1200" w:firstLineChars="500"/>
              <w:jc w:val="both"/>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Lpo——距声源r0米处声压级，dB（A）；</w:t>
            </w:r>
          </w:p>
          <w:p w14:paraId="59AB776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1200" w:firstLineChars="500"/>
              <w:jc w:val="both"/>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r——距声源的距离，m；</w:t>
            </w:r>
          </w:p>
          <w:p w14:paraId="6F2D1A72">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1200" w:firstLineChars="500"/>
              <w:jc w:val="both"/>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r0——距声源1m；</w:t>
            </w:r>
          </w:p>
          <w:p w14:paraId="4AB4108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1200" w:firstLineChars="500"/>
              <w:jc w:val="both"/>
              <w:textAlignment w:val="auto"/>
              <w:rPr>
                <w:rFonts w:hint="eastAsia" w:ascii="Times New Roman" w:cs="Times New Roman"/>
                <w:vertAlign w:val="baseline"/>
                <w:lang w:val="en-US" w:eastAsia="zh-CN"/>
              </w:rPr>
            </w:pPr>
            <w:r>
              <w:rPr>
                <w:rFonts w:ascii="Times New Roman" w:hAnsi="Times New Roman" w:eastAsia="宋体" w:cs="Times New Roman"/>
                <w:sz w:val="24"/>
                <w:szCs w:val="24"/>
              </w:rPr>
              <w:t>ΔL</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各种衰减量，</w:t>
            </w:r>
            <w:r>
              <w:rPr>
                <w:rFonts w:hint="eastAsia" w:ascii="Times New Roman" w:cs="Times New Roman"/>
                <w:vertAlign w:val="baseline"/>
                <w:lang w:val="en-US" w:eastAsia="zh-CN"/>
              </w:rPr>
              <w:t>dB（A）。</w:t>
            </w:r>
          </w:p>
          <w:p w14:paraId="471574BD">
            <w:pPr>
              <w:pStyle w:val="1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Times New Roman" w:cs="Times New Roman"/>
                <w:sz w:val="24"/>
                <w:szCs w:val="24"/>
                <w:vertAlign w:val="baseline"/>
                <w:lang w:val="en-US" w:eastAsia="zh-CN"/>
              </w:rPr>
            </w:pPr>
            <w:r>
              <w:rPr>
                <w:rFonts w:hint="eastAsia" w:ascii="Times New Roman" w:cs="Times New Roman"/>
                <w:sz w:val="24"/>
                <w:szCs w:val="24"/>
                <w:vertAlign w:val="baseline"/>
                <w:lang w:val="en-US" w:eastAsia="zh-CN"/>
              </w:rPr>
              <w:t>预测结果详见表4-</w:t>
            </w:r>
            <w:r>
              <w:rPr>
                <w:rFonts w:hint="eastAsia" w:cs="Times New Roman"/>
                <w:sz w:val="24"/>
                <w:szCs w:val="24"/>
                <w:vertAlign w:val="baseline"/>
                <w:lang w:val="en-US" w:eastAsia="zh-CN"/>
              </w:rPr>
              <w:t>9</w:t>
            </w:r>
            <w:r>
              <w:rPr>
                <w:rFonts w:hint="eastAsia" w:ascii="Times New Roman" w:cs="Times New Roman"/>
                <w:sz w:val="24"/>
                <w:szCs w:val="24"/>
                <w:vertAlign w:val="baseline"/>
                <w:lang w:val="en-US" w:eastAsia="zh-CN"/>
              </w:rPr>
              <w:t>、图4-1。</w:t>
            </w:r>
          </w:p>
          <w:p w14:paraId="153A61A4">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s="Times New Roman"/>
                <w:b/>
                <w:bCs/>
                <w:sz w:val="24"/>
                <w:szCs w:val="24"/>
                <w:vertAlign w:val="baseline"/>
                <w:lang w:val="en-US" w:eastAsia="zh-CN"/>
              </w:rPr>
            </w:pPr>
            <w:r>
              <w:rPr>
                <w:rFonts w:hint="eastAsia" w:cs="Times New Roman"/>
                <w:b/>
                <w:bCs/>
                <w:sz w:val="24"/>
                <w:szCs w:val="24"/>
                <w:vertAlign w:val="baseline"/>
                <w:lang w:val="en-US" w:eastAsia="zh-CN"/>
              </w:rPr>
              <w:t>表4-9 噪声预测结果一览表</w:t>
            </w:r>
          </w:p>
          <w:tbl>
            <w:tblPr>
              <w:tblStyle w:val="16"/>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108"/>
              <w:gridCol w:w="767"/>
              <w:gridCol w:w="846"/>
              <w:gridCol w:w="756"/>
              <w:gridCol w:w="773"/>
              <w:gridCol w:w="773"/>
              <w:gridCol w:w="792"/>
              <w:gridCol w:w="733"/>
              <w:gridCol w:w="782"/>
            </w:tblGrid>
            <w:tr w14:paraId="236E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6" w:type="pct"/>
                  <w:vMerge w:val="restart"/>
                  <w:vAlign w:val="center"/>
                </w:tcPr>
                <w:p w14:paraId="796DB35C">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序号</w:t>
                  </w:r>
                </w:p>
              </w:tc>
              <w:tc>
                <w:tcPr>
                  <w:tcW w:w="715" w:type="pct"/>
                  <w:vMerge w:val="restart"/>
                  <w:vAlign w:val="center"/>
                </w:tcPr>
                <w:p w14:paraId="49C6E304">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监测点位</w:t>
                  </w:r>
                </w:p>
              </w:tc>
              <w:tc>
                <w:tcPr>
                  <w:tcW w:w="1041" w:type="pct"/>
                  <w:gridSpan w:val="2"/>
                  <w:vAlign w:val="center"/>
                </w:tcPr>
                <w:p w14:paraId="2C1896FE">
                  <w:pPr>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贡献值</w:t>
                  </w:r>
                </w:p>
              </w:tc>
              <w:tc>
                <w:tcPr>
                  <w:tcW w:w="987" w:type="pct"/>
                  <w:gridSpan w:val="2"/>
                  <w:vAlign w:val="center"/>
                </w:tcPr>
                <w:p w14:paraId="1F6B1706">
                  <w:pPr>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背景值</w:t>
                  </w:r>
                </w:p>
              </w:tc>
              <w:tc>
                <w:tcPr>
                  <w:tcW w:w="1010" w:type="pct"/>
                  <w:gridSpan w:val="2"/>
                  <w:vAlign w:val="center"/>
                </w:tcPr>
                <w:p w14:paraId="1F5BE9C7">
                  <w:pPr>
                    <w:widowControl w:val="0"/>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叠加值</w:t>
                  </w:r>
                </w:p>
              </w:tc>
              <w:tc>
                <w:tcPr>
                  <w:tcW w:w="978" w:type="pct"/>
                  <w:gridSpan w:val="2"/>
                  <w:vAlign w:val="center"/>
                </w:tcPr>
                <w:p w14:paraId="58F3CD57">
                  <w:pPr>
                    <w:widowControl w:val="0"/>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标准限值</w:t>
                  </w:r>
                </w:p>
              </w:tc>
            </w:tr>
            <w:tr w14:paraId="701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66" w:type="pct"/>
                  <w:vMerge w:val="continue"/>
                  <w:vAlign w:val="center"/>
                </w:tcPr>
                <w:p w14:paraId="646F1C97">
                  <w:pPr>
                    <w:tabs>
                      <w:tab w:val="left" w:pos="6900"/>
                    </w:tabs>
                    <w:spacing w:line="240" w:lineRule="exact"/>
                    <w:jc w:val="center"/>
                    <w:rPr>
                      <w:rFonts w:ascii="Times New Roman" w:hAnsi="Times New Roman" w:cs="Times New Roman"/>
                      <w:b/>
                      <w:bCs/>
                      <w:color w:val="auto"/>
                      <w:sz w:val="21"/>
                      <w:szCs w:val="21"/>
                      <w:u w:val="none"/>
                    </w:rPr>
                  </w:pPr>
                </w:p>
              </w:tc>
              <w:tc>
                <w:tcPr>
                  <w:tcW w:w="715" w:type="pct"/>
                  <w:vMerge w:val="continue"/>
                  <w:vAlign w:val="center"/>
                </w:tcPr>
                <w:p w14:paraId="1923D4EF">
                  <w:pPr>
                    <w:tabs>
                      <w:tab w:val="left" w:pos="6900"/>
                    </w:tabs>
                    <w:spacing w:line="240" w:lineRule="exact"/>
                    <w:jc w:val="center"/>
                    <w:rPr>
                      <w:rFonts w:ascii="Times New Roman" w:hAnsi="Times New Roman" w:cs="Times New Roman"/>
                      <w:b/>
                      <w:bCs/>
                      <w:color w:val="auto"/>
                      <w:sz w:val="21"/>
                      <w:szCs w:val="21"/>
                      <w:u w:val="none"/>
                    </w:rPr>
                  </w:pPr>
                </w:p>
              </w:tc>
              <w:tc>
                <w:tcPr>
                  <w:tcW w:w="495" w:type="pct"/>
                  <w:vAlign w:val="center"/>
                </w:tcPr>
                <w:p w14:paraId="58E60306">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昼间</w:t>
                  </w:r>
                </w:p>
                <w:p w14:paraId="62D54468">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546" w:type="pct"/>
                  <w:vAlign w:val="center"/>
                </w:tcPr>
                <w:p w14:paraId="06B5B9B5">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夜间</w:t>
                  </w:r>
                </w:p>
                <w:p w14:paraId="5D197D7B">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488" w:type="pct"/>
                  <w:vAlign w:val="center"/>
                </w:tcPr>
                <w:p w14:paraId="319120F9">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昼间</w:t>
                  </w:r>
                </w:p>
                <w:p w14:paraId="3B190279">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499" w:type="pct"/>
                  <w:vAlign w:val="center"/>
                </w:tcPr>
                <w:p w14:paraId="020D610D">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夜间</w:t>
                  </w:r>
                </w:p>
                <w:p w14:paraId="69B10879">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499" w:type="pct"/>
                  <w:vAlign w:val="center"/>
                </w:tcPr>
                <w:p w14:paraId="62FE56FC">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昼间</w:t>
                  </w:r>
                </w:p>
                <w:p w14:paraId="12300BD2">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511" w:type="pct"/>
                  <w:vAlign w:val="center"/>
                </w:tcPr>
                <w:p w14:paraId="75236963">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夜间</w:t>
                  </w:r>
                </w:p>
                <w:p w14:paraId="5A83C8B1">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473" w:type="pct"/>
                  <w:vAlign w:val="center"/>
                </w:tcPr>
                <w:p w14:paraId="327CBE81">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昼间</w:t>
                  </w:r>
                </w:p>
                <w:p w14:paraId="3FDFED4C">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c>
                <w:tcPr>
                  <w:tcW w:w="505" w:type="pct"/>
                  <w:vAlign w:val="center"/>
                </w:tcPr>
                <w:p w14:paraId="35474792">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夜间</w:t>
                  </w:r>
                </w:p>
                <w:p w14:paraId="149C085D">
                  <w:pPr>
                    <w:tabs>
                      <w:tab w:val="left" w:pos="6900"/>
                    </w:tabs>
                    <w:spacing w:line="240" w:lineRule="exact"/>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dB(A)</w:t>
                  </w:r>
                </w:p>
              </w:tc>
            </w:tr>
            <w:tr w14:paraId="37A6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6" w:type="pct"/>
                  <w:vAlign w:val="center"/>
                </w:tcPr>
                <w:p w14:paraId="5715F305">
                  <w:pPr>
                    <w:tabs>
                      <w:tab w:val="left" w:pos="6900"/>
                    </w:tabs>
                    <w:spacing w:line="240" w:lineRule="exact"/>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1</w:t>
                  </w:r>
                </w:p>
              </w:tc>
              <w:tc>
                <w:tcPr>
                  <w:tcW w:w="715" w:type="pct"/>
                  <w:vAlign w:val="center"/>
                </w:tcPr>
                <w:p w14:paraId="73F901B8">
                  <w:pPr>
                    <w:spacing w:line="240" w:lineRule="exact"/>
                    <w:jc w:val="center"/>
                    <w:outlineLvl w:val="9"/>
                    <w:rPr>
                      <w:rFonts w:hint="default" w:ascii="Times New Roman" w:hAnsi="Times New Roman" w:eastAsia="宋体" w:cs="Times New Roman"/>
                      <w:bCs/>
                      <w:color w:val="auto"/>
                      <w:kern w:val="2"/>
                      <w:sz w:val="21"/>
                      <w:szCs w:val="21"/>
                      <w:u w:val="none"/>
                      <w:lang w:val="en-US" w:eastAsia="zh-CN"/>
                    </w:rPr>
                  </w:pPr>
                  <w:r>
                    <w:rPr>
                      <w:rFonts w:hint="eastAsia" w:cs="Times New Roman"/>
                      <w:bCs/>
                      <w:color w:val="auto"/>
                      <w:kern w:val="2"/>
                      <w:sz w:val="21"/>
                      <w:szCs w:val="21"/>
                      <w:u w:val="none"/>
                      <w:lang w:val="en-US" w:eastAsia="zh-CN"/>
                    </w:rPr>
                    <w:t>厂界东面</w:t>
                  </w:r>
                </w:p>
              </w:tc>
              <w:tc>
                <w:tcPr>
                  <w:tcW w:w="495" w:type="pct"/>
                  <w:vAlign w:val="center"/>
                </w:tcPr>
                <w:p w14:paraId="6335070B">
                  <w:pPr>
                    <w:tabs>
                      <w:tab w:val="left" w:pos="6900"/>
                    </w:tabs>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42.9</w:t>
                  </w:r>
                </w:p>
              </w:tc>
              <w:tc>
                <w:tcPr>
                  <w:tcW w:w="846" w:type="dxa"/>
                  <w:shd w:val="clear" w:color="auto" w:fill="auto"/>
                  <w:vAlign w:val="center"/>
                </w:tcPr>
                <w:p w14:paraId="35022E39">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42.9</w:t>
                  </w:r>
                </w:p>
              </w:tc>
              <w:tc>
                <w:tcPr>
                  <w:tcW w:w="488" w:type="pct"/>
                  <w:vAlign w:val="center"/>
                </w:tcPr>
                <w:p w14:paraId="2FAC5AA8">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0</w:t>
                  </w:r>
                </w:p>
              </w:tc>
              <w:tc>
                <w:tcPr>
                  <w:tcW w:w="499" w:type="pct"/>
                  <w:vAlign w:val="center"/>
                </w:tcPr>
                <w:p w14:paraId="6B98F75B">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773" w:type="dxa"/>
                  <w:vAlign w:val="center"/>
                </w:tcPr>
                <w:p w14:paraId="48BFBC40">
                  <w:pPr>
                    <w:tabs>
                      <w:tab w:val="left" w:pos="6900"/>
                    </w:tabs>
                    <w:spacing w:line="240" w:lineRule="exact"/>
                    <w:jc w:val="center"/>
                    <w:rPr>
                      <w:rFonts w:hint="default" w:eastAsia="宋体"/>
                      <w:color w:val="auto"/>
                      <w:u w:val="none"/>
                      <w:lang w:val="en-US" w:eastAsia="zh-CN"/>
                    </w:rPr>
                  </w:pPr>
                  <w:r>
                    <w:rPr>
                      <w:rFonts w:hint="eastAsia" w:cs="Times New Roman"/>
                      <w:color w:val="auto"/>
                      <w:sz w:val="21"/>
                      <w:szCs w:val="21"/>
                      <w:u w:val="none"/>
                      <w:lang w:val="en-US" w:eastAsia="zh-CN"/>
                    </w:rPr>
                    <w:t>42.9</w:t>
                  </w:r>
                </w:p>
              </w:tc>
              <w:tc>
                <w:tcPr>
                  <w:tcW w:w="792" w:type="dxa"/>
                  <w:shd w:val="clear" w:color="auto" w:fill="auto"/>
                  <w:vAlign w:val="center"/>
                </w:tcPr>
                <w:p w14:paraId="6CB0363F">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42.9</w:t>
                  </w:r>
                </w:p>
              </w:tc>
              <w:tc>
                <w:tcPr>
                  <w:tcW w:w="733" w:type="dxa"/>
                  <w:vAlign w:val="center"/>
                </w:tcPr>
                <w:p w14:paraId="175C6BD8">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70</w:t>
                  </w:r>
                </w:p>
              </w:tc>
              <w:tc>
                <w:tcPr>
                  <w:tcW w:w="782" w:type="dxa"/>
                  <w:vAlign w:val="center"/>
                </w:tcPr>
                <w:p w14:paraId="4210D513">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55</w:t>
                  </w:r>
                </w:p>
              </w:tc>
            </w:tr>
            <w:tr w14:paraId="1EEE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6" w:type="pct"/>
                  <w:vAlign w:val="center"/>
                </w:tcPr>
                <w:p w14:paraId="002F086B">
                  <w:pPr>
                    <w:tabs>
                      <w:tab w:val="left" w:pos="6900"/>
                    </w:tabs>
                    <w:spacing w:line="240" w:lineRule="exact"/>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2</w:t>
                  </w:r>
                </w:p>
              </w:tc>
              <w:tc>
                <w:tcPr>
                  <w:tcW w:w="715" w:type="pct"/>
                  <w:vAlign w:val="center"/>
                </w:tcPr>
                <w:p w14:paraId="716D2261">
                  <w:pPr>
                    <w:spacing w:line="240" w:lineRule="exact"/>
                    <w:jc w:val="center"/>
                    <w:outlineLvl w:val="9"/>
                    <w:rPr>
                      <w:rFonts w:hint="default" w:ascii="Times New Roman" w:hAnsi="Times New Roman" w:eastAsia="宋体" w:cs="Times New Roman"/>
                      <w:bCs/>
                      <w:color w:val="auto"/>
                      <w:kern w:val="2"/>
                      <w:sz w:val="21"/>
                      <w:szCs w:val="21"/>
                      <w:u w:val="none"/>
                      <w:lang w:val="en-US" w:eastAsia="zh-CN"/>
                    </w:rPr>
                  </w:pPr>
                  <w:r>
                    <w:rPr>
                      <w:rFonts w:hint="eastAsia" w:cs="Times New Roman"/>
                      <w:bCs/>
                      <w:color w:val="auto"/>
                      <w:kern w:val="2"/>
                      <w:sz w:val="21"/>
                      <w:szCs w:val="21"/>
                      <w:u w:val="none"/>
                      <w:lang w:val="en-US" w:eastAsia="zh-CN"/>
                    </w:rPr>
                    <w:t>厂界南面</w:t>
                  </w:r>
                </w:p>
              </w:tc>
              <w:tc>
                <w:tcPr>
                  <w:tcW w:w="495" w:type="pct"/>
                  <w:vAlign w:val="center"/>
                </w:tcPr>
                <w:p w14:paraId="002CB803">
                  <w:pPr>
                    <w:tabs>
                      <w:tab w:val="left" w:pos="6900"/>
                    </w:tabs>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43.4</w:t>
                  </w:r>
                </w:p>
              </w:tc>
              <w:tc>
                <w:tcPr>
                  <w:tcW w:w="846" w:type="dxa"/>
                  <w:shd w:val="clear" w:color="auto" w:fill="auto"/>
                  <w:vAlign w:val="center"/>
                </w:tcPr>
                <w:p w14:paraId="01AD6E67">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43.4</w:t>
                  </w:r>
                </w:p>
              </w:tc>
              <w:tc>
                <w:tcPr>
                  <w:tcW w:w="488" w:type="pct"/>
                  <w:vAlign w:val="center"/>
                </w:tcPr>
                <w:p w14:paraId="6FBC6E20">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499" w:type="pct"/>
                  <w:vAlign w:val="center"/>
                </w:tcPr>
                <w:p w14:paraId="1C69C535">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773" w:type="dxa"/>
                  <w:vAlign w:val="center"/>
                </w:tcPr>
                <w:p w14:paraId="75A1B5F1">
                  <w:pPr>
                    <w:tabs>
                      <w:tab w:val="left" w:pos="6900"/>
                    </w:tabs>
                    <w:spacing w:line="240" w:lineRule="exact"/>
                    <w:jc w:val="center"/>
                    <w:rPr>
                      <w:rFonts w:hint="default" w:eastAsia="宋体"/>
                      <w:color w:val="auto"/>
                      <w:u w:val="none"/>
                      <w:lang w:val="en-US" w:eastAsia="zh-CN"/>
                    </w:rPr>
                  </w:pPr>
                  <w:r>
                    <w:rPr>
                      <w:rFonts w:hint="eastAsia" w:cs="Times New Roman"/>
                      <w:color w:val="auto"/>
                      <w:sz w:val="21"/>
                      <w:szCs w:val="21"/>
                      <w:u w:val="none"/>
                      <w:lang w:val="en-US" w:eastAsia="zh-CN"/>
                    </w:rPr>
                    <w:t>43.4</w:t>
                  </w:r>
                </w:p>
              </w:tc>
              <w:tc>
                <w:tcPr>
                  <w:tcW w:w="792" w:type="dxa"/>
                  <w:shd w:val="clear" w:color="auto" w:fill="auto"/>
                  <w:vAlign w:val="center"/>
                </w:tcPr>
                <w:p w14:paraId="2F03BB09">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43.4</w:t>
                  </w:r>
                </w:p>
              </w:tc>
              <w:tc>
                <w:tcPr>
                  <w:tcW w:w="473" w:type="pct"/>
                  <w:vAlign w:val="center"/>
                </w:tcPr>
                <w:p w14:paraId="3DEB0C59">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65</w:t>
                  </w:r>
                </w:p>
              </w:tc>
              <w:tc>
                <w:tcPr>
                  <w:tcW w:w="505" w:type="pct"/>
                  <w:vAlign w:val="center"/>
                </w:tcPr>
                <w:p w14:paraId="0CE2FBA5">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50</w:t>
                  </w:r>
                </w:p>
              </w:tc>
            </w:tr>
            <w:tr w14:paraId="4ED0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6" w:type="pct"/>
                  <w:vAlign w:val="center"/>
                </w:tcPr>
                <w:p w14:paraId="09B8F5FD">
                  <w:pPr>
                    <w:tabs>
                      <w:tab w:val="left" w:pos="6900"/>
                    </w:tabs>
                    <w:spacing w:line="240" w:lineRule="exact"/>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3</w:t>
                  </w:r>
                </w:p>
              </w:tc>
              <w:tc>
                <w:tcPr>
                  <w:tcW w:w="715" w:type="pct"/>
                  <w:vAlign w:val="center"/>
                </w:tcPr>
                <w:p w14:paraId="06C61BED">
                  <w:pPr>
                    <w:spacing w:line="240" w:lineRule="exact"/>
                    <w:jc w:val="center"/>
                    <w:outlineLvl w:val="9"/>
                    <w:rPr>
                      <w:rFonts w:hint="default" w:ascii="Times New Roman" w:hAnsi="Times New Roman" w:eastAsia="宋体" w:cs="Times New Roman"/>
                      <w:bCs/>
                      <w:color w:val="auto"/>
                      <w:kern w:val="2"/>
                      <w:sz w:val="21"/>
                      <w:szCs w:val="21"/>
                      <w:u w:val="none"/>
                      <w:lang w:val="en-US" w:eastAsia="zh-CN"/>
                    </w:rPr>
                  </w:pPr>
                  <w:r>
                    <w:rPr>
                      <w:rFonts w:hint="eastAsia" w:cs="Times New Roman"/>
                      <w:bCs/>
                      <w:color w:val="auto"/>
                      <w:kern w:val="2"/>
                      <w:sz w:val="21"/>
                      <w:szCs w:val="21"/>
                      <w:u w:val="none"/>
                      <w:lang w:val="en-US" w:eastAsia="zh-CN"/>
                    </w:rPr>
                    <w:t>厂界西面</w:t>
                  </w:r>
                </w:p>
              </w:tc>
              <w:tc>
                <w:tcPr>
                  <w:tcW w:w="495" w:type="pct"/>
                  <w:vAlign w:val="center"/>
                </w:tcPr>
                <w:p w14:paraId="3037739B">
                  <w:pPr>
                    <w:tabs>
                      <w:tab w:val="left" w:pos="6900"/>
                    </w:tabs>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43.0</w:t>
                  </w:r>
                </w:p>
              </w:tc>
              <w:tc>
                <w:tcPr>
                  <w:tcW w:w="846" w:type="dxa"/>
                  <w:shd w:val="clear" w:color="auto" w:fill="auto"/>
                  <w:vAlign w:val="center"/>
                </w:tcPr>
                <w:p w14:paraId="6D84E6FE">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43.0</w:t>
                  </w:r>
                </w:p>
              </w:tc>
              <w:tc>
                <w:tcPr>
                  <w:tcW w:w="488" w:type="pct"/>
                  <w:vAlign w:val="center"/>
                </w:tcPr>
                <w:p w14:paraId="0E96D966">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499" w:type="pct"/>
                  <w:vAlign w:val="center"/>
                </w:tcPr>
                <w:p w14:paraId="16941565">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773" w:type="dxa"/>
                  <w:vAlign w:val="center"/>
                </w:tcPr>
                <w:p w14:paraId="149BA5AF">
                  <w:pPr>
                    <w:tabs>
                      <w:tab w:val="left" w:pos="6900"/>
                    </w:tabs>
                    <w:spacing w:line="240" w:lineRule="exact"/>
                    <w:jc w:val="center"/>
                    <w:rPr>
                      <w:rFonts w:hint="default" w:eastAsia="宋体"/>
                      <w:color w:val="auto"/>
                      <w:u w:val="none"/>
                      <w:lang w:val="en-US" w:eastAsia="zh-CN"/>
                    </w:rPr>
                  </w:pPr>
                  <w:r>
                    <w:rPr>
                      <w:rFonts w:hint="eastAsia" w:cs="Times New Roman"/>
                      <w:color w:val="auto"/>
                      <w:sz w:val="21"/>
                      <w:szCs w:val="21"/>
                      <w:u w:val="none"/>
                      <w:lang w:val="en-US" w:eastAsia="zh-CN"/>
                    </w:rPr>
                    <w:t>43.0</w:t>
                  </w:r>
                </w:p>
              </w:tc>
              <w:tc>
                <w:tcPr>
                  <w:tcW w:w="792" w:type="dxa"/>
                  <w:shd w:val="clear" w:color="auto" w:fill="auto"/>
                  <w:vAlign w:val="center"/>
                </w:tcPr>
                <w:p w14:paraId="527179F6">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43.0</w:t>
                  </w:r>
                </w:p>
              </w:tc>
              <w:tc>
                <w:tcPr>
                  <w:tcW w:w="473" w:type="pct"/>
                  <w:vAlign w:val="center"/>
                </w:tcPr>
                <w:p w14:paraId="2FB73674">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70</w:t>
                  </w:r>
                </w:p>
              </w:tc>
              <w:tc>
                <w:tcPr>
                  <w:tcW w:w="505" w:type="pct"/>
                  <w:vAlign w:val="center"/>
                </w:tcPr>
                <w:p w14:paraId="64FE7FCD">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55</w:t>
                  </w:r>
                </w:p>
              </w:tc>
            </w:tr>
            <w:tr w14:paraId="7F4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6" w:type="pct"/>
                  <w:vAlign w:val="center"/>
                </w:tcPr>
                <w:p w14:paraId="199B7E96">
                  <w:pPr>
                    <w:tabs>
                      <w:tab w:val="left" w:pos="6900"/>
                    </w:tabs>
                    <w:spacing w:line="240" w:lineRule="exact"/>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4</w:t>
                  </w:r>
                </w:p>
              </w:tc>
              <w:tc>
                <w:tcPr>
                  <w:tcW w:w="715" w:type="pct"/>
                  <w:vAlign w:val="center"/>
                </w:tcPr>
                <w:p w14:paraId="6A8D3AF6">
                  <w:pPr>
                    <w:spacing w:line="240" w:lineRule="exact"/>
                    <w:jc w:val="center"/>
                    <w:outlineLvl w:val="9"/>
                    <w:rPr>
                      <w:rFonts w:hint="default" w:ascii="Times New Roman" w:hAnsi="Times New Roman" w:eastAsia="宋体" w:cs="Times New Roman"/>
                      <w:bCs/>
                      <w:color w:val="auto"/>
                      <w:kern w:val="2"/>
                      <w:sz w:val="21"/>
                      <w:szCs w:val="21"/>
                      <w:u w:val="none"/>
                      <w:lang w:val="en-US" w:eastAsia="zh-CN"/>
                    </w:rPr>
                  </w:pPr>
                  <w:r>
                    <w:rPr>
                      <w:rFonts w:hint="eastAsia" w:cs="Times New Roman"/>
                      <w:bCs/>
                      <w:color w:val="auto"/>
                      <w:kern w:val="2"/>
                      <w:sz w:val="21"/>
                      <w:szCs w:val="21"/>
                      <w:u w:val="none"/>
                      <w:lang w:val="en-US" w:eastAsia="zh-CN"/>
                    </w:rPr>
                    <w:t>厂界北面</w:t>
                  </w:r>
                </w:p>
              </w:tc>
              <w:tc>
                <w:tcPr>
                  <w:tcW w:w="495" w:type="pct"/>
                  <w:vAlign w:val="center"/>
                </w:tcPr>
                <w:p w14:paraId="3D0EDB3C">
                  <w:pPr>
                    <w:tabs>
                      <w:tab w:val="left" w:pos="6900"/>
                    </w:tabs>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30.0</w:t>
                  </w:r>
                </w:p>
              </w:tc>
              <w:tc>
                <w:tcPr>
                  <w:tcW w:w="846" w:type="dxa"/>
                  <w:shd w:val="clear" w:color="auto" w:fill="auto"/>
                  <w:vAlign w:val="center"/>
                </w:tcPr>
                <w:p w14:paraId="6889BDC6">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30.0</w:t>
                  </w:r>
                </w:p>
              </w:tc>
              <w:tc>
                <w:tcPr>
                  <w:tcW w:w="488" w:type="pct"/>
                  <w:vAlign w:val="center"/>
                </w:tcPr>
                <w:p w14:paraId="3E23B193">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499" w:type="pct"/>
                  <w:vAlign w:val="center"/>
                </w:tcPr>
                <w:p w14:paraId="2A20876A">
                  <w:pPr>
                    <w:jc w:val="center"/>
                    <w:rPr>
                      <w:rFonts w:hint="default" w:eastAsia="宋体"/>
                      <w:color w:val="auto"/>
                      <w:u w:val="none"/>
                      <w:lang w:val="en-US" w:eastAsia="zh-CN"/>
                    </w:rPr>
                  </w:pPr>
                  <w:r>
                    <w:rPr>
                      <w:rFonts w:hint="eastAsia" w:cs="Times New Roman"/>
                      <w:color w:val="auto"/>
                      <w:sz w:val="21"/>
                      <w:szCs w:val="21"/>
                      <w:u w:val="none"/>
                      <w:lang w:val="en-US" w:eastAsia="zh-CN"/>
                    </w:rPr>
                    <w:t>0</w:t>
                  </w:r>
                </w:p>
              </w:tc>
              <w:tc>
                <w:tcPr>
                  <w:tcW w:w="773" w:type="dxa"/>
                  <w:vAlign w:val="center"/>
                </w:tcPr>
                <w:p w14:paraId="332A1592">
                  <w:pPr>
                    <w:tabs>
                      <w:tab w:val="left" w:pos="6900"/>
                    </w:tabs>
                    <w:spacing w:line="240" w:lineRule="exact"/>
                    <w:jc w:val="center"/>
                    <w:rPr>
                      <w:rFonts w:hint="default" w:eastAsia="宋体"/>
                      <w:color w:val="auto"/>
                      <w:u w:val="none"/>
                      <w:lang w:val="en-US" w:eastAsia="zh-CN"/>
                    </w:rPr>
                  </w:pPr>
                  <w:r>
                    <w:rPr>
                      <w:rFonts w:hint="eastAsia" w:cs="Times New Roman"/>
                      <w:color w:val="auto"/>
                      <w:sz w:val="21"/>
                      <w:szCs w:val="21"/>
                      <w:u w:val="none"/>
                      <w:lang w:val="en-US" w:eastAsia="zh-CN"/>
                    </w:rPr>
                    <w:t>30.0</w:t>
                  </w:r>
                </w:p>
              </w:tc>
              <w:tc>
                <w:tcPr>
                  <w:tcW w:w="792" w:type="dxa"/>
                  <w:shd w:val="clear" w:color="auto" w:fill="auto"/>
                  <w:vAlign w:val="center"/>
                </w:tcPr>
                <w:p w14:paraId="56BE2307">
                  <w:pPr>
                    <w:tabs>
                      <w:tab w:val="left" w:pos="6900"/>
                    </w:tabs>
                    <w:spacing w:line="240" w:lineRule="exact"/>
                    <w:jc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30.0</w:t>
                  </w:r>
                </w:p>
              </w:tc>
              <w:tc>
                <w:tcPr>
                  <w:tcW w:w="473" w:type="pct"/>
                  <w:vAlign w:val="center"/>
                </w:tcPr>
                <w:p w14:paraId="6B6CB7D7">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65</w:t>
                  </w:r>
                </w:p>
              </w:tc>
              <w:tc>
                <w:tcPr>
                  <w:tcW w:w="505" w:type="pct"/>
                  <w:vAlign w:val="center"/>
                </w:tcPr>
                <w:p w14:paraId="30F07E07">
                  <w:pPr>
                    <w:spacing w:line="240" w:lineRule="exact"/>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50</w:t>
                  </w:r>
                </w:p>
              </w:tc>
            </w:tr>
          </w:tbl>
          <w:p w14:paraId="7F9020D5">
            <w:pPr>
              <w:pStyle w:val="15"/>
              <w:ind w:left="0" w:leftChars="0" w:firstLine="0" w:firstLineChars="0"/>
              <w:jc w:val="center"/>
              <w:rPr>
                <w:rFonts w:hint="default"/>
                <w:lang w:val="en-US" w:eastAsia="zh-CN"/>
              </w:rPr>
            </w:pPr>
            <w:r>
              <w:rPr>
                <w:rFonts w:hint="default"/>
                <w:lang w:val="en-US" w:eastAsia="zh-CN"/>
              </w:rPr>
              <w:drawing>
                <wp:inline distT="0" distB="0" distL="114300" distR="114300">
                  <wp:extent cx="4956810" cy="3608070"/>
                  <wp:effectExtent l="0" t="0" r="15240" b="11430"/>
                  <wp:docPr id="7" name="图片 7" descr="269a3822767180d666af2a09fa37d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9a3822767180d666af2a09fa37d132"/>
                          <pic:cNvPicPr>
                            <a:picLocks noChangeAspect="1"/>
                          </pic:cNvPicPr>
                        </pic:nvPicPr>
                        <pic:blipFill>
                          <a:blip r:embed="rId20"/>
                          <a:stretch>
                            <a:fillRect/>
                          </a:stretch>
                        </pic:blipFill>
                        <pic:spPr>
                          <a:xfrm>
                            <a:off x="0" y="0"/>
                            <a:ext cx="4956810" cy="3608070"/>
                          </a:xfrm>
                          <a:prstGeom prst="rect">
                            <a:avLst/>
                          </a:prstGeom>
                        </pic:spPr>
                      </pic:pic>
                    </a:graphicData>
                  </a:graphic>
                </wp:inline>
              </w:drawing>
            </w:r>
          </w:p>
          <w:p w14:paraId="4CE2E614">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bCs/>
                <w:sz w:val="24"/>
                <w:szCs w:val="24"/>
                <w:lang w:val="en-US" w:eastAsia="zh-CN"/>
              </w:rPr>
            </w:pPr>
            <w:r>
              <w:rPr>
                <w:rFonts w:hint="eastAsia"/>
                <w:b/>
                <w:bCs/>
                <w:sz w:val="24"/>
                <w:szCs w:val="24"/>
                <w:lang w:val="en-US" w:eastAsia="zh-CN"/>
              </w:rPr>
              <w:t>图4-1 项目噪声预测结果图</w:t>
            </w:r>
          </w:p>
          <w:p w14:paraId="0597C9E3">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default"/>
                <w:sz w:val="24"/>
                <w:szCs w:val="24"/>
                <w:lang w:val="en-US" w:eastAsia="zh-CN"/>
              </w:rPr>
              <w:t>根据上表可得出，本项目采取相应的噪声防治措施后产生的噪声均能得到合理有效地控制，厂界北面、南面噪声可达到《工业企业厂界环境噪声排放标准》（GB12348-20</w:t>
            </w:r>
            <w:r>
              <w:rPr>
                <w:rFonts w:hint="eastAsia"/>
                <w:sz w:val="24"/>
                <w:szCs w:val="24"/>
                <w:lang w:val="en-US" w:eastAsia="zh-CN"/>
              </w:rPr>
              <w:t>0</w:t>
            </w:r>
            <w:r>
              <w:rPr>
                <w:rFonts w:hint="default"/>
                <w:sz w:val="24"/>
                <w:szCs w:val="24"/>
                <w:lang w:val="en-US" w:eastAsia="zh-CN"/>
              </w:rPr>
              <w:t>8）</w:t>
            </w:r>
            <w:r>
              <w:rPr>
                <w:rFonts w:hint="eastAsia"/>
                <w:sz w:val="24"/>
                <w:szCs w:val="24"/>
                <w:lang w:val="en-US" w:eastAsia="zh-CN"/>
              </w:rPr>
              <w:t>3</w:t>
            </w:r>
            <w:r>
              <w:rPr>
                <w:rFonts w:hint="default"/>
                <w:sz w:val="24"/>
                <w:szCs w:val="24"/>
                <w:lang w:val="en-US" w:eastAsia="zh-CN"/>
              </w:rPr>
              <w:t>类标准，</w:t>
            </w:r>
            <w:r>
              <w:rPr>
                <w:rFonts w:hint="eastAsia"/>
                <w:sz w:val="24"/>
                <w:szCs w:val="24"/>
                <w:lang w:val="en-US" w:eastAsia="zh-CN"/>
              </w:rPr>
              <w:t>邻近二级公路的</w:t>
            </w:r>
            <w:r>
              <w:rPr>
                <w:rFonts w:hint="default"/>
                <w:sz w:val="24"/>
                <w:szCs w:val="24"/>
                <w:lang w:val="en-US" w:eastAsia="zh-CN"/>
              </w:rPr>
              <w:t>厂界</w:t>
            </w:r>
            <w:r>
              <w:rPr>
                <w:rFonts w:hint="eastAsia"/>
                <w:sz w:val="24"/>
                <w:szCs w:val="24"/>
                <w:lang w:val="en-US" w:eastAsia="zh-CN"/>
              </w:rPr>
              <w:t>西</w:t>
            </w:r>
            <w:r>
              <w:rPr>
                <w:rFonts w:hint="default"/>
                <w:sz w:val="24"/>
                <w:szCs w:val="24"/>
                <w:lang w:val="en-US" w:eastAsia="zh-CN"/>
              </w:rPr>
              <w:t>面、</w:t>
            </w:r>
            <w:r>
              <w:rPr>
                <w:rFonts w:hint="eastAsia"/>
                <w:sz w:val="24"/>
                <w:szCs w:val="24"/>
                <w:lang w:val="en-US" w:eastAsia="zh-CN"/>
              </w:rPr>
              <w:t>东</w:t>
            </w:r>
            <w:r>
              <w:rPr>
                <w:rFonts w:hint="default"/>
                <w:sz w:val="24"/>
                <w:szCs w:val="24"/>
                <w:lang w:val="en-US" w:eastAsia="zh-CN"/>
              </w:rPr>
              <w:t>面噪声可达到《工业企业厂界环境噪声排放标准》（GB12348-2018）中4类标准</w:t>
            </w:r>
            <w:r>
              <w:rPr>
                <w:rFonts w:hint="eastAsia"/>
                <w:sz w:val="24"/>
                <w:szCs w:val="24"/>
                <w:lang w:val="en-US" w:eastAsia="zh-CN"/>
              </w:rPr>
              <w:t>。</w:t>
            </w:r>
          </w:p>
          <w:p w14:paraId="1399C722">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3、噪声监测要求</w:t>
            </w:r>
          </w:p>
          <w:p w14:paraId="020BE631">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根据《排污单位自行监测技术指南 总则》（HJ819-2017）、《排污许可证申请与核发技术规范 工业噪声》（HJ1301-2023）中相关要求，本项目噪声污染源监测计划详见下表4-10。</w:t>
            </w:r>
          </w:p>
          <w:p w14:paraId="65DB3B22">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表4-10 项目噪声监测计划一览表</w:t>
            </w:r>
          </w:p>
          <w:tbl>
            <w:tblPr>
              <w:tblStyle w:val="16"/>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832"/>
              <w:gridCol w:w="1195"/>
              <w:gridCol w:w="3193"/>
            </w:tblGrid>
            <w:tr w14:paraId="7036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777" w:type="dxa"/>
                  <w:vAlign w:val="center"/>
                </w:tcPr>
                <w:p w14:paraId="6C9038A6">
                  <w:pPr>
                    <w:adjustRightInd w:val="0"/>
                    <w:snapToGrid w:val="0"/>
                    <w:spacing w:line="2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监测点位</w:t>
                  </w:r>
                </w:p>
              </w:tc>
              <w:tc>
                <w:tcPr>
                  <w:tcW w:w="1832" w:type="dxa"/>
                  <w:vAlign w:val="center"/>
                </w:tcPr>
                <w:p w14:paraId="4541E30F">
                  <w:pPr>
                    <w:adjustRightInd w:val="0"/>
                    <w:snapToGrid w:val="0"/>
                    <w:spacing w:line="2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监测指标</w:t>
                  </w:r>
                </w:p>
              </w:tc>
              <w:tc>
                <w:tcPr>
                  <w:tcW w:w="1195" w:type="dxa"/>
                  <w:vAlign w:val="center"/>
                </w:tcPr>
                <w:p w14:paraId="1C218978">
                  <w:pPr>
                    <w:adjustRightInd w:val="0"/>
                    <w:snapToGrid w:val="0"/>
                    <w:spacing w:line="2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监测频次</w:t>
                  </w:r>
                </w:p>
              </w:tc>
              <w:tc>
                <w:tcPr>
                  <w:tcW w:w="3193" w:type="dxa"/>
                  <w:vAlign w:val="center"/>
                </w:tcPr>
                <w:p w14:paraId="06D7523C">
                  <w:pPr>
                    <w:adjustRightInd w:val="0"/>
                    <w:snapToGrid w:val="0"/>
                    <w:spacing w:line="2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排放标准</w:t>
                  </w:r>
                </w:p>
              </w:tc>
            </w:tr>
            <w:tr w14:paraId="2A17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1777" w:type="dxa"/>
                  <w:vAlign w:val="center"/>
                </w:tcPr>
                <w:p w14:paraId="07063DF1">
                  <w:pPr>
                    <w:widowControl w:val="0"/>
                    <w:spacing w:line="24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rPr>
                    <w:t>厂界</w:t>
                  </w:r>
                  <w:r>
                    <w:rPr>
                      <w:rFonts w:hint="eastAsia" w:cs="Times New Roman"/>
                      <w:color w:val="auto"/>
                      <w:kern w:val="2"/>
                      <w:sz w:val="21"/>
                      <w:szCs w:val="21"/>
                      <w:lang w:val="en-US" w:eastAsia="zh-CN"/>
                    </w:rPr>
                    <w:t>北</w:t>
                  </w:r>
                  <w:r>
                    <w:rPr>
                      <w:rFonts w:ascii="Times New Roman" w:hAnsi="Times New Roman" w:cs="Times New Roman"/>
                      <w:color w:val="auto"/>
                      <w:kern w:val="2"/>
                      <w:sz w:val="21"/>
                      <w:szCs w:val="21"/>
                    </w:rPr>
                    <w:t>面</w:t>
                  </w:r>
                  <w:r>
                    <w:rPr>
                      <w:rFonts w:hint="eastAsia" w:ascii="Times New Roman" w:hAnsi="Times New Roman" w:cs="Times New Roman"/>
                      <w:color w:val="auto"/>
                      <w:kern w:val="2"/>
                      <w:sz w:val="21"/>
                      <w:szCs w:val="21"/>
                    </w:rPr>
                    <w:t>1m处</w:t>
                  </w:r>
                </w:p>
              </w:tc>
              <w:tc>
                <w:tcPr>
                  <w:tcW w:w="1832" w:type="dxa"/>
                  <w:vMerge w:val="restart"/>
                  <w:vAlign w:val="center"/>
                </w:tcPr>
                <w:p w14:paraId="7F025B6A">
                  <w:pPr>
                    <w:adjustRightInd w:val="0"/>
                    <w:snapToGrid w:val="0"/>
                    <w:spacing w:line="24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等效连续A声级</w:t>
                  </w:r>
                </w:p>
              </w:tc>
              <w:tc>
                <w:tcPr>
                  <w:tcW w:w="1195" w:type="dxa"/>
                  <w:vMerge w:val="restart"/>
                  <w:vAlign w:val="center"/>
                </w:tcPr>
                <w:p w14:paraId="224F6BE1">
                  <w:pPr>
                    <w:adjustRightInd w:val="0"/>
                    <w:snapToGrid w:val="0"/>
                    <w:spacing w:line="240" w:lineRule="exact"/>
                    <w:jc w:val="center"/>
                    <w:rPr>
                      <w:rFonts w:hint="eastAsia"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1次/</w:t>
                  </w:r>
                  <w:r>
                    <w:rPr>
                      <w:rFonts w:hint="eastAsia" w:cs="Times New Roman"/>
                      <w:color w:val="auto"/>
                      <w:sz w:val="21"/>
                      <w:szCs w:val="21"/>
                      <w:lang w:val="en-US" w:eastAsia="zh-CN"/>
                    </w:rPr>
                    <w:t>季</w:t>
                  </w:r>
                </w:p>
              </w:tc>
              <w:tc>
                <w:tcPr>
                  <w:tcW w:w="3193" w:type="dxa"/>
                  <w:vMerge w:val="restart"/>
                  <w:vAlign w:val="center"/>
                </w:tcPr>
                <w:p w14:paraId="1BED21CA">
                  <w:pPr>
                    <w:adjustRightInd w:val="0"/>
                    <w:snapToGrid w:val="0"/>
                    <w:spacing w:line="240" w:lineRule="exact"/>
                    <w:jc w:val="center"/>
                    <w:rPr>
                      <w:rFonts w:ascii="Times New Roman" w:hAnsi="Times New Roman" w:cs="Times New Roman"/>
                      <w:color w:val="auto"/>
                      <w:spacing w:val="10"/>
                      <w:sz w:val="21"/>
                      <w:szCs w:val="21"/>
                    </w:rPr>
                  </w:pPr>
                  <w:r>
                    <w:rPr>
                      <w:rFonts w:ascii="Times New Roman" w:hAnsi="Times New Roman" w:cs="Times New Roman"/>
                      <w:color w:val="auto"/>
                      <w:kern w:val="2"/>
                      <w:sz w:val="21"/>
                      <w:szCs w:val="21"/>
                    </w:rPr>
                    <w:t>《工业企业厂界环境噪声排放标准》（GB12348-2008）</w:t>
                  </w:r>
                  <w:r>
                    <w:rPr>
                      <w:rFonts w:hint="eastAsia" w:cs="Times New Roman"/>
                      <w:color w:val="auto"/>
                      <w:kern w:val="2"/>
                      <w:sz w:val="21"/>
                      <w:szCs w:val="21"/>
                      <w:lang w:val="en-US" w:eastAsia="zh-CN"/>
                    </w:rPr>
                    <w:t>3</w:t>
                  </w:r>
                  <w:r>
                    <w:rPr>
                      <w:rFonts w:hint="eastAsia" w:ascii="Times New Roman" w:hAnsi="Times New Roman" w:cs="Times New Roman"/>
                      <w:color w:val="auto"/>
                      <w:kern w:val="2"/>
                      <w:sz w:val="21"/>
                      <w:szCs w:val="21"/>
                      <w:lang w:val="en-US" w:eastAsia="zh-CN"/>
                    </w:rPr>
                    <w:t>类、4类</w:t>
                  </w:r>
                  <w:r>
                    <w:rPr>
                      <w:rFonts w:hint="eastAsia" w:ascii="Times New Roman" w:hAnsi="Times New Roman" w:cs="Times New Roman"/>
                      <w:color w:val="auto"/>
                      <w:kern w:val="2"/>
                      <w:sz w:val="21"/>
                      <w:szCs w:val="21"/>
                    </w:rPr>
                    <w:t>标准</w:t>
                  </w:r>
                </w:p>
              </w:tc>
            </w:tr>
            <w:tr w14:paraId="53E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777" w:type="dxa"/>
                  <w:vAlign w:val="center"/>
                </w:tcPr>
                <w:p w14:paraId="5A135ED2">
                  <w:pPr>
                    <w:widowControl w:val="0"/>
                    <w:spacing w:line="24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rPr>
                    <w:t>厂界南面</w:t>
                  </w:r>
                  <w:r>
                    <w:rPr>
                      <w:rFonts w:hint="eastAsia" w:ascii="Times New Roman" w:hAnsi="Times New Roman" w:cs="Times New Roman"/>
                      <w:color w:val="auto"/>
                      <w:kern w:val="2"/>
                      <w:sz w:val="21"/>
                      <w:szCs w:val="21"/>
                    </w:rPr>
                    <w:t>1m处</w:t>
                  </w:r>
                </w:p>
              </w:tc>
              <w:tc>
                <w:tcPr>
                  <w:tcW w:w="1832" w:type="dxa"/>
                  <w:vMerge w:val="continue"/>
                  <w:vAlign w:val="center"/>
                </w:tcPr>
                <w:p w14:paraId="6C528894">
                  <w:pPr>
                    <w:adjustRightInd w:val="0"/>
                    <w:snapToGrid w:val="0"/>
                    <w:spacing w:line="240" w:lineRule="exact"/>
                    <w:jc w:val="center"/>
                    <w:rPr>
                      <w:rFonts w:ascii="Times New Roman" w:hAnsi="Times New Roman" w:cs="Times New Roman"/>
                      <w:color w:val="auto"/>
                      <w:sz w:val="21"/>
                      <w:szCs w:val="21"/>
                    </w:rPr>
                  </w:pPr>
                </w:p>
              </w:tc>
              <w:tc>
                <w:tcPr>
                  <w:tcW w:w="1195" w:type="dxa"/>
                  <w:vMerge w:val="continue"/>
                  <w:vAlign w:val="center"/>
                </w:tcPr>
                <w:p w14:paraId="7E433B95">
                  <w:pPr>
                    <w:adjustRightInd w:val="0"/>
                    <w:snapToGrid w:val="0"/>
                    <w:spacing w:line="240" w:lineRule="exact"/>
                    <w:jc w:val="center"/>
                    <w:rPr>
                      <w:rFonts w:ascii="Times New Roman" w:hAnsi="Times New Roman" w:cs="Times New Roman"/>
                      <w:color w:val="auto"/>
                      <w:sz w:val="21"/>
                      <w:szCs w:val="21"/>
                    </w:rPr>
                  </w:pPr>
                </w:p>
              </w:tc>
              <w:tc>
                <w:tcPr>
                  <w:tcW w:w="3193" w:type="dxa"/>
                  <w:vMerge w:val="continue"/>
                  <w:vAlign w:val="center"/>
                </w:tcPr>
                <w:p w14:paraId="7EB184C7">
                  <w:pPr>
                    <w:adjustRightInd w:val="0"/>
                    <w:snapToGrid w:val="0"/>
                    <w:spacing w:line="240" w:lineRule="exact"/>
                    <w:jc w:val="center"/>
                    <w:rPr>
                      <w:rFonts w:ascii="Times New Roman" w:hAnsi="Times New Roman" w:cs="Times New Roman"/>
                      <w:color w:val="auto"/>
                      <w:kern w:val="2"/>
                      <w:sz w:val="21"/>
                      <w:szCs w:val="21"/>
                    </w:rPr>
                  </w:pPr>
                </w:p>
              </w:tc>
            </w:tr>
            <w:tr w14:paraId="41E2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1777" w:type="dxa"/>
                  <w:vAlign w:val="center"/>
                </w:tcPr>
                <w:p w14:paraId="031B31E2">
                  <w:pPr>
                    <w:widowControl w:val="0"/>
                    <w:spacing w:line="24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rPr>
                    <w:t>厂界西面</w:t>
                  </w:r>
                  <w:r>
                    <w:rPr>
                      <w:rFonts w:hint="eastAsia" w:ascii="Times New Roman" w:hAnsi="Times New Roman" w:cs="Times New Roman"/>
                      <w:color w:val="auto"/>
                      <w:kern w:val="2"/>
                      <w:sz w:val="21"/>
                      <w:szCs w:val="21"/>
                    </w:rPr>
                    <w:t>1m处</w:t>
                  </w:r>
                </w:p>
              </w:tc>
              <w:tc>
                <w:tcPr>
                  <w:tcW w:w="1832" w:type="dxa"/>
                  <w:vMerge w:val="continue"/>
                  <w:vAlign w:val="center"/>
                </w:tcPr>
                <w:p w14:paraId="2F3F255C">
                  <w:pPr>
                    <w:adjustRightInd w:val="0"/>
                    <w:snapToGrid w:val="0"/>
                    <w:spacing w:line="240" w:lineRule="exact"/>
                    <w:jc w:val="center"/>
                    <w:rPr>
                      <w:rFonts w:ascii="Times New Roman" w:hAnsi="Times New Roman" w:cs="Times New Roman"/>
                      <w:color w:val="auto"/>
                      <w:sz w:val="21"/>
                      <w:szCs w:val="21"/>
                    </w:rPr>
                  </w:pPr>
                </w:p>
              </w:tc>
              <w:tc>
                <w:tcPr>
                  <w:tcW w:w="1195" w:type="dxa"/>
                  <w:vMerge w:val="continue"/>
                  <w:vAlign w:val="center"/>
                </w:tcPr>
                <w:p w14:paraId="1437EC56">
                  <w:pPr>
                    <w:adjustRightInd w:val="0"/>
                    <w:snapToGrid w:val="0"/>
                    <w:spacing w:line="240" w:lineRule="exact"/>
                    <w:jc w:val="center"/>
                    <w:rPr>
                      <w:rFonts w:ascii="Times New Roman" w:hAnsi="Times New Roman" w:cs="Times New Roman"/>
                      <w:color w:val="auto"/>
                      <w:sz w:val="21"/>
                      <w:szCs w:val="21"/>
                    </w:rPr>
                  </w:pPr>
                </w:p>
              </w:tc>
              <w:tc>
                <w:tcPr>
                  <w:tcW w:w="3193" w:type="dxa"/>
                  <w:vMerge w:val="restart"/>
                  <w:vAlign w:val="center"/>
                </w:tcPr>
                <w:p w14:paraId="773D944E">
                  <w:pPr>
                    <w:adjustRightInd w:val="0"/>
                    <w:snapToGrid w:val="0"/>
                    <w:spacing w:line="240" w:lineRule="exact"/>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《工业企业厂界环境噪声排放标准》（GB12348-2008）</w:t>
                  </w:r>
                  <w:r>
                    <w:rPr>
                      <w:rFonts w:hint="eastAsia" w:ascii="Times New Roman" w:hAnsi="Times New Roman" w:cs="Times New Roman"/>
                      <w:color w:val="auto"/>
                      <w:kern w:val="2"/>
                      <w:sz w:val="21"/>
                      <w:szCs w:val="21"/>
                      <w:lang w:val="en-US" w:eastAsia="zh-CN"/>
                    </w:rPr>
                    <w:t>4类</w:t>
                  </w:r>
                  <w:r>
                    <w:rPr>
                      <w:rFonts w:hint="eastAsia" w:ascii="Times New Roman" w:hAnsi="Times New Roman" w:cs="Times New Roman"/>
                      <w:color w:val="auto"/>
                      <w:kern w:val="2"/>
                      <w:sz w:val="21"/>
                      <w:szCs w:val="21"/>
                    </w:rPr>
                    <w:t>标准</w:t>
                  </w:r>
                </w:p>
              </w:tc>
            </w:tr>
            <w:tr w14:paraId="3277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1777" w:type="dxa"/>
                  <w:vAlign w:val="center"/>
                </w:tcPr>
                <w:p w14:paraId="42E8F61C">
                  <w:pPr>
                    <w:widowControl w:val="0"/>
                    <w:spacing w:line="240" w:lineRule="exact"/>
                    <w:jc w:val="center"/>
                    <w:rPr>
                      <w:rFonts w:ascii="Times New Roman" w:hAnsi="Times New Roman" w:cs="Times New Roman"/>
                      <w:color w:val="auto"/>
                      <w:sz w:val="21"/>
                      <w:szCs w:val="21"/>
                    </w:rPr>
                  </w:pPr>
                  <w:r>
                    <w:rPr>
                      <w:rFonts w:ascii="Times New Roman" w:hAnsi="Times New Roman" w:cs="Times New Roman"/>
                      <w:color w:val="auto"/>
                      <w:kern w:val="2"/>
                      <w:sz w:val="21"/>
                      <w:szCs w:val="21"/>
                    </w:rPr>
                    <w:t>厂界</w:t>
                  </w:r>
                  <w:r>
                    <w:rPr>
                      <w:rFonts w:hint="eastAsia" w:cs="Times New Roman"/>
                      <w:color w:val="auto"/>
                      <w:kern w:val="2"/>
                      <w:sz w:val="21"/>
                      <w:szCs w:val="21"/>
                      <w:lang w:val="en-US" w:eastAsia="zh-CN"/>
                    </w:rPr>
                    <w:t>东</w:t>
                  </w:r>
                  <w:r>
                    <w:rPr>
                      <w:rFonts w:ascii="Times New Roman" w:hAnsi="Times New Roman" w:cs="Times New Roman"/>
                      <w:color w:val="auto"/>
                      <w:kern w:val="2"/>
                      <w:sz w:val="21"/>
                      <w:szCs w:val="21"/>
                    </w:rPr>
                    <w:t>面</w:t>
                  </w:r>
                  <w:r>
                    <w:rPr>
                      <w:rFonts w:hint="eastAsia" w:ascii="Times New Roman" w:hAnsi="Times New Roman" w:cs="Times New Roman"/>
                      <w:color w:val="auto"/>
                      <w:kern w:val="2"/>
                      <w:sz w:val="21"/>
                      <w:szCs w:val="21"/>
                    </w:rPr>
                    <w:t>1m处</w:t>
                  </w:r>
                </w:p>
              </w:tc>
              <w:tc>
                <w:tcPr>
                  <w:tcW w:w="1832" w:type="dxa"/>
                  <w:vMerge w:val="continue"/>
                  <w:vAlign w:val="center"/>
                </w:tcPr>
                <w:p w14:paraId="51947A5B">
                  <w:pPr>
                    <w:adjustRightInd w:val="0"/>
                    <w:snapToGrid w:val="0"/>
                    <w:spacing w:line="240" w:lineRule="exact"/>
                    <w:jc w:val="center"/>
                    <w:rPr>
                      <w:rFonts w:ascii="Times New Roman" w:hAnsi="Times New Roman" w:cs="Times New Roman"/>
                      <w:color w:val="auto"/>
                      <w:sz w:val="21"/>
                      <w:szCs w:val="21"/>
                    </w:rPr>
                  </w:pPr>
                </w:p>
              </w:tc>
              <w:tc>
                <w:tcPr>
                  <w:tcW w:w="1195" w:type="dxa"/>
                  <w:vMerge w:val="continue"/>
                  <w:vAlign w:val="center"/>
                </w:tcPr>
                <w:p w14:paraId="12AD8A77">
                  <w:pPr>
                    <w:adjustRightInd w:val="0"/>
                    <w:snapToGrid w:val="0"/>
                    <w:spacing w:line="240" w:lineRule="exact"/>
                    <w:jc w:val="center"/>
                    <w:rPr>
                      <w:rFonts w:ascii="Times New Roman" w:hAnsi="Times New Roman" w:cs="Times New Roman"/>
                      <w:color w:val="auto"/>
                      <w:sz w:val="21"/>
                      <w:szCs w:val="21"/>
                    </w:rPr>
                  </w:pPr>
                </w:p>
              </w:tc>
              <w:tc>
                <w:tcPr>
                  <w:tcW w:w="3193" w:type="dxa"/>
                  <w:vMerge w:val="continue"/>
                  <w:vAlign w:val="center"/>
                </w:tcPr>
                <w:p w14:paraId="3921AF25">
                  <w:pPr>
                    <w:adjustRightInd w:val="0"/>
                    <w:snapToGrid w:val="0"/>
                    <w:spacing w:line="240" w:lineRule="exact"/>
                    <w:jc w:val="center"/>
                    <w:rPr>
                      <w:rFonts w:ascii="Times New Roman" w:hAnsi="Times New Roman" w:cs="Times New Roman"/>
                      <w:color w:val="auto"/>
                      <w:kern w:val="2"/>
                      <w:sz w:val="21"/>
                      <w:szCs w:val="21"/>
                    </w:rPr>
                  </w:pPr>
                </w:p>
              </w:tc>
            </w:tr>
          </w:tbl>
          <w:p w14:paraId="34F333ED">
            <w:pPr>
              <w:pStyle w:val="15"/>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0" w:firstLineChars="0"/>
              <w:textAlignment w:val="auto"/>
              <w:rPr>
                <w:rFonts w:hint="default"/>
                <w:lang w:val="en-US" w:eastAsia="zh-CN"/>
              </w:rPr>
            </w:pPr>
            <w:r>
              <w:rPr>
                <w:rFonts w:hint="eastAsia"/>
                <w:b/>
                <w:bCs/>
                <w:sz w:val="24"/>
                <w:szCs w:val="24"/>
                <w:lang w:val="en-US" w:eastAsia="zh-CN"/>
              </w:rPr>
              <w:t>固体废物</w:t>
            </w:r>
          </w:p>
          <w:p w14:paraId="21162116">
            <w:pPr>
              <w:pStyle w:val="14"/>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left="0" w:leftChars="0" w:firstLine="482" w:firstLineChars="200"/>
              <w:textAlignment w:val="auto"/>
              <w:rPr>
                <w:rFonts w:hint="eastAsia"/>
                <w:b/>
                <w:bCs/>
                <w:sz w:val="24"/>
                <w:szCs w:val="24"/>
                <w:lang w:val="en-US" w:eastAsia="zh-CN"/>
              </w:rPr>
            </w:pPr>
            <w:r>
              <w:rPr>
                <w:rFonts w:hint="eastAsia"/>
                <w:b/>
                <w:bCs/>
                <w:sz w:val="24"/>
                <w:szCs w:val="24"/>
                <w:lang w:val="en-US" w:eastAsia="zh-CN"/>
              </w:rPr>
              <w:t>固体废物产生情况</w:t>
            </w:r>
          </w:p>
          <w:p w14:paraId="3AB67A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本项目产生的固体废物主要为</w:t>
            </w:r>
            <w:r>
              <w:rPr>
                <w:rFonts w:hint="eastAsia" w:cs="Times New Roman"/>
                <w:color w:val="000000"/>
                <w:kern w:val="0"/>
                <w:sz w:val="24"/>
                <w:szCs w:val="24"/>
                <w:lang w:val="en-US" w:eastAsia="zh-CN" w:bidi="ar"/>
              </w:rPr>
              <w:t>废布袋</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化粪池</w:t>
            </w:r>
            <w:r>
              <w:rPr>
                <w:rFonts w:hint="default" w:ascii="Times New Roman" w:hAnsi="Times New Roman" w:eastAsia="宋体" w:cs="Times New Roman"/>
                <w:color w:val="000000"/>
                <w:kern w:val="0"/>
                <w:sz w:val="24"/>
                <w:szCs w:val="24"/>
                <w:lang w:val="en-US" w:eastAsia="zh-CN" w:bidi="ar"/>
              </w:rPr>
              <w:t>污泥</w:t>
            </w:r>
            <w:r>
              <w:rPr>
                <w:rFonts w:hint="eastAsia" w:cs="Times New Roman"/>
                <w:color w:val="000000"/>
                <w:kern w:val="0"/>
                <w:sz w:val="24"/>
                <w:szCs w:val="24"/>
                <w:lang w:val="en-US" w:eastAsia="zh-CN" w:bidi="ar"/>
              </w:rPr>
              <w:t>、沉淀池沉渣、</w:t>
            </w:r>
            <w:r>
              <w:rPr>
                <w:rFonts w:hint="default" w:ascii="Times New Roman" w:hAnsi="Times New Roman" w:eastAsia="宋体" w:cs="Times New Roman"/>
                <w:color w:val="000000"/>
                <w:kern w:val="0"/>
                <w:sz w:val="24"/>
                <w:szCs w:val="24"/>
                <w:lang w:val="en-US" w:eastAsia="zh-CN" w:bidi="ar"/>
              </w:rPr>
              <w:t>废</w:t>
            </w:r>
            <w:r>
              <w:rPr>
                <w:rFonts w:hint="eastAsia" w:cs="Times New Roman"/>
                <w:color w:val="000000"/>
                <w:kern w:val="0"/>
                <w:sz w:val="24"/>
                <w:szCs w:val="24"/>
                <w:lang w:val="en-US" w:eastAsia="zh-CN" w:bidi="ar"/>
              </w:rPr>
              <w:t>机油、废润滑油</w:t>
            </w:r>
            <w:r>
              <w:rPr>
                <w:rFonts w:hint="default" w:ascii="Times New Roman" w:hAnsi="Times New Roman" w:eastAsia="宋体" w:cs="Times New Roman"/>
                <w:color w:val="000000"/>
                <w:kern w:val="0"/>
                <w:sz w:val="24"/>
                <w:szCs w:val="24"/>
                <w:lang w:val="en-US" w:eastAsia="zh-CN" w:bidi="ar"/>
              </w:rPr>
              <w:t>、废油桶、生活垃圾</w:t>
            </w:r>
            <w:r>
              <w:rPr>
                <w:rFonts w:hint="eastAsia" w:cs="Times New Roman"/>
                <w:color w:val="000000"/>
                <w:kern w:val="0"/>
                <w:sz w:val="24"/>
                <w:szCs w:val="24"/>
                <w:lang w:val="en-US" w:eastAsia="zh-CN" w:bidi="ar"/>
              </w:rPr>
              <w:t>等</w:t>
            </w:r>
            <w:r>
              <w:rPr>
                <w:rFonts w:hint="default" w:ascii="Times New Roman" w:hAnsi="Times New Roman" w:eastAsia="宋体" w:cs="Times New Roman"/>
                <w:color w:val="000000"/>
                <w:kern w:val="0"/>
                <w:sz w:val="24"/>
                <w:szCs w:val="24"/>
                <w:lang w:val="en-US" w:eastAsia="zh-CN" w:bidi="ar"/>
              </w:rPr>
              <w:t>。根据《国家危险废物名录</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2025年版</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部令第36号</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、《危险废物鉴别标准 通则》</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GB5085.7-2019</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和《危险废物鉴别技术规范》</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HJ298-2019</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，本项目产生的</w:t>
            </w:r>
            <w:r>
              <w:rPr>
                <w:rFonts w:hint="eastAsia" w:cs="Times New Roman"/>
                <w:color w:val="000000"/>
                <w:kern w:val="0"/>
                <w:sz w:val="24"/>
                <w:szCs w:val="24"/>
                <w:lang w:val="en-US" w:eastAsia="zh-CN" w:bidi="ar"/>
              </w:rPr>
              <w:t>废布袋</w:t>
            </w:r>
            <w:r>
              <w:rPr>
                <w:rFonts w:hint="default" w:ascii="Times New Roman" w:hAnsi="Times New Roman" w:eastAsia="宋体" w:cs="Times New Roman"/>
                <w:color w:val="000000"/>
                <w:kern w:val="0"/>
                <w:sz w:val="24"/>
                <w:szCs w:val="24"/>
                <w:lang w:val="en-US" w:eastAsia="zh-CN" w:bidi="ar"/>
              </w:rPr>
              <w:t>、废润滑油</w:t>
            </w:r>
            <w:r>
              <w:rPr>
                <w:rFonts w:hint="eastAsia" w:cs="Times New Roman"/>
                <w:color w:val="000000"/>
                <w:kern w:val="0"/>
                <w:sz w:val="24"/>
                <w:szCs w:val="24"/>
                <w:lang w:val="en-US" w:eastAsia="zh-CN" w:bidi="ar"/>
              </w:rPr>
              <w:t>、废机油</w:t>
            </w:r>
            <w:r>
              <w:rPr>
                <w:rFonts w:hint="default" w:ascii="Times New Roman" w:hAnsi="Times New Roman" w:eastAsia="宋体" w:cs="Times New Roman"/>
                <w:color w:val="000000"/>
                <w:kern w:val="0"/>
                <w:sz w:val="24"/>
                <w:szCs w:val="24"/>
                <w:lang w:val="en-US" w:eastAsia="zh-CN" w:bidi="ar"/>
              </w:rPr>
              <w:t>、废油桶均属于危险废物，污泥</w:t>
            </w:r>
            <w:r>
              <w:rPr>
                <w:rFonts w:hint="eastAsia" w:cs="Times New Roman"/>
                <w:color w:val="000000"/>
                <w:kern w:val="0"/>
                <w:sz w:val="24"/>
                <w:szCs w:val="24"/>
                <w:lang w:val="en-US" w:eastAsia="zh-CN" w:bidi="ar"/>
              </w:rPr>
              <w:t>、沉淀池沉渣等</w:t>
            </w:r>
            <w:r>
              <w:rPr>
                <w:rFonts w:hint="default" w:ascii="Times New Roman" w:hAnsi="Times New Roman" w:eastAsia="宋体" w:cs="Times New Roman"/>
                <w:color w:val="000000"/>
                <w:kern w:val="0"/>
                <w:sz w:val="24"/>
                <w:szCs w:val="24"/>
                <w:lang w:val="en-US" w:eastAsia="zh-CN" w:bidi="ar"/>
              </w:rPr>
              <w:t>为一般工业固体废物。</w:t>
            </w:r>
          </w:p>
          <w:p w14:paraId="1827F8DE">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废机油</w:t>
            </w:r>
            <w:r>
              <w:rPr>
                <w:rFonts w:hint="eastAsia" w:cs="Times New Roman"/>
                <w:color w:val="000000"/>
                <w:kern w:val="0"/>
                <w:sz w:val="24"/>
                <w:szCs w:val="24"/>
                <w:lang w:val="en-US" w:eastAsia="zh-CN" w:bidi="ar"/>
              </w:rPr>
              <w:t>、废润滑油、废油桶</w:t>
            </w:r>
          </w:p>
          <w:p w14:paraId="15CF8F2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cs="Times New Roman"/>
                <w:color w:val="auto"/>
                <w:kern w:val="0"/>
                <w:sz w:val="24"/>
                <w:szCs w:val="24"/>
                <w:lang w:val="en-US" w:eastAsia="zh-CN" w:bidi="ar"/>
              </w:rPr>
            </w:pPr>
            <w:r>
              <w:rPr>
                <w:rFonts w:hint="eastAsia" w:cs="Times New Roman"/>
                <w:color w:val="auto"/>
                <w:kern w:val="0"/>
                <w:sz w:val="24"/>
                <w:szCs w:val="24"/>
                <w:lang w:val="en-US" w:eastAsia="zh-CN" w:bidi="ar"/>
              </w:rPr>
              <w:t>本项目生产设备发生故障或设备维护保养时，会产生一定量的废机油、废润滑油、废油桶，产生量约0.05t，产生的废机油、废润滑油、废油桶暂存于危险废物暂存间，属于HW08危险废物，废物代码为900-249-08，定期交由有资质的单位处置。</w:t>
            </w:r>
          </w:p>
          <w:p w14:paraId="0DD0EB04">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沉淀池沉渣</w:t>
            </w:r>
          </w:p>
          <w:p w14:paraId="65B19B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项目沉淀池沉渣产生量约为8t/a，主要为矿粉</w:t>
            </w:r>
            <w:r>
              <w:rPr>
                <w:rFonts w:hint="eastAsia" w:cs="Times New Roman"/>
                <w:color w:val="000000"/>
                <w:kern w:val="0"/>
                <w:sz w:val="24"/>
                <w:szCs w:val="24"/>
                <w:lang w:val="en-US" w:eastAsia="zh-CN" w:bidi="ar"/>
              </w:rPr>
              <w:t>属于SW17废物，废物代码为900-002-S17</w:t>
            </w:r>
            <w:r>
              <w:rPr>
                <w:rFonts w:hint="eastAsia" w:ascii="Times New Roman" w:hAnsi="Times New Roman" w:eastAsia="宋体" w:cs="Times New Roman"/>
                <w:color w:val="000000"/>
                <w:kern w:val="0"/>
                <w:sz w:val="24"/>
                <w:szCs w:val="24"/>
                <w:lang w:val="en-US" w:eastAsia="zh-CN" w:bidi="ar"/>
              </w:rPr>
              <w:t>，定期全部捞出混到高杂矿里继续作为原料回用于生产。</w:t>
            </w:r>
          </w:p>
          <w:p w14:paraId="5D66BA4C">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除尘器收集粉尘</w:t>
            </w:r>
          </w:p>
          <w:p w14:paraId="1B0456D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项目配料混矿废气经</w:t>
            </w:r>
            <w:r>
              <w:rPr>
                <w:rFonts w:hint="eastAsia" w:cs="Times New Roman"/>
                <w:color w:val="000000"/>
                <w:kern w:val="0"/>
                <w:sz w:val="24"/>
                <w:szCs w:val="24"/>
                <w:lang w:val="en-US" w:eastAsia="zh-CN" w:bidi="ar"/>
              </w:rPr>
              <w:t>密闭吸尘罩</w:t>
            </w:r>
            <w:r>
              <w:rPr>
                <w:rFonts w:hint="eastAsia" w:ascii="Times New Roman" w:hAnsi="Times New Roman" w:eastAsia="宋体" w:cs="Times New Roman"/>
                <w:color w:val="000000"/>
                <w:kern w:val="0"/>
                <w:sz w:val="24"/>
                <w:szCs w:val="24"/>
                <w:lang w:val="en-US" w:eastAsia="zh-CN" w:bidi="ar"/>
              </w:rPr>
              <w:t>收集后由</w:t>
            </w:r>
            <w:r>
              <w:rPr>
                <w:rFonts w:hint="eastAsia" w:cs="Times New Roman"/>
                <w:color w:val="000000"/>
                <w:kern w:val="0"/>
                <w:sz w:val="24"/>
                <w:szCs w:val="24"/>
                <w:lang w:val="en-US" w:eastAsia="zh-CN" w:bidi="ar"/>
              </w:rPr>
              <w:t>布袋</w:t>
            </w:r>
            <w:r>
              <w:rPr>
                <w:rFonts w:hint="eastAsia" w:ascii="Times New Roman" w:hAnsi="Times New Roman" w:eastAsia="宋体" w:cs="Times New Roman"/>
                <w:color w:val="000000"/>
                <w:kern w:val="0"/>
                <w:sz w:val="24"/>
                <w:szCs w:val="24"/>
                <w:lang w:val="en-US" w:eastAsia="zh-CN" w:bidi="ar"/>
              </w:rPr>
              <w:t>除尘器处理，收集量约为13.8t/a，主要为矿粉</w:t>
            </w:r>
            <w:r>
              <w:rPr>
                <w:rFonts w:hint="eastAsia" w:cs="Times New Roman"/>
                <w:color w:val="000000"/>
                <w:kern w:val="0"/>
                <w:sz w:val="24"/>
                <w:szCs w:val="24"/>
                <w:lang w:val="en-US" w:eastAsia="zh-CN" w:bidi="ar"/>
              </w:rPr>
              <w:t>，属于SW17废物，废物代码为900-002-S17</w:t>
            </w:r>
            <w:r>
              <w:rPr>
                <w:rFonts w:hint="eastAsia" w:ascii="Times New Roman" w:hAnsi="Times New Roman" w:eastAsia="宋体" w:cs="Times New Roman"/>
                <w:color w:val="000000"/>
                <w:kern w:val="0"/>
                <w:sz w:val="24"/>
                <w:szCs w:val="24"/>
                <w:lang w:val="en-US" w:eastAsia="zh-CN" w:bidi="ar"/>
              </w:rPr>
              <w:t>，收集后回用于生产。</w:t>
            </w:r>
          </w:p>
          <w:p w14:paraId="19ABC779">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cs="Times New Roman"/>
                <w:color w:val="000000"/>
                <w:kern w:val="0"/>
                <w:sz w:val="24"/>
                <w:szCs w:val="24"/>
                <w:lang w:val="en-US" w:eastAsia="zh-CN" w:bidi="ar"/>
              </w:rPr>
              <w:t>废布袋</w:t>
            </w:r>
          </w:p>
          <w:p w14:paraId="49E9B3D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项目会定期更换</w:t>
            </w:r>
            <w:r>
              <w:rPr>
                <w:rFonts w:hint="eastAsia" w:cs="Times New Roman"/>
                <w:color w:val="000000"/>
                <w:kern w:val="0"/>
                <w:sz w:val="24"/>
                <w:szCs w:val="24"/>
                <w:lang w:val="en-US" w:eastAsia="zh-CN" w:bidi="ar"/>
              </w:rPr>
              <w:t>布袋</w:t>
            </w:r>
            <w:r>
              <w:rPr>
                <w:rFonts w:hint="eastAsia" w:ascii="Times New Roman" w:hAnsi="Times New Roman" w:eastAsia="宋体" w:cs="Times New Roman"/>
                <w:color w:val="000000"/>
                <w:kern w:val="0"/>
                <w:sz w:val="24"/>
                <w:szCs w:val="24"/>
                <w:lang w:val="en-US" w:eastAsia="zh-CN" w:bidi="ar"/>
              </w:rPr>
              <w:t>除尘器滤袋，产生量约为0.4t/a，</w:t>
            </w:r>
            <w:r>
              <w:rPr>
                <w:rFonts w:hint="eastAsia" w:cs="Times New Roman"/>
                <w:color w:val="000000"/>
                <w:kern w:val="0"/>
                <w:sz w:val="24"/>
                <w:szCs w:val="24"/>
                <w:lang w:val="en-US" w:eastAsia="zh-CN" w:bidi="ar"/>
              </w:rPr>
              <w:t>属于HW49其他废物，废物代码为900-041-49，</w:t>
            </w:r>
            <w:r>
              <w:rPr>
                <w:rFonts w:hint="eastAsia" w:ascii="Times New Roman" w:hAnsi="Times New Roman" w:eastAsia="宋体" w:cs="Times New Roman"/>
                <w:color w:val="000000"/>
                <w:kern w:val="0"/>
                <w:sz w:val="24"/>
                <w:szCs w:val="24"/>
                <w:lang w:val="en-US" w:eastAsia="zh-CN" w:bidi="ar"/>
              </w:rPr>
              <w:t>暂存于危险废物暂存间，定期交由有资质的单位处置。</w:t>
            </w:r>
          </w:p>
          <w:p w14:paraId="512D734B">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化粪池污泥</w:t>
            </w:r>
          </w:p>
          <w:p w14:paraId="0BDDBE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本项目产生的生活污水进入化粪池后，经沉淀分离后会积累成污泥</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项目化粪池污泥产生量约为</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t/a</w:t>
            </w:r>
            <w:r>
              <w:rPr>
                <w:rFonts w:hint="eastAsia" w:cs="Times New Roman"/>
                <w:color w:val="000000"/>
                <w:kern w:val="0"/>
                <w:sz w:val="24"/>
                <w:szCs w:val="24"/>
                <w:lang w:val="en-US" w:eastAsia="zh-CN" w:bidi="ar"/>
              </w:rPr>
              <w:t>，属SW07污泥，废物代码为900-099-S07</w:t>
            </w:r>
            <w:r>
              <w:rPr>
                <w:rFonts w:hint="default" w:ascii="Times New Roman" w:hAnsi="Times New Roman" w:eastAsia="宋体" w:cs="Times New Roman"/>
                <w:color w:val="000000"/>
                <w:kern w:val="0"/>
                <w:sz w:val="24"/>
                <w:szCs w:val="24"/>
                <w:lang w:val="en-US" w:eastAsia="zh-CN" w:bidi="ar"/>
              </w:rPr>
              <w:t>。项目化粪池污泥</w:t>
            </w:r>
            <w:r>
              <w:rPr>
                <w:rFonts w:hint="eastAsia" w:ascii="Times New Roman" w:hAnsi="Times New Roman" w:eastAsia="宋体" w:cs="Times New Roman"/>
                <w:color w:val="000000"/>
                <w:kern w:val="0"/>
                <w:sz w:val="24"/>
                <w:szCs w:val="24"/>
                <w:lang w:val="en-US" w:eastAsia="zh-CN" w:bidi="ar"/>
              </w:rPr>
              <w:t>委托有资质的单位定期清掏</w:t>
            </w:r>
            <w:r>
              <w:rPr>
                <w:rFonts w:hint="default" w:ascii="Times New Roman" w:hAnsi="Times New Roman" w:eastAsia="宋体" w:cs="Times New Roman"/>
                <w:color w:val="000000"/>
                <w:kern w:val="0"/>
                <w:sz w:val="24"/>
                <w:szCs w:val="24"/>
                <w:lang w:val="en-US" w:eastAsia="zh-CN" w:bidi="ar"/>
              </w:rPr>
              <w:t>。</w:t>
            </w:r>
          </w:p>
          <w:p w14:paraId="78E6461C">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废包装（吨袋）</w:t>
            </w:r>
          </w:p>
          <w:p w14:paraId="52DA8B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cs="Times New Roman"/>
                <w:color w:val="auto"/>
                <w:kern w:val="0"/>
                <w:sz w:val="24"/>
                <w:szCs w:val="24"/>
                <w:lang w:val="en-US" w:eastAsia="zh-CN" w:bidi="ar"/>
              </w:rPr>
            </w:pPr>
            <w:r>
              <w:rPr>
                <w:rFonts w:hint="eastAsia" w:cs="Times New Roman"/>
                <w:color w:val="auto"/>
                <w:kern w:val="0"/>
                <w:sz w:val="24"/>
                <w:szCs w:val="24"/>
                <w:lang w:val="en-US" w:eastAsia="zh-CN" w:bidi="ar"/>
              </w:rPr>
              <w:t>项目原料矿采用吨袋散装方式运输至钦州港码头，通过移动式封闭自卸汽车运输至本项目卸矿站，会产生一定量的废包装，一个吨袋重量约为2.5kg，一个吨袋可以装载铜精矿约1.5t，本项目约有20万吨铜精矿原料使用吨袋转运，则需要吨袋约133334个，则废包装年产生量约为333.3t，属于HW49其他废物，废物代码为900-041-49，暂存于危险废物暂存间，委托有资质的单位处置。</w:t>
            </w:r>
          </w:p>
          <w:p w14:paraId="1862AD97">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生活垃圾</w:t>
            </w:r>
          </w:p>
          <w:p w14:paraId="3853263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本项目员工人数为2</w:t>
            </w:r>
            <w:r>
              <w:rPr>
                <w:rFonts w:hint="eastAsia" w:cs="Times New Roman"/>
                <w:color w:val="000000"/>
                <w:kern w:val="0"/>
                <w:sz w:val="24"/>
                <w:szCs w:val="24"/>
                <w:lang w:val="en-US" w:eastAsia="zh-CN" w:bidi="ar"/>
              </w:rPr>
              <w:t>8</w:t>
            </w:r>
            <w:r>
              <w:rPr>
                <w:rFonts w:hint="eastAsia" w:ascii="Times New Roman" w:hAnsi="Times New Roman" w:eastAsia="宋体" w:cs="Times New Roman"/>
                <w:color w:val="000000"/>
                <w:kern w:val="0"/>
                <w:sz w:val="24"/>
                <w:szCs w:val="24"/>
                <w:lang w:val="en-US" w:eastAsia="zh-CN" w:bidi="ar"/>
              </w:rPr>
              <w:t>人，生活垃圾产生量按0.5kg/d·人计算，则生活垃圾产生量为4.</w:t>
            </w:r>
            <w:r>
              <w:rPr>
                <w:rFonts w:hint="eastAsia" w:cs="Times New Roman"/>
                <w:color w:val="000000"/>
                <w:kern w:val="0"/>
                <w:sz w:val="24"/>
                <w:szCs w:val="24"/>
                <w:lang w:val="en-US" w:eastAsia="zh-CN" w:bidi="ar"/>
              </w:rPr>
              <w:t>62</w:t>
            </w:r>
            <w:r>
              <w:rPr>
                <w:rFonts w:hint="eastAsia" w:ascii="Times New Roman" w:hAnsi="Times New Roman" w:eastAsia="宋体" w:cs="Times New Roman"/>
                <w:color w:val="000000"/>
                <w:kern w:val="0"/>
                <w:sz w:val="24"/>
                <w:szCs w:val="24"/>
                <w:lang w:val="en-US" w:eastAsia="zh-CN" w:bidi="ar"/>
              </w:rPr>
              <w:t>t/a，属于SW64其他垃圾，废物代码为900-099-S64，用垃圾桶收集后交由环卫部门清运处理。</w:t>
            </w:r>
          </w:p>
          <w:p w14:paraId="4BA9C6F5">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固体废物属性判定</w:t>
            </w:r>
          </w:p>
          <w:p w14:paraId="4ECA0D4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根据《固体废物鉴别标准通则》（GB34330-2025），结合项目原辅材料使用情况，本项目固体废物判定详见下表4-11。</w:t>
            </w:r>
          </w:p>
          <w:p w14:paraId="52680EF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Times New Roman" w:cs="Times New Roman"/>
                <w:b/>
                <w:bCs/>
                <w:vertAlign w:val="baseline"/>
                <w:lang w:val="en-US" w:eastAsia="zh-CN"/>
              </w:rPr>
            </w:pPr>
            <w:r>
              <w:rPr>
                <w:rFonts w:hint="eastAsia" w:ascii="Times New Roman" w:cs="Times New Roman"/>
                <w:b/>
                <w:bCs/>
                <w:vertAlign w:val="baseline"/>
                <w:lang w:val="en-US" w:eastAsia="zh-CN"/>
              </w:rPr>
              <w:t>表4-11 项目固体废物判定一览表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250"/>
              <w:gridCol w:w="1000"/>
              <w:gridCol w:w="1300"/>
              <w:gridCol w:w="1122"/>
              <w:gridCol w:w="1369"/>
            </w:tblGrid>
            <w:tr w14:paraId="3F30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7BDFE3E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名称</w:t>
                  </w:r>
                </w:p>
              </w:tc>
              <w:tc>
                <w:tcPr>
                  <w:tcW w:w="1250" w:type="dxa"/>
                  <w:vAlign w:val="center"/>
                </w:tcPr>
                <w:p w14:paraId="5A0019E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产生源</w:t>
                  </w:r>
                </w:p>
              </w:tc>
              <w:tc>
                <w:tcPr>
                  <w:tcW w:w="1000" w:type="dxa"/>
                  <w:vAlign w:val="center"/>
                </w:tcPr>
                <w:p w14:paraId="05E0FFD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物理性质</w:t>
                  </w:r>
                </w:p>
              </w:tc>
              <w:tc>
                <w:tcPr>
                  <w:tcW w:w="1300" w:type="dxa"/>
                  <w:vAlign w:val="center"/>
                </w:tcPr>
                <w:p w14:paraId="14A307E1">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主要成分</w:t>
                  </w:r>
                </w:p>
              </w:tc>
              <w:tc>
                <w:tcPr>
                  <w:tcW w:w="1122" w:type="dxa"/>
                  <w:vAlign w:val="center"/>
                </w:tcPr>
                <w:p w14:paraId="76266DA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是否属于固体废物</w:t>
                  </w:r>
                </w:p>
              </w:tc>
              <w:tc>
                <w:tcPr>
                  <w:tcW w:w="1369" w:type="dxa"/>
                  <w:vAlign w:val="center"/>
                </w:tcPr>
                <w:p w14:paraId="0D4792EA">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判定依据</w:t>
                  </w:r>
                </w:p>
              </w:tc>
            </w:tr>
            <w:tr w14:paraId="7C6E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43CACB8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生活垃圾</w:t>
                  </w:r>
                </w:p>
              </w:tc>
              <w:tc>
                <w:tcPr>
                  <w:tcW w:w="1250" w:type="dxa"/>
                  <w:vAlign w:val="center"/>
                </w:tcPr>
                <w:p w14:paraId="16ACAA4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员工生活</w:t>
                  </w:r>
                </w:p>
              </w:tc>
              <w:tc>
                <w:tcPr>
                  <w:tcW w:w="1000" w:type="dxa"/>
                  <w:vAlign w:val="center"/>
                </w:tcPr>
                <w:p w14:paraId="21825D3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00C8526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生活垃圾</w:t>
                  </w:r>
                </w:p>
              </w:tc>
              <w:tc>
                <w:tcPr>
                  <w:tcW w:w="1122" w:type="dxa"/>
                  <w:vAlign w:val="center"/>
                </w:tcPr>
                <w:p w14:paraId="75E871A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restart"/>
                  <w:vAlign w:val="center"/>
                </w:tcPr>
                <w:p w14:paraId="3581552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《固体废物鉴别标准通则》（GB34330-2025）</w:t>
                  </w:r>
                </w:p>
              </w:tc>
            </w:tr>
            <w:tr w14:paraId="00A9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05812BD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沉淀池沉渣</w:t>
                  </w:r>
                </w:p>
              </w:tc>
              <w:tc>
                <w:tcPr>
                  <w:tcW w:w="1250" w:type="dxa"/>
                  <w:vMerge w:val="restart"/>
                  <w:vAlign w:val="center"/>
                </w:tcPr>
                <w:p w14:paraId="3B4A0E1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生产过程</w:t>
                  </w:r>
                </w:p>
              </w:tc>
              <w:tc>
                <w:tcPr>
                  <w:tcW w:w="1000" w:type="dxa"/>
                  <w:vAlign w:val="center"/>
                </w:tcPr>
                <w:p w14:paraId="6EFC35A8">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6DD77B7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矿粉</w:t>
                  </w:r>
                </w:p>
              </w:tc>
              <w:tc>
                <w:tcPr>
                  <w:tcW w:w="1122" w:type="dxa"/>
                  <w:vAlign w:val="center"/>
                </w:tcPr>
                <w:p w14:paraId="5E12358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6C6DDBB1">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6F9D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54E5C47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布袋除尘器收集粉尘</w:t>
                  </w:r>
                </w:p>
              </w:tc>
              <w:tc>
                <w:tcPr>
                  <w:tcW w:w="1250" w:type="dxa"/>
                  <w:vMerge w:val="continue"/>
                  <w:vAlign w:val="center"/>
                </w:tcPr>
                <w:p w14:paraId="141D27D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000" w:type="dxa"/>
                  <w:vAlign w:val="center"/>
                </w:tcPr>
                <w:p w14:paraId="1D6D8F59">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7E50BC3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矿粉</w:t>
                  </w:r>
                </w:p>
              </w:tc>
              <w:tc>
                <w:tcPr>
                  <w:tcW w:w="1122" w:type="dxa"/>
                  <w:vAlign w:val="center"/>
                </w:tcPr>
                <w:p w14:paraId="140B420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70926B8A">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3AEF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4" w:type="dxa"/>
                  <w:vAlign w:val="center"/>
                </w:tcPr>
                <w:p w14:paraId="03920C42">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废布袋</w:t>
                  </w:r>
                </w:p>
              </w:tc>
              <w:tc>
                <w:tcPr>
                  <w:tcW w:w="1250" w:type="dxa"/>
                  <w:vMerge w:val="continue"/>
                  <w:vAlign w:val="center"/>
                </w:tcPr>
                <w:p w14:paraId="16E9109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000" w:type="dxa"/>
                  <w:vAlign w:val="center"/>
                </w:tcPr>
                <w:p w14:paraId="438CAB9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345E6CB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废布袋</w:t>
                  </w:r>
                </w:p>
              </w:tc>
              <w:tc>
                <w:tcPr>
                  <w:tcW w:w="1122" w:type="dxa"/>
                  <w:vAlign w:val="center"/>
                </w:tcPr>
                <w:p w14:paraId="68329F9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191CB91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52F8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756DE2F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化粪池污泥</w:t>
                  </w:r>
                </w:p>
              </w:tc>
              <w:tc>
                <w:tcPr>
                  <w:tcW w:w="1250" w:type="dxa"/>
                  <w:vMerge w:val="continue"/>
                  <w:vAlign w:val="center"/>
                </w:tcPr>
                <w:p w14:paraId="744A9E4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000" w:type="dxa"/>
                  <w:vAlign w:val="center"/>
                </w:tcPr>
                <w:p w14:paraId="2F37D2F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25DC3D6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污泥</w:t>
                  </w:r>
                </w:p>
              </w:tc>
              <w:tc>
                <w:tcPr>
                  <w:tcW w:w="1122" w:type="dxa"/>
                  <w:vAlign w:val="center"/>
                </w:tcPr>
                <w:p w14:paraId="7FF6FEA9">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3A7E1C5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0EA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6E2927CA">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废包装（吨袋）</w:t>
                  </w:r>
                </w:p>
              </w:tc>
              <w:tc>
                <w:tcPr>
                  <w:tcW w:w="1250" w:type="dxa"/>
                  <w:vMerge w:val="continue"/>
                  <w:vAlign w:val="center"/>
                </w:tcPr>
                <w:p w14:paraId="6617A6B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000" w:type="dxa"/>
                  <w:vAlign w:val="center"/>
                </w:tcPr>
                <w:p w14:paraId="5D2588E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固态</w:t>
                  </w:r>
                </w:p>
              </w:tc>
              <w:tc>
                <w:tcPr>
                  <w:tcW w:w="1300" w:type="dxa"/>
                  <w:vAlign w:val="center"/>
                </w:tcPr>
                <w:p w14:paraId="39D665C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吨袋</w:t>
                  </w:r>
                </w:p>
              </w:tc>
              <w:tc>
                <w:tcPr>
                  <w:tcW w:w="1122" w:type="dxa"/>
                  <w:vAlign w:val="center"/>
                </w:tcPr>
                <w:p w14:paraId="302E4827">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是</w:t>
                  </w:r>
                </w:p>
              </w:tc>
              <w:tc>
                <w:tcPr>
                  <w:tcW w:w="1369" w:type="dxa"/>
                  <w:vMerge w:val="continue"/>
                  <w:vAlign w:val="center"/>
                </w:tcPr>
                <w:p w14:paraId="5666331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12B5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vAlign w:val="center"/>
                </w:tcPr>
                <w:p w14:paraId="1F7080A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生活垃圾</w:t>
                  </w:r>
                </w:p>
              </w:tc>
              <w:tc>
                <w:tcPr>
                  <w:tcW w:w="1250" w:type="dxa"/>
                  <w:vMerge w:val="continue"/>
                  <w:vAlign w:val="center"/>
                </w:tcPr>
                <w:p w14:paraId="52AA926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000" w:type="dxa"/>
                  <w:vAlign w:val="center"/>
                </w:tcPr>
                <w:p w14:paraId="109E014C">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固态</w:t>
                  </w:r>
                </w:p>
              </w:tc>
              <w:tc>
                <w:tcPr>
                  <w:tcW w:w="1300" w:type="dxa"/>
                  <w:vAlign w:val="center"/>
                </w:tcPr>
                <w:p w14:paraId="012E445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生活垃圾</w:t>
                  </w:r>
                </w:p>
              </w:tc>
              <w:tc>
                <w:tcPr>
                  <w:tcW w:w="1122" w:type="dxa"/>
                  <w:vAlign w:val="center"/>
                </w:tcPr>
                <w:p w14:paraId="541767C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0D0FFB5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1F50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594" w:type="dxa"/>
                  <w:vAlign w:val="center"/>
                </w:tcPr>
                <w:p w14:paraId="655D56B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废机油、废润滑油</w:t>
                  </w:r>
                </w:p>
              </w:tc>
              <w:tc>
                <w:tcPr>
                  <w:tcW w:w="1250" w:type="dxa"/>
                  <w:vMerge w:val="restart"/>
                  <w:vAlign w:val="center"/>
                </w:tcPr>
                <w:p w14:paraId="0C5CE5D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检修、维护过程</w:t>
                  </w:r>
                </w:p>
              </w:tc>
              <w:tc>
                <w:tcPr>
                  <w:tcW w:w="1000" w:type="dxa"/>
                  <w:vAlign w:val="center"/>
                </w:tcPr>
                <w:p w14:paraId="5B9A284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液态</w:t>
                  </w:r>
                </w:p>
              </w:tc>
              <w:tc>
                <w:tcPr>
                  <w:tcW w:w="1300" w:type="dxa"/>
                  <w:vAlign w:val="center"/>
                </w:tcPr>
                <w:p w14:paraId="23D9969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废机油、废润滑油</w:t>
                  </w:r>
                </w:p>
              </w:tc>
              <w:tc>
                <w:tcPr>
                  <w:tcW w:w="1122" w:type="dxa"/>
                  <w:vAlign w:val="center"/>
                </w:tcPr>
                <w:p w14:paraId="4DF87FA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是</w:t>
                  </w:r>
                </w:p>
              </w:tc>
              <w:tc>
                <w:tcPr>
                  <w:tcW w:w="1369" w:type="dxa"/>
                  <w:vMerge w:val="continue"/>
                  <w:vAlign w:val="center"/>
                </w:tcPr>
                <w:p w14:paraId="7CF38A5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r>
            <w:tr w14:paraId="72A4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94" w:type="dxa"/>
                  <w:vAlign w:val="center"/>
                </w:tcPr>
                <w:p w14:paraId="10A7BF80">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废油桶</w:t>
                  </w:r>
                </w:p>
              </w:tc>
              <w:tc>
                <w:tcPr>
                  <w:tcW w:w="1250" w:type="dxa"/>
                  <w:vMerge w:val="continue"/>
                  <w:vAlign w:val="center"/>
                </w:tcPr>
                <w:p w14:paraId="79CA51A7">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Times New Roman" w:cs="Times New Roman"/>
                      <w:sz w:val="21"/>
                      <w:szCs w:val="21"/>
                      <w:vertAlign w:val="baseline"/>
                      <w:lang w:val="en-US" w:eastAsia="zh-CN"/>
                    </w:rPr>
                  </w:pPr>
                </w:p>
              </w:tc>
              <w:tc>
                <w:tcPr>
                  <w:tcW w:w="1000" w:type="dxa"/>
                  <w:vAlign w:val="center"/>
                </w:tcPr>
                <w:p w14:paraId="3C4C922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固态</w:t>
                  </w:r>
                </w:p>
              </w:tc>
              <w:tc>
                <w:tcPr>
                  <w:tcW w:w="1300" w:type="dxa"/>
                  <w:vAlign w:val="center"/>
                </w:tcPr>
                <w:p w14:paraId="684F674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废油桶</w:t>
                  </w:r>
                </w:p>
              </w:tc>
              <w:tc>
                <w:tcPr>
                  <w:tcW w:w="1122" w:type="dxa"/>
                  <w:vAlign w:val="center"/>
                </w:tcPr>
                <w:p w14:paraId="35257E4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说</w:t>
                  </w:r>
                </w:p>
              </w:tc>
              <w:tc>
                <w:tcPr>
                  <w:tcW w:w="1369" w:type="dxa"/>
                  <w:vMerge w:val="continue"/>
                  <w:vAlign w:val="center"/>
                </w:tcPr>
                <w:p w14:paraId="6CE341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cs="Times New Roman"/>
                      <w:sz w:val="21"/>
                      <w:szCs w:val="21"/>
                      <w:vertAlign w:val="baseline"/>
                      <w:lang w:val="en-US" w:eastAsia="zh-CN"/>
                    </w:rPr>
                  </w:pPr>
                </w:p>
              </w:tc>
            </w:tr>
          </w:tbl>
          <w:p w14:paraId="35C6CA9A">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危险废物产生及处置情况</w:t>
            </w:r>
          </w:p>
          <w:p w14:paraId="3833F92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危险废物产生及处置情况详见下表4-12。</w:t>
            </w:r>
          </w:p>
          <w:p w14:paraId="1057EFD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Times New Roman" w:cs="Times New Roman"/>
                <w:b/>
                <w:bCs/>
                <w:vertAlign w:val="baseline"/>
                <w:lang w:val="en-US" w:eastAsia="zh-CN"/>
              </w:rPr>
            </w:pPr>
            <w:r>
              <w:rPr>
                <w:rFonts w:hint="eastAsia" w:ascii="Times New Roman" w:cs="Times New Roman"/>
                <w:b/>
                <w:bCs/>
                <w:vertAlign w:val="baseline"/>
                <w:lang w:val="en-US" w:eastAsia="zh-CN"/>
              </w:rPr>
              <w:t>表4-12 危险废物产生及处置情况一览表</w:t>
            </w:r>
          </w:p>
          <w:tbl>
            <w:tblPr>
              <w:tblStyle w:val="16"/>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717"/>
              <w:gridCol w:w="1511"/>
              <w:gridCol w:w="1511"/>
              <w:gridCol w:w="1511"/>
            </w:tblGrid>
            <w:tr w14:paraId="164F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39DEE151">
                  <w:pPr>
                    <w:spacing w:line="240" w:lineRule="exact"/>
                    <w:jc w:val="center"/>
                    <w:rPr>
                      <w:szCs w:val="21"/>
                    </w:rPr>
                  </w:pPr>
                  <w:r>
                    <w:rPr>
                      <w:szCs w:val="21"/>
                    </w:rPr>
                    <w:t>危险废物名称</w:t>
                  </w:r>
                </w:p>
              </w:tc>
              <w:tc>
                <w:tcPr>
                  <w:tcW w:w="1717" w:type="dxa"/>
                  <w:tcBorders>
                    <w:top w:val="single" w:color="auto" w:sz="4" w:space="0"/>
                    <w:left w:val="single" w:color="auto" w:sz="4" w:space="0"/>
                    <w:bottom w:val="single" w:color="auto" w:sz="4" w:space="0"/>
                    <w:right w:val="single" w:color="auto" w:sz="4" w:space="0"/>
                  </w:tcBorders>
                  <w:vAlign w:val="center"/>
                </w:tcPr>
                <w:p w14:paraId="1591BB11">
                  <w:pPr>
                    <w:pStyle w:val="23"/>
                    <w:spacing w:before="24" w:after="24"/>
                    <w:rPr>
                      <w:rFonts w:hint="default" w:eastAsiaTheme="minorEastAsia"/>
                      <w:sz w:val="21"/>
                      <w:szCs w:val="21"/>
                      <w:lang w:val="en-US"/>
                    </w:rPr>
                  </w:pPr>
                  <w:r>
                    <w:rPr>
                      <w:rFonts w:hint="eastAsia" w:eastAsiaTheme="minorEastAsia"/>
                      <w:sz w:val="21"/>
                      <w:szCs w:val="21"/>
                      <w:lang w:val="en-US" w:eastAsia="zh-CN"/>
                    </w:rPr>
                    <w:t>废机油、废润滑油</w:t>
                  </w:r>
                </w:p>
              </w:tc>
              <w:tc>
                <w:tcPr>
                  <w:tcW w:w="1511" w:type="dxa"/>
                  <w:tcBorders>
                    <w:top w:val="single" w:color="auto" w:sz="4" w:space="0"/>
                    <w:left w:val="single" w:color="auto" w:sz="4" w:space="0"/>
                    <w:bottom w:val="single" w:color="auto" w:sz="4" w:space="0"/>
                    <w:right w:val="single" w:color="auto" w:sz="4" w:space="0"/>
                  </w:tcBorders>
                  <w:vAlign w:val="center"/>
                </w:tcPr>
                <w:p w14:paraId="42492BBC">
                  <w:pPr>
                    <w:pStyle w:val="23"/>
                    <w:spacing w:before="24" w:after="24"/>
                    <w:rPr>
                      <w:rFonts w:hint="default" w:eastAsiaTheme="minorEastAsia"/>
                      <w:sz w:val="21"/>
                      <w:szCs w:val="21"/>
                      <w:lang w:val="en-US" w:eastAsia="zh-CN"/>
                    </w:rPr>
                  </w:pPr>
                  <w:r>
                    <w:rPr>
                      <w:rFonts w:hint="eastAsia" w:eastAsiaTheme="minorEastAsia"/>
                      <w:sz w:val="21"/>
                      <w:szCs w:val="21"/>
                      <w:lang w:val="en-US" w:eastAsia="zh-CN"/>
                    </w:rPr>
                    <w:t>废油桶</w:t>
                  </w:r>
                </w:p>
              </w:tc>
              <w:tc>
                <w:tcPr>
                  <w:tcW w:w="1511" w:type="dxa"/>
                  <w:tcBorders>
                    <w:top w:val="single" w:color="auto" w:sz="4" w:space="0"/>
                    <w:left w:val="single" w:color="auto" w:sz="4" w:space="0"/>
                    <w:bottom w:val="single" w:color="auto" w:sz="4" w:space="0"/>
                    <w:right w:val="single" w:color="auto" w:sz="4" w:space="0"/>
                  </w:tcBorders>
                  <w:vAlign w:val="center"/>
                </w:tcPr>
                <w:p w14:paraId="70B3B90A">
                  <w:pPr>
                    <w:pStyle w:val="23"/>
                    <w:spacing w:before="24" w:after="24"/>
                    <w:rPr>
                      <w:rFonts w:hint="default" w:eastAsiaTheme="minorEastAsia"/>
                      <w:sz w:val="21"/>
                      <w:szCs w:val="21"/>
                      <w:lang w:val="en-US" w:eastAsia="zh-CN"/>
                    </w:rPr>
                  </w:pPr>
                  <w:r>
                    <w:rPr>
                      <w:rFonts w:hint="eastAsia" w:eastAsiaTheme="minorEastAsia"/>
                      <w:sz w:val="21"/>
                      <w:szCs w:val="21"/>
                      <w:lang w:val="en-US" w:eastAsia="zh-CN"/>
                    </w:rPr>
                    <w:t>废包装（吨袋）</w:t>
                  </w:r>
                </w:p>
              </w:tc>
              <w:tc>
                <w:tcPr>
                  <w:tcW w:w="1511" w:type="dxa"/>
                  <w:tcBorders>
                    <w:top w:val="single" w:color="auto" w:sz="4" w:space="0"/>
                    <w:left w:val="single" w:color="auto" w:sz="4" w:space="0"/>
                    <w:bottom w:val="single" w:color="auto" w:sz="4" w:space="0"/>
                    <w:right w:val="single" w:color="auto" w:sz="4" w:space="0"/>
                  </w:tcBorders>
                  <w:vAlign w:val="center"/>
                </w:tcPr>
                <w:p w14:paraId="4E6875C2">
                  <w:pPr>
                    <w:pStyle w:val="23"/>
                    <w:spacing w:before="24" w:after="24"/>
                    <w:rPr>
                      <w:rFonts w:hint="default" w:eastAsiaTheme="minorEastAsia"/>
                      <w:sz w:val="21"/>
                      <w:szCs w:val="21"/>
                      <w:lang w:val="en-US" w:eastAsia="zh-CN"/>
                    </w:rPr>
                  </w:pPr>
                  <w:r>
                    <w:rPr>
                      <w:rFonts w:hint="eastAsia" w:eastAsiaTheme="minorEastAsia"/>
                      <w:sz w:val="21"/>
                      <w:szCs w:val="21"/>
                      <w:lang w:val="en-US" w:eastAsia="zh-CN"/>
                    </w:rPr>
                    <w:t>废布袋</w:t>
                  </w:r>
                </w:p>
              </w:tc>
            </w:tr>
            <w:tr w14:paraId="5499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4B3F472A">
                  <w:pPr>
                    <w:spacing w:line="240" w:lineRule="exact"/>
                    <w:jc w:val="center"/>
                    <w:rPr>
                      <w:szCs w:val="21"/>
                    </w:rPr>
                  </w:pPr>
                  <w:r>
                    <w:rPr>
                      <w:szCs w:val="21"/>
                    </w:rPr>
                    <w:t>危险废物类别</w:t>
                  </w:r>
                </w:p>
              </w:tc>
              <w:tc>
                <w:tcPr>
                  <w:tcW w:w="3228" w:type="dxa"/>
                  <w:gridSpan w:val="2"/>
                  <w:tcBorders>
                    <w:top w:val="single" w:color="auto" w:sz="4" w:space="0"/>
                    <w:left w:val="single" w:color="auto" w:sz="4" w:space="0"/>
                    <w:bottom w:val="single" w:color="auto" w:sz="4" w:space="0"/>
                    <w:right w:val="single" w:color="auto" w:sz="4" w:space="0"/>
                  </w:tcBorders>
                  <w:vAlign w:val="center"/>
                </w:tcPr>
                <w:p w14:paraId="02BCBE6B">
                  <w:pPr>
                    <w:pStyle w:val="23"/>
                    <w:spacing w:before="24" w:after="24"/>
                    <w:rPr>
                      <w:rFonts w:hint="eastAsia"/>
                      <w:sz w:val="21"/>
                      <w:szCs w:val="21"/>
                    </w:rPr>
                  </w:pPr>
                  <w:r>
                    <w:rPr>
                      <w:rFonts w:hint="eastAsia"/>
                      <w:sz w:val="21"/>
                      <w:szCs w:val="21"/>
                    </w:rPr>
                    <w:t>HW08</w:t>
                  </w:r>
                </w:p>
              </w:tc>
              <w:tc>
                <w:tcPr>
                  <w:tcW w:w="1511" w:type="dxa"/>
                  <w:tcBorders>
                    <w:top w:val="single" w:color="auto" w:sz="4" w:space="0"/>
                    <w:left w:val="single" w:color="auto" w:sz="4" w:space="0"/>
                    <w:bottom w:val="single" w:color="auto" w:sz="4" w:space="0"/>
                    <w:right w:val="single" w:color="auto" w:sz="4" w:space="0"/>
                  </w:tcBorders>
                  <w:vAlign w:val="center"/>
                </w:tcPr>
                <w:p w14:paraId="02AAD832">
                  <w:pPr>
                    <w:pStyle w:val="23"/>
                    <w:spacing w:before="24" w:after="24"/>
                    <w:rPr>
                      <w:rFonts w:hint="default" w:eastAsia="宋体"/>
                      <w:sz w:val="21"/>
                      <w:szCs w:val="21"/>
                      <w:lang w:val="en-US" w:eastAsia="zh-CN"/>
                    </w:rPr>
                  </w:pPr>
                  <w:r>
                    <w:rPr>
                      <w:rFonts w:hint="eastAsia"/>
                      <w:sz w:val="21"/>
                      <w:szCs w:val="21"/>
                      <w:lang w:val="en-US" w:eastAsia="zh-CN"/>
                    </w:rPr>
                    <w:t>HW49</w:t>
                  </w:r>
                </w:p>
              </w:tc>
              <w:tc>
                <w:tcPr>
                  <w:tcW w:w="1511" w:type="dxa"/>
                  <w:tcBorders>
                    <w:top w:val="single" w:color="auto" w:sz="4" w:space="0"/>
                    <w:left w:val="single" w:color="auto" w:sz="4" w:space="0"/>
                    <w:bottom w:val="single" w:color="auto" w:sz="4" w:space="0"/>
                    <w:right w:val="single" w:color="auto" w:sz="4" w:space="0"/>
                  </w:tcBorders>
                  <w:vAlign w:val="center"/>
                </w:tcPr>
                <w:p w14:paraId="05DF3ACE">
                  <w:pPr>
                    <w:pStyle w:val="23"/>
                    <w:spacing w:before="24" w:after="24"/>
                    <w:rPr>
                      <w:rFonts w:hint="eastAsia"/>
                      <w:sz w:val="21"/>
                      <w:szCs w:val="21"/>
                      <w:lang w:val="en-US" w:eastAsia="zh-CN"/>
                    </w:rPr>
                  </w:pPr>
                  <w:r>
                    <w:rPr>
                      <w:rFonts w:hint="eastAsia"/>
                      <w:sz w:val="21"/>
                      <w:szCs w:val="21"/>
                      <w:lang w:val="en-US" w:eastAsia="zh-CN"/>
                    </w:rPr>
                    <w:t>HW49</w:t>
                  </w:r>
                </w:p>
              </w:tc>
            </w:tr>
            <w:tr w14:paraId="4269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055FAA3E">
                  <w:pPr>
                    <w:spacing w:line="240" w:lineRule="exact"/>
                    <w:jc w:val="center"/>
                    <w:rPr>
                      <w:szCs w:val="21"/>
                    </w:rPr>
                  </w:pPr>
                  <w:r>
                    <w:rPr>
                      <w:szCs w:val="21"/>
                    </w:rPr>
                    <w:t>危险废物代码</w:t>
                  </w:r>
                </w:p>
              </w:tc>
              <w:tc>
                <w:tcPr>
                  <w:tcW w:w="3228" w:type="dxa"/>
                  <w:gridSpan w:val="2"/>
                  <w:tcBorders>
                    <w:top w:val="single" w:color="auto" w:sz="4" w:space="0"/>
                    <w:left w:val="single" w:color="auto" w:sz="4" w:space="0"/>
                    <w:bottom w:val="single" w:color="auto" w:sz="4" w:space="0"/>
                    <w:right w:val="single" w:color="auto" w:sz="4" w:space="0"/>
                  </w:tcBorders>
                  <w:vAlign w:val="center"/>
                </w:tcPr>
                <w:p w14:paraId="6D8434B6">
                  <w:pPr>
                    <w:spacing w:before="24" w:after="24"/>
                    <w:jc w:val="center"/>
                    <w:rPr>
                      <w:szCs w:val="21"/>
                    </w:rPr>
                  </w:pPr>
                  <w:r>
                    <w:rPr>
                      <w:szCs w:val="21"/>
                    </w:rPr>
                    <w:t>900-214-08</w:t>
                  </w:r>
                </w:p>
              </w:tc>
              <w:tc>
                <w:tcPr>
                  <w:tcW w:w="1511" w:type="dxa"/>
                  <w:tcBorders>
                    <w:top w:val="single" w:color="auto" w:sz="4" w:space="0"/>
                    <w:left w:val="single" w:color="auto" w:sz="4" w:space="0"/>
                    <w:bottom w:val="single" w:color="auto" w:sz="4" w:space="0"/>
                    <w:right w:val="single" w:color="auto" w:sz="4" w:space="0"/>
                  </w:tcBorders>
                  <w:vAlign w:val="center"/>
                </w:tcPr>
                <w:p w14:paraId="484BA77F">
                  <w:pPr>
                    <w:spacing w:before="24" w:after="24"/>
                    <w:jc w:val="center"/>
                    <w:rPr>
                      <w:rFonts w:hint="default" w:eastAsia="宋体"/>
                      <w:szCs w:val="21"/>
                      <w:lang w:val="en-US" w:eastAsia="zh-CN"/>
                    </w:rPr>
                  </w:pPr>
                  <w:r>
                    <w:rPr>
                      <w:rFonts w:hint="eastAsia"/>
                      <w:szCs w:val="21"/>
                      <w:lang w:val="en-US" w:eastAsia="zh-CN"/>
                    </w:rPr>
                    <w:t>900-041-49</w:t>
                  </w:r>
                </w:p>
              </w:tc>
              <w:tc>
                <w:tcPr>
                  <w:tcW w:w="1511" w:type="dxa"/>
                  <w:tcBorders>
                    <w:top w:val="single" w:color="auto" w:sz="4" w:space="0"/>
                    <w:left w:val="single" w:color="auto" w:sz="4" w:space="0"/>
                    <w:bottom w:val="single" w:color="auto" w:sz="4" w:space="0"/>
                    <w:right w:val="single" w:color="auto" w:sz="4" w:space="0"/>
                  </w:tcBorders>
                  <w:vAlign w:val="center"/>
                </w:tcPr>
                <w:p w14:paraId="5A973081">
                  <w:pPr>
                    <w:spacing w:before="24" w:after="24"/>
                    <w:jc w:val="center"/>
                    <w:rPr>
                      <w:rFonts w:hint="eastAsia"/>
                      <w:szCs w:val="21"/>
                      <w:lang w:val="en-US" w:eastAsia="zh-CN"/>
                    </w:rPr>
                  </w:pPr>
                  <w:r>
                    <w:rPr>
                      <w:rFonts w:hint="eastAsia"/>
                      <w:szCs w:val="21"/>
                      <w:lang w:val="en-US" w:eastAsia="zh-CN"/>
                    </w:rPr>
                    <w:t>900-041-49</w:t>
                  </w:r>
                </w:p>
              </w:tc>
            </w:tr>
            <w:tr w14:paraId="1DAD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5944F395">
                  <w:pPr>
                    <w:spacing w:line="240" w:lineRule="exact"/>
                    <w:jc w:val="center"/>
                    <w:rPr>
                      <w:szCs w:val="21"/>
                    </w:rPr>
                  </w:pPr>
                  <w:r>
                    <w:rPr>
                      <w:szCs w:val="21"/>
                    </w:rPr>
                    <w:t>产生量（</w:t>
                  </w:r>
                  <w:r>
                    <w:rPr>
                      <w:rFonts w:hint="eastAsia"/>
                      <w:szCs w:val="21"/>
                    </w:rPr>
                    <w:t>t</w:t>
                  </w:r>
                  <w:r>
                    <w:rPr>
                      <w:szCs w:val="21"/>
                    </w:rPr>
                    <w:t>/</w:t>
                  </w:r>
                  <w:r>
                    <w:rPr>
                      <w:rFonts w:hint="eastAsia"/>
                      <w:szCs w:val="21"/>
                    </w:rPr>
                    <w:t>a</w:t>
                  </w:r>
                  <w:r>
                    <w:rPr>
                      <w:szCs w:val="21"/>
                    </w:rPr>
                    <w:t>）</w:t>
                  </w:r>
                </w:p>
              </w:tc>
              <w:tc>
                <w:tcPr>
                  <w:tcW w:w="3228" w:type="dxa"/>
                  <w:gridSpan w:val="2"/>
                  <w:tcBorders>
                    <w:top w:val="single" w:color="auto" w:sz="4" w:space="0"/>
                    <w:left w:val="single" w:color="auto" w:sz="4" w:space="0"/>
                    <w:bottom w:val="single" w:color="auto" w:sz="4" w:space="0"/>
                    <w:right w:val="single" w:color="auto" w:sz="4" w:space="0"/>
                  </w:tcBorders>
                  <w:vAlign w:val="center"/>
                </w:tcPr>
                <w:p w14:paraId="357CC818">
                  <w:pPr>
                    <w:pStyle w:val="23"/>
                    <w:spacing w:before="24" w:after="24"/>
                    <w:rPr>
                      <w:rFonts w:hint="default"/>
                      <w:sz w:val="21"/>
                      <w:szCs w:val="21"/>
                      <w:lang w:val="en-US" w:eastAsia="zh-CN"/>
                    </w:rPr>
                  </w:pPr>
                  <w:r>
                    <w:rPr>
                      <w:rFonts w:hint="eastAsia"/>
                      <w:sz w:val="21"/>
                      <w:szCs w:val="21"/>
                      <w:lang w:val="en-US" w:eastAsia="zh-CN"/>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496A7B40">
                  <w:pPr>
                    <w:pStyle w:val="23"/>
                    <w:spacing w:before="24" w:after="24"/>
                    <w:rPr>
                      <w:rFonts w:hint="default"/>
                      <w:sz w:val="21"/>
                      <w:szCs w:val="21"/>
                      <w:lang w:val="en-US" w:eastAsia="zh-CN"/>
                    </w:rPr>
                  </w:pPr>
                  <w:r>
                    <w:rPr>
                      <w:rFonts w:hint="eastAsia"/>
                      <w:sz w:val="21"/>
                      <w:szCs w:val="21"/>
                      <w:lang w:val="en-US" w:eastAsia="zh-CN"/>
                    </w:rPr>
                    <w:t>333.3</w:t>
                  </w:r>
                </w:p>
              </w:tc>
              <w:tc>
                <w:tcPr>
                  <w:tcW w:w="1511" w:type="dxa"/>
                  <w:tcBorders>
                    <w:top w:val="single" w:color="auto" w:sz="4" w:space="0"/>
                    <w:left w:val="single" w:color="auto" w:sz="4" w:space="0"/>
                    <w:bottom w:val="single" w:color="auto" w:sz="4" w:space="0"/>
                    <w:right w:val="single" w:color="auto" w:sz="4" w:space="0"/>
                  </w:tcBorders>
                  <w:vAlign w:val="center"/>
                </w:tcPr>
                <w:p w14:paraId="051A0036">
                  <w:pPr>
                    <w:pStyle w:val="23"/>
                    <w:spacing w:before="24" w:after="24"/>
                    <w:rPr>
                      <w:rFonts w:hint="default"/>
                      <w:sz w:val="21"/>
                      <w:szCs w:val="21"/>
                      <w:lang w:val="en-US" w:eastAsia="zh-CN"/>
                    </w:rPr>
                  </w:pPr>
                  <w:r>
                    <w:rPr>
                      <w:rFonts w:hint="eastAsia"/>
                      <w:sz w:val="21"/>
                      <w:szCs w:val="21"/>
                      <w:lang w:val="en-US" w:eastAsia="zh-CN"/>
                    </w:rPr>
                    <w:t>0.4</w:t>
                  </w:r>
                </w:p>
              </w:tc>
            </w:tr>
            <w:tr w14:paraId="2906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33C0741A">
                  <w:pPr>
                    <w:spacing w:line="240" w:lineRule="exact"/>
                    <w:jc w:val="center"/>
                    <w:rPr>
                      <w:szCs w:val="21"/>
                    </w:rPr>
                  </w:pPr>
                  <w:r>
                    <w:rPr>
                      <w:szCs w:val="21"/>
                    </w:rPr>
                    <w:t>产生工序</w:t>
                  </w:r>
                </w:p>
              </w:tc>
              <w:tc>
                <w:tcPr>
                  <w:tcW w:w="3228" w:type="dxa"/>
                  <w:gridSpan w:val="2"/>
                  <w:tcBorders>
                    <w:top w:val="single" w:color="auto" w:sz="4" w:space="0"/>
                    <w:left w:val="single" w:color="auto" w:sz="4" w:space="0"/>
                    <w:bottom w:val="single" w:color="auto" w:sz="4" w:space="0"/>
                    <w:right w:val="single" w:color="auto" w:sz="4" w:space="0"/>
                  </w:tcBorders>
                  <w:vAlign w:val="center"/>
                </w:tcPr>
                <w:p w14:paraId="136F1396">
                  <w:pPr>
                    <w:spacing w:before="24" w:after="24"/>
                    <w:jc w:val="center"/>
                    <w:rPr>
                      <w:rFonts w:hint="eastAsia"/>
                      <w:szCs w:val="21"/>
                    </w:rPr>
                  </w:pPr>
                  <w:r>
                    <w:rPr>
                      <w:rFonts w:hint="eastAsia"/>
                      <w:szCs w:val="21"/>
                    </w:rPr>
                    <w:t>生产过程</w:t>
                  </w:r>
                </w:p>
              </w:tc>
              <w:tc>
                <w:tcPr>
                  <w:tcW w:w="1511" w:type="dxa"/>
                  <w:tcBorders>
                    <w:top w:val="single" w:color="auto" w:sz="4" w:space="0"/>
                    <w:left w:val="single" w:color="auto" w:sz="4" w:space="0"/>
                    <w:bottom w:val="single" w:color="auto" w:sz="4" w:space="0"/>
                    <w:right w:val="single" w:color="auto" w:sz="4" w:space="0"/>
                  </w:tcBorders>
                  <w:vAlign w:val="center"/>
                </w:tcPr>
                <w:p w14:paraId="3D9BDDD5">
                  <w:pPr>
                    <w:spacing w:before="24" w:after="24"/>
                    <w:jc w:val="center"/>
                    <w:rPr>
                      <w:rFonts w:hint="eastAsia" w:eastAsia="宋体"/>
                      <w:szCs w:val="21"/>
                      <w:lang w:val="en-US" w:eastAsia="zh-CN"/>
                    </w:rPr>
                  </w:pPr>
                  <w:r>
                    <w:rPr>
                      <w:rFonts w:hint="eastAsia"/>
                      <w:szCs w:val="21"/>
                      <w:lang w:val="en-US" w:eastAsia="zh-CN"/>
                    </w:rPr>
                    <w:t>生产过程</w:t>
                  </w:r>
                </w:p>
              </w:tc>
              <w:tc>
                <w:tcPr>
                  <w:tcW w:w="1511" w:type="dxa"/>
                  <w:tcBorders>
                    <w:top w:val="single" w:color="auto" w:sz="4" w:space="0"/>
                    <w:left w:val="single" w:color="auto" w:sz="4" w:space="0"/>
                    <w:bottom w:val="single" w:color="auto" w:sz="4" w:space="0"/>
                    <w:right w:val="single" w:color="auto" w:sz="4" w:space="0"/>
                  </w:tcBorders>
                  <w:vAlign w:val="center"/>
                </w:tcPr>
                <w:p w14:paraId="34288F0A">
                  <w:pPr>
                    <w:spacing w:before="24" w:after="24"/>
                    <w:jc w:val="center"/>
                    <w:rPr>
                      <w:rFonts w:hint="eastAsia"/>
                      <w:szCs w:val="21"/>
                      <w:lang w:val="en-US" w:eastAsia="zh-CN"/>
                    </w:rPr>
                  </w:pPr>
                  <w:r>
                    <w:rPr>
                      <w:rFonts w:hint="eastAsia"/>
                      <w:szCs w:val="21"/>
                      <w:lang w:val="en-US" w:eastAsia="zh-CN"/>
                    </w:rPr>
                    <w:t>生产过程</w:t>
                  </w:r>
                </w:p>
              </w:tc>
            </w:tr>
            <w:tr w14:paraId="14B8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49A0CFD6">
                  <w:pPr>
                    <w:spacing w:line="240" w:lineRule="exact"/>
                    <w:jc w:val="center"/>
                    <w:rPr>
                      <w:szCs w:val="21"/>
                    </w:rPr>
                  </w:pPr>
                  <w:r>
                    <w:rPr>
                      <w:szCs w:val="21"/>
                    </w:rPr>
                    <w:t>形态</w:t>
                  </w:r>
                </w:p>
              </w:tc>
              <w:tc>
                <w:tcPr>
                  <w:tcW w:w="1717" w:type="dxa"/>
                  <w:tcBorders>
                    <w:top w:val="single" w:color="auto" w:sz="4" w:space="0"/>
                    <w:left w:val="single" w:color="auto" w:sz="4" w:space="0"/>
                    <w:bottom w:val="single" w:color="auto" w:sz="4" w:space="0"/>
                    <w:right w:val="single" w:color="auto" w:sz="4" w:space="0"/>
                  </w:tcBorders>
                  <w:vAlign w:val="center"/>
                </w:tcPr>
                <w:p w14:paraId="36F05573">
                  <w:pPr>
                    <w:spacing w:before="24" w:after="24"/>
                    <w:jc w:val="center"/>
                    <w:rPr>
                      <w:szCs w:val="21"/>
                    </w:rPr>
                  </w:pPr>
                  <w:r>
                    <w:rPr>
                      <w:rFonts w:hint="eastAsia"/>
                      <w:szCs w:val="21"/>
                    </w:rPr>
                    <w:t>液态</w:t>
                  </w:r>
                </w:p>
              </w:tc>
              <w:tc>
                <w:tcPr>
                  <w:tcW w:w="1511" w:type="dxa"/>
                  <w:tcBorders>
                    <w:top w:val="single" w:color="auto" w:sz="4" w:space="0"/>
                    <w:left w:val="single" w:color="auto" w:sz="4" w:space="0"/>
                    <w:bottom w:val="single" w:color="auto" w:sz="4" w:space="0"/>
                    <w:right w:val="single" w:color="auto" w:sz="4" w:space="0"/>
                  </w:tcBorders>
                  <w:vAlign w:val="center"/>
                </w:tcPr>
                <w:p w14:paraId="54A26E9B">
                  <w:pPr>
                    <w:spacing w:before="24" w:after="24"/>
                    <w:jc w:val="center"/>
                    <w:rPr>
                      <w:rFonts w:hint="eastAsia" w:eastAsia="宋体"/>
                      <w:szCs w:val="21"/>
                      <w:lang w:val="en-US" w:eastAsia="zh-CN"/>
                    </w:rPr>
                  </w:pPr>
                  <w:r>
                    <w:rPr>
                      <w:rFonts w:hint="eastAsia"/>
                      <w:szCs w:val="21"/>
                      <w:lang w:val="en-US" w:eastAsia="zh-CN"/>
                    </w:rPr>
                    <w:t>固态</w:t>
                  </w:r>
                </w:p>
              </w:tc>
              <w:tc>
                <w:tcPr>
                  <w:tcW w:w="1511" w:type="dxa"/>
                  <w:tcBorders>
                    <w:top w:val="single" w:color="auto" w:sz="4" w:space="0"/>
                    <w:left w:val="single" w:color="auto" w:sz="4" w:space="0"/>
                    <w:bottom w:val="single" w:color="auto" w:sz="4" w:space="0"/>
                    <w:right w:val="single" w:color="auto" w:sz="4" w:space="0"/>
                  </w:tcBorders>
                  <w:vAlign w:val="center"/>
                </w:tcPr>
                <w:p w14:paraId="3697686F">
                  <w:pPr>
                    <w:spacing w:before="24" w:after="24"/>
                    <w:jc w:val="center"/>
                    <w:rPr>
                      <w:rFonts w:hint="default"/>
                      <w:szCs w:val="21"/>
                      <w:lang w:val="en-US" w:eastAsia="zh-CN"/>
                    </w:rPr>
                  </w:pPr>
                  <w:r>
                    <w:rPr>
                      <w:rFonts w:hint="eastAsia"/>
                      <w:szCs w:val="21"/>
                      <w:lang w:val="en-US" w:eastAsia="zh-CN"/>
                    </w:rPr>
                    <w:t>固态</w:t>
                  </w:r>
                </w:p>
              </w:tc>
              <w:tc>
                <w:tcPr>
                  <w:tcW w:w="1511" w:type="dxa"/>
                  <w:tcBorders>
                    <w:top w:val="single" w:color="auto" w:sz="4" w:space="0"/>
                    <w:left w:val="single" w:color="auto" w:sz="4" w:space="0"/>
                    <w:bottom w:val="single" w:color="auto" w:sz="4" w:space="0"/>
                    <w:right w:val="single" w:color="auto" w:sz="4" w:space="0"/>
                  </w:tcBorders>
                  <w:vAlign w:val="center"/>
                </w:tcPr>
                <w:p w14:paraId="35D9417B">
                  <w:pPr>
                    <w:spacing w:before="24" w:after="24"/>
                    <w:jc w:val="center"/>
                    <w:rPr>
                      <w:rFonts w:hint="eastAsia"/>
                      <w:szCs w:val="21"/>
                      <w:lang w:val="en-US" w:eastAsia="zh-CN"/>
                    </w:rPr>
                  </w:pPr>
                  <w:r>
                    <w:rPr>
                      <w:rFonts w:hint="eastAsia"/>
                      <w:szCs w:val="21"/>
                      <w:lang w:val="en-US" w:eastAsia="zh-CN"/>
                    </w:rPr>
                    <w:t>固态</w:t>
                  </w:r>
                </w:p>
              </w:tc>
            </w:tr>
            <w:tr w14:paraId="4036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47A2DFF1">
                  <w:pPr>
                    <w:spacing w:line="240" w:lineRule="exact"/>
                    <w:jc w:val="center"/>
                    <w:rPr>
                      <w:szCs w:val="21"/>
                    </w:rPr>
                  </w:pPr>
                  <w:r>
                    <w:rPr>
                      <w:szCs w:val="21"/>
                    </w:rPr>
                    <w:t>主要成分</w:t>
                  </w:r>
                </w:p>
              </w:tc>
              <w:tc>
                <w:tcPr>
                  <w:tcW w:w="1717" w:type="dxa"/>
                  <w:tcBorders>
                    <w:top w:val="single" w:color="auto" w:sz="4" w:space="0"/>
                    <w:left w:val="single" w:color="auto" w:sz="4" w:space="0"/>
                    <w:bottom w:val="single" w:color="auto" w:sz="4" w:space="0"/>
                    <w:right w:val="single" w:color="auto" w:sz="4" w:space="0"/>
                  </w:tcBorders>
                  <w:vAlign w:val="center"/>
                </w:tcPr>
                <w:p w14:paraId="0D8AE8EB">
                  <w:pPr>
                    <w:spacing w:before="24" w:after="24"/>
                    <w:jc w:val="center"/>
                    <w:rPr>
                      <w:rFonts w:hint="eastAsia" w:eastAsia="宋体"/>
                      <w:szCs w:val="21"/>
                      <w:lang w:val="en-US" w:eastAsia="zh-CN"/>
                    </w:rPr>
                  </w:pPr>
                  <w:r>
                    <w:rPr>
                      <w:rFonts w:hint="eastAsia"/>
                      <w:szCs w:val="21"/>
                      <w:lang w:val="en-US" w:eastAsia="zh-CN"/>
                    </w:rPr>
                    <w:t>油类物质</w:t>
                  </w:r>
                </w:p>
              </w:tc>
              <w:tc>
                <w:tcPr>
                  <w:tcW w:w="1511" w:type="dxa"/>
                  <w:tcBorders>
                    <w:top w:val="single" w:color="auto" w:sz="4" w:space="0"/>
                    <w:left w:val="single" w:color="auto" w:sz="4" w:space="0"/>
                    <w:bottom w:val="single" w:color="auto" w:sz="4" w:space="0"/>
                    <w:right w:val="single" w:color="auto" w:sz="4" w:space="0"/>
                  </w:tcBorders>
                  <w:vAlign w:val="center"/>
                </w:tcPr>
                <w:p w14:paraId="24E580C2">
                  <w:pPr>
                    <w:spacing w:before="24" w:after="24"/>
                    <w:jc w:val="center"/>
                    <w:rPr>
                      <w:rFonts w:hint="default" w:eastAsiaTheme="minorEastAsia"/>
                      <w:szCs w:val="21"/>
                      <w:lang w:val="en-US" w:eastAsia="zh-CN"/>
                    </w:rPr>
                  </w:pPr>
                  <w:r>
                    <w:rPr>
                      <w:rFonts w:hint="eastAsia"/>
                      <w:szCs w:val="21"/>
                      <w:lang w:val="en-US" w:eastAsia="zh-CN"/>
                    </w:rPr>
                    <w:t>聚乙烯</w:t>
                  </w:r>
                </w:p>
              </w:tc>
              <w:tc>
                <w:tcPr>
                  <w:tcW w:w="1511" w:type="dxa"/>
                  <w:tcBorders>
                    <w:top w:val="single" w:color="auto" w:sz="4" w:space="0"/>
                    <w:left w:val="single" w:color="auto" w:sz="4" w:space="0"/>
                    <w:bottom w:val="single" w:color="auto" w:sz="4" w:space="0"/>
                    <w:right w:val="single" w:color="auto" w:sz="4" w:space="0"/>
                  </w:tcBorders>
                  <w:vAlign w:val="center"/>
                </w:tcPr>
                <w:p w14:paraId="0AF172F5">
                  <w:pPr>
                    <w:spacing w:before="24" w:after="24"/>
                    <w:jc w:val="center"/>
                    <w:rPr>
                      <w:rFonts w:hint="default" w:eastAsiaTheme="minorEastAsia"/>
                      <w:szCs w:val="21"/>
                      <w:lang w:val="en-US" w:eastAsia="zh-CN"/>
                    </w:rPr>
                  </w:pPr>
                  <w:r>
                    <w:rPr>
                      <w:rFonts w:hint="eastAsia" w:eastAsiaTheme="minorEastAsia"/>
                      <w:szCs w:val="21"/>
                      <w:lang w:val="en-US" w:eastAsia="zh-CN"/>
                    </w:rPr>
                    <w:t>聚丙烯</w:t>
                  </w:r>
                </w:p>
              </w:tc>
              <w:tc>
                <w:tcPr>
                  <w:tcW w:w="1511" w:type="dxa"/>
                  <w:tcBorders>
                    <w:top w:val="single" w:color="auto" w:sz="4" w:space="0"/>
                    <w:left w:val="single" w:color="auto" w:sz="4" w:space="0"/>
                    <w:bottom w:val="single" w:color="auto" w:sz="4" w:space="0"/>
                    <w:right w:val="single" w:color="auto" w:sz="4" w:space="0"/>
                  </w:tcBorders>
                  <w:vAlign w:val="center"/>
                </w:tcPr>
                <w:p w14:paraId="091C5121">
                  <w:pPr>
                    <w:spacing w:before="24" w:after="24"/>
                    <w:jc w:val="center"/>
                    <w:rPr>
                      <w:rFonts w:hint="eastAsia" w:eastAsiaTheme="minorEastAsia"/>
                      <w:szCs w:val="21"/>
                      <w:lang w:val="en-US" w:eastAsia="zh-CN"/>
                    </w:rPr>
                  </w:pPr>
                  <w:r>
                    <w:rPr>
                      <w:rFonts w:hint="eastAsia" w:eastAsiaTheme="minorEastAsia"/>
                      <w:szCs w:val="21"/>
                      <w:lang w:val="en-US" w:eastAsia="zh-CN"/>
                    </w:rPr>
                    <w:t>聚丙烯</w:t>
                  </w:r>
                </w:p>
              </w:tc>
            </w:tr>
            <w:tr w14:paraId="2624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09DBAB4F">
                  <w:pPr>
                    <w:spacing w:line="240" w:lineRule="exact"/>
                    <w:jc w:val="center"/>
                    <w:rPr>
                      <w:szCs w:val="21"/>
                    </w:rPr>
                  </w:pPr>
                  <w:r>
                    <w:rPr>
                      <w:szCs w:val="21"/>
                    </w:rPr>
                    <w:t>有害成分</w:t>
                  </w:r>
                </w:p>
              </w:tc>
              <w:tc>
                <w:tcPr>
                  <w:tcW w:w="1717" w:type="dxa"/>
                  <w:tcBorders>
                    <w:top w:val="single" w:color="auto" w:sz="4" w:space="0"/>
                    <w:left w:val="single" w:color="auto" w:sz="4" w:space="0"/>
                    <w:bottom w:val="single" w:color="auto" w:sz="4" w:space="0"/>
                    <w:right w:val="single" w:color="auto" w:sz="4" w:space="0"/>
                  </w:tcBorders>
                  <w:vAlign w:val="center"/>
                </w:tcPr>
                <w:p w14:paraId="2157809A">
                  <w:pPr>
                    <w:spacing w:before="24" w:after="24"/>
                    <w:jc w:val="center"/>
                    <w:rPr>
                      <w:szCs w:val="21"/>
                    </w:rPr>
                  </w:pPr>
                  <w:r>
                    <w:rPr>
                      <w:rFonts w:hint="eastAsia"/>
                      <w:szCs w:val="21"/>
                      <w:lang w:val="en-US" w:eastAsia="zh-CN"/>
                    </w:rPr>
                    <w:t>油类物质</w:t>
                  </w:r>
                </w:p>
              </w:tc>
              <w:tc>
                <w:tcPr>
                  <w:tcW w:w="1511" w:type="dxa"/>
                  <w:tcBorders>
                    <w:top w:val="single" w:color="auto" w:sz="4" w:space="0"/>
                    <w:left w:val="single" w:color="auto" w:sz="4" w:space="0"/>
                    <w:bottom w:val="single" w:color="auto" w:sz="4" w:space="0"/>
                    <w:right w:val="single" w:color="auto" w:sz="4" w:space="0"/>
                  </w:tcBorders>
                  <w:vAlign w:val="center"/>
                </w:tcPr>
                <w:p w14:paraId="25D10723">
                  <w:pPr>
                    <w:spacing w:before="24" w:after="24"/>
                    <w:jc w:val="center"/>
                    <w:rPr>
                      <w:rFonts w:hint="eastAsia" w:eastAsiaTheme="minorEastAsia"/>
                      <w:szCs w:val="21"/>
                      <w:lang w:val="en-US" w:eastAsia="zh-CN"/>
                    </w:rPr>
                  </w:pPr>
                  <w:r>
                    <w:rPr>
                      <w:rFonts w:hint="eastAsia"/>
                      <w:szCs w:val="21"/>
                      <w:lang w:val="en-US" w:eastAsia="zh-CN"/>
                    </w:rPr>
                    <w:t>油类物质</w:t>
                  </w:r>
                </w:p>
              </w:tc>
              <w:tc>
                <w:tcPr>
                  <w:tcW w:w="1511" w:type="dxa"/>
                  <w:tcBorders>
                    <w:top w:val="single" w:color="auto" w:sz="4" w:space="0"/>
                    <w:left w:val="single" w:color="auto" w:sz="4" w:space="0"/>
                    <w:bottom w:val="single" w:color="auto" w:sz="4" w:space="0"/>
                    <w:right w:val="single" w:color="auto" w:sz="4" w:space="0"/>
                  </w:tcBorders>
                  <w:vAlign w:val="center"/>
                </w:tcPr>
                <w:p w14:paraId="637F458F">
                  <w:pPr>
                    <w:spacing w:before="24" w:after="24"/>
                    <w:jc w:val="center"/>
                    <w:rPr>
                      <w:rFonts w:hint="default" w:eastAsiaTheme="minorEastAsia"/>
                      <w:szCs w:val="21"/>
                      <w:lang w:val="en-US" w:eastAsia="zh-CN"/>
                    </w:rPr>
                  </w:pPr>
                  <w:r>
                    <w:rPr>
                      <w:rFonts w:hint="eastAsia" w:eastAsiaTheme="minorEastAsia"/>
                      <w:szCs w:val="21"/>
                      <w:lang w:val="en-US" w:eastAsia="zh-CN"/>
                    </w:rPr>
                    <w:t>重金属</w:t>
                  </w:r>
                </w:p>
              </w:tc>
              <w:tc>
                <w:tcPr>
                  <w:tcW w:w="1511" w:type="dxa"/>
                  <w:tcBorders>
                    <w:top w:val="single" w:color="auto" w:sz="4" w:space="0"/>
                    <w:left w:val="single" w:color="auto" w:sz="4" w:space="0"/>
                    <w:bottom w:val="single" w:color="auto" w:sz="4" w:space="0"/>
                    <w:right w:val="single" w:color="auto" w:sz="4" w:space="0"/>
                  </w:tcBorders>
                  <w:vAlign w:val="center"/>
                </w:tcPr>
                <w:p w14:paraId="02C2BBAB">
                  <w:pPr>
                    <w:spacing w:before="24" w:after="24"/>
                    <w:jc w:val="center"/>
                    <w:rPr>
                      <w:rFonts w:hint="eastAsia" w:eastAsiaTheme="minorEastAsia"/>
                      <w:szCs w:val="21"/>
                      <w:lang w:val="en-US" w:eastAsia="zh-CN"/>
                    </w:rPr>
                  </w:pPr>
                  <w:r>
                    <w:rPr>
                      <w:rFonts w:hint="eastAsia" w:eastAsiaTheme="minorEastAsia"/>
                      <w:szCs w:val="21"/>
                      <w:lang w:val="en-US" w:eastAsia="zh-CN"/>
                    </w:rPr>
                    <w:t>重金属</w:t>
                  </w:r>
                </w:p>
              </w:tc>
            </w:tr>
            <w:tr w14:paraId="64F5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6B81AB8F">
                  <w:pPr>
                    <w:spacing w:line="240" w:lineRule="exact"/>
                    <w:jc w:val="center"/>
                    <w:rPr>
                      <w:szCs w:val="21"/>
                    </w:rPr>
                  </w:pPr>
                  <w:r>
                    <w:rPr>
                      <w:szCs w:val="21"/>
                    </w:rPr>
                    <w:t>产废周期</w:t>
                  </w:r>
                </w:p>
              </w:tc>
              <w:tc>
                <w:tcPr>
                  <w:tcW w:w="3228" w:type="dxa"/>
                  <w:gridSpan w:val="2"/>
                  <w:tcBorders>
                    <w:top w:val="single" w:color="auto" w:sz="4" w:space="0"/>
                    <w:left w:val="single" w:color="auto" w:sz="4" w:space="0"/>
                    <w:bottom w:val="single" w:color="auto" w:sz="4" w:space="0"/>
                    <w:right w:val="single" w:color="auto" w:sz="4" w:space="0"/>
                  </w:tcBorders>
                  <w:vAlign w:val="center"/>
                </w:tcPr>
                <w:p w14:paraId="466A7C2D">
                  <w:pPr>
                    <w:pStyle w:val="23"/>
                    <w:spacing w:before="24" w:after="24"/>
                    <w:rPr>
                      <w:rFonts w:hint="eastAsia"/>
                      <w:spacing w:val="10"/>
                      <w:sz w:val="21"/>
                      <w:szCs w:val="21"/>
                    </w:rPr>
                  </w:pPr>
                  <w:r>
                    <w:rPr>
                      <w:rFonts w:hint="eastAsia"/>
                      <w:spacing w:val="10"/>
                      <w:sz w:val="21"/>
                      <w:szCs w:val="21"/>
                    </w:rPr>
                    <w:t>1</w:t>
                  </w:r>
                  <w:r>
                    <w:rPr>
                      <w:spacing w:val="10"/>
                      <w:sz w:val="21"/>
                      <w:szCs w:val="21"/>
                    </w:rPr>
                    <w:t>次/</w:t>
                  </w:r>
                  <w:r>
                    <w:rPr>
                      <w:rFonts w:hint="eastAsia"/>
                      <w:spacing w:val="10"/>
                      <w:sz w:val="21"/>
                      <w:szCs w:val="21"/>
                    </w:rPr>
                    <w:t>半年</w:t>
                  </w:r>
                </w:p>
              </w:tc>
              <w:tc>
                <w:tcPr>
                  <w:tcW w:w="1511" w:type="dxa"/>
                  <w:tcBorders>
                    <w:top w:val="single" w:color="auto" w:sz="4" w:space="0"/>
                    <w:left w:val="single" w:color="auto" w:sz="4" w:space="0"/>
                    <w:bottom w:val="single" w:color="auto" w:sz="4" w:space="0"/>
                    <w:right w:val="single" w:color="auto" w:sz="4" w:space="0"/>
                  </w:tcBorders>
                  <w:vAlign w:val="center"/>
                </w:tcPr>
                <w:p w14:paraId="28B07401">
                  <w:pPr>
                    <w:pStyle w:val="23"/>
                    <w:spacing w:before="24" w:after="24"/>
                    <w:rPr>
                      <w:rFonts w:hint="eastAsia"/>
                      <w:spacing w:val="10"/>
                      <w:sz w:val="21"/>
                      <w:szCs w:val="21"/>
                    </w:rPr>
                  </w:pPr>
                  <w:r>
                    <w:rPr>
                      <w:rFonts w:hint="eastAsia"/>
                      <w:spacing w:val="10"/>
                      <w:sz w:val="21"/>
                      <w:szCs w:val="21"/>
                    </w:rPr>
                    <w:t>1</w:t>
                  </w:r>
                  <w:r>
                    <w:rPr>
                      <w:spacing w:val="10"/>
                      <w:sz w:val="21"/>
                      <w:szCs w:val="21"/>
                    </w:rPr>
                    <w:t>次/</w:t>
                  </w:r>
                  <w:r>
                    <w:rPr>
                      <w:rFonts w:hint="eastAsia"/>
                      <w:spacing w:val="10"/>
                      <w:sz w:val="21"/>
                      <w:szCs w:val="21"/>
                    </w:rPr>
                    <w:t>半年</w:t>
                  </w:r>
                </w:p>
              </w:tc>
              <w:tc>
                <w:tcPr>
                  <w:tcW w:w="1511" w:type="dxa"/>
                  <w:tcBorders>
                    <w:top w:val="single" w:color="auto" w:sz="4" w:space="0"/>
                    <w:left w:val="single" w:color="auto" w:sz="4" w:space="0"/>
                    <w:bottom w:val="single" w:color="auto" w:sz="4" w:space="0"/>
                    <w:right w:val="single" w:color="auto" w:sz="4" w:space="0"/>
                  </w:tcBorders>
                  <w:vAlign w:val="center"/>
                </w:tcPr>
                <w:p w14:paraId="58B7D797">
                  <w:pPr>
                    <w:pStyle w:val="23"/>
                    <w:spacing w:before="24" w:after="24"/>
                    <w:rPr>
                      <w:rFonts w:hint="eastAsia"/>
                      <w:spacing w:val="10"/>
                      <w:sz w:val="21"/>
                      <w:szCs w:val="21"/>
                    </w:rPr>
                  </w:pPr>
                  <w:r>
                    <w:rPr>
                      <w:rFonts w:hint="eastAsia"/>
                      <w:spacing w:val="10"/>
                      <w:sz w:val="21"/>
                      <w:szCs w:val="21"/>
                    </w:rPr>
                    <w:t>1</w:t>
                  </w:r>
                  <w:r>
                    <w:rPr>
                      <w:spacing w:val="10"/>
                      <w:sz w:val="21"/>
                      <w:szCs w:val="21"/>
                    </w:rPr>
                    <w:t>次/</w:t>
                  </w:r>
                  <w:r>
                    <w:rPr>
                      <w:rFonts w:hint="eastAsia"/>
                      <w:spacing w:val="10"/>
                      <w:sz w:val="21"/>
                      <w:szCs w:val="21"/>
                    </w:rPr>
                    <w:t>半年</w:t>
                  </w:r>
                </w:p>
              </w:tc>
            </w:tr>
            <w:tr w14:paraId="56A4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349AA051">
                  <w:pPr>
                    <w:spacing w:line="240" w:lineRule="exact"/>
                    <w:jc w:val="center"/>
                    <w:rPr>
                      <w:szCs w:val="21"/>
                    </w:rPr>
                  </w:pPr>
                  <w:r>
                    <w:rPr>
                      <w:szCs w:val="21"/>
                    </w:rPr>
                    <w:t>危险特性</w:t>
                  </w:r>
                </w:p>
              </w:tc>
              <w:tc>
                <w:tcPr>
                  <w:tcW w:w="1717" w:type="dxa"/>
                  <w:tcBorders>
                    <w:top w:val="single" w:color="auto" w:sz="4" w:space="0"/>
                    <w:left w:val="single" w:color="auto" w:sz="4" w:space="0"/>
                    <w:bottom w:val="single" w:color="auto" w:sz="4" w:space="0"/>
                    <w:right w:val="single" w:color="auto" w:sz="4" w:space="0"/>
                  </w:tcBorders>
                  <w:vAlign w:val="center"/>
                </w:tcPr>
                <w:p w14:paraId="5BF1C0DF">
                  <w:pPr>
                    <w:pStyle w:val="23"/>
                    <w:spacing w:before="24" w:after="24"/>
                    <w:rPr>
                      <w:sz w:val="21"/>
                      <w:szCs w:val="21"/>
                    </w:rPr>
                  </w:pPr>
                  <w:r>
                    <w:rPr>
                      <w:rFonts w:hint="eastAsia"/>
                      <w:sz w:val="21"/>
                      <w:szCs w:val="21"/>
                    </w:rPr>
                    <w:t>毒性、易燃性</w:t>
                  </w:r>
                </w:p>
              </w:tc>
              <w:tc>
                <w:tcPr>
                  <w:tcW w:w="1511" w:type="dxa"/>
                  <w:tcBorders>
                    <w:top w:val="single" w:color="auto" w:sz="4" w:space="0"/>
                    <w:left w:val="single" w:color="auto" w:sz="4" w:space="0"/>
                    <w:bottom w:val="single" w:color="auto" w:sz="4" w:space="0"/>
                    <w:right w:val="single" w:color="auto" w:sz="4" w:space="0"/>
                  </w:tcBorders>
                  <w:vAlign w:val="center"/>
                </w:tcPr>
                <w:p w14:paraId="17B0C521">
                  <w:pPr>
                    <w:pStyle w:val="23"/>
                    <w:spacing w:before="24" w:after="24"/>
                    <w:rPr>
                      <w:rFonts w:hint="eastAsia" w:eastAsia="宋体"/>
                      <w:sz w:val="21"/>
                      <w:szCs w:val="21"/>
                      <w:lang w:val="en-US" w:eastAsia="zh-CN"/>
                    </w:rPr>
                  </w:pPr>
                  <w:r>
                    <w:rPr>
                      <w:rFonts w:hint="eastAsia"/>
                      <w:sz w:val="21"/>
                      <w:szCs w:val="21"/>
                      <w:lang w:val="en-US" w:eastAsia="zh-CN"/>
                    </w:rPr>
                    <w:t>毒性</w:t>
                  </w:r>
                </w:p>
              </w:tc>
              <w:tc>
                <w:tcPr>
                  <w:tcW w:w="1511" w:type="dxa"/>
                  <w:tcBorders>
                    <w:top w:val="single" w:color="auto" w:sz="4" w:space="0"/>
                    <w:left w:val="single" w:color="auto" w:sz="4" w:space="0"/>
                    <w:bottom w:val="single" w:color="auto" w:sz="4" w:space="0"/>
                    <w:right w:val="single" w:color="auto" w:sz="4" w:space="0"/>
                  </w:tcBorders>
                  <w:vAlign w:val="center"/>
                </w:tcPr>
                <w:p w14:paraId="5EA8A129">
                  <w:pPr>
                    <w:pStyle w:val="23"/>
                    <w:spacing w:before="24" w:after="24"/>
                    <w:rPr>
                      <w:rFonts w:hint="default"/>
                      <w:sz w:val="21"/>
                      <w:szCs w:val="21"/>
                      <w:lang w:val="en-US" w:eastAsia="zh-CN"/>
                    </w:rPr>
                  </w:pPr>
                  <w:r>
                    <w:rPr>
                      <w:rFonts w:hint="eastAsia"/>
                      <w:sz w:val="21"/>
                      <w:szCs w:val="21"/>
                      <w:lang w:val="en-US" w:eastAsia="zh-CN"/>
                    </w:rPr>
                    <w:t>毒性</w:t>
                  </w:r>
                </w:p>
              </w:tc>
              <w:tc>
                <w:tcPr>
                  <w:tcW w:w="1511" w:type="dxa"/>
                  <w:tcBorders>
                    <w:top w:val="single" w:color="auto" w:sz="4" w:space="0"/>
                    <w:left w:val="single" w:color="auto" w:sz="4" w:space="0"/>
                    <w:bottom w:val="single" w:color="auto" w:sz="4" w:space="0"/>
                    <w:right w:val="single" w:color="auto" w:sz="4" w:space="0"/>
                  </w:tcBorders>
                  <w:vAlign w:val="center"/>
                </w:tcPr>
                <w:p w14:paraId="572CC835">
                  <w:pPr>
                    <w:pStyle w:val="23"/>
                    <w:spacing w:before="24" w:after="24"/>
                    <w:rPr>
                      <w:rFonts w:hint="eastAsia"/>
                      <w:sz w:val="21"/>
                      <w:szCs w:val="21"/>
                      <w:lang w:val="en-US" w:eastAsia="zh-CN"/>
                    </w:rPr>
                  </w:pPr>
                  <w:r>
                    <w:rPr>
                      <w:rFonts w:hint="eastAsia"/>
                      <w:sz w:val="21"/>
                      <w:szCs w:val="21"/>
                      <w:lang w:val="en-US" w:eastAsia="zh-CN"/>
                    </w:rPr>
                    <w:t>毒性</w:t>
                  </w:r>
                </w:p>
              </w:tc>
            </w:tr>
            <w:tr w14:paraId="3180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27" w:type="dxa"/>
                  <w:tcBorders>
                    <w:top w:val="single" w:color="auto" w:sz="4" w:space="0"/>
                    <w:left w:val="single" w:color="auto" w:sz="4" w:space="0"/>
                    <w:bottom w:val="single" w:color="auto" w:sz="4" w:space="0"/>
                    <w:right w:val="single" w:color="auto" w:sz="4" w:space="0"/>
                  </w:tcBorders>
                  <w:vAlign w:val="center"/>
                </w:tcPr>
                <w:p w14:paraId="69613CB5">
                  <w:pPr>
                    <w:spacing w:line="240" w:lineRule="exact"/>
                    <w:jc w:val="center"/>
                    <w:rPr>
                      <w:szCs w:val="21"/>
                    </w:rPr>
                  </w:pPr>
                  <w:r>
                    <w:rPr>
                      <w:szCs w:val="21"/>
                    </w:rPr>
                    <w:t>污染防治措施</w:t>
                  </w:r>
                </w:p>
              </w:tc>
              <w:tc>
                <w:tcPr>
                  <w:tcW w:w="6250" w:type="dxa"/>
                  <w:gridSpan w:val="4"/>
                  <w:tcBorders>
                    <w:top w:val="single" w:color="auto" w:sz="4" w:space="0"/>
                    <w:left w:val="single" w:color="auto" w:sz="4" w:space="0"/>
                    <w:bottom w:val="single" w:color="auto" w:sz="4" w:space="0"/>
                    <w:right w:val="single" w:color="auto" w:sz="4" w:space="0"/>
                  </w:tcBorders>
                  <w:vAlign w:val="center"/>
                </w:tcPr>
                <w:p w14:paraId="122ED1D7">
                  <w:pPr>
                    <w:pStyle w:val="23"/>
                    <w:spacing w:before="24" w:after="24"/>
                    <w:ind w:left="480" w:hanging="480"/>
                    <w:rPr>
                      <w:rFonts w:hint="eastAsia"/>
                      <w:sz w:val="21"/>
                      <w:szCs w:val="21"/>
                    </w:rPr>
                  </w:pPr>
                  <w:r>
                    <w:rPr>
                      <w:rFonts w:hint="eastAsia"/>
                      <w:sz w:val="21"/>
                      <w:szCs w:val="21"/>
                    </w:rPr>
                    <w:t>分类收集，委托有相关资质的单位处置</w:t>
                  </w:r>
                </w:p>
              </w:tc>
            </w:tr>
          </w:tbl>
          <w:p w14:paraId="29785C6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项目拟在厂区设置</w:t>
            </w: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个</w:t>
            </w:r>
            <w:r>
              <w:rPr>
                <w:rFonts w:hint="eastAsia" w:ascii="Times New Roman" w:hAnsi="Times New Roman" w:eastAsia="宋体" w:cs="Times New Roman"/>
                <w:color w:val="000000"/>
                <w:kern w:val="0"/>
                <w:sz w:val="24"/>
                <w:szCs w:val="24"/>
                <w:lang w:val="en-US" w:eastAsia="zh-CN" w:bidi="ar"/>
              </w:rPr>
              <w:t>90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危险废物暂存间</w:t>
            </w:r>
            <w:r>
              <w:rPr>
                <w:rFonts w:hint="eastAsia" w:ascii="Times New Roman" w:hAnsi="Times New Roman" w:eastAsia="宋体" w:cs="Times New Roman"/>
                <w:color w:val="000000"/>
                <w:kern w:val="0"/>
                <w:sz w:val="24"/>
                <w:szCs w:val="24"/>
                <w:lang w:val="en-US" w:eastAsia="zh-CN" w:bidi="ar"/>
              </w:rPr>
              <w:t>和1个90</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2</w:t>
            </w:r>
            <w:r>
              <w:rPr>
                <w:rFonts w:hint="eastAsia" w:ascii="Times New Roman" w:hAnsi="Times New Roman" w:eastAsia="宋体" w:cs="Times New Roman"/>
                <w:color w:val="000000"/>
                <w:kern w:val="0"/>
                <w:sz w:val="24"/>
                <w:szCs w:val="24"/>
                <w:lang w:val="en-US" w:eastAsia="zh-CN" w:bidi="ar"/>
              </w:rPr>
              <w:t>一般工业固体</w:t>
            </w:r>
            <w:r>
              <w:rPr>
                <w:rFonts w:hint="default" w:ascii="Times New Roman" w:hAnsi="Times New Roman" w:eastAsia="宋体" w:cs="Times New Roman"/>
                <w:color w:val="000000"/>
                <w:kern w:val="0"/>
                <w:sz w:val="24"/>
                <w:szCs w:val="24"/>
                <w:lang w:val="en-US" w:eastAsia="zh-CN" w:bidi="ar"/>
              </w:rPr>
              <w:t>废物暂存间，贮存周期为3个月，</w:t>
            </w:r>
            <w:r>
              <w:rPr>
                <w:rFonts w:hint="eastAsia" w:cs="Times New Roman"/>
                <w:color w:val="000000"/>
                <w:kern w:val="0"/>
                <w:sz w:val="24"/>
                <w:szCs w:val="24"/>
                <w:lang w:val="en-US" w:eastAsia="zh-CN" w:bidi="ar"/>
              </w:rPr>
              <w:t>废机油与废润滑油厂界最大临时储存量为0.03t，危废暂存间与一般工业固废暂存间最大贮存量约为10t。</w:t>
            </w:r>
            <w:r>
              <w:rPr>
                <w:rFonts w:hint="eastAsia" w:ascii="Times New Roman" w:hAnsi="Times New Roman" w:eastAsia="宋体" w:cs="Times New Roman"/>
                <w:color w:val="000000"/>
                <w:kern w:val="0"/>
                <w:sz w:val="24"/>
                <w:szCs w:val="24"/>
                <w:lang w:val="en-US" w:eastAsia="zh-CN" w:bidi="ar"/>
              </w:rPr>
              <w:t>一般工业固体收集后暂存于一般工业固体废物暂存间；</w:t>
            </w:r>
            <w:r>
              <w:rPr>
                <w:rFonts w:hint="default" w:ascii="Times New Roman" w:hAnsi="Times New Roman" w:eastAsia="宋体" w:cs="Times New Roman"/>
                <w:color w:val="000000"/>
                <w:kern w:val="0"/>
                <w:sz w:val="24"/>
                <w:szCs w:val="24"/>
                <w:lang w:val="en-US" w:eastAsia="zh-CN" w:bidi="ar"/>
              </w:rPr>
              <w:t>危险废物收集后暂存于危废暂存间，定期交由有资质的单位处理。</w:t>
            </w:r>
          </w:p>
          <w:p w14:paraId="794F62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危废暂存</w:t>
            </w:r>
            <w:r>
              <w:rPr>
                <w:rFonts w:hint="eastAsia" w:cs="Times New Roman"/>
                <w:color w:val="000000"/>
                <w:kern w:val="0"/>
                <w:sz w:val="24"/>
                <w:szCs w:val="24"/>
                <w:lang w:val="en-US" w:eastAsia="zh-CN" w:bidi="ar"/>
              </w:rPr>
              <w:t>间</w:t>
            </w:r>
            <w:r>
              <w:rPr>
                <w:rFonts w:hint="default" w:ascii="Times New Roman" w:hAnsi="Times New Roman" w:eastAsia="宋体" w:cs="Times New Roman"/>
                <w:color w:val="000000"/>
                <w:kern w:val="0"/>
                <w:sz w:val="24"/>
                <w:szCs w:val="24"/>
                <w:lang w:val="en-US" w:eastAsia="zh-CN" w:bidi="ar"/>
              </w:rPr>
              <w:t>将按照《危险废物贮存污染控制标准》（GB18597-2023）要求进行建设，并按照GB18597-2023及其他相关文件要求做好防水和防渗措施，对危险废物进行分类标识，做好危废管理制度与进出入库记录台账。</w:t>
            </w:r>
          </w:p>
          <w:p w14:paraId="1742DEBA">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管理要求</w:t>
            </w:r>
          </w:p>
          <w:p w14:paraId="736B7A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（1）生活垃圾</w:t>
            </w:r>
          </w:p>
          <w:p w14:paraId="4E5521F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生活垃圾交环卫部门定期清理，统一处理，并对垃圾堆放点进行消毒，杀灭害虫，以免散发恶、臭、滋生蚊蝇。</w:t>
            </w:r>
          </w:p>
          <w:p w14:paraId="2B187E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（2）一般固体废物</w:t>
            </w:r>
          </w:p>
          <w:p w14:paraId="3B9DA7B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项目产生的</w:t>
            </w:r>
            <w:r>
              <w:rPr>
                <w:rFonts w:hint="eastAsia" w:cs="Times New Roman"/>
                <w:color w:val="000000"/>
                <w:kern w:val="0"/>
                <w:sz w:val="24"/>
                <w:szCs w:val="24"/>
                <w:lang w:val="en-US" w:eastAsia="zh-CN" w:bidi="ar"/>
              </w:rPr>
              <w:t>废包装</w:t>
            </w:r>
            <w:r>
              <w:rPr>
                <w:rFonts w:hint="default" w:ascii="Times New Roman" w:hAnsi="Times New Roman" w:eastAsia="宋体" w:cs="Times New Roman"/>
                <w:color w:val="000000"/>
                <w:kern w:val="0"/>
                <w:sz w:val="24"/>
                <w:szCs w:val="24"/>
                <w:lang w:val="en-US" w:eastAsia="zh-CN" w:bidi="ar"/>
              </w:rPr>
              <w:t>暂存于</w:t>
            </w:r>
            <w:r>
              <w:rPr>
                <w:rFonts w:hint="eastAsia" w:cs="Times New Roman"/>
                <w:color w:val="000000"/>
                <w:kern w:val="0"/>
                <w:sz w:val="24"/>
                <w:szCs w:val="24"/>
                <w:lang w:val="en-US" w:eastAsia="zh-CN" w:bidi="ar"/>
              </w:rPr>
              <w:t>一般工业固体废物暂存间</w:t>
            </w:r>
            <w:r>
              <w:rPr>
                <w:rFonts w:hint="default" w:ascii="Times New Roman" w:hAnsi="Times New Roman" w:eastAsia="宋体" w:cs="Times New Roman"/>
                <w:color w:val="000000"/>
                <w:kern w:val="0"/>
                <w:sz w:val="24"/>
                <w:szCs w:val="24"/>
                <w:lang w:val="en-US" w:eastAsia="zh-CN" w:bidi="ar"/>
              </w:rPr>
              <w:t>内</w:t>
            </w:r>
            <w:r>
              <w:rPr>
                <w:rFonts w:hint="eastAsia" w:cs="Times New Roman"/>
                <w:color w:val="000000"/>
                <w:kern w:val="0"/>
                <w:sz w:val="24"/>
                <w:szCs w:val="24"/>
                <w:lang w:val="en-US" w:eastAsia="zh-CN" w:bidi="ar"/>
              </w:rPr>
              <w:t>，外售给物资回收单位回收利用，沉淀池沉渣、除尘器收集粉尘收集后直接回用于生产</w:t>
            </w:r>
            <w:r>
              <w:rPr>
                <w:rFonts w:hint="default" w:ascii="Times New Roman" w:hAnsi="Times New Roman" w:eastAsia="宋体" w:cs="Times New Roman"/>
                <w:color w:val="000000"/>
                <w:kern w:val="0"/>
                <w:sz w:val="24"/>
                <w:szCs w:val="24"/>
                <w:lang w:val="en-US" w:eastAsia="zh-CN" w:bidi="ar"/>
              </w:rPr>
              <w:t>，生活垃圾交由环卫部门清运处理。</w:t>
            </w:r>
          </w:p>
          <w:p w14:paraId="639C95C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（3）危险废物</w:t>
            </w:r>
          </w:p>
          <w:p w14:paraId="2401F7D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将危险废物分类收集，委托有资质的单位统一清运处理。在危险废物管理工作中严格执行国家的有关法律、法规，自觉接受环保部门的监督和日常检查，主要的管理工作有：</w:t>
            </w:r>
          </w:p>
          <w:p w14:paraId="41884B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①建立危险废物管理台账，对转移的危险废物进行计量称重，如实记录、妥善保管转移危险废物的种类、重量（数量）和接收人等相关信息，如表4-1</w:t>
            </w: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w:t>
            </w:r>
          </w:p>
          <w:p w14:paraId="78E290C6">
            <w:pPr>
              <w:keepNext/>
              <w:keepLines/>
              <w:pageBreakBefore w:val="0"/>
              <w:widowControl w:val="0"/>
              <w:tabs>
                <w:tab w:val="left" w:pos="563"/>
                <w:tab w:val="left" w:pos="1358"/>
                <w:tab w:val="left" w:pos="2153"/>
                <w:tab w:val="left" w:pos="2183"/>
                <w:tab w:val="left" w:pos="4008"/>
              </w:tabs>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sz w:val="24"/>
                <w:szCs w:val="24"/>
                <w:lang w:val="zh-CN"/>
              </w:rPr>
            </w:pPr>
            <w:r>
              <w:rPr>
                <w:rFonts w:hint="default" w:ascii="Times New Roman" w:hAnsi="Times New Roman" w:eastAsia="宋体" w:cs="Times New Roman"/>
                <w:color w:val="000000"/>
                <w:kern w:val="0"/>
                <w:sz w:val="24"/>
                <w:szCs w:val="24"/>
                <w:lang w:val="en-US" w:eastAsia="zh-CN" w:bidi="ar"/>
              </w:rPr>
              <w:tab/>
            </w:r>
            <w:r>
              <w:rPr>
                <w:rFonts w:hint="default" w:ascii="Times New Roman" w:hAnsi="Times New Roman" w:cs="Times New Roman"/>
                <w:b/>
                <w:sz w:val="24"/>
                <w:szCs w:val="24"/>
                <w:lang w:val="zh-CN"/>
              </w:rPr>
              <w:t>表4-1</w:t>
            </w:r>
            <w:r>
              <w:rPr>
                <w:rFonts w:hint="eastAsia" w:cs="Times New Roman"/>
                <w:b/>
                <w:sz w:val="24"/>
                <w:szCs w:val="24"/>
                <w:lang w:val="en-US" w:eastAsia="zh-CN"/>
              </w:rPr>
              <w:t>3</w:t>
            </w:r>
            <w:r>
              <w:rPr>
                <w:rFonts w:hint="default" w:ascii="Times New Roman" w:hAnsi="Times New Roman" w:cs="Times New Roman"/>
                <w:b/>
                <w:sz w:val="24"/>
                <w:szCs w:val="24"/>
                <w:lang w:val="zh-CN"/>
              </w:rPr>
              <w:t xml:space="preserve"> 危险废物暂存点运行记录台账表</w:t>
            </w:r>
          </w:p>
          <w:tbl>
            <w:tblPr>
              <w:tblStyle w:val="16"/>
              <w:tblW w:w="7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9"/>
              <w:gridCol w:w="621"/>
              <w:gridCol w:w="755"/>
              <w:gridCol w:w="498"/>
              <w:gridCol w:w="621"/>
              <w:gridCol w:w="498"/>
              <w:gridCol w:w="498"/>
              <w:gridCol w:w="498"/>
              <w:gridCol w:w="374"/>
              <w:gridCol w:w="621"/>
              <w:gridCol w:w="621"/>
              <w:gridCol w:w="621"/>
              <w:gridCol w:w="844"/>
            </w:tblGrid>
            <w:tr w14:paraId="C524E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2" w:hRule="atLeast"/>
              </w:trPr>
              <w:tc>
                <w:tcPr>
                  <w:tcW w:w="2005" w:type="dxa"/>
                  <w:gridSpan w:val="3"/>
                  <w:tcBorders>
                    <w:top w:val="single" w:color="auto" w:sz="6" w:space="0"/>
                    <w:left w:val="single" w:color="auto" w:sz="6" w:space="0"/>
                    <w:bottom w:val="single" w:color="auto" w:sz="6" w:space="0"/>
                    <w:right w:val="single" w:color="auto" w:sz="6" w:space="0"/>
                  </w:tcBorders>
                  <w:vAlign w:val="center"/>
                </w:tcPr>
                <w:p w14:paraId="D21EAEFA">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固体废物暂存点名称</w:t>
                  </w:r>
                </w:p>
              </w:tc>
              <w:tc>
                <w:tcPr>
                  <w:tcW w:w="5694" w:type="dxa"/>
                  <w:gridSpan w:val="10"/>
                  <w:tcBorders>
                    <w:top w:val="single" w:color="auto" w:sz="6" w:space="0"/>
                    <w:left w:val="single" w:color="auto" w:sz="6" w:space="0"/>
                    <w:bottom w:val="single" w:color="auto" w:sz="6" w:space="0"/>
                    <w:right w:val="single" w:color="auto" w:sz="6" w:space="0"/>
                  </w:tcBorders>
                  <w:vAlign w:val="center"/>
                </w:tcPr>
                <w:p w14:paraId="E20298A2">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记录内容</w:t>
                  </w:r>
                </w:p>
              </w:tc>
            </w:tr>
            <w:tr w14:paraId="5904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629" w:type="dxa"/>
                  <w:tcBorders>
                    <w:top w:val="single" w:color="auto" w:sz="6" w:space="0"/>
                    <w:left w:val="single" w:color="auto" w:sz="6" w:space="0"/>
                    <w:bottom w:val="single" w:color="auto" w:sz="6" w:space="0"/>
                    <w:right w:val="single" w:color="auto" w:sz="6" w:space="0"/>
                  </w:tcBorders>
                  <w:vAlign w:val="center"/>
                </w:tcPr>
                <w:p w14:paraId="96E36FC6">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暂存点编号</w:t>
                  </w:r>
                </w:p>
              </w:tc>
              <w:tc>
                <w:tcPr>
                  <w:tcW w:w="621" w:type="dxa"/>
                  <w:tcBorders>
                    <w:top w:val="single" w:color="auto" w:sz="6" w:space="0"/>
                    <w:left w:val="single" w:color="auto" w:sz="6" w:space="0"/>
                    <w:bottom w:val="single" w:color="auto" w:sz="6" w:space="0"/>
                    <w:right w:val="single" w:color="auto" w:sz="6" w:space="0"/>
                  </w:tcBorders>
                  <w:vAlign w:val="center"/>
                </w:tcPr>
                <w:p w14:paraId="E958184B">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暂存点位置</w:t>
                  </w:r>
                </w:p>
              </w:tc>
              <w:tc>
                <w:tcPr>
                  <w:tcW w:w="755" w:type="dxa"/>
                  <w:tcBorders>
                    <w:top w:val="single" w:color="auto" w:sz="6" w:space="0"/>
                    <w:left w:val="single" w:color="auto" w:sz="6" w:space="0"/>
                    <w:bottom w:val="single" w:color="auto" w:sz="6" w:space="0"/>
                    <w:right w:val="single" w:color="auto" w:sz="6" w:space="0"/>
                  </w:tcBorders>
                  <w:vAlign w:val="center"/>
                </w:tcPr>
                <w:p w14:paraId="2EF6AB2D">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面积（</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hint="eastAsia" w:ascii="Times New Roman" w:hAnsi="Times New Roman" w:cs="Times New Roman"/>
                      <w:sz w:val="21"/>
                      <w:szCs w:val="21"/>
                    </w:rPr>
                    <w:t>）</w:t>
                  </w:r>
                </w:p>
              </w:tc>
              <w:tc>
                <w:tcPr>
                  <w:tcW w:w="498" w:type="dxa"/>
                  <w:tcBorders>
                    <w:top w:val="single" w:color="auto" w:sz="6" w:space="0"/>
                    <w:left w:val="single" w:color="auto" w:sz="6" w:space="0"/>
                    <w:bottom w:val="single" w:color="auto" w:sz="6" w:space="0"/>
                    <w:right w:val="single" w:color="auto" w:sz="6" w:space="0"/>
                  </w:tcBorders>
                  <w:vAlign w:val="center"/>
                </w:tcPr>
                <w:p w14:paraId="C57F4FCF">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固废名称</w:t>
                  </w:r>
                </w:p>
              </w:tc>
              <w:tc>
                <w:tcPr>
                  <w:tcW w:w="621" w:type="dxa"/>
                  <w:tcBorders>
                    <w:top w:val="single" w:color="auto" w:sz="6" w:space="0"/>
                    <w:left w:val="single" w:color="auto" w:sz="6" w:space="0"/>
                    <w:bottom w:val="single" w:color="auto" w:sz="6" w:space="0"/>
                    <w:right w:val="single" w:color="auto" w:sz="6" w:space="0"/>
                  </w:tcBorders>
                  <w:vAlign w:val="center"/>
                </w:tcPr>
                <w:p w14:paraId="D265F398">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来源</w:t>
                  </w:r>
                </w:p>
              </w:tc>
              <w:tc>
                <w:tcPr>
                  <w:tcW w:w="498" w:type="dxa"/>
                  <w:tcBorders>
                    <w:top w:val="single" w:color="auto" w:sz="6" w:space="0"/>
                    <w:left w:val="single" w:color="auto" w:sz="6" w:space="0"/>
                    <w:bottom w:val="single" w:color="auto" w:sz="6" w:space="0"/>
                    <w:right w:val="single" w:color="auto" w:sz="6" w:space="0"/>
                  </w:tcBorders>
                  <w:vAlign w:val="center"/>
                </w:tcPr>
                <w:p w14:paraId="2765B01A">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存放容器</w:t>
                  </w:r>
                </w:p>
              </w:tc>
              <w:tc>
                <w:tcPr>
                  <w:tcW w:w="498" w:type="dxa"/>
                  <w:tcBorders>
                    <w:top w:val="single" w:color="auto" w:sz="6" w:space="0"/>
                    <w:left w:val="single" w:color="auto" w:sz="6" w:space="0"/>
                    <w:bottom w:val="single" w:color="auto" w:sz="6" w:space="0"/>
                    <w:right w:val="single" w:color="auto" w:sz="6" w:space="0"/>
                  </w:tcBorders>
                  <w:vAlign w:val="center"/>
                </w:tcPr>
                <w:p w14:paraId="143FFC7B">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入库量</w:t>
                  </w:r>
                </w:p>
              </w:tc>
              <w:tc>
                <w:tcPr>
                  <w:tcW w:w="498" w:type="dxa"/>
                  <w:tcBorders>
                    <w:top w:val="single" w:color="auto" w:sz="6" w:space="0"/>
                    <w:left w:val="single" w:color="auto" w:sz="6" w:space="0"/>
                    <w:bottom w:val="single" w:color="auto" w:sz="6" w:space="0"/>
                    <w:right w:val="single" w:color="auto" w:sz="6" w:space="0"/>
                  </w:tcBorders>
                  <w:vAlign w:val="center"/>
                </w:tcPr>
                <w:p w14:paraId="6159F930">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入库时间</w:t>
                  </w:r>
                </w:p>
              </w:tc>
              <w:tc>
                <w:tcPr>
                  <w:tcW w:w="374" w:type="dxa"/>
                  <w:tcBorders>
                    <w:top w:val="single" w:color="auto" w:sz="6" w:space="0"/>
                    <w:left w:val="single" w:color="auto" w:sz="6" w:space="0"/>
                    <w:bottom w:val="single" w:color="auto" w:sz="6" w:space="0"/>
                    <w:right w:val="single" w:color="auto" w:sz="6" w:space="0"/>
                  </w:tcBorders>
                  <w:vAlign w:val="center"/>
                </w:tcPr>
                <w:p w14:paraId="B2E90506">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清运量</w:t>
                  </w:r>
                </w:p>
              </w:tc>
              <w:tc>
                <w:tcPr>
                  <w:tcW w:w="621" w:type="dxa"/>
                  <w:tcBorders>
                    <w:top w:val="single" w:color="auto" w:sz="6" w:space="0"/>
                    <w:left w:val="single" w:color="auto" w:sz="6" w:space="0"/>
                    <w:bottom w:val="single" w:color="auto" w:sz="6" w:space="0"/>
                    <w:right w:val="single" w:color="auto" w:sz="6" w:space="0"/>
                  </w:tcBorders>
                  <w:vAlign w:val="center"/>
                </w:tcPr>
                <w:p w14:paraId="4F76B28D">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清运出库时间</w:t>
                  </w:r>
                </w:p>
              </w:tc>
              <w:tc>
                <w:tcPr>
                  <w:tcW w:w="621" w:type="dxa"/>
                  <w:tcBorders>
                    <w:top w:val="single" w:color="auto" w:sz="6" w:space="0"/>
                    <w:left w:val="single" w:color="auto" w:sz="6" w:space="0"/>
                    <w:bottom w:val="single" w:color="auto" w:sz="6" w:space="0"/>
                    <w:right w:val="single" w:color="auto" w:sz="6" w:space="0"/>
                  </w:tcBorders>
                  <w:vAlign w:val="center"/>
                </w:tcPr>
                <w:p w14:paraId="82B52FD6">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去向</w:t>
                  </w:r>
                </w:p>
              </w:tc>
              <w:tc>
                <w:tcPr>
                  <w:tcW w:w="621" w:type="dxa"/>
                  <w:tcBorders>
                    <w:top w:val="single" w:color="auto" w:sz="6" w:space="0"/>
                    <w:left w:val="single" w:color="auto" w:sz="6" w:space="0"/>
                    <w:bottom w:val="single" w:color="auto" w:sz="6" w:space="0"/>
                    <w:right w:val="single" w:color="auto" w:sz="6" w:space="0"/>
                  </w:tcBorders>
                  <w:vAlign w:val="center"/>
                </w:tcPr>
                <w:p w14:paraId="76FD20FF">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库存量</w:t>
                  </w:r>
                </w:p>
              </w:tc>
              <w:tc>
                <w:tcPr>
                  <w:tcW w:w="844" w:type="dxa"/>
                  <w:tcBorders>
                    <w:top w:val="single" w:color="auto" w:sz="6" w:space="0"/>
                    <w:left w:val="single" w:color="auto" w:sz="6" w:space="0"/>
                    <w:bottom w:val="single" w:color="auto" w:sz="6" w:space="0"/>
                    <w:right w:val="single" w:color="auto" w:sz="6" w:space="0"/>
                  </w:tcBorders>
                  <w:vAlign w:val="center"/>
                </w:tcPr>
                <w:p w14:paraId="2BFE54E4">
                  <w:pPr>
                    <w:widowControl w:val="0"/>
                    <w:adjustRightInd w:val="0"/>
                    <w:snapToGrid w:val="0"/>
                    <w:spacing w:line="240" w:lineRule="exact"/>
                    <w:jc w:val="center"/>
                    <w:rPr>
                      <w:rFonts w:ascii="Times New Roman" w:hAnsi="Times New Roman" w:cs="Times New Roman"/>
                      <w:kern w:val="2"/>
                      <w:sz w:val="21"/>
                      <w:szCs w:val="21"/>
                    </w:rPr>
                  </w:pPr>
                  <w:r>
                    <w:rPr>
                      <w:rFonts w:hint="eastAsia" w:ascii="Times New Roman" w:hAnsi="Times New Roman" w:cs="Times New Roman"/>
                      <w:sz w:val="21"/>
                      <w:szCs w:val="21"/>
                    </w:rPr>
                    <w:t>记录人</w:t>
                  </w:r>
                </w:p>
              </w:tc>
            </w:tr>
            <w:tr w14:paraId="BC4D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2" w:hRule="atLeast"/>
              </w:trPr>
              <w:tc>
                <w:tcPr>
                  <w:tcW w:w="629" w:type="dxa"/>
                  <w:tcBorders>
                    <w:top w:val="single" w:color="auto" w:sz="6" w:space="0"/>
                    <w:left w:val="single" w:color="auto" w:sz="6" w:space="0"/>
                    <w:bottom w:val="single" w:color="auto" w:sz="6" w:space="0"/>
                    <w:right w:val="single" w:color="auto" w:sz="6" w:space="0"/>
                  </w:tcBorders>
                  <w:vAlign w:val="center"/>
                </w:tcPr>
                <w:p w14:paraId="1145CCD1">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CEE435E5">
                  <w:pPr>
                    <w:widowControl w:val="0"/>
                    <w:adjustRightInd w:val="0"/>
                    <w:snapToGrid w:val="0"/>
                    <w:spacing w:line="240" w:lineRule="exact"/>
                    <w:jc w:val="center"/>
                    <w:rPr>
                      <w:rFonts w:ascii="Times New Roman" w:hAnsi="Times New Roman" w:cs="Times New Roman"/>
                      <w:kern w:val="2"/>
                      <w:sz w:val="21"/>
                      <w:szCs w:val="21"/>
                    </w:rPr>
                  </w:pPr>
                </w:p>
              </w:tc>
              <w:tc>
                <w:tcPr>
                  <w:tcW w:w="755" w:type="dxa"/>
                  <w:tcBorders>
                    <w:top w:val="single" w:color="auto" w:sz="6" w:space="0"/>
                    <w:left w:val="single" w:color="auto" w:sz="6" w:space="0"/>
                    <w:bottom w:val="single" w:color="auto" w:sz="6" w:space="0"/>
                    <w:right w:val="single" w:color="auto" w:sz="6" w:space="0"/>
                  </w:tcBorders>
                  <w:vAlign w:val="center"/>
                </w:tcPr>
                <w:p w14:paraId="63FBFF5C">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6CF15402">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CD08C24E">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67728BA0">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AFC017D2">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8D407E72">
                  <w:pPr>
                    <w:widowControl w:val="0"/>
                    <w:adjustRightInd w:val="0"/>
                    <w:snapToGrid w:val="0"/>
                    <w:spacing w:line="240" w:lineRule="exact"/>
                    <w:jc w:val="center"/>
                    <w:rPr>
                      <w:rFonts w:ascii="Times New Roman" w:hAnsi="Times New Roman" w:cs="Times New Roman"/>
                      <w:kern w:val="2"/>
                      <w:sz w:val="21"/>
                      <w:szCs w:val="21"/>
                    </w:rPr>
                  </w:pPr>
                </w:p>
              </w:tc>
              <w:tc>
                <w:tcPr>
                  <w:tcW w:w="374" w:type="dxa"/>
                  <w:tcBorders>
                    <w:top w:val="single" w:color="auto" w:sz="6" w:space="0"/>
                    <w:left w:val="single" w:color="auto" w:sz="6" w:space="0"/>
                    <w:bottom w:val="single" w:color="auto" w:sz="6" w:space="0"/>
                    <w:right w:val="single" w:color="auto" w:sz="6" w:space="0"/>
                  </w:tcBorders>
                  <w:vAlign w:val="center"/>
                </w:tcPr>
                <w:p w14:paraId="70A90D74">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77AFF005">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A33258CC">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9634039B">
                  <w:pPr>
                    <w:widowControl w:val="0"/>
                    <w:adjustRightInd w:val="0"/>
                    <w:snapToGrid w:val="0"/>
                    <w:spacing w:line="240" w:lineRule="exact"/>
                    <w:jc w:val="center"/>
                    <w:rPr>
                      <w:rFonts w:ascii="Times New Roman" w:hAnsi="Times New Roman" w:cs="Times New Roman"/>
                      <w:kern w:val="2"/>
                      <w:sz w:val="21"/>
                      <w:szCs w:val="21"/>
                    </w:rPr>
                  </w:pPr>
                </w:p>
              </w:tc>
              <w:tc>
                <w:tcPr>
                  <w:tcW w:w="844" w:type="dxa"/>
                  <w:tcBorders>
                    <w:top w:val="single" w:color="auto" w:sz="6" w:space="0"/>
                    <w:left w:val="single" w:color="auto" w:sz="6" w:space="0"/>
                    <w:bottom w:val="single" w:color="auto" w:sz="6" w:space="0"/>
                    <w:right w:val="single" w:color="auto" w:sz="6" w:space="0"/>
                  </w:tcBorders>
                  <w:vAlign w:val="center"/>
                </w:tcPr>
                <w:p w14:paraId="FE472917">
                  <w:pPr>
                    <w:widowControl w:val="0"/>
                    <w:adjustRightInd w:val="0"/>
                    <w:snapToGrid w:val="0"/>
                    <w:spacing w:line="240" w:lineRule="exact"/>
                    <w:jc w:val="center"/>
                    <w:rPr>
                      <w:rFonts w:ascii="Times New Roman" w:hAnsi="Times New Roman" w:cs="Times New Roman"/>
                      <w:kern w:val="2"/>
                      <w:sz w:val="21"/>
                      <w:szCs w:val="21"/>
                    </w:rPr>
                  </w:pPr>
                </w:p>
              </w:tc>
            </w:tr>
            <w:tr w14:paraId="BA214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629" w:type="dxa"/>
                  <w:tcBorders>
                    <w:top w:val="single" w:color="auto" w:sz="6" w:space="0"/>
                    <w:left w:val="single" w:color="auto" w:sz="6" w:space="0"/>
                    <w:bottom w:val="single" w:color="auto" w:sz="6" w:space="0"/>
                    <w:right w:val="single" w:color="auto" w:sz="6" w:space="0"/>
                  </w:tcBorders>
                  <w:vAlign w:val="center"/>
                </w:tcPr>
                <w:p w14:paraId="FDDD7EE1">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9DBA1089">
                  <w:pPr>
                    <w:widowControl w:val="0"/>
                    <w:adjustRightInd w:val="0"/>
                    <w:snapToGrid w:val="0"/>
                    <w:spacing w:line="240" w:lineRule="exact"/>
                    <w:jc w:val="center"/>
                    <w:rPr>
                      <w:rFonts w:ascii="Times New Roman" w:hAnsi="Times New Roman" w:cs="Times New Roman"/>
                      <w:kern w:val="2"/>
                      <w:sz w:val="21"/>
                      <w:szCs w:val="21"/>
                    </w:rPr>
                  </w:pPr>
                </w:p>
              </w:tc>
              <w:tc>
                <w:tcPr>
                  <w:tcW w:w="755" w:type="dxa"/>
                  <w:tcBorders>
                    <w:top w:val="single" w:color="auto" w:sz="6" w:space="0"/>
                    <w:left w:val="single" w:color="auto" w:sz="6" w:space="0"/>
                    <w:bottom w:val="single" w:color="auto" w:sz="6" w:space="0"/>
                    <w:right w:val="single" w:color="auto" w:sz="6" w:space="0"/>
                  </w:tcBorders>
                  <w:vAlign w:val="center"/>
                </w:tcPr>
                <w:p w14:paraId="0CA01007">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8E19AA12">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FE5FB614">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BB91CF33">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B614AA60">
                  <w:pPr>
                    <w:widowControl w:val="0"/>
                    <w:adjustRightInd w:val="0"/>
                    <w:snapToGrid w:val="0"/>
                    <w:spacing w:line="240" w:lineRule="exact"/>
                    <w:jc w:val="center"/>
                    <w:rPr>
                      <w:rFonts w:ascii="Times New Roman" w:hAnsi="Times New Roman" w:cs="Times New Roman"/>
                      <w:kern w:val="2"/>
                      <w:sz w:val="21"/>
                      <w:szCs w:val="21"/>
                    </w:rPr>
                  </w:pPr>
                </w:p>
              </w:tc>
              <w:tc>
                <w:tcPr>
                  <w:tcW w:w="498" w:type="dxa"/>
                  <w:tcBorders>
                    <w:top w:val="single" w:color="auto" w:sz="6" w:space="0"/>
                    <w:left w:val="single" w:color="auto" w:sz="6" w:space="0"/>
                    <w:bottom w:val="single" w:color="auto" w:sz="6" w:space="0"/>
                    <w:right w:val="single" w:color="auto" w:sz="6" w:space="0"/>
                  </w:tcBorders>
                  <w:vAlign w:val="center"/>
                </w:tcPr>
                <w:p w14:paraId="6BE73B75">
                  <w:pPr>
                    <w:widowControl w:val="0"/>
                    <w:adjustRightInd w:val="0"/>
                    <w:snapToGrid w:val="0"/>
                    <w:spacing w:line="240" w:lineRule="exact"/>
                    <w:jc w:val="center"/>
                    <w:rPr>
                      <w:rFonts w:ascii="Times New Roman" w:hAnsi="Times New Roman" w:cs="Times New Roman"/>
                      <w:kern w:val="2"/>
                      <w:sz w:val="21"/>
                      <w:szCs w:val="21"/>
                    </w:rPr>
                  </w:pPr>
                </w:p>
              </w:tc>
              <w:tc>
                <w:tcPr>
                  <w:tcW w:w="374" w:type="dxa"/>
                  <w:tcBorders>
                    <w:top w:val="single" w:color="auto" w:sz="6" w:space="0"/>
                    <w:left w:val="single" w:color="auto" w:sz="6" w:space="0"/>
                    <w:bottom w:val="single" w:color="auto" w:sz="6" w:space="0"/>
                    <w:right w:val="single" w:color="auto" w:sz="6" w:space="0"/>
                  </w:tcBorders>
                  <w:vAlign w:val="center"/>
                </w:tcPr>
                <w:p w14:paraId="A83A81C1">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37D05BC2">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6E11F50B">
                  <w:pPr>
                    <w:widowControl w:val="0"/>
                    <w:adjustRightInd w:val="0"/>
                    <w:snapToGrid w:val="0"/>
                    <w:spacing w:line="240" w:lineRule="exact"/>
                    <w:jc w:val="center"/>
                    <w:rPr>
                      <w:rFonts w:ascii="Times New Roman" w:hAnsi="Times New Roman" w:cs="Times New Roman"/>
                      <w:kern w:val="2"/>
                      <w:sz w:val="21"/>
                      <w:szCs w:val="21"/>
                    </w:rPr>
                  </w:pPr>
                </w:p>
              </w:tc>
              <w:tc>
                <w:tcPr>
                  <w:tcW w:w="621" w:type="dxa"/>
                  <w:tcBorders>
                    <w:top w:val="single" w:color="auto" w:sz="6" w:space="0"/>
                    <w:left w:val="single" w:color="auto" w:sz="6" w:space="0"/>
                    <w:bottom w:val="single" w:color="auto" w:sz="6" w:space="0"/>
                    <w:right w:val="single" w:color="auto" w:sz="6" w:space="0"/>
                  </w:tcBorders>
                  <w:vAlign w:val="center"/>
                </w:tcPr>
                <w:p w14:paraId="96F59DF7">
                  <w:pPr>
                    <w:widowControl w:val="0"/>
                    <w:adjustRightInd w:val="0"/>
                    <w:snapToGrid w:val="0"/>
                    <w:spacing w:line="240" w:lineRule="exact"/>
                    <w:jc w:val="center"/>
                    <w:rPr>
                      <w:rFonts w:ascii="Times New Roman" w:hAnsi="Times New Roman" w:cs="Times New Roman"/>
                      <w:kern w:val="2"/>
                      <w:sz w:val="21"/>
                      <w:szCs w:val="21"/>
                    </w:rPr>
                  </w:pPr>
                </w:p>
              </w:tc>
              <w:tc>
                <w:tcPr>
                  <w:tcW w:w="844" w:type="dxa"/>
                  <w:tcBorders>
                    <w:top w:val="single" w:color="auto" w:sz="6" w:space="0"/>
                    <w:left w:val="single" w:color="auto" w:sz="6" w:space="0"/>
                    <w:bottom w:val="single" w:color="auto" w:sz="6" w:space="0"/>
                    <w:right w:val="single" w:color="auto" w:sz="6" w:space="0"/>
                  </w:tcBorders>
                  <w:vAlign w:val="center"/>
                </w:tcPr>
                <w:p w14:paraId="9342523A">
                  <w:pPr>
                    <w:widowControl w:val="0"/>
                    <w:adjustRightInd w:val="0"/>
                    <w:snapToGrid w:val="0"/>
                    <w:spacing w:line="240" w:lineRule="exact"/>
                    <w:jc w:val="center"/>
                    <w:rPr>
                      <w:rFonts w:ascii="Times New Roman" w:hAnsi="Times New Roman" w:cs="Times New Roman"/>
                      <w:kern w:val="2"/>
                      <w:sz w:val="21"/>
                      <w:szCs w:val="21"/>
                    </w:rPr>
                  </w:pPr>
                </w:p>
              </w:tc>
            </w:tr>
          </w:tbl>
          <w:p w14:paraId="1B8F76F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在危险废物的转移运输中，按《危险废物转移管理办法》（部令第23号）的规定，执行危险废物联单制度，转移危险废物的，应通过国家危险废物信息管理系统填写、运行危险废物电子转移联单，并依照国家有关规定公开危险废物转移相关污染环境防治信息。危险废物移出人、危险废物承运人、危险废物接收人在危险废物转移过程中应当采取防扬散、防流失、防渗漏或者其他防止污染环境的措施，不得擅自倾倒、堆放、丢弃、遗撒危险废物，并对所造成的环境污染及生态破坏依法承担责任。环境管理台账记录保存期限不得少于5年。</w:t>
            </w:r>
          </w:p>
          <w:p w14:paraId="5224562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综上所述，在加强管理，并在落实好各项污染防治措施和固体废物安全处置措施的前提下，本项目产生的固体废物对周围环境的影响较小。</w:t>
            </w:r>
          </w:p>
          <w:p w14:paraId="1208C53B">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地下水、土壤环境影响分析</w:t>
            </w:r>
          </w:p>
          <w:p w14:paraId="36D4873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1、污染源、污染物类型 </w:t>
            </w:r>
          </w:p>
          <w:p w14:paraId="381CC4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本项目运营期废水主要为</w:t>
            </w:r>
            <w:r>
              <w:rPr>
                <w:rFonts w:hint="eastAsia" w:ascii="Times New Roman" w:hAnsi="Times New Roman" w:eastAsia="宋体" w:cs="Times New Roman"/>
                <w:color w:val="000000"/>
                <w:kern w:val="0"/>
                <w:sz w:val="24"/>
                <w:szCs w:val="24"/>
                <w:lang w:val="en-US" w:eastAsia="zh-CN" w:bidi="ar"/>
              </w:rPr>
              <w:t>地面冲洗废水、</w:t>
            </w:r>
            <w:r>
              <w:rPr>
                <w:rFonts w:hint="default" w:ascii="Times New Roman" w:hAnsi="Times New Roman" w:eastAsia="宋体" w:cs="Times New Roman"/>
                <w:color w:val="000000"/>
                <w:kern w:val="0"/>
                <w:sz w:val="24"/>
                <w:szCs w:val="24"/>
                <w:lang w:val="en-US" w:eastAsia="zh-CN" w:bidi="ar"/>
              </w:rPr>
              <w:t>洗车废水和生活污水</w:t>
            </w:r>
            <w:r>
              <w:rPr>
                <w:rFonts w:hint="eastAsia" w:ascii="Times New Roman" w:hAnsi="Times New Roman" w:eastAsia="宋体" w:cs="Times New Roman"/>
                <w:color w:val="000000"/>
                <w:kern w:val="0"/>
                <w:sz w:val="24"/>
                <w:szCs w:val="24"/>
                <w:lang w:val="en-US" w:eastAsia="zh-CN" w:bidi="ar"/>
              </w:rPr>
              <w:t>。地面冲洗废水、</w:t>
            </w:r>
            <w:r>
              <w:rPr>
                <w:rFonts w:hint="default" w:ascii="Times New Roman" w:hAnsi="Times New Roman" w:eastAsia="宋体" w:cs="Times New Roman"/>
                <w:color w:val="000000"/>
                <w:kern w:val="0"/>
                <w:sz w:val="24"/>
                <w:szCs w:val="24"/>
                <w:lang w:val="en-US" w:eastAsia="zh-CN" w:bidi="ar"/>
              </w:rPr>
              <w:t>洗车废水经沉淀处理后循环使用，不外排，生活污水经化粪池处理后，通过</w:t>
            </w:r>
            <w:r>
              <w:rPr>
                <w:rFonts w:hint="eastAsia" w:ascii="Times New Roman" w:hAnsi="Times New Roman" w:eastAsia="宋体" w:cs="Times New Roman"/>
                <w:color w:val="000000"/>
                <w:kern w:val="0"/>
                <w:sz w:val="24"/>
                <w:szCs w:val="24"/>
                <w:lang w:val="en-US" w:eastAsia="zh-CN" w:bidi="ar"/>
              </w:rPr>
              <w:t>市政污水</w:t>
            </w:r>
            <w:r>
              <w:rPr>
                <w:rFonts w:hint="eastAsia" w:cs="Times New Roman"/>
                <w:color w:val="000000"/>
                <w:kern w:val="0"/>
                <w:sz w:val="24"/>
                <w:szCs w:val="24"/>
                <w:lang w:val="en-US" w:eastAsia="zh-CN" w:bidi="ar"/>
              </w:rPr>
              <w:t>管网</w:t>
            </w:r>
            <w:r>
              <w:rPr>
                <w:rFonts w:hint="default" w:ascii="Times New Roman" w:hAnsi="Times New Roman" w:eastAsia="宋体" w:cs="Times New Roman"/>
                <w:color w:val="000000"/>
                <w:kern w:val="0"/>
                <w:sz w:val="24"/>
                <w:szCs w:val="24"/>
                <w:lang w:val="en-US" w:eastAsia="zh-CN" w:bidi="ar"/>
              </w:rPr>
              <w:t>排入</w:t>
            </w:r>
            <w:r>
              <w:rPr>
                <w:rFonts w:hint="eastAsia" w:ascii="Times New Roman" w:hAnsi="Times New Roman" w:eastAsia="宋体" w:cs="Times New Roman"/>
                <w:color w:val="000000"/>
                <w:kern w:val="0"/>
                <w:sz w:val="24"/>
                <w:szCs w:val="24"/>
                <w:lang w:val="en-US" w:eastAsia="zh-CN" w:bidi="ar"/>
              </w:rPr>
              <w:t>大榄坪</w:t>
            </w:r>
            <w:r>
              <w:rPr>
                <w:rFonts w:hint="default" w:ascii="Times New Roman" w:hAnsi="Times New Roman" w:eastAsia="宋体" w:cs="Times New Roman"/>
                <w:color w:val="000000"/>
                <w:kern w:val="0"/>
                <w:sz w:val="24"/>
                <w:szCs w:val="24"/>
                <w:lang w:val="en-US" w:eastAsia="zh-CN" w:bidi="ar"/>
              </w:rPr>
              <w:t xml:space="preserve">污水处理厂处理。 </w:t>
            </w:r>
          </w:p>
          <w:p w14:paraId="52B3FC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 xml:space="preserve">本项目地下水、土壤污染源主要为废水及危废暂存间的废润滑油发生泄漏，废水泄漏或物料垂直入渗进入地下水、土壤环境。 </w:t>
            </w:r>
          </w:p>
          <w:p w14:paraId="2A90618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2、污染途径 </w:t>
            </w:r>
          </w:p>
          <w:p w14:paraId="2D6715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本项目实施后按相关要求对厂区内道路、初期雨水收集池、沉淀池四周池壁及池底、混矿仓库地面均进行防渗处理，保证防渗层防渗效果等效黏土防渗层不小于1.5m，防渗层防渗系数≤1×10</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vertAlign w:val="superscript"/>
                <w:lang w:val="en-US" w:eastAsia="zh-CN" w:bidi="ar"/>
              </w:rPr>
              <w:t>7</w:t>
            </w:r>
            <w:r>
              <w:rPr>
                <w:rFonts w:hint="default" w:ascii="Times New Roman" w:hAnsi="Times New Roman" w:eastAsia="宋体" w:cs="Times New Roman"/>
                <w:color w:val="000000"/>
                <w:kern w:val="0"/>
                <w:sz w:val="24"/>
                <w:szCs w:val="24"/>
                <w:lang w:val="en-US" w:eastAsia="zh-CN" w:bidi="ar"/>
              </w:rPr>
              <w:t>cm/s，废</w:t>
            </w:r>
            <w:r>
              <w:rPr>
                <w:rFonts w:hint="eastAsia" w:ascii="Times New Roman" w:hAnsi="Times New Roman" w:eastAsia="宋体" w:cs="Times New Roman"/>
                <w:color w:val="000000"/>
                <w:kern w:val="0"/>
                <w:sz w:val="24"/>
                <w:szCs w:val="24"/>
                <w:lang w:val="en-US" w:eastAsia="zh-CN" w:bidi="ar"/>
              </w:rPr>
              <w:t>机</w:t>
            </w:r>
            <w:r>
              <w:rPr>
                <w:rFonts w:hint="default" w:ascii="Times New Roman" w:hAnsi="Times New Roman" w:eastAsia="宋体" w:cs="Times New Roman"/>
                <w:color w:val="000000"/>
                <w:kern w:val="0"/>
                <w:sz w:val="24"/>
                <w:szCs w:val="24"/>
                <w:lang w:val="en-US" w:eastAsia="zh-CN" w:bidi="ar"/>
              </w:rPr>
              <w:t>油</w:t>
            </w:r>
            <w:r>
              <w:rPr>
                <w:rFonts w:hint="eastAsia" w:cs="Times New Roman"/>
                <w:color w:val="000000"/>
                <w:kern w:val="0"/>
                <w:sz w:val="24"/>
                <w:szCs w:val="24"/>
                <w:lang w:val="en-US" w:eastAsia="zh-CN" w:bidi="ar"/>
              </w:rPr>
              <w:t>、废润滑油</w:t>
            </w:r>
            <w:r>
              <w:rPr>
                <w:rFonts w:hint="default" w:ascii="Times New Roman" w:hAnsi="Times New Roman" w:eastAsia="宋体" w:cs="Times New Roman"/>
                <w:color w:val="000000"/>
                <w:kern w:val="0"/>
                <w:sz w:val="24"/>
                <w:szCs w:val="24"/>
                <w:lang w:val="en-US" w:eastAsia="zh-CN" w:bidi="ar"/>
              </w:rPr>
              <w:t>在危废暂存间内桶装储存，且危废暂存间按《危险废物贮存污染控制标准》</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GB18597-2023</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相关要求进行防渗处理，不存在</w:t>
            </w:r>
            <w:r>
              <w:rPr>
                <w:rFonts w:hint="eastAsia" w:cs="Times New Roman"/>
                <w:color w:val="000000"/>
                <w:kern w:val="0"/>
                <w:sz w:val="24"/>
                <w:szCs w:val="24"/>
                <w:lang w:val="en-US" w:eastAsia="zh-CN" w:bidi="ar"/>
              </w:rPr>
              <w:t>废水、</w:t>
            </w:r>
            <w:r>
              <w:rPr>
                <w:rFonts w:hint="default" w:ascii="Times New Roman" w:hAnsi="Times New Roman" w:eastAsia="宋体" w:cs="Times New Roman"/>
                <w:color w:val="000000"/>
                <w:kern w:val="0"/>
                <w:sz w:val="24"/>
                <w:szCs w:val="24"/>
                <w:lang w:val="en-US" w:eastAsia="zh-CN" w:bidi="ar"/>
              </w:rPr>
              <w:t>废</w:t>
            </w:r>
            <w:r>
              <w:rPr>
                <w:rFonts w:hint="eastAsia" w:cs="Times New Roman"/>
                <w:color w:val="000000"/>
                <w:kern w:val="0"/>
                <w:sz w:val="24"/>
                <w:szCs w:val="24"/>
                <w:lang w:val="en-US" w:eastAsia="zh-CN" w:bidi="ar"/>
              </w:rPr>
              <w:t>润滑油</w:t>
            </w:r>
            <w:r>
              <w:rPr>
                <w:rFonts w:hint="default" w:ascii="Times New Roman" w:hAnsi="Times New Roman" w:eastAsia="宋体" w:cs="Times New Roman"/>
                <w:color w:val="000000"/>
                <w:kern w:val="0"/>
                <w:sz w:val="24"/>
                <w:szCs w:val="24"/>
                <w:lang w:val="en-US" w:eastAsia="zh-CN" w:bidi="ar"/>
              </w:rPr>
              <w:t>及废</w:t>
            </w:r>
            <w:r>
              <w:rPr>
                <w:rFonts w:hint="eastAsia" w:ascii="Times New Roman" w:hAnsi="Times New Roman" w:eastAsia="宋体" w:cs="Times New Roman"/>
                <w:color w:val="000000"/>
                <w:kern w:val="0"/>
                <w:sz w:val="24"/>
                <w:szCs w:val="24"/>
                <w:lang w:val="en-US" w:eastAsia="zh-CN" w:bidi="ar"/>
              </w:rPr>
              <w:t>机</w:t>
            </w:r>
            <w:r>
              <w:rPr>
                <w:rFonts w:hint="default" w:ascii="Times New Roman" w:hAnsi="Times New Roman" w:eastAsia="宋体" w:cs="Times New Roman"/>
                <w:color w:val="000000"/>
                <w:kern w:val="0"/>
                <w:sz w:val="24"/>
                <w:szCs w:val="24"/>
                <w:lang w:val="en-US" w:eastAsia="zh-CN" w:bidi="ar"/>
              </w:rPr>
              <w:t xml:space="preserve">油垂直入渗污染地下水及土壤的途径。 </w:t>
            </w:r>
          </w:p>
          <w:p w14:paraId="763E1A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sz w:val="24"/>
                <w:szCs w:val="24"/>
              </w:rPr>
            </w:pPr>
            <w:r>
              <w:rPr>
                <w:rFonts w:hint="default" w:ascii="Times New Roman" w:hAnsi="Times New Roman" w:eastAsia="宋体" w:cs="Times New Roman"/>
                <w:b/>
                <w:bCs/>
                <w:color w:val="000000"/>
                <w:kern w:val="0"/>
                <w:sz w:val="24"/>
                <w:szCs w:val="24"/>
                <w:lang w:val="en-US" w:eastAsia="zh-CN" w:bidi="ar"/>
              </w:rPr>
              <w:t xml:space="preserve">3、污染防控措施 </w:t>
            </w:r>
          </w:p>
          <w:p w14:paraId="232414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为防止项目对区域</w:t>
            </w:r>
            <w:r>
              <w:rPr>
                <w:rFonts w:hint="eastAsia" w:cs="Times New Roman"/>
                <w:color w:val="000000"/>
                <w:kern w:val="0"/>
                <w:sz w:val="24"/>
                <w:szCs w:val="24"/>
                <w:lang w:val="en-US" w:eastAsia="zh-CN" w:bidi="ar"/>
              </w:rPr>
              <w:t>地下水、</w:t>
            </w:r>
            <w:r>
              <w:rPr>
                <w:rFonts w:hint="default" w:ascii="Times New Roman" w:hAnsi="Times New Roman" w:eastAsia="宋体" w:cs="Times New Roman"/>
                <w:color w:val="000000"/>
                <w:kern w:val="0"/>
                <w:sz w:val="24"/>
                <w:szCs w:val="24"/>
                <w:lang w:val="en-US" w:eastAsia="zh-CN" w:bidi="ar"/>
              </w:rPr>
              <w:t xml:space="preserve">土壤环境产生污染影响，本评价有针对性地提出污染防控措施： </w:t>
            </w:r>
          </w:p>
          <w:p w14:paraId="7B9CA3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根据《危险废物贮存污染控制标准》</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GB18597-2023</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要求，对危废暂存间地面及裙角进行防渗，防渗层为至少1m厚黏土层（渗透系数≤10</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vertAlign w:val="superscript"/>
                <w:lang w:val="en-US" w:eastAsia="zh-CN" w:bidi="ar"/>
              </w:rPr>
              <w:t>7</w:t>
            </w:r>
            <w:r>
              <w:rPr>
                <w:rFonts w:hint="default" w:ascii="Times New Roman" w:hAnsi="Times New Roman" w:eastAsia="宋体" w:cs="Times New Roman"/>
                <w:color w:val="000000"/>
                <w:kern w:val="0"/>
                <w:sz w:val="24"/>
                <w:szCs w:val="24"/>
                <w:lang w:val="en-US" w:eastAsia="zh-CN" w:bidi="ar"/>
              </w:rPr>
              <w:t>cm/s），或2mm厚高密度聚乙烯，或至少2mm厚的其他人工材料，渗透系数≤10</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vertAlign w:val="superscript"/>
                <w:lang w:val="en-US" w:eastAsia="zh-CN" w:bidi="ar"/>
              </w:rPr>
              <w:t>10</w:t>
            </w:r>
            <w:r>
              <w:rPr>
                <w:rFonts w:hint="default" w:ascii="Times New Roman" w:hAnsi="Times New Roman" w:eastAsia="宋体" w:cs="Times New Roman"/>
                <w:color w:val="000000"/>
                <w:kern w:val="0"/>
                <w:sz w:val="24"/>
                <w:szCs w:val="24"/>
                <w:lang w:val="en-US" w:eastAsia="zh-CN" w:bidi="ar"/>
              </w:rPr>
              <w:t>cm/s</w:t>
            </w:r>
            <w:r>
              <w:rPr>
                <w:rFonts w:hint="eastAsia" w:ascii="Times New Roman" w:hAnsi="Times New Roman" w:eastAsia="宋体" w:cs="Times New Roman"/>
                <w:color w:val="000000"/>
                <w:kern w:val="0"/>
                <w:sz w:val="24"/>
                <w:szCs w:val="24"/>
                <w:lang w:val="en-US" w:eastAsia="zh-CN" w:bidi="ar"/>
              </w:rPr>
              <w:t>，储存危废的容器要符合国家相关要求，危险废物定期交由有资质的单位处理，危废间粘贴危废暂存的标志</w:t>
            </w:r>
            <w:r>
              <w:rPr>
                <w:rFonts w:hint="default" w:ascii="Times New Roman" w:hAnsi="Times New Roman" w:eastAsia="宋体" w:cs="Times New Roman"/>
                <w:color w:val="000000"/>
                <w:kern w:val="0"/>
                <w:sz w:val="24"/>
                <w:szCs w:val="24"/>
                <w:lang w:val="en-US" w:eastAsia="zh-CN" w:bidi="ar"/>
              </w:rPr>
              <w:t xml:space="preserve">。 </w:t>
            </w:r>
          </w:p>
          <w:p w14:paraId="251541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对厂区内道路、初期雨水收集池、沉淀池四周池壁及池底、</w:t>
            </w:r>
            <w:r>
              <w:rPr>
                <w:rFonts w:hint="eastAsia" w:cs="Times New Roman"/>
                <w:color w:val="000000"/>
                <w:kern w:val="0"/>
                <w:sz w:val="24"/>
                <w:szCs w:val="24"/>
                <w:lang w:val="en-US" w:eastAsia="zh-CN" w:bidi="ar"/>
              </w:rPr>
              <w:t>混料、装卸站</w:t>
            </w:r>
            <w:r>
              <w:rPr>
                <w:rFonts w:hint="default" w:ascii="Times New Roman" w:hAnsi="Times New Roman" w:eastAsia="宋体" w:cs="Times New Roman"/>
                <w:color w:val="000000"/>
                <w:kern w:val="0"/>
                <w:sz w:val="24"/>
                <w:szCs w:val="24"/>
                <w:lang w:val="en-US" w:eastAsia="zh-CN" w:bidi="ar"/>
              </w:rPr>
              <w:t>地面进行防渗处理，保证防渗层防渗效果等效黏土防渗层不小于1.5m，防渗层渗透系数小于1×10</w:t>
            </w:r>
            <w:r>
              <w:rPr>
                <w:rFonts w:hint="eastAsia"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vertAlign w:val="superscript"/>
                <w:lang w:val="en-US" w:eastAsia="zh-CN" w:bidi="ar"/>
              </w:rPr>
              <w:t>7</w:t>
            </w:r>
            <w:r>
              <w:rPr>
                <w:rFonts w:hint="default" w:ascii="Times New Roman" w:hAnsi="Times New Roman" w:eastAsia="宋体" w:cs="Times New Roman"/>
                <w:color w:val="000000"/>
                <w:kern w:val="0"/>
                <w:sz w:val="24"/>
                <w:szCs w:val="24"/>
                <w:lang w:val="en-US" w:eastAsia="zh-CN" w:bidi="ar"/>
              </w:rPr>
              <w:t>cm/s，其中混矿仓库地面设置3mm金刚砂型耐磨材料、350mmC30商品砼，内配置双层双向钢筋网、复合土工膜</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两布一膜</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、300mm 6%水泥稳定碎石和150mm碎石夯入土层。 </w:t>
            </w:r>
          </w:p>
          <w:p w14:paraId="578A32A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加强对</w:t>
            </w:r>
            <w:r>
              <w:rPr>
                <w:rFonts w:hint="eastAsia" w:cs="Times New Roman"/>
                <w:color w:val="000000"/>
                <w:kern w:val="0"/>
                <w:sz w:val="24"/>
                <w:szCs w:val="24"/>
                <w:lang w:val="en-US" w:eastAsia="zh-CN" w:bidi="ar"/>
              </w:rPr>
              <w:t>污水</w:t>
            </w:r>
            <w:r>
              <w:rPr>
                <w:rFonts w:hint="default" w:ascii="Times New Roman" w:hAnsi="Times New Roman" w:eastAsia="宋体" w:cs="Times New Roman"/>
                <w:color w:val="000000"/>
                <w:kern w:val="0"/>
                <w:sz w:val="24"/>
                <w:szCs w:val="24"/>
                <w:lang w:val="en-US" w:eastAsia="zh-CN" w:bidi="ar"/>
              </w:rPr>
              <w:t>管道、初期雨水收集池、沉淀池</w:t>
            </w:r>
            <w:r>
              <w:rPr>
                <w:rFonts w:hint="eastAsia" w:cs="Times New Roman"/>
                <w:color w:val="000000"/>
                <w:kern w:val="0"/>
                <w:sz w:val="24"/>
                <w:szCs w:val="24"/>
                <w:lang w:val="en-US" w:eastAsia="zh-CN" w:bidi="ar"/>
              </w:rPr>
              <w:t>、原料及成品</w:t>
            </w:r>
            <w:r>
              <w:rPr>
                <w:rFonts w:hint="default" w:ascii="Times New Roman" w:hAnsi="Times New Roman" w:eastAsia="宋体" w:cs="Times New Roman"/>
                <w:color w:val="000000"/>
                <w:kern w:val="0"/>
                <w:sz w:val="24"/>
                <w:szCs w:val="24"/>
                <w:lang w:val="en-US" w:eastAsia="zh-CN" w:bidi="ar"/>
              </w:rPr>
              <w:t>仓库地面的维护和管理，防止跑、冒、滴、漏和非正常排放。</w:t>
            </w:r>
          </w:p>
          <w:p w14:paraId="7D57D54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4、跟踪监测</w:t>
            </w:r>
          </w:p>
          <w:p w14:paraId="368A82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为了掌握本项目土壤环境质量状况和土壤污染物的动态变化，项目实施后将对土壤进行跟踪监测。结合项目特征，本评价将在</w:t>
            </w:r>
            <w:r>
              <w:rPr>
                <w:rFonts w:hint="eastAsia" w:cs="Times New Roman"/>
                <w:color w:val="000000"/>
                <w:kern w:val="0"/>
                <w:sz w:val="24"/>
                <w:szCs w:val="24"/>
                <w:lang w:val="en-US" w:eastAsia="zh-CN" w:bidi="ar"/>
              </w:rPr>
              <w:t>厂区内</w:t>
            </w:r>
            <w:r>
              <w:rPr>
                <w:rFonts w:hint="eastAsia" w:ascii="Times New Roman" w:hAnsi="Times New Roman" w:eastAsia="宋体" w:cs="Times New Roman"/>
                <w:color w:val="000000"/>
                <w:kern w:val="0"/>
                <w:sz w:val="24"/>
                <w:szCs w:val="24"/>
                <w:lang w:val="en-US" w:eastAsia="zh-CN" w:bidi="ar"/>
              </w:rPr>
              <w:t>布设一处土壤跟踪监测点，具体布置情况见表</w:t>
            </w:r>
            <w:r>
              <w:rPr>
                <w:rFonts w:hint="eastAsia" w:cs="Times New Roman"/>
                <w:color w:val="000000"/>
                <w:kern w:val="0"/>
                <w:sz w:val="24"/>
                <w:szCs w:val="24"/>
                <w:lang w:val="en-US" w:eastAsia="zh-CN" w:bidi="ar"/>
              </w:rPr>
              <w:t>4-14。</w:t>
            </w:r>
          </w:p>
          <w:p w14:paraId="74963EB6">
            <w:pPr>
              <w:pStyle w:val="14"/>
              <w:spacing w:line="360" w:lineRule="auto"/>
              <w:ind w:left="0" w:leftChars="0" w:firstLine="0" w:firstLineChars="0"/>
              <w:jc w:val="center"/>
              <w:rPr>
                <w:rFonts w:hint="eastAsia"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表4-14 土壤环境跟踪监测点布设一览表</w:t>
            </w:r>
          </w:p>
          <w:tbl>
            <w:tblPr>
              <w:tblStyle w:val="17"/>
              <w:tblW w:w="7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62"/>
              <w:gridCol w:w="1513"/>
              <w:gridCol w:w="1312"/>
              <w:gridCol w:w="2407"/>
            </w:tblGrid>
            <w:tr w14:paraId="3D86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67006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监测点位置</w:t>
                  </w:r>
                </w:p>
              </w:tc>
              <w:tc>
                <w:tcPr>
                  <w:tcW w:w="1262" w:type="dxa"/>
                  <w:vAlign w:val="center"/>
                </w:tcPr>
                <w:p w14:paraId="34C42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采样深度</w:t>
                  </w:r>
                </w:p>
              </w:tc>
              <w:tc>
                <w:tcPr>
                  <w:tcW w:w="1513" w:type="dxa"/>
                  <w:vAlign w:val="center"/>
                </w:tcPr>
                <w:p w14:paraId="73668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监测因子</w:t>
                  </w:r>
                </w:p>
              </w:tc>
              <w:tc>
                <w:tcPr>
                  <w:tcW w:w="1312" w:type="dxa"/>
                  <w:vAlign w:val="center"/>
                </w:tcPr>
                <w:p w14:paraId="4C3AA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监测频率</w:t>
                  </w:r>
                </w:p>
              </w:tc>
              <w:tc>
                <w:tcPr>
                  <w:tcW w:w="2407" w:type="dxa"/>
                  <w:vAlign w:val="center"/>
                </w:tcPr>
                <w:p w14:paraId="4AA14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执行标准</w:t>
                  </w:r>
                </w:p>
              </w:tc>
            </w:tr>
            <w:tr w14:paraId="41F0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9" w:type="dxa"/>
                  <w:vAlign w:val="center"/>
                </w:tcPr>
                <w:p w14:paraId="7657FB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厂区内</w:t>
                  </w:r>
                </w:p>
              </w:tc>
              <w:tc>
                <w:tcPr>
                  <w:tcW w:w="1262" w:type="dxa"/>
                  <w:vAlign w:val="center"/>
                </w:tcPr>
                <w:p w14:paraId="48085F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0.2m</w:t>
                  </w:r>
                </w:p>
              </w:tc>
              <w:tc>
                <w:tcPr>
                  <w:tcW w:w="1513" w:type="dxa"/>
                  <w:vAlign w:val="center"/>
                </w:tcPr>
                <w:p w14:paraId="1B53F6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土壤基本45项、铊、锑、锰、锌、石油烃</w:t>
                  </w:r>
                </w:p>
              </w:tc>
              <w:tc>
                <w:tcPr>
                  <w:tcW w:w="1312" w:type="dxa"/>
                  <w:vAlign w:val="center"/>
                </w:tcPr>
                <w:p w14:paraId="1FD4F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每五年1次</w:t>
                  </w:r>
                </w:p>
              </w:tc>
              <w:tc>
                <w:tcPr>
                  <w:tcW w:w="2407" w:type="dxa"/>
                  <w:vAlign w:val="center"/>
                </w:tcPr>
                <w:p w14:paraId="79C9D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vertAlign w:val="baseline"/>
                      <w:lang w:val="en-US" w:eastAsia="zh-CN" w:bidi="ar"/>
                    </w:rPr>
                  </w:pPr>
                  <w:r>
                    <w:rPr>
                      <w:rFonts w:hint="eastAsia" w:cs="Times New Roman"/>
                      <w:color w:val="000000"/>
                      <w:kern w:val="0"/>
                      <w:sz w:val="21"/>
                      <w:szCs w:val="21"/>
                      <w:vertAlign w:val="baseline"/>
                      <w:lang w:val="en-US" w:eastAsia="zh-CN" w:bidi="ar"/>
                    </w:rPr>
                    <w:t>《土壤环境质量 建设用地土壤污染风险管控标准（试行）》（GB36600-2018）</w:t>
                  </w:r>
                </w:p>
              </w:tc>
            </w:tr>
          </w:tbl>
          <w:p w14:paraId="6ED4BB6C">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cs="Times New Roman"/>
                <w:b/>
                <w:bCs/>
                <w:color w:val="000000"/>
                <w:kern w:val="0"/>
                <w:sz w:val="24"/>
                <w:szCs w:val="24"/>
                <w:lang w:val="en-US" w:eastAsia="zh-CN" w:bidi="ar"/>
              </w:rPr>
              <w:t>地表水环境影响分析</w:t>
            </w:r>
          </w:p>
          <w:p w14:paraId="739D3E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本项目雨污分流，员工生活污水经化粪池处理达标排入园区污水管网送至大榄坪污水处理厂。 </w:t>
            </w:r>
          </w:p>
          <w:p w14:paraId="0AA954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项目洗车废水、地面冲洗废水经沉淀处理后作为冲洗水循环使用，不外排；初期雨水经初期雨水池沉淀处理后用于喷淋抑尘、冲洗等用水，不外排。  </w:t>
            </w:r>
          </w:p>
          <w:p w14:paraId="666AED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本项目对整个项目厂房、办公楼、道路等所在区域（除绿化区域外）进行地面硬化，各厂界围墙内侧均建设雨水收集沟，厂区周边设置沟槽连接至沉淀池，沟槽、初期雨水池和沉淀池池底及四壁做防渗处理。 </w:t>
            </w:r>
          </w:p>
          <w:p w14:paraId="3C29D5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危废暂存间按照《危险废物贮存污染控制标准》（</w:t>
            </w:r>
            <w:r>
              <w:rPr>
                <w:rFonts w:hint="default" w:ascii="Times New Roman" w:hAnsi="Times New Roman" w:eastAsia="宋体" w:cs="Times New Roman"/>
                <w:color w:val="000000"/>
                <w:kern w:val="0"/>
                <w:sz w:val="24"/>
                <w:szCs w:val="24"/>
                <w:lang w:val="en-US" w:eastAsia="zh-CN" w:bidi="ar"/>
              </w:rPr>
              <w:t>GB18597-2023</w:t>
            </w:r>
            <w:r>
              <w:rPr>
                <w:rFonts w:hint="eastAsia" w:ascii="宋体" w:hAnsi="宋体" w:eastAsia="宋体" w:cs="宋体"/>
                <w:color w:val="000000"/>
                <w:kern w:val="0"/>
                <w:sz w:val="24"/>
                <w:szCs w:val="24"/>
                <w:lang w:val="en-US" w:eastAsia="zh-CN" w:bidi="ar"/>
              </w:rPr>
              <w:t>）要求做好防渗防漏措施。各功能区均采取“源头控制</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分区控制”的防渗防漏措施，不使物料渗透或溢流至项目周边的地表水。 </w:t>
            </w:r>
          </w:p>
          <w:p w14:paraId="200815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ascii="宋体" w:hAnsi="宋体" w:eastAsia="宋体" w:cs="宋体"/>
                <w:color w:val="000000"/>
                <w:kern w:val="0"/>
                <w:sz w:val="24"/>
                <w:szCs w:val="24"/>
                <w:lang w:val="en-US" w:eastAsia="zh-CN" w:bidi="ar"/>
              </w:rPr>
              <w:t>通过采取以上措施，项目对可能产生地表水的各项途径均进行有效预防，在确保各项防渗措施得以落实，并加强厂区环境管理的前提下，可避免污染地表水。因此，该项目不会对区域地表水环境产生明显影响。</w:t>
            </w:r>
          </w:p>
          <w:p w14:paraId="27AECF9B">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生态环境</w:t>
            </w:r>
          </w:p>
          <w:p w14:paraId="4B680F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项目位于钦州港综合保税区二号路东面、七大街北面，</w:t>
            </w:r>
            <w:r>
              <w:rPr>
                <w:rFonts w:hint="eastAsia" w:cs="Times New Roman"/>
                <w:color w:val="000000"/>
                <w:kern w:val="0"/>
                <w:sz w:val="24"/>
                <w:szCs w:val="24"/>
                <w:lang w:val="en-US" w:eastAsia="zh-CN" w:bidi="ar"/>
              </w:rPr>
              <w:t>项目及周边区域均为工业用地，以人工植被为主，无野生保护植物；动物以常见的蚯蚓等为主，无野生保护动物。</w:t>
            </w:r>
            <w:r>
              <w:rPr>
                <w:rFonts w:hint="eastAsia" w:ascii="Times New Roman" w:hAnsi="Times New Roman" w:eastAsia="宋体" w:cs="Times New Roman"/>
                <w:color w:val="000000"/>
                <w:kern w:val="0"/>
                <w:sz w:val="24"/>
                <w:szCs w:val="24"/>
                <w:lang w:val="en-US" w:eastAsia="zh-CN" w:bidi="ar"/>
              </w:rPr>
              <w:t>项目选址周边无风景名胜区、自然保护区及文化遗产等特殊保护目标，生态环境不属于敏感区。本项目对运营期产生的各类污染采取切实可行的治理防护措施，严格控制在国家规定的排放标准内，不会对周围的自然环境和人工环境造成破坏，本项目所在区域没有特别的生态保护目标，因此项目营运期对生态的影响较小。</w:t>
            </w:r>
          </w:p>
          <w:p w14:paraId="567E9128">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环境风险</w:t>
            </w:r>
          </w:p>
          <w:p w14:paraId="0C9F212A">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环境风险评价依据</w:t>
            </w:r>
          </w:p>
          <w:p w14:paraId="602AE61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根据《建设项目环境风险评价技术导则》（HJ169-2018），按照评价项目涉及的物质及工艺系统危险性和所在地的环境敏感性确定环境风险潜势，风险潜势为Ⅳ及以上，进行一级评价；风险潜势为Ⅲ，进行二级评价；风险潜势为Ⅱ，进行三级评价；风险潜势为Ⅰ，可开展简单分析。本项目评价工作级别按表4-1</w:t>
            </w:r>
            <w:r>
              <w:rPr>
                <w:rFonts w:hint="eastAsia" w:cs="Times New Roman"/>
                <w:sz w:val="24"/>
                <w:szCs w:val="24"/>
                <w:vertAlign w:val="baseline"/>
                <w:lang w:val="en-US" w:eastAsia="zh-CN"/>
              </w:rPr>
              <w:t>5</w:t>
            </w:r>
            <w:r>
              <w:rPr>
                <w:rFonts w:hint="default" w:ascii="Times New Roman" w:hAnsi="Times New Roman" w:cs="Times New Roman"/>
                <w:sz w:val="24"/>
                <w:szCs w:val="24"/>
                <w:vertAlign w:val="baseline"/>
                <w:lang w:val="en-US" w:eastAsia="zh-CN"/>
              </w:rPr>
              <w:t>划分。</w:t>
            </w:r>
          </w:p>
          <w:p w14:paraId="03D346C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Times New Roman" w:cs="Times New Roman"/>
                <w:b/>
                <w:bCs/>
                <w:vertAlign w:val="baseline"/>
                <w:lang w:val="en-US" w:eastAsia="zh-CN"/>
              </w:rPr>
            </w:pPr>
            <w:r>
              <w:rPr>
                <w:rFonts w:hint="eastAsia" w:ascii="Times New Roman" w:cs="Times New Roman"/>
                <w:b/>
                <w:bCs/>
                <w:vertAlign w:val="baseline"/>
                <w:lang w:val="en-US" w:eastAsia="zh-CN"/>
              </w:rPr>
              <w:t>表4-15 评价工作级别划分表</w:t>
            </w:r>
          </w:p>
          <w:tbl>
            <w:tblPr>
              <w:tblStyle w:val="17"/>
              <w:tblW w:w="7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27"/>
              <w:gridCol w:w="1527"/>
              <w:gridCol w:w="1528"/>
              <w:gridCol w:w="1528"/>
            </w:tblGrid>
            <w:tr w14:paraId="28AB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527" w:type="dxa"/>
                  <w:vAlign w:val="center"/>
                </w:tcPr>
                <w:p w14:paraId="19F42E44">
                  <w:pPr>
                    <w:widowControl/>
                    <w:jc w:val="center"/>
                    <w:rPr>
                      <w:color w:val="000000"/>
                      <w:kern w:val="0"/>
                      <w:szCs w:val="21"/>
                      <w:lang w:bidi="ar"/>
                    </w:rPr>
                  </w:pPr>
                  <w:r>
                    <w:rPr>
                      <w:color w:val="000000"/>
                      <w:kern w:val="0"/>
                      <w:szCs w:val="21"/>
                      <w:lang w:bidi="ar"/>
                    </w:rPr>
                    <w:t>环境风险潜势</w:t>
                  </w:r>
                </w:p>
              </w:tc>
              <w:tc>
                <w:tcPr>
                  <w:tcW w:w="1527" w:type="dxa"/>
                  <w:vAlign w:val="center"/>
                </w:tcPr>
                <w:p w14:paraId="5EAA55D9">
                  <w:pPr>
                    <w:widowControl/>
                    <w:jc w:val="center"/>
                    <w:rPr>
                      <w:color w:val="000000"/>
                      <w:kern w:val="0"/>
                      <w:szCs w:val="21"/>
                      <w:lang w:bidi="ar"/>
                    </w:rPr>
                  </w:pPr>
                  <w:r>
                    <w:rPr>
                      <w:color w:val="000000"/>
                      <w:kern w:val="0"/>
                      <w:szCs w:val="21"/>
                      <w:lang w:bidi="ar"/>
                    </w:rPr>
                    <w:t>Ⅳ、Ⅳ+</w:t>
                  </w:r>
                </w:p>
              </w:tc>
              <w:tc>
                <w:tcPr>
                  <w:tcW w:w="1527" w:type="dxa"/>
                  <w:vAlign w:val="center"/>
                </w:tcPr>
                <w:p w14:paraId="116AD737">
                  <w:pPr>
                    <w:widowControl/>
                    <w:jc w:val="center"/>
                    <w:rPr>
                      <w:color w:val="000000"/>
                      <w:kern w:val="0"/>
                      <w:szCs w:val="21"/>
                      <w:lang w:bidi="ar"/>
                    </w:rPr>
                  </w:pPr>
                  <w:r>
                    <w:rPr>
                      <w:color w:val="000000"/>
                      <w:kern w:val="0"/>
                      <w:szCs w:val="21"/>
                      <w:lang w:bidi="ar"/>
                    </w:rPr>
                    <w:t>Ⅲ</w:t>
                  </w:r>
                </w:p>
              </w:tc>
              <w:tc>
                <w:tcPr>
                  <w:tcW w:w="1528" w:type="dxa"/>
                  <w:vAlign w:val="center"/>
                </w:tcPr>
                <w:p w14:paraId="1C280E56">
                  <w:pPr>
                    <w:widowControl/>
                    <w:jc w:val="center"/>
                    <w:rPr>
                      <w:color w:val="000000"/>
                      <w:kern w:val="0"/>
                      <w:szCs w:val="21"/>
                      <w:lang w:bidi="ar"/>
                    </w:rPr>
                  </w:pPr>
                  <w:r>
                    <w:rPr>
                      <w:color w:val="000000"/>
                      <w:kern w:val="0"/>
                      <w:szCs w:val="21"/>
                      <w:lang w:bidi="ar"/>
                    </w:rPr>
                    <w:t>Ⅱ</w:t>
                  </w:r>
                </w:p>
              </w:tc>
              <w:tc>
                <w:tcPr>
                  <w:tcW w:w="1528" w:type="dxa"/>
                  <w:vAlign w:val="center"/>
                </w:tcPr>
                <w:p w14:paraId="0FC7E32A">
                  <w:pPr>
                    <w:widowControl/>
                    <w:jc w:val="center"/>
                    <w:rPr>
                      <w:color w:val="000000"/>
                      <w:kern w:val="0"/>
                      <w:szCs w:val="21"/>
                      <w:lang w:bidi="ar"/>
                    </w:rPr>
                  </w:pPr>
                  <w:r>
                    <w:rPr>
                      <w:color w:val="000000"/>
                      <w:kern w:val="0"/>
                      <w:szCs w:val="21"/>
                      <w:lang w:bidi="ar"/>
                    </w:rPr>
                    <w:t>Ⅰ</w:t>
                  </w:r>
                </w:p>
              </w:tc>
            </w:tr>
            <w:tr w14:paraId="0762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7" w:type="dxa"/>
                  <w:vAlign w:val="center"/>
                </w:tcPr>
                <w:p w14:paraId="1AC69851">
                  <w:pPr>
                    <w:widowControl/>
                    <w:jc w:val="center"/>
                    <w:rPr>
                      <w:color w:val="000000"/>
                      <w:kern w:val="0"/>
                      <w:szCs w:val="21"/>
                      <w:lang w:bidi="ar"/>
                    </w:rPr>
                  </w:pPr>
                  <w:r>
                    <w:rPr>
                      <w:color w:val="000000"/>
                      <w:kern w:val="0"/>
                      <w:szCs w:val="21"/>
                      <w:lang w:bidi="ar"/>
                    </w:rPr>
                    <w:t>评价工作等级</w:t>
                  </w:r>
                </w:p>
              </w:tc>
              <w:tc>
                <w:tcPr>
                  <w:tcW w:w="1527" w:type="dxa"/>
                  <w:vAlign w:val="center"/>
                </w:tcPr>
                <w:p w14:paraId="4BCE2381">
                  <w:pPr>
                    <w:widowControl/>
                    <w:jc w:val="center"/>
                    <w:rPr>
                      <w:color w:val="000000"/>
                      <w:kern w:val="0"/>
                      <w:szCs w:val="21"/>
                      <w:lang w:bidi="ar"/>
                    </w:rPr>
                  </w:pPr>
                  <w:r>
                    <w:rPr>
                      <w:rFonts w:hint="eastAsia"/>
                      <w:color w:val="000000"/>
                      <w:kern w:val="0"/>
                      <w:szCs w:val="21"/>
                      <w:lang w:bidi="ar"/>
                    </w:rPr>
                    <w:t>一</w:t>
                  </w:r>
                </w:p>
              </w:tc>
              <w:tc>
                <w:tcPr>
                  <w:tcW w:w="1527" w:type="dxa"/>
                  <w:vAlign w:val="center"/>
                </w:tcPr>
                <w:p w14:paraId="5469066C">
                  <w:pPr>
                    <w:widowControl/>
                    <w:jc w:val="center"/>
                    <w:rPr>
                      <w:color w:val="000000"/>
                      <w:kern w:val="0"/>
                      <w:szCs w:val="21"/>
                      <w:lang w:bidi="ar"/>
                    </w:rPr>
                  </w:pPr>
                  <w:r>
                    <w:rPr>
                      <w:rFonts w:hint="eastAsia"/>
                      <w:color w:val="000000"/>
                      <w:kern w:val="0"/>
                      <w:szCs w:val="21"/>
                      <w:lang w:bidi="ar"/>
                    </w:rPr>
                    <w:t>二</w:t>
                  </w:r>
                </w:p>
              </w:tc>
              <w:tc>
                <w:tcPr>
                  <w:tcW w:w="1528" w:type="dxa"/>
                  <w:vAlign w:val="center"/>
                </w:tcPr>
                <w:p w14:paraId="6F8F4A7D">
                  <w:pPr>
                    <w:widowControl/>
                    <w:jc w:val="center"/>
                    <w:rPr>
                      <w:color w:val="000000"/>
                      <w:kern w:val="0"/>
                      <w:szCs w:val="21"/>
                      <w:lang w:bidi="ar"/>
                    </w:rPr>
                  </w:pPr>
                  <w:r>
                    <w:rPr>
                      <w:rFonts w:hint="eastAsia"/>
                      <w:color w:val="000000"/>
                      <w:kern w:val="0"/>
                      <w:szCs w:val="21"/>
                      <w:lang w:bidi="ar"/>
                    </w:rPr>
                    <w:t>三</w:t>
                  </w:r>
                </w:p>
              </w:tc>
              <w:tc>
                <w:tcPr>
                  <w:tcW w:w="1528" w:type="dxa"/>
                  <w:vAlign w:val="center"/>
                </w:tcPr>
                <w:p w14:paraId="0C35FABD">
                  <w:pPr>
                    <w:widowControl/>
                    <w:jc w:val="center"/>
                    <w:rPr>
                      <w:color w:val="000000"/>
                      <w:kern w:val="0"/>
                      <w:szCs w:val="21"/>
                      <w:lang w:bidi="ar"/>
                    </w:rPr>
                  </w:pPr>
                  <w:r>
                    <w:rPr>
                      <w:rFonts w:hint="eastAsia"/>
                      <w:color w:val="000000"/>
                      <w:kern w:val="0"/>
                      <w:szCs w:val="21"/>
                      <w:lang w:bidi="ar"/>
                    </w:rPr>
                    <w:t>简单分析</w:t>
                  </w:r>
                  <w:r>
                    <w:rPr>
                      <w:rFonts w:hint="eastAsia"/>
                      <w:color w:val="000000"/>
                      <w:kern w:val="0"/>
                      <w:szCs w:val="21"/>
                      <w:vertAlign w:val="superscript"/>
                      <w:lang w:bidi="ar"/>
                    </w:rPr>
                    <w:t>a</w:t>
                  </w:r>
                </w:p>
              </w:tc>
            </w:tr>
            <w:tr w14:paraId="2204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37" w:type="dxa"/>
                  <w:gridSpan w:val="5"/>
                  <w:vAlign w:val="center"/>
                </w:tcPr>
                <w:p w14:paraId="064256DC">
                  <w:pPr>
                    <w:widowControl/>
                    <w:rPr>
                      <w:color w:val="000000"/>
                      <w:kern w:val="0"/>
                      <w:szCs w:val="21"/>
                      <w:lang w:bidi="ar"/>
                    </w:rPr>
                  </w:pPr>
                  <w:r>
                    <w:rPr>
                      <w:rFonts w:hint="eastAsia"/>
                      <w:color w:val="000000"/>
                      <w:kern w:val="0"/>
                      <w:szCs w:val="21"/>
                      <w:lang w:bidi="ar"/>
                    </w:rPr>
                    <w:t>a是相对于详细评价工作内容而言，在描述危险物质、环境影响途径、环境危害后果、风险防范措施等方面给出的定性的说明。见附录A</w:t>
                  </w:r>
                </w:p>
              </w:tc>
            </w:tr>
          </w:tbl>
          <w:p w14:paraId="6C4A1A8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center"/>
              <w:textAlignment w:val="auto"/>
              <w:rPr>
                <w:color w:val="000000"/>
                <w:kern w:val="0"/>
                <w:position w:val="-30"/>
                <w:sz w:val="24"/>
                <w:lang w:bidi="ar"/>
              </w:rPr>
            </w:pPr>
            <w:r>
              <w:rPr>
                <w:color w:val="000000"/>
                <w:kern w:val="0"/>
                <w:position w:val="-30"/>
                <w:sz w:val="24"/>
                <w:lang w:bidi="ar"/>
              </w:rPr>
              <w:object>
                <v:shape id="_x0000_i1030" o:spt="75" type="#_x0000_t75" style="height:34.15pt;width:109.85pt;" o:ole="t" filled="f" o:preferrelative="t" stroked="f" coordsize="21600,21600">
                  <v:path/>
                  <v:fill on="f" focussize="0,0"/>
                  <v:stroke on="f" joinstyle="miter"/>
                  <v:imagedata r:id="rId22" o:title=""/>
                  <o:lock v:ext="edit" aspectratio="t"/>
                  <w10:wrap type="none"/>
                  <w10:anchorlock/>
                </v:shape>
                <o:OLEObject Type="Embed" ProgID="Equation.KSEE3" ShapeID="_x0000_i1030" DrawAspect="Content" ObjectID="_1468075730" r:id="rId21">
                  <o:LockedField>false</o:LockedField>
                </o:OLEObject>
              </w:object>
            </w:r>
          </w:p>
          <w:p w14:paraId="1E52A9D5">
            <w:pPr>
              <w:widowControl/>
              <w:spacing w:line="500" w:lineRule="exact"/>
              <w:ind w:firstLine="480" w:firstLineChars="200"/>
              <w:rPr>
                <w:color w:val="000000"/>
                <w:kern w:val="0"/>
                <w:sz w:val="24"/>
                <w:lang w:bidi="ar"/>
              </w:rPr>
            </w:pPr>
            <w:r>
              <w:rPr>
                <w:rFonts w:hint="eastAsia"/>
                <w:color w:val="000000"/>
                <w:kern w:val="0"/>
                <w:sz w:val="24"/>
                <w:lang w:bidi="ar"/>
              </w:rPr>
              <w:t>式中：q</w:t>
            </w:r>
            <w:r>
              <w:rPr>
                <w:rFonts w:hint="eastAsia"/>
                <w:color w:val="000000"/>
                <w:kern w:val="0"/>
                <w:sz w:val="24"/>
                <w:vertAlign w:val="subscript"/>
                <w:lang w:bidi="ar"/>
              </w:rPr>
              <w:t>1</w:t>
            </w:r>
            <w:r>
              <w:rPr>
                <w:rFonts w:hint="eastAsia"/>
                <w:color w:val="000000"/>
                <w:kern w:val="0"/>
                <w:sz w:val="24"/>
                <w:lang w:bidi="ar"/>
              </w:rPr>
              <w:t>，q</w:t>
            </w:r>
            <w:r>
              <w:rPr>
                <w:rFonts w:hint="eastAsia"/>
                <w:color w:val="000000"/>
                <w:kern w:val="0"/>
                <w:sz w:val="24"/>
                <w:vertAlign w:val="subscript"/>
                <w:lang w:bidi="ar"/>
              </w:rPr>
              <w:t>2</w:t>
            </w:r>
            <w:r>
              <w:rPr>
                <w:rFonts w:hint="eastAsia"/>
                <w:color w:val="000000"/>
                <w:kern w:val="0"/>
                <w:sz w:val="24"/>
                <w:vertAlign w:val="subscript"/>
                <w:lang w:eastAsia="zh-CN" w:bidi="ar"/>
              </w:rPr>
              <w:t>，</w:t>
            </w:r>
            <w:r>
              <w:rPr>
                <w:rFonts w:hint="eastAsia"/>
                <w:color w:val="000000"/>
                <w:kern w:val="0"/>
                <w:sz w:val="24"/>
                <w:lang w:bidi="ar"/>
              </w:rPr>
              <w:t>q</w:t>
            </w:r>
            <w:r>
              <w:rPr>
                <w:rFonts w:hint="eastAsia"/>
                <w:color w:val="000000"/>
                <w:kern w:val="0"/>
                <w:sz w:val="24"/>
                <w:vertAlign w:val="subscript"/>
                <w:lang w:bidi="ar"/>
              </w:rPr>
              <w:t>n</w:t>
            </w:r>
            <w:r>
              <w:rPr>
                <w:rFonts w:hint="eastAsia"/>
                <w:color w:val="000000"/>
                <w:kern w:val="0"/>
                <w:sz w:val="24"/>
                <w:lang w:bidi="ar"/>
              </w:rPr>
              <w:t>——每种危险物质的最大存在总量，t；</w:t>
            </w:r>
          </w:p>
          <w:p w14:paraId="04552AA3">
            <w:pPr>
              <w:widowControl/>
              <w:spacing w:line="500" w:lineRule="exact"/>
              <w:ind w:firstLine="1200" w:firstLineChars="500"/>
              <w:rPr>
                <w:color w:val="000000"/>
                <w:kern w:val="0"/>
                <w:sz w:val="24"/>
                <w:lang w:bidi="ar"/>
              </w:rPr>
            </w:pPr>
            <w:r>
              <w:rPr>
                <w:rFonts w:hint="eastAsia"/>
                <w:color w:val="000000"/>
                <w:kern w:val="0"/>
                <w:sz w:val="24"/>
                <w:lang w:bidi="ar"/>
              </w:rPr>
              <w:t>Q</w:t>
            </w:r>
            <w:r>
              <w:rPr>
                <w:rFonts w:hint="eastAsia"/>
                <w:color w:val="000000"/>
                <w:kern w:val="0"/>
                <w:sz w:val="24"/>
                <w:vertAlign w:val="subscript"/>
                <w:lang w:bidi="ar"/>
              </w:rPr>
              <w:t>1</w:t>
            </w:r>
            <w:r>
              <w:rPr>
                <w:rFonts w:hint="eastAsia"/>
                <w:color w:val="000000"/>
                <w:kern w:val="0"/>
                <w:sz w:val="24"/>
                <w:lang w:bidi="ar"/>
              </w:rPr>
              <w:t>，Q</w:t>
            </w:r>
            <w:r>
              <w:rPr>
                <w:rFonts w:hint="eastAsia"/>
                <w:color w:val="000000"/>
                <w:kern w:val="0"/>
                <w:sz w:val="24"/>
                <w:vertAlign w:val="subscript"/>
                <w:lang w:bidi="ar"/>
              </w:rPr>
              <w:t>2</w:t>
            </w:r>
            <w:r>
              <w:rPr>
                <w:rFonts w:hint="eastAsia"/>
                <w:color w:val="000000"/>
                <w:kern w:val="0"/>
                <w:sz w:val="24"/>
                <w:vertAlign w:val="subscript"/>
                <w:lang w:eastAsia="zh-CN" w:bidi="ar"/>
              </w:rPr>
              <w:t>，</w:t>
            </w:r>
            <w:r>
              <w:rPr>
                <w:rFonts w:hint="eastAsia"/>
                <w:color w:val="000000"/>
                <w:kern w:val="0"/>
                <w:sz w:val="24"/>
                <w:lang w:bidi="ar"/>
              </w:rPr>
              <w:t>Q</w:t>
            </w:r>
            <w:r>
              <w:rPr>
                <w:rFonts w:hint="eastAsia"/>
                <w:color w:val="000000"/>
                <w:kern w:val="0"/>
                <w:sz w:val="24"/>
                <w:vertAlign w:val="subscript"/>
                <w:lang w:bidi="ar"/>
              </w:rPr>
              <w:t>n</w:t>
            </w:r>
            <w:r>
              <w:rPr>
                <w:rFonts w:hint="eastAsia"/>
                <w:color w:val="000000"/>
                <w:kern w:val="0"/>
                <w:sz w:val="24"/>
                <w:lang w:bidi="ar"/>
              </w:rPr>
              <w:t>——每种危险物质的临界量，t。</w:t>
            </w:r>
          </w:p>
          <w:p w14:paraId="138152BA">
            <w:pPr>
              <w:widowControl/>
              <w:spacing w:line="500" w:lineRule="exact"/>
              <w:ind w:firstLine="480" w:firstLineChars="200"/>
              <w:rPr>
                <w:color w:val="000000"/>
                <w:kern w:val="0"/>
                <w:sz w:val="24"/>
                <w:lang w:bidi="ar"/>
              </w:rPr>
            </w:pPr>
            <w:r>
              <w:rPr>
                <w:rFonts w:hint="eastAsia"/>
                <w:color w:val="000000"/>
                <w:kern w:val="0"/>
                <w:sz w:val="24"/>
                <w:lang w:bidi="ar"/>
              </w:rPr>
              <w:t>当Q＜1时，该项目环境风险潜势为</w:t>
            </w:r>
            <w:r>
              <w:rPr>
                <w:rFonts w:hint="default" w:ascii="Times New Roman" w:hAnsi="Times New Roman" w:cs="Times New Roman"/>
                <w:color w:val="000000"/>
                <w:kern w:val="0"/>
                <w:sz w:val="24"/>
                <w:lang w:bidi="ar"/>
              </w:rPr>
              <w:t>Ⅰ</w:t>
            </w:r>
            <w:r>
              <w:rPr>
                <w:rFonts w:hint="eastAsia"/>
                <w:color w:val="000000"/>
                <w:kern w:val="0"/>
                <w:sz w:val="24"/>
                <w:lang w:bidi="ar"/>
              </w:rPr>
              <w:t>；</w:t>
            </w:r>
          </w:p>
          <w:p w14:paraId="66919B5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kern w:val="0"/>
                <w:sz w:val="24"/>
                <w:lang w:bidi="ar"/>
              </w:rPr>
            </w:pPr>
            <w:r>
              <w:rPr>
                <w:rFonts w:hint="eastAsia"/>
                <w:color w:val="000000"/>
                <w:kern w:val="0"/>
                <w:sz w:val="24"/>
                <w:lang w:bidi="ar"/>
              </w:rPr>
              <w:t>当Q≥1时，将Q值划分为：（1）1≤Q＜10；（2）10≤Q＜100；（3）Q≥100。</w:t>
            </w:r>
          </w:p>
          <w:p w14:paraId="454E02F8">
            <w:pPr>
              <w:pStyle w:val="2"/>
              <w:ind w:firstLine="0" w:firstLineChars="0"/>
              <w:jc w:val="center"/>
              <w:rPr>
                <w:rFonts w:hint="eastAsia" w:ascii="Times New Roman" w:hAnsi="Times New Roman" w:cs="Times New Roman"/>
                <w:b/>
                <w:bCs/>
                <w:color w:val="000000"/>
                <w:kern w:val="0"/>
                <w:sz w:val="24"/>
                <w:lang w:val="en-US" w:eastAsia="zh-CN" w:bidi="ar"/>
              </w:rPr>
            </w:pPr>
            <w:r>
              <w:rPr>
                <w:rFonts w:hint="default" w:ascii="Times New Roman" w:hAnsi="Times New Roman" w:cs="Times New Roman"/>
                <w:b/>
                <w:bCs/>
                <w:color w:val="000000"/>
                <w:kern w:val="0"/>
                <w:sz w:val="24"/>
                <w:lang w:val="en-US" w:eastAsia="zh-CN" w:bidi="ar"/>
              </w:rPr>
              <w:t>表4-1</w:t>
            </w:r>
            <w:r>
              <w:rPr>
                <w:rFonts w:hint="eastAsia" w:ascii="Times New Roman" w:hAnsi="Times New Roman" w:cs="Times New Roman"/>
                <w:b/>
                <w:bCs/>
                <w:color w:val="000000"/>
                <w:kern w:val="0"/>
                <w:sz w:val="24"/>
                <w:lang w:val="en-US" w:eastAsia="zh-CN" w:bidi="ar"/>
              </w:rPr>
              <w:t>6 危险废物数量与临界量的比值（Q）</w:t>
            </w:r>
          </w:p>
          <w:tbl>
            <w:tblPr>
              <w:tblStyle w:val="17"/>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98"/>
              <w:gridCol w:w="1300"/>
              <w:gridCol w:w="1300"/>
              <w:gridCol w:w="1300"/>
              <w:gridCol w:w="1300"/>
            </w:tblGrid>
            <w:tr w14:paraId="72C5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D9E2B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序号</w:t>
                  </w:r>
                </w:p>
              </w:tc>
              <w:tc>
                <w:tcPr>
                  <w:tcW w:w="1898" w:type="dxa"/>
                  <w:vAlign w:val="center"/>
                </w:tcPr>
                <w:p w14:paraId="1175EB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风险物质名称</w:t>
                  </w:r>
                </w:p>
              </w:tc>
              <w:tc>
                <w:tcPr>
                  <w:tcW w:w="1300" w:type="dxa"/>
                  <w:vAlign w:val="center"/>
                </w:tcPr>
                <w:p w14:paraId="76CD8B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CAS号</w:t>
                  </w:r>
                </w:p>
              </w:tc>
              <w:tc>
                <w:tcPr>
                  <w:tcW w:w="1300" w:type="dxa"/>
                  <w:vAlign w:val="center"/>
                </w:tcPr>
                <w:p w14:paraId="26887A0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最大存在总量（t）</w:t>
                  </w:r>
                </w:p>
              </w:tc>
              <w:tc>
                <w:tcPr>
                  <w:tcW w:w="1300" w:type="dxa"/>
                  <w:vAlign w:val="center"/>
                </w:tcPr>
                <w:p w14:paraId="37F9CD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临界量（t）</w:t>
                  </w:r>
                </w:p>
              </w:tc>
              <w:tc>
                <w:tcPr>
                  <w:tcW w:w="1300" w:type="dxa"/>
                  <w:vAlign w:val="center"/>
                </w:tcPr>
                <w:p w14:paraId="7330EC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Q值</w:t>
                  </w:r>
                </w:p>
              </w:tc>
            </w:tr>
            <w:tr w14:paraId="1F57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28A4633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1</w:t>
                  </w:r>
                </w:p>
              </w:tc>
              <w:tc>
                <w:tcPr>
                  <w:tcW w:w="1898" w:type="dxa"/>
                  <w:vAlign w:val="center"/>
                </w:tcPr>
                <w:p w14:paraId="53CDBA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废机油、废润滑油</w:t>
                  </w:r>
                </w:p>
              </w:tc>
              <w:tc>
                <w:tcPr>
                  <w:tcW w:w="1300" w:type="dxa"/>
                  <w:vAlign w:val="center"/>
                </w:tcPr>
                <w:p w14:paraId="430488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w:t>
                  </w:r>
                </w:p>
              </w:tc>
              <w:tc>
                <w:tcPr>
                  <w:tcW w:w="1300" w:type="dxa"/>
                  <w:vAlign w:val="center"/>
                </w:tcPr>
                <w:p w14:paraId="3757B7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0.03</w:t>
                  </w:r>
                </w:p>
              </w:tc>
              <w:tc>
                <w:tcPr>
                  <w:tcW w:w="1300" w:type="dxa"/>
                  <w:vAlign w:val="center"/>
                </w:tcPr>
                <w:p w14:paraId="1EBAF7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2500</w:t>
                  </w:r>
                </w:p>
              </w:tc>
              <w:tc>
                <w:tcPr>
                  <w:tcW w:w="1300" w:type="dxa"/>
                  <w:vAlign w:val="center"/>
                </w:tcPr>
                <w:p w14:paraId="1EC399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0.00012</w:t>
                  </w:r>
                </w:p>
              </w:tc>
            </w:tr>
            <w:tr w14:paraId="09FB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0" w:type="dxa"/>
                  <w:gridSpan w:val="5"/>
                  <w:vAlign w:val="center"/>
                </w:tcPr>
                <w:p w14:paraId="326719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合计</w:t>
                  </w:r>
                </w:p>
              </w:tc>
              <w:tc>
                <w:tcPr>
                  <w:tcW w:w="1300" w:type="dxa"/>
                  <w:vAlign w:val="center"/>
                </w:tcPr>
                <w:p w14:paraId="2DAE7F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u w:val="none"/>
                      <w:vertAlign w:val="baseline"/>
                      <w:lang w:val="en-US" w:eastAsia="zh-CN"/>
                    </w:rPr>
                  </w:pPr>
                  <w:r>
                    <w:rPr>
                      <w:rFonts w:hint="eastAsia"/>
                      <w:sz w:val="21"/>
                      <w:szCs w:val="21"/>
                      <w:u w:val="none"/>
                      <w:vertAlign w:val="baseline"/>
                      <w:lang w:val="en-US" w:eastAsia="zh-CN"/>
                    </w:rPr>
                    <w:t>0.00012</w:t>
                  </w:r>
                </w:p>
              </w:tc>
            </w:tr>
          </w:tbl>
          <w:p w14:paraId="30E59A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000000"/>
                <w:kern w:val="0"/>
                <w:sz w:val="24"/>
                <w:lang w:val="en-US" w:eastAsia="zh-CN" w:bidi="ar"/>
              </w:rPr>
            </w:pPr>
            <w:r>
              <w:rPr>
                <w:rFonts w:hint="default" w:ascii="Times New Roman" w:hAnsi="Times New Roman" w:cs="Times New Roman"/>
                <w:color w:val="000000"/>
                <w:kern w:val="0"/>
                <w:sz w:val="24"/>
                <w:lang w:bidi="ar"/>
              </w:rPr>
              <w:t>根据《建设项目环境风险评价技术导则》（HJ169-2018），本</w:t>
            </w:r>
            <w:bookmarkStart w:id="9" w:name="_Hlk210112899"/>
            <w:r>
              <w:rPr>
                <w:rFonts w:hint="default" w:ascii="Times New Roman" w:hAnsi="Times New Roman" w:cs="Times New Roman"/>
                <w:color w:val="000000"/>
                <w:kern w:val="0"/>
                <w:sz w:val="24"/>
                <w:lang w:bidi="ar"/>
              </w:rPr>
              <w:t>项目</w:t>
            </w:r>
            <w:r>
              <w:rPr>
                <w:rFonts w:hint="default" w:ascii="Times New Roman" w:hAnsi="Times New Roman" w:cs="Times New Roman"/>
                <w:color w:val="000000"/>
                <w:kern w:val="0"/>
                <w:sz w:val="24"/>
                <w:lang w:val="en-US" w:eastAsia="zh-CN" w:bidi="ar"/>
              </w:rPr>
              <w:t>涉及的风险物质为废机油、</w:t>
            </w:r>
            <w:r>
              <w:rPr>
                <w:rFonts w:hint="eastAsia" w:ascii="Times New Roman" w:hAnsi="Times New Roman" w:cs="Times New Roman"/>
                <w:color w:val="000000"/>
                <w:kern w:val="0"/>
                <w:sz w:val="24"/>
                <w:lang w:val="en-US" w:eastAsia="zh-CN" w:bidi="ar"/>
              </w:rPr>
              <w:t>废</w:t>
            </w:r>
            <w:r>
              <w:rPr>
                <w:rFonts w:hint="default" w:ascii="Times New Roman" w:hAnsi="Times New Roman" w:cs="Times New Roman"/>
                <w:color w:val="000000"/>
                <w:kern w:val="0"/>
                <w:sz w:val="24"/>
                <w:lang w:val="en-US" w:eastAsia="zh-CN" w:bidi="ar"/>
              </w:rPr>
              <w:t>润滑油</w:t>
            </w:r>
            <w:r>
              <w:rPr>
                <w:rFonts w:hint="default" w:ascii="Times New Roman" w:hAnsi="Times New Roman" w:cs="Times New Roman"/>
                <w:color w:val="000000"/>
                <w:kern w:val="0"/>
                <w:sz w:val="24"/>
                <w:lang w:bidi="ar"/>
              </w:rPr>
              <w:t>，则Q=0.00</w:t>
            </w:r>
            <w:r>
              <w:rPr>
                <w:rFonts w:hint="eastAsia" w:ascii="Times New Roman" w:hAnsi="Times New Roman" w:cs="Times New Roman"/>
                <w:color w:val="000000"/>
                <w:kern w:val="0"/>
                <w:sz w:val="24"/>
                <w:lang w:val="en-US" w:eastAsia="zh-CN" w:bidi="ar"/>
              </w:rPr>
              <w:t>0</w:t>
            </w:r>
            <w:r>
              <w:rPr>
                <w:rFonts w:hint="eastAsia" w:cs="Times New Roman"/>
                <w:color w:val="000000"/>
                <w:kern w:val="0"/>
                <w:sz w:val="24"/>
                <w:lang w:val="en-US" w:eastAsia="zh-CN" w:bidi="ar"/>
              </w:rPr>
              <w:t>12</w:t>
            </w:r>
            <w:r>
              <w:rPr>
                <w:rFonts w:hint="default" w:ascii="Times New Roman" w:hAnsi="Times New Roman" w:cs="Times New Roman"/>
                <w:color w:val="000000"/>
                <w:kern w:val="0"/>
                <w:sz w:val="24"/>
                <w:lang w:bidi="ar"/>
              </w:rPr>
              <w:t>＜1，环境风险潜势为I，不构成重大危险源，</w:t>
            </w:r>
            <w:bookmarkEnd w:id="9"/>
            <w:r>
              <w:rPr>
                <w:rFonts w:hint="default" w:ascii="Times New Roman" w:hAnsi="Times New Roman" w:cs="Times New Roman"/>
                <w:color w:val="000000"/>
                <w:kern w:val="0"/>
                <w:sz w:val="24"/>
                <w:lang w:bidi="ar"/>
              </w:rPr>
              <w:t>项目环境风险评价只需进行简单分析。</w:t>
            </w:r>
          </w:p>
          <w:p w14:paraId="6CFF148A">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环境风险分析</w:t>
            </w:r>
          </w:p>
          <w:p w14:paraId="4BB404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根据项目特点，结合本项目实际情况，可能出现的突发环境事件主要是危废暂存间泄漏及废气处理装置故障导致的突发环境事件。</w:t>
            </w:r>
          </w:p>
          <w:p w14:paraId="3B242BE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①废机油</w:t>
            </w:r>
            <w:r>
              <w:rPr>
                <w:rFonts w:hint="eastAsia" w:cs="Times New Roman"/>
                <w:color w:val="000000"/>
                <w:kern w:val="0"/>
                <w:sz w:val="24"/>
                <w:szCs w:val="24"/>
                <w:lang w:val="en-US" w:eastAsia="zh-CN" w:bidi="ar"/>
              </w:rPr>
              <w:t>、废润滑油</w:t>
            </w:r>
            <w:r>
              <w:rPr>
                <w:rFonts w:hint="default" w:ascii="Times New Roman" w:hAnsi="Times New Roman" w:eastAsia="宋体" w:cs="Times New Roman"/>
                <w:color w:val="000000"/>
                <w:kern w:val="0"/>
                <w:sz w:val="24"/>
                <w:szCs w:val="24"/>
                <w:lang w:val="en-US" w:eastAsia="zh-CN" w:bidi="ar"/>
              </w:rPr>
              <w:t>泄漏危害后果分析</w:t>
            </w:r>
          </w:p>
          <w:p w14:paraId="1A0012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本项目产生的废机油</w:t>
            </w:r>
            <w:r>
              <w:rPr>
                <w:rFonts w:hint="eastAsia" w:cs="Times New Roman"/>
                <w:color w:val="000000"/>
                <w:kern w:val="0"/>
                <w:sz w:val="24"/>
                <w:szCs w:val="24"/>
                <w:lang w:val="en-US" w:eastAsia="zh-CN" w:bidi="ar"/>
              </w:rPr>
              <w:t>、废润滑油</w:t>
            </w:r>
            <w:r>
              <w:rPr>
                <w:rFonts w:hint="default" w:ascii="Times New Roman" w:hAnsi="Times New Roman" w:eastAsia="宋体" w:cs="Times New Roman"/>
                <w:color w:val="000000"/>
                <w:kern w:val="0"/>
                <w:sz w:val="24"/>
                <w:szCs w:val="24"/>
                <w:lang w:val="en-US" w:eastAsia="zh-CN" w:bidi="ar"/>
              </w:rPr>
              <w:t>暂存于危废暂存间，储存装置破损导致泄漏位置所在区域的土壤及地下水体受到污染。</w:t>
            </w:r>
          </w:p>
          <w:p w14:paraId="410AE70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②废气处理装置故障危害后果分析</w:t>
            </w:r>
          </w:p>
          <w:p w14:paraId="53304A2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废气处理装置发生故障时，设备处理效率降低至0。当出现事故排放时，其对周边环境的不利影响显著增加。</w:t>
            </w:r>
          </w:p>
          <w:p w14:paraId="20D7D889">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环境风险</w:t>
            </w:r>
            <w:r>
              <w:rPr>
                <w:rFonts w:hint="eastAsia" w:cs="Times New Roman"/>
                <w:color w:val="000000"/>
                <w:kern w:val="0"/>
                <w:sz w:val="24"/>
                <w:szCs w:val="24"/>
                <w:lang w:val="en-US" w:eastAsia="zh-CN" w:bidi="ar"/>
              </w:rPr>
              <w:t>防范措施</w:t>
            </w:r>
          </w:p>
          <w:p w14:paraId="042366B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①建设单</w:t>
            </w:r>
            <w:r>
              <w:rPr>
                <w:rFonts w:hint="eastAsia" w:cs="Times New Roman"/>
                <w:color w:val="000000"/>
                <w:kern w:val="0"/>
                <w:sz w:val="24"/>
                <w:szCs w:val="24"/>
                <w:lang w:val="en-US" w:eastAsia="zh-CN" w:bidi="ar"/>
              </w:rPr>
              <w:t>位在</w:t>
            </w:r>
            <w:r>
              <w:rPr>
                <w:rFonts w:hint="default" w:ascii="Times New Roman" w:hAnsi="Times New Roman" w:eastAsia="宋体" w:cs="Times New Roman"/>
                <w:color w:val="000000"/>
                <w:kern w:val="0"/>
                <w:sz w:val="24"/>
                <w:szCs w:val="24"/>
                <w:lang w:val="en-US" w:eastAsia="zh-CN" w:bidi="ar"/>
              </w:rPr>
              <w:t>运营期应加强危险废物储存设施及转运设施的维护和管理，防止非正常排放或泄漏，将突发环境事故降低至最低限度；</w:t>
            </w:r>
          </w:p>
          <w:p w14:paraId="24E426B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②为防止项目废机油因跑、冒、滴、漏对厂区地下水造成污染，需根据《环境影响评价技术导则 地下水环境》（HJ610-2016），对厂区危废暂存间进行严格的硬化及防渗处理，四周设置围堰；</w:t>
            </w:r>
          </w:p>
          <w:p w14:paraId="67AF252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③建设单位在运营期加强对废气处理装置的维护与检修，使其处于良好的运行状态，尽量避免事故排放事件发生；</w:t>
            </w:r>
          </w:p>
          <w:p w14:paraId="263AE75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④编制突发环境事件应急预案，设置突发环境事件应急指挥部，下设应急指挥办公室及应急工作小组。当发生突发环境事件时，由应急指挥部负责公司应急工作的组织和指挥。</w:t>
            </w:r>
          </w:p>
          <w:p w14:paraId="70153F0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在落实一系列事故防范措施，制定完备的环境风险应急预案，保证事故防范措施等的前提下，项目环境风险可控在可接受水平内。本评价认为在科学管理和完善的预防应急措施处置机制保障下，本项目发生事故的可能性较低，风险程度属于可接受范围。</w:t>
            </w:r>
          </w:p>
          <w:p w14:paraId="325DA4D3">
            <w:pPr>
              <w:keepNext w:val="0"/>
              <w:keepLines w:val="0"/>
              <w:pageBreakBefore w:val="0"/>
              <w:widowControl/>
              <w:numPr>
                <w:ilvl w:val="0"/>
                <w:numId w:val="16"/>
              </w:numPr>
              <w:suppressLineNumbers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分析结论</w:t>
            </w:r>
          </w:p>
          <w:p w14:paraId="27D8B6A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cs="Times New Roman"/>
                <w:vertAlign w:val="baseline"/>
                <w:lang w:val="en-US" w:eastAsia="zh-CN"/>
              </w:rPr>
            </w:pPr>
            <w:r>
              <w:rPr>
                <w:rFonts w:hint="default" w:ascii="Times New Roman" w:hAnsi="Times New Roman" w:cs="Times New Roman"/>
                <w:vertAlign w:val="baseline"/>
                <w:lang w:val="en-US" w:eastAsia="zh-CN"/>
              </w:rPr>
              <w:t>本项目环境风险潜势为Ⅰ，环境风险等级低于三级，在做好上述各项防范措施后，项目生产过程的环境风险是可控的。</w:t>
            </w:r>
          </w:p>
          <w:p w14:paraId="36D08AE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Times New Roman" w:cs="Times New Roman"/>
                <w:b/>
                <w:bCs/>
                <w:vertAlign w:val="baseline"/>
                <w:lang w:val="en-US" w:eastAsia="zh-CN"/>
              </w:rPr>
            </w:pPr>
            <w:r>
              <w:rPr>
                <w:rFonts w:hint="eastAsia" w:ascii="Times New Roman" w:cs="Times New Roman"/>
                <w:b/>
                <w:bCs/>
                <w:vertAlign w:val="baseline"/>
                <w:lang w:val="en-US" w:eastAsia="zh-CN"/>
              </w:rPr>
              <w:t>表4-17 建设项目环境风险简单分析内容表</w:t>
            </w:r>
          </w:p>
          <w:tbl>
            <w:tblPr>
              <w:tblStyle w:val="17"/>
              <w:tblW w:w="7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6500"/>
            </w:tblGrid>
            <w:tr w14:paraId="2453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0E92F47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建设项目名称</w:t>
                  </w:r>
                </w:p>
              </w:tc>
              <w:tc>
                <w:tcPr>
                  <w:tcW w:w="6500" w:type="dxa"/>
                  <w:vAlign w:val="center"/>
                </w:tcPr>
                <w:p w14:paraId="0B289092">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none"/>
                      <w:lang w:val="en-US" w:eastAsia="zh-CN"/>
                    </w:rPr>
                    <w:t>中铜（钦州）铜精矿混矿项目</w:t>
                  </w:r>
                </w:p>
              </w:tc>
            </w:tr>
            <w:tr w14:paraId="5138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0909271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建设地点</w:t>
                  </w:r>
                </w:p>
              </w:tc>
              <w:tc>
                <w:tcPr>
                  <w:tcW w:w="6500" w:type="dxa"/>
                  <w:vAlign w:val="center"/>
                </w:tcPr>
                <w:p w14:paraId="0C2EE47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none"/>
                      <w:lang w:val="en-US" w:eastAsia="zh-CN"/>
                    </w:rPr>
                    <w:t>钦州市_中国（广西）自由贸易区钦州港片区钦州综合保税区二号路东面、七大街北面</w:t>
                  </w:r>
                </w:p>
              </w:tc>
            </w:tr>
            <w:tr w14:paraId="758A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1DDF4CB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地理坐标</w:t>
                  </w:r>
                </w:p>
              </w:tc>
              <w:tc>
                <w:tcPr>
                  <w:tcW w:w="6500" w:type="dxa"/>
                  <w:vAlign w:val="center"/>
                </w:tcPr>
                <w:p w14:paraId="6B8DDBC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u w:val="none"/>
                      <w:lang w:val="en-US" w:eastAsia="zh-CN"/>
                    </w:rPr>
                    <w:t>东经108°39′20.535″，北纬21°40′38.294″</w:t>
                  </w:r>
                </w:p>
              </w:tc>
            </w:tr>
            <w:tr w14:paraId="7B8B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vAlign w:val="center"/>
                </w:tcPr>
                <w:p w14:paraId="7ECD0D3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主要风险物质及分布</w:t>
                  </w:r>
                </w:p>
              </w:tc>
              <w:tc>
                <w:tcPr>
                  <w:tcW w:w="6500" w:type="dxa"/>
                  <w:vAlign w:val="center"/>
                </w:tcPr>
                <w:p w14:paraId="06186F6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废机油</w:t>
                  </w:r>
                  <w:r>
                    <w:rPr>
                      <w:rFonts w:hint="eastAsia" w:ascii="Times New Roman" w:cs="Times New Roman"/>
                      <w:sz w:val="21"/>
                      <w:szCs w:val="21"/>
                      <w:vertAlign w:val="baseline"/>
                      <w:lang w:val="en-US" w:eastAsia="zh-CN"/>
                    </w:rPr>
                    <w:t>、废润滑油</w:t>
                  </w:r>
                  <w:r>
                    <w:rPr>
                      <w:rFonts w:hint="default" w:ascii="Times New Roman" w:hAnsi="Times New Roman" w:cs="Times New Roman"/>
                      <w:sz w:val="21"/>
                      <w:szCs w:val="21"/>
                      <w:vertAlign w:val="baseline"/>
                      <w:lang w:val="en-US" w:eastAsia="zh-CN"/>
                    </w:rPr>
                    <w:t>暂存于危废暂存间</w:t>
                  </w:r>
                </w:p>
              </w:tc>
            </w:tr>
            <w:tr w14:paraId="15B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center"/>
                </w:tcPr>
                <w:p w14:paraId="0ACC230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cs="Times New Roman"/>
                      <w:sz w:val="21"/>
                      <w:szCs w:val="21"/>
                      <w:vertAlign w:val="baseline"/>
                      <w:lang w:val="en-US" w:eastAsia="zh-CN"/>
                    </w:rPr>
                    <w:t>环境影响途径及危害后果</w:t>
                  </w:r>
                </w:p>
              </w:tc>
              <w:tc>
                <w:tcPr>
                  <w:tcW w:w="6500" w:type="dxa"/>
                  <w:vAlign w:val="center"/>
                </w:tcPr>
                <w:p w14:paraId="4E66CCF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本项目潜在环境风险为危废泄漏、废气事故排放会造成土壤、地下水的污染。</w:t>
                  </w:r>
                </w:p>
              </w:tc>
            </w:tr>
            <w:tr w14:paraId="4ACD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dxa"/>
                  <w:shd w:val="clear" w:color="auto" w:fill="auto"/>
                  <w:vAlign w:val="center"/>
                </w:tcPr>
                <w:p w14:paraId="25A1D94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cs="Times New Roman"/>
                      <w:sz w:val="21"/>
                      <w:szCs w:val="21"/>
                      <w:vertAlign w:val="baseline"/>
                      <w:lang w:val="en-US" w:eastAsia="zh-CN"/>
                    </w:rPr>
                    <w:t>风险防范措施要求</w:t>
                  </w:r>
                </w:p>
              </w:tc>
              <w:tc>
                <w:tcPr>
                  <w:tcW w:w="6500" w:type="dxa"/>
                  <w:vAlign w:val="center"/>
                </w:tcPr>
                <w:p w14:paraId="68D1D3E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针对危险废物泄漏风险，应按规范设置应急预案及收集措施，定期培训工作人员应急技能和知识；针对废气事故排放和废水泄漏，应加强日常检查和设备维护，杜绝废气非正常排放，如发生废气处理设施故障，需立即停止相关生产工序，做好污水池的防渗防漏措施，</w:t>
                  </w:r>
                  <w:r>
                    <w:rPr>
                      <w:rFonts w:hint="eastAsia" w:ascii="Times New Roman" w:cs="Times New Roman"/>
                      <w:sz w:val="21"/>
                      <w:szCs w:val="21"/>
                      <w:vertAlign w:val="baseline"/>
                      <w:lang w:val="en-US" w:eastAsia="zh-CN"/>
                    </w:rPr>
                    <w:t>设置事故应急池及在初期雨水池设置截止阀，</w:t>
                  </w:r>
                  <w:r>
                    <w:rPr>
                      <w:rFonts w:hint="default" w:ascii="Times New Roman" w:hAnsi="Times New Roman" w:cs="Times New Roman"/>
                      <w:sz w:val="21"/>
                      <w:szCs w:val="21"/>
                      <w:vertAlign w:val="baseline"/>
                      <w:lang w:val="en-US" w:eastAsia="zh-CN"/>
                    </w:rPr>
                    <w:t>编制突发环境事件应急预案</w:t>
                  </w:r>
                  <w:r>
                    <w:rPr>
                      <w:rFonts w:hint="eastAsia" w:ascii="Times New Roman" w:cs="Times New Roman"/>
                      <w:sz w:val="21"/>
                      <w:szCs w:val="21"/>
                      <w:vertAlign w:val="baseline"/>
                      <w:lang w:val="en-US" w:eastAsia="zh-CN"/>
                    </w:rPr>
                    <w:t>。</w:t>
                  </w:r>
                </w:p>
              </w:tc>
            </w:tr>
          </w:tbl>
          <w:p w14:paraId="5A3A5856">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排污许可管理</w:t>
            </w:r>
          </w:p>
          <w:p w14:paraId="11328C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根据《排污许可管理条例》（国务院令第</w:t>
            </w:r>
            <w:r>
              <w:rPr>
                <w:rFonts w:hint="default" w:ascii="Times New Roman" w:hAnsi="Times New Roman" w:eastAsia="宋体" w:cs="Times New Roman"/>
                <w:color w:val="000000"/>
                <w:kern w:val="0"/>
                <w:sz w:val="24"/>
                <w:szCs w:val="24"/>
                <w:lang w:val="en-US" w:eastAsia="zh-CN" w:bidi="ar"/>
              </w:rPr>
              <w:t>736</w:t>
            </w:r>
            <w:r>
              <w:rPr>
                <w:rFonts w:hint="eastAsia" w:ascii="宋体" w:hAnsi="宋体" w:eastAsia="宋体" w:cs="宋体"/>
                <w:color w:val="000000"/>
                <w:kern w:val="0"/>
                <w:sz w:val="24"/>
                <w:szCs w:val="24"/>
                <w:lang w:val="en-US" w:eastAsia="zh-CN" w:bidi="ar"/>
              </w:rPr>
              <w:t>号），依照法律规定实行排污许可管理的企业事业单位和其他生产经营者（以</w:t>
            </w:r>
            <w:r>
              <w:rPr>
                <w:rFonts w:hint="eastAsia" w:ascii="宋体" w:hAnsi="宋体" w:cs="宋体"/>
                <w:color w:val="000000"/>
                <w:kern w:val="0"/>
                <w:sz w:val="24"/>
                <w:szCs w:val="24"/>
                <w:lang w:val="en-US" w:eastAsia="zh-CN" w:bidi="ar"/>
              </w:rPr>
              <w:t>下简</w:t>
            </w:r>
            <w:r>
              <w:rPr>
                <w:rFonts w:hint="eastAsia" w:ascii="宋体" w:hAnsi="宋体" w:eastAsia="宋体" w:cs="宋体"/>
                <w:color w:val="000000"/>
                <w:kern w:val="0"/>
                <w:sz w:val="24"/>
                <w:szCs w:val="24"/>
                <w:lang w:val="en-US" w:eastAsia="zh-CN" w:bidi="ar"/>
              </w:rPr>
              <w:t xml:space="preserve">称排污单位），应当依照本条例规定申请取得排污许可证；未取得排污许可证的，不得排放污染物。 </w:t>
            </w:r>
          </w:p>
          <w:p w14:paraId="39C94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根据《排污许可管理办法（试行）》（生态环境部令第7号修改），纳入固定污染源排污许可分类管理名录的企业事业单位和其他生产经营者应当按照规定的时限申请并取得排污许可证；未纳入固定污染源排污许可分类管理名录的排污单位，暂不需申请排污许可证。排污单位应当依法持有排污许可证，并按照排污许可证的规定排放污染物。 </w:t>
            </w:r>
          </w:p>
          <w:p w14:paraId="6E370E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根据《固定污染源排污许可分类管理名录（</w:t>
            </w:r>
            <w:r>
              <w:rPr>
                <w:rFonts w:hint="default" w:ascii="Times New Roman" w:hAnsi="Times New Roman" w:eastAsia="宋体" w:cs="Times New Roman"/>
                <w:color w:val="000000"/>
                <w:kern w:val="0"/>
                <w:sz w:val="24"/>
                <w:szCs w:val="24"/>
                <w:lang w:val="en-US" w:eastAsia="zh-CN" w:bidi="ar"/>
              </w:rPr>
              <w:t>2019</w:t>
            </w:r>
            <w:r>
              <w:rPr>
                <w:rFonts w:hint="eastAsia" w:ascii="宋体" w:hAnsi="宋体" w:eastAsia="宋体" w:cs="宋体"/>
                <w:color w:val="000000"/>
                <w:kern w:val="0"/>
                <w:sz w:val="24"/>
                <w:szCs w:val="24"/>
                <w:lang w:val="en-US" w:eastAsia="zh-CN" w:bidi="ar"/>
              </w:rPr>
              <w:t xml:space="preserve">版）》，本项目属于“五、有色金属矿采选业 </w:t>
            </w:r>
            <w:r>
              <w:rPr>
                <w:rFonts w:hint="default" w:ascii="Times New Roman" w:hAnsi="Times New Roman" w:eastAsia="宋体" w:cs="Times New Roman"/>
                <w:color w:val="000000"/>
                <w:kern w:val="0"/>
                <w:sz w:val="24"/>
                <w:szCs w:val="24"/>
                <w:lang w:val="en-US" w:eastAsia="zh-CN" w:bidi="ar"/>
              </w:rPr>
              <w:t>09</w:t>
            </w:r>
            <w:r>
              <w:rPr>
                <w:rFonts w:hint="eastAsia" w:ascii="宋体" w:hAnsi="宋体" w:eastAsia="宋体" w:cs="宋体"/>
                <w:color w:val="000000"/>
                <w:kern w:val="0"/>
                <w:sz w:val="24"/>
                <w:szCs w:val="24"/>
                <w:lang w:val="en-US" w:eastAsia="zh-CN" w:bidi="ar"/>
              </w:rPr>
              <w:t>中</w:t>
            </w: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常用有色金属矿采选 </w:t>
            </w:r>
            <w:r>
              <w:rPr>
                <w:rFonts w:hint="default" w:ascii="Times New Roman" w:hAnsi="Times New Roman" w:eastAsia="宋体" w:cs="Times New Roman"/>
                <w:color w:val="000000"/>
                <w:kern w:val="0"/>
                <w:sz w:val="24"/>
                <w:szCs w:val="24"/>
                <w:lang w:val="en-US" w:eastAsia="zh-CN" w:bidi="ar"/>
              </w:rPr>
              <w:t>091</w:t>
            </w:r>
            <w:r>
              <w:rPr>
                <w:rFonts w:hint="eastAsia" w:ascii="宋体" w:hAnsi="宋体" w:eastAsia="宋体" w:cs="宋体"/>
                <w:color w:val="000000"/>
                <w:kern w:val="0"/>
                <w:sz w:val="24"/>
                <w:szCs w:val="24"/>
                <w:lang w:val="en-US" w:eastAsia="zh-CN" w:bidi="ar"/>
              </w:rPr>
              <w:t xml:space="preserve">”中的“其他”类别，项目属于实施排污许可登记管理的行业。 </w:t>
            </w:r>
          </w:p>
          <w:p w14:paraId="48F91A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lang w:val="en-US" w:eastAsia="zh-CN"/>
              </w:rPr>
            </w:pPr>
            <w:r>
              <w:rPr>
                <w:rFonts w:hint="eastAsia" w:ascii="宋体" w:hAnsi="宋体" w:eastAsia="宋体" w:cs="宋体"/>
                <w:color w:val="000000"/>
                <w:kern w:val="0"/>
                <w:sz w:val="24"/>
                <w:szCs w:val="24"/>
                <w:lang w:val="en-US" w:eastAsia="zh-CN" w:bidi="ar"/>
              </w:rPr>
              <w:t>项目获得审批部门批复后，建设单位应及时在全国排污许可证管理信息平台填报排污登记。</w:t>
            </w:r>
          </w:p>
          <w:p w14:paraId="3CE5CA52">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环保投资</w:t>
            </w:r>
          </w:p>
          <w:p w14:paraId="6AB117E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cs="Times New Roman"/>
                <w:vertAlign w:val="baseline"/>
                <w:lang w:val="en-US" w:eastAsia="zh-CN"/>
              </w:rPr>
            </w:pPr>
            <w:r>
              <w:rPr>
                <w:rFonts w:hint="eastAsia" w:ascii="Times New Roman" w:cs="Times New Roman"/>
                <w:vertAlign w:val="baseline"/>
                <w:lang w:val="en-US" w:eastAsia="zh-CN"/>
              </w:rPr>
              <w:t>本项目总投资7979.28万元，环保投资170万元，占总投资的2.13%，环保投资明细详见表4-18。</w:t>
            </w:r>
          </w:p>
          <w:p w14:paraId="7F913C6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eastAsia" w:ascii="Times New Roman" w:cs="Times New Roman"/>
                <w:b/>
                <w:bCs/>
                <w:vertAlign w:val="baseline"/>
                <w:lang w:val="en-US" w:eastAsia="zh-CN"/>
              </w:rPr>
            </w:pPr>
            <w:r>
              <w:rPr>
                <w:rFonts w:hint="eastAsia" w:ascii="Times New Roman" w:cs="Times New Roman"/>
                <w:b/>
                <w:bCs/>
                <w:vertAlign w:val="baseline"/>
                <w:lang w:val="en-US" w:eastAsia="zh-CN"/>
              </w:rPr>
              <w:t>表4-18 环保投资明细一览表</w:t>
            </w:r>
          </w:p>
          <w:tbl>
            <w:tblPr>
              <w:tblStyle w:val="17"/>
              <w:tblW w:w="7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00"/>
              <w:gridCol w:w="3916"/>
              <w:gridCol w:w="1117"/>
              <w:gridCol w:w="900"/>
            </w:tblGrid>
            <w:tr w14:paraId="7DA2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76D0D1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序号</w:t>
                  </w:r>
                </w:p>
              </w:tc>
              <w:tc>
                <w:tcPr>
                  <w:tcW w:w="1100" w:type="dxa"/>
                  <w:vAlign w:val="center"/>
                </w:tcPr>
                <w:p w14:paraId="0EEA16E2">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项目</w:t>
                  </w:r>
                </w:p>
              </w:tc>
              <w:tc>
                <w:tcPr>
                  <w:tcW w:w="3916" w:type="dxa"/>
                  <w:vAlign w:val="center"/>
                </w:tcPr>
                <w:p w14:paraId="269585E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治理措施</w:t>
                  </w:r>
                </w:p>
              </w:tc>
              <w:tc>
                <w:tcPr>
                  <w:tcW w:w="1117" w:type="dxa"/>
                  <w:vAlign w:val="center"/>
                </w:tcPr>
                <w:p w14:paraId="0356A22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环保投资（万元）</w:t>
                  </w:r>
                </w:p>
              </w:tc>
              <w:tc>
                <w:tcPr>
                  <w:tcW w:w="900" w:type="dxa"/>
                  <w:vAlign w:val="center"/>
                </w:tcPr>
                <w:p w14:paraId="5141EF5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备注</w:t>
                  </w:r>
                </w:p>
              </w:tc>
            </w:tr>
            <w:tr w14:paraId="5A0E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049B56C1">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施工期</w:t>
                  </w:r>
                </w:p>
              </w:tc>
              <w:tc>
                <w:tcPr>
                  <w:tcW w:w="1100" w:type="dxa"/>
                  <w:vAlign w:val="center"/>
                </w:tcPr>
                <w:p w14:paraId="21F801C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废水</w:t>
                  </w:r>
                </w:p>
              </w:tc>
              <w:tc>
                <w:tcPr>
                  <w:tcW w:w="3916" w:type="dxa"/>
                  <w:vAlign w:val="center"/>
                </w:tcPr>
                <w:p w14:paraId="318F215E">
                  <w:pPr>
                    <w:rPr>
                      <w:rFonts w:hint="default" w:ascii="Times New Roman" w:cs="Times New Roman"/>
                      <w:sz w:val="21"/>
                      <w:szCs w:val="21"/>
                      <w:vertAlign w:val="baseline"/>
                      <w:lang w:val="en-US" w:eastAsia="zh-CN"/>
                    </w:rPr>
                  </w:pPr>
                  <w:r>
                    <w:rPr>
                      <w:rFonts w:ascii="Times New Roman" w:hAnsi="Times New Roman"/>
                      <w:sz w:val="21"/>
                      <w:szCs w:val="21"/>
                    </w:rPr>
                    <w:t>施工期简易沉淀池处理施工</w:t>
                  </w:r>
                  <w:r>
                    <w:rPr>
                      <w:rFonts w:hint="eastAsia" w:ascii="Times New Roman" w:hAnsi="Times New Roman"/>
                      <w:sz w:val="21"/>
                      <w:szCs w:val="21"/>
                    </w:rPr>
                    <w:t>废</w:t>
                  </w:r>
                  <w:r>
                    <w:rPr>
                      <w:rFonts w:ascii="Times New Roman" w:hAnsi="Times New Roman"/>
                      <w:sz w:val="21"/>
                      <w:szCs w:val="21"/>
                    </w:rPr>
                    <w:t>水</w:t>
                  </w:r>
                </w:p>
              </w:tc>
              <w:tc>
                <w:tcPr>
                  <w:tcW w:w="1117" w:type="dxa"/>
                  <w:vAlign w:val="center"/>
                </w:tcPr>
                <w:p w14:paraId="3D4C5C22">
                  <w:pPr>
                    <w:jc w:val="center"/>
                    <w:rPr>
                      <w:rFonts w:hint="eastAsia" w:cs="Times New Roman"/>
                      <w:sz w:val="21"/>
                      <w:szCs w:val="21"/>
                      <w:lang w:val="en-US" w:eastAsia="zh-CN"/>
                    </w:rPr>
                  </w:pPr>
                  <w:r>
                    <w:rPr>
                      <w:rFonts w:hint="eastAsia" w:cs="Times New Roman"/>
                      <w:sz w:val="21"/>
                      <w:szCs w:val="21"/>
                      <w:lang w:val="en-US" w:eastAsia="zh-CN"/>
                    </w:rPr>
                    <w:t>2</w:t>
                  </w:r>
                </w:p>
              </w:tc>
              <w:tc>
                <w:tcPr>
                  <w:tcW w:w="900" w:type="dxa"/>
                  <w:vAlign w:val="center"/>
                </w:tcPr>
                <w:p w14:paraId="0E7FA5D9">
                  <w:pPr>
                    <w:jc w:val="center"/>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w:t>
                  </w:r>
                </w:p>
              </w:tc>
            </w:tr>
            <w:tr w14:paraId="6AB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F804B7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Align w:val="center"/>
                </w:tcPr>
                <w:p w14:paraId="34BA860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固体废物</w:t>
                  </w:r>
                </w:p>
              </w:tc>
              <w:tc>
                <w:tcPr>
                  <w:tcW w:w="3916" w:type="dxa"/>
                  <w:vAlign w:val="center"/>
                </w:tcPr>
                <w:p w14:paraId="539C26A9">
                  <w:pPr>
                    <w:rPr>
                      <w:rFonts w:hint="default" w:ascii="Times New Roman" w:cs="Times New Roman"/>
                      <w:sz w:val="21"/>
                      <w:szCs w:val="21"/>
                      <w:vertAlign w:val="baseline"/>
                      <w:lang w:val="en-US" w:eastAsia="zh-CN"/>
                    </w:rPr>
                  </w:pPr>
                  <w:r>
                    <w:rPr>
                      <w:rFonts w:ascii="Times New Roman" w:hAnsi="Times New Roman" w:cs="Times New Roman"/>
                      <w:sz w:val="21"/>
                      <w:szCs w:val="21"/>
                    </w:rPr>
                    <w:t>生活垃圾由环卫部门统一清运处理。</w:t>
                  </w:r>
                </w:p>
              </w:tc>
              <w:tc>
                <w:tcPr>
                  <w:tcW w:w="1117" w:type="dxa"/>
                  <w:vAlign w:val="center"/>
                </w:tcPr>
                <w:p w14:paraId="64165F7A">
                  <w:pPr>
                    <w:jc w:val="center"/>
                    <w:rPr>
                      <w:rFonts w:hint="eastAsia" w:ascii="Times New Roman" w:eastAsia="宋体" w:cs="Times New Roman"/>
                      <w:sz w:val="21"/>
                      <w:szCs w:val="21"/>
                      <w:vertAlign w:val="baseline"/>
                      <w:lang w:val="en-US" w:eastAsia="zh-CN"/>
                    </w:rPr>
                  </w:pPr>
                  <w:r>
                    <w:rPr>
                      <w:rFonts w:hint="eastAsia" w:cs="Times New Roman"/>
                      <w:sz w:val="21"/>
                      <w:szCs w:val="21"/>
                      <w:lang w:val="en-US" w:eastAsia="zh-CN"/>
                    </w:rPr>
                    <w:t>2</w:t>
                  </w:r>
                </w:p>
              </w:tc>
              <w:tc>
                <w:tcPr>
                  <w:tcW w:w="900" w:type="dxa"/>
                  <w:vAlign w:val="center"/>
                </w:tcPr>
                <w:p w14:paraId="7CA1A932">
                  <w:pPr>
                    <w:jc w:val="center"/>
                    <w:rPr>
                      <w:rFonts w:hint="default" w:ascii="Times New Roman" w:cs="Times New Roman"/>
                      <w:sz w:val="21"/>
                      <w:szCs w:val="21"/>
                      <w:vertAlign w:val="baseline"/>
                      <w:lang w:val="en-US" w:eastAsia="zh-CN"/>
                    </w:rPr>
                  </w:pPr>
                  <w:r>
                    <w:rPr>
                      <w:rFonts w:hint="eastAsia" w:cs="Times New Roman"/>
                      <w:sz w:val="21"/>
                      <w:szCs w:val="21"/>
                      <w:vertAlign w:val="baseline"/>
                      <w:lang w:val="en-US" w:eastAsia="zh-CN"/>
                    </w:rPr>
                    <w:t>/</w:t>
                  </w:r>
                </w:p>
              </w:tc>
            </w:tr>
            <w:tr w14:paraId="229A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1791DE0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运营期</w:t>
                  </w:r>
                </w:p>
              </w:tc>
              <w:tc>
                <w:tcPr>
                  <w:tcW w:w="1100" w:type="dxa"/>
                  <w:vAlign w:val="center"/>
                </w:tcPr>
                <w:p w14:paraId="672F365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废水</w:t>
                  </w:r>
                </w:p>
              </w:tc>
              <w:tc>
                <w:tcPr>
                  <w:tcW w:w="3916" w:type="dxa"/>
                  <w:vAlign w:val="center"/>
                </w:tcPr>
                <w:p w14:paraId="159F9A62">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生活污水经化粪池处理后经市政污水管网排入大榄坪污水处理厂；洗车废水与地面冲洗废水经沉淀池沉淀后循环使用；初期雨水池经雨水收集池沉淀后回用于厂区洒水抑尘</w:t>
                  </w:r>
                </w:p>
              </w:tc>
              <w:tc>
                <w:tcPr>
                  <w:tcW w:w="1117" w:type="dxa"/>
                  <w:vAlign w:val="center"/>
                </w:tcPr>
                <w:p w14:paraId="1677065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20</w:t>
                  </w:r>
                </w:p>
              </w:tc>
              <w:tc>
                <w:tcPr>
                  <w:tcW w:w="900" w:type="dxa"/>
                  <w:vAlign w:val="center"/>
                </w:tcPr>
                <w:p w14:paraId="3138C8A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0586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36" w:type="dxa"/>
                  <w:vMerge w:val="continue"/>
                  <w:vAlign w:val="center"/>
                </w:tcPr>
                <w:p w14:paraId="42ADCAE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Merge w:val="restart"/>
                  <w:vAlign w:val="center"/>
                </w:tcPr>
                <w:p w14:paraId="1B253E7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废气</w:t>
                  </w:r>
                </w:p>
              </w:tc>
              <w:tc>
                <w:tcPr>
                  <w:tcW w:w="3916" w:type="dxa"/>
                  <w:vAlign w:val="center"/>
                </w:tcPr>
                <w:p w14:paraId="79E4894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道路扬尘：设置洗车平台，并定期对道路进行洒水</w:t>
                  </w:r>
                </w:p>
              </w:tc>
              <w:tc>
                <w:tcPr>
                  <w:tcW w:w="1117" w:type="dxa"/>
                  <w:vAlign w:val="center"/>
                </w:tcPr>
                <w:p w14:paraId="1B30C67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15</w:t>
                  </w:r>
                </w:p>
              </w:tc>
              <w:tc>
                <w:tcPr>
                  <w:tcW w:w="900" w:type="dxa"/>
                  <w:vAlign w:val="center"/>
                </w:tcPr>
                <w:p w14:paraId="1056AC8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5ABE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36" w:type="dxa"/>
                  <w:vMerge w:val="continue"/>
                  <w:vAlign w:val="center"/>
                </w:tcPr>
                <w:p w14:paraId="791E1957">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1100" w:type="dxa"/>
                  <w:vMerge w:val="continue"/>
                  <w:vAlign w:val="center"/>
                </w:tcPr>
                <w:p w14:paraId="6118B53E">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3916" w:type="dxa"/>
                  <w:vAlign w:val="center"/>
                </w:tcPr>
                <w:p w14:paraId="66F9C52E">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堆场扬尘：项目原料堆放在原料仓库内，属于全封闭仓库，设置干雾抑尘装置，定期进行洒水抑尘</w:t>
                  </w:r>
                </w:p>
              </w:tc>
              <w:tc>
                <w:tcPr>
                  <w:tcW w:w="1117" w:type="dxa"/>
                  <w:vAlign w:val="center"/>
                </w:tcPr>
                <w:p w14:paraId="0F42768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20</w:t>
                  </w:r>
                </w:p>
              </w:tc>
              <w:tc>
                <w:tcPr>
                  <w:tcW w:w="900" w:type="dxa"/>
                  <w:vAlign w:val="center"/>
                </w:tcPr>
                <w:p w14:paraId="71C6009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644E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636" w:type="dxa"/>
                  <w:vMerge w:val="continue"/>
                  <w:vAlign w:val="center"/>
                </w:tcPr>
                <w:p w14:paraId="4BF49BEB">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Merge w:val="continue"/>
                  <w:vAlign w:val="center"/>
                </w:tcPr>
                <w:p w14:paraId="4F7F7A68">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3916" w:type="dxa"/>
                  <w:vAlign w:val="center"/>
                </w:tcPr>
                <w:p w14:paraId="1B9F53B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配料混矿废气：经密闭吸尘罩+布袋除尘器处理后通过1根20m高排气筒（DA001）排放</w:t>
                  </w:r>
                </w:p>
              </w:tc>
              <w:tc>
                <w:tcPr>
                  <w:tcW w:w="1117" w:type="dxa"/>
                  <w:vAlign w:val="center"/>
                </w:tcPr>
                <w:p w14:paraId="1F11296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50</w:t>
                  </w:r>
                </w:p>
              </w:tc>
              <w:tc>
                <w:tcPr>
                  <w:tcW w:w="900" w:type="dxa"/>
                  <w:vAlign w:val="center"/>
                </w:tcPr>
                <w:p w14:paraId="62DAA269">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0C7B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2DA41D7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Align w:val="center"/>
                </w:tcPr>
                <w:p w14:paraId="59E668F1">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噪声</w:t>
                  </w:r>
                </w:p>
              </w:tc>
              <w:tc>
                <w:tcPr>
                  <w:tcW w:w="3916" w:type="dxa"/>
                  <w:vAlign w:val="center"/>
                </w:tcPr>
                <w:p w14:paraId="13ED3E3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厂房隔声、距离衰减、风机安装消声器</w:t>
                  </w:r>
                </w:p>
              </w:tc>
              <w:tc>
                <w:tcPr>
                  <w:tcW w:w="1117" w:type="dxa"/>
                  <w:vAlign w:val="center"/>
                </w:tcPr>
                <w:p w14:paraId="063023BC">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15</w:t>
                  </w:r>
                </w:p>
              </w:tc>
              <w:tc>
                <w:tcPr>
                  <w:tcW w:w="900" w:type="dxa"/>
                  <w:vAlign w:val="center"/>
                </w:tcPr>
                <w:p w14:paraId="26AF2C9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565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14:paraId="2909741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Merge w:val="restart"/>
                  <w:vAlign w:val="center"/>
                </w:tcPr>
                <w:p w14:paraId="7F0C379B">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固体废物</w:t>
                  </w:r>
                </w:p>
              </w:tc>
              <w:tc>
                <w:tcPr>
                  <w:tcW w:w="3916" w:type="dxa"/>
                  <w:vAlign w:val="center"/>
                </w:tcPr>
                <w:p w14:paraId="7C425663">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沉淀池沉渣收集后直接回用于生产；除尘器收集粉尘收集于一般工业固体废物暂存间，回用于生产</w:t>
                  </w:r>
                </w:p>
              </w:tc>
              <w:tc>
                <w:tcPr>
                  <w:tcW w:w="1117" w:type="dxa"/>
                  <w:vAlign w:val="center"/>
                </w:tcPr>
                <w:p w14:paraId="0915AA7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5</w:t>
                  </w:r>
                </w:p>
              </w:tc>
              <w:tc>
                <w:tcPr>
                  <w:tcW w:w="900" w:type="dxa"/>
                  <w:vAlign w:val="center"/>
                </w:tcPr>
                <w:p w14:paraId="6E90C0E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7086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14:paraId="6D689A2C">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1100" w:type="dxa"/>
                  <w:vMerge w:val="continue"/>
                  <w:vAlign w:val="center"/>
                </w:tcPr>
                <w:p w14:paraId="0B91641C">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3916" w:type="dxa"/>
                  <w:vAlign w:val="center"/>
                </w:tcPr>
                <w:p w14:paraId="174F8AB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生活垃圾收集后统一交由环卫部门清运处理</w:t>
                  </w:r>
                </w:p>
              </w:tc>
              <w:tc>
                <w:tcPr>
                  <w:tcW w:w="1117" w:type="dxa"/>
                  <w:vAlign w:val="center"/>
                </w:tcPr>
                <w:p w14:paraId="69EE4B7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2</w:t>
                  </w:r>
                </w:p>
              </w:tc>
              <w:tc>
                <w:tcPr>
                  <w:tcW w:w="900" w:type="dxa"/>
                  <w:vAlign w:val="center"/>
                </w:tcPr>
                <w:p w14:paraId="7CBFA075">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1D65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14:paraId="799D611A">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1100" w:type="dxa"/>
                  <w:vMerge w:val="continue"/>
                  <w:vAlign w:val="center"/>
                </w:tcPr>
                <w:p w14:paraId="38C0E429">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pPr>
                </w:p>
              </w:tc>
              <w:tc>
                <w:tcPr>
                  <w:tcW w:w="3916" w:type="dxa"/>
                  <w:vAlign w:val="center"/>
                </w:tcPr>
                <w:p w14:paraId="6E82021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化粪池污泥委托有资质的单位定期清掏</w:t>
                  </w:r>
                </w:p>
              </w:tc>
              <w:tc>
                <w:tcPr>
                  <w:tcW w:w="1117" w:type="dxa"/>
                  <w:vAlign w:val="center"/>
                </w:tcPr>
                <w:p w14:paraId="17669E6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3</w:t>
                  </w:r>
                </w:p>
              </w:tc>
              <w:tc>
                <w:tcPr>
                  <w:tcW w:w="900" w:type="dxa"/>
                  <w:vAlign w:val="center"/>
                </w:tcPr>
                <w:p w14:paraId="547E29E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Times New Roman" w:cs="Times New Roman"/>
                      <w:sz w:val="21"/>
                      <w:szCs w:val="21"/>
                      <w:vertAlign w:val="baseline"/>
                      <w:lang w:val="en-US" w:eastAsia="zh-CN"/>
                    </w:rPr>
                  </w:pPr>
                </w:p>
              </w:tc>
            </w:tr>
            <w:tr w14:paraId="06E7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14:paraId="0FAFBC60">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Merge w:val="continue"/>
                  <w:vAlign w:val="center"/>
                </w:tcPr>
                <w:p w14:paraId="34744FE5">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3916" w:type="dxa"/>
                  <w:vAlign w:val="center"/>
                </w:tcPr>
                <w:p w14:paraId="59DA1AF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废机油、废润滑油、废油桶、废包装（吨袋）、废布袋收集后暂存于危废暂存间，定期交由有资质的单位处置</w:t>
                  </w:r>
                </w:p>
              </w:tc>
              <w:tc>
                <w:tcPr>
                  <w:tcW w:w="1117" w:type="dxa"/>
                  <w:vAlign w:val="center"/>
                </w:tcPr>
                <w:p w14:paraId="464688AD">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16</w:t>
                  </w:r>
                </w:p>
              </w:tc>
              <w:tc>
                <w:tcPr>
                  <w:tcW w:w="900" w:type="dxa"/>
                  <w:vAlign w:val="center"/>
                </w:tcPr>
                <w:p w14:paraId="69DADAE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r w14:paraId="2C90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14:paraId="4391AE7A">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p>
              </w:tc>
              <w:tc>
                <w:tcPr>
                  <w:tcW w:w="1100" w:type="dxa"/>
                  <w:vAlign w:val="center"/>
                </w:tcPr>
                <w:p w14:paraId="4AA5202A">
                  <w:pPr>
                    <w:pStyle w:val="2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分区防渗</w:t>
                  </w:r>
                </w:p>
              </w:tc>
              <w:tc>
                <w:tcPr>
                  <w:tcW w:w="3916" w:type="dxa"/>
                  <w:vAlign w:val="center"/>
                </w:tcPr>
                <w:p w14:paraId="4DB06474">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对项目厂区各区域采取重点防渗区、一般防渗区、简单防渗区等分区防渗措施</w:t>
                  </w:r>
                </w:p>
              </w:tc>
              <w:tc>
                <w:tcPr>
                  <w:tcW w:w="1117" w:type="dxa"/>
                  <w:vAlign w:val="center"/>
                </w:tcPr>
                <w:p w14:paraId="348BBF37">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20</w:t>
                  </w:r>
                </w:p>
              </w:tc>
              <w:tc>
                <w:tcPr>
                  <w:tcW w:w="900" w:type="dxa"/>
                  <w:vAlign w:val="center"/>
                </w:tcPr>
                <w:p w14:paraId="48F603CA">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Times New Roman" w:cs="Times New Roman"/>
                      <w:sz w:val="21"/>
                      <w:szCs w:val="21"/>
                      <w:vertAlign w:val="baseline"/>
                      <w:lang w:val="en-US" w:eastAsia="zh-CN"/>
                    </w:rPr>
                  </w:pPr>
                </w:p>
              </w:tc>
            </w:tr>
            <w:tr w14:paraId="102C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652" w:type="dxa"/>
                  <w:gridSpan w:val="3"/>
                  <w:vAlign w:val="center"/>
                </w:tcPr>
                <w:p w14:paraId="777DC91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总计</w:t>
                  </w:r>
                </w:p>
              </w:tc>
              <w:tc>
                <w:tcPr>
                  <w:tcW w:w="1117" w:type="dxa"/>
                  <w:vAlign w:val="center"/>
                </w:tcPr>
                <w:p w14:paraId="426DFBC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170</w:t>
                  </w:r>
                </w:p>
              </w:tc>
              <w:tc>
                <w:tcPr>
                  <w:tcW w:w="900" w:type="dxa"/>
                  <w:vAlign w:val="center"/>
                </w:tcPr>
                <w:p w14:paraId="29B5D4B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default"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w:t>
                  </w:r>
                </w:p>
              </w:tc>
            </w:tr>
          </w:tbl>
          <w:p w14:paraId="377C64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p>
          <w:p w14:paraId="77611F85">
            <w:pPr>
              <w:pStyle w:val="15"/>
              <w:numPr>
                <w:ilvl w:val="0"/>
                <w:numId w:val="0"/>
              </w:numPr>
              <w:ind w:leftChars="400"/>
              <w:rPr>
                <w:rFonts w:hint="default"/>
                <w:lang w:val="en-US" w:eastAsia="zh-CN"/>
              </w:rPr>
            </w:pPr>
          </w:p>
        </w:tc>
      </w:tr>
    </w:tbl>
    <w:p w14:paraId="66123EE2">
      <w:pPr>
        <w:pStyle w:val="14"/>
        <w:numPr>
          <w:ilvl w:val="0"/>
          <w:numId w:val="0"/>
        </w:numPr>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397551B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Times New Roman"/>
          <w:snapToGrid w:val="0"/>
          <w:sz w:val="30"/>
          <w:szCs w:val="30"/>
          <w:lang w:val="en-US" w:eastAsia="zh-CN"/>
        </w:rPr>
      </w:pPr>
      <w:bookmarkStart w:id="10" w:name="_Toc9992"/>
      <w:bookmarkStart w:id="11" w:name="_Toc26167"/>
      <w:r>
        <w:rPr>
          <w:rFonts w:hint="eastAsia" w:ascii="黑体" w:hAnsi="黑体" w:eastAsia="黑体" w:cs="Times New Roman"/>
          <w:snapToGrid w:val="0"/>
          <w:sz w:val="30"/>
          <w:szCs w:val="30"/>
          <w:lang w:val="en-US" w:eastAsia="zh-CN"/>
        </w:rPr>
        <w:t>五、环境保护措施监督检查清单</w:t>
      </w:r>
      <w:bookmarkEnd w:id="10"/>
      <w:bookmarkEnd w:id="11"/>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069"/>
        <w:gridCol w:w="1359"/>
        <w:gridCol w:w="2429"/>
        <w:gridCol w:w="2376"/>
      </w:tblGrid>
      <w:tr w14:paraId="2CA0B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tcBorders>
              <w:tl2br w:val="single" w:color="auto" w:sz="4" w:space="0"/>
            </w:tcBorders>
            <w:noWrap w:val="0"/>
            <w:vAlign w:val="top"/>
          </w:tcPr>
          <w:p w14:paraId="28E34628">
            <w:pPr>
              <w:adjustRightInd w:val="0"/>
              <w:spacing w:line="400" w:lineRule="exact"/>
              <w:jc w:val="right"/>
              <w:rPr>
                <w:b/>
                <w:sz w:val="21"/>
                <w:szCs w:val="21"/>
              </w:rPr>
            </w:pPr>
            <w:r>
              <w:rPr>
                <w:rFonts w:hAnsi="宋体"/>
                <w:b/>
                <w:sz w:val="21"/>
                <w:szCs w:val="21"/>
              </w:rPr>
              <w:t>内容</w:t>
            </w:r>
          </w:p>
          <w:p w14:paraId="13888740">
            <w:pPr>
              <w:adjustRightInd w:val="0"/>
              <w:spacing w:line="400" w:lineRule="exact"/>
              <w:rPr>
                <w:b/>
                <w:sz w:val="21"/>
                <w:szCs w:val="21"/>
              </w:rPr>
            </w:pPr>
            <w:r>
              <w:rPr>
                <w:rFonts w:hAnsi="宋体"/>
                <w:b/>
                <w:sz w:val="21"/>
                <w:szCs w:val="21"/>
              </w:rPr>
              <w:t>要素</w:t>
            </w:r>
          </w:p>
        </w:tc>
        <w:tc>
          <w:tcPr>
            <w:tcW w:w="627" w:type="pct"/>
            <w:noWrap w:val="0"/>
            <w:vAlign w:val="center"/>
          </w:tcPr>
          <w:p w14:paraId="47CE892E">
            <w:pPr>
              <w:adjustRightInd w:val="0"/>
              <w:spacing w:line="400" w:lineRule="exact"/>
              <w:jc w:val="center"/>
              <w:rPr>
                <w:b/>
                <w:sz w:val="21"/>
                <w:szCs w:val="21"/>
              </w:rPr>
            </w:pPr>
            <w:r>
              <w:rPr>
                <w:rFonts w:hAnsi="宋体"/>
                <w:b/>
                <w:sz w:val="21"/>
                <w:szCs w:val="21"/>
              </w:rPr>
              <w:t>排放口（编号、名称）</w:t>
            </w:r>
            <w:r>
              <w:rPr>
                <w:b/>
                <w:sz w:val="21"/>
                <w:szCs w:val="21"/>
              </w:rPr>
              <w:t>/</w:t>
            </w:r>
            <w:r>
              <w:rPr>
                <w:rFonts w:hAnsi="宋体"/>
                <w:b/>
                <w:sz w:val="21"/>
                <w:szCs w:val="21"/>
              </w:rPr>
              <w:t>污染源</w:t>
            </w:r>
          </w:p>
        </w:tc>
        <w:tc>
          <w:tcPr>
            <w:tcW w:w="797" w:type="pct"/>
            <w:noWrap w:val="0"/>
            <w:vAlign w:val="center"/>
          </w:tcPr>
          <w:p w14:paraId="3BF8EF1C">
            <w:pPr>
              <w:adjustRightInd w:val="0"/>
              <w:spacing w:line="400" w:lineRule="exact"/>
              <w:jc w:val="center"/>
              <w:rPr>
                <w:b/>
                <w:sz w:val="21"/>
                <w:szCs w:val="21"/>
              </w:rPr>
            </w:pPr>
            <w:r>
              <w:rPr>
                <w:rFonts w:hAnsi="宋体"/>
                <w:b/>
                <w:sz w:val="21"/>
                <w:szCs w:val="21"/>
              </w:rPr>
              <w:t>污染物项目</w:t>
            </w:r>
          </w:p>
        </w:tc>
        <w:tc>
          <w:tcPr>
            <w:tcW w:w="1425" w:type="pct"/>
            <w:noWrap w:val="0"/>
            <w:vAlign w:val="center"/>
          </w:tcPr>
          <w:p w14:paraId="6FFE0918">
            <w:pPr>
              <w:adjustRightInd w:val="0"/>
              <w:spacing w:line="400" w:lineRule="exact"/>
              <w:jc w:val="center"/>
              <w:rPr>
                <w:b/>
                <w:sz w:val="21"/>
                <w:szCs w:val="21"/>
              </w:rPr>
            </w:pPr>
            <w:r>
              <w:rPr>
                <w:rFonts w:hAnsi="宋体"/>
                <w:b/>
                <w:sz w:val="21"/>
                <w:szCs w:val="21"/>
              </w:rPr>
              <w:t>环境保护措施</w:t>
            </w:r>
          </w:p>
        </w:tc>
        <w:tc>
          <w:tcPr>
            <w:tcW w:w="1394" w:type="pct"/>
            <w:noWrap w:val="0"/>
            <w:vAlign w:val="center"/>
          </w:tcPr>
          <w:p w14:paraId="518144EE">
            <w:pPr>
              <w:adjustRightInd w:val="0"/>
              <w:spacing w:line="400" w:lineRule="exact"/>
              <w:jc w:val="center"/>
              <w:rPr>
                <w:b/>
                <w:sz w:val="21"/>
                <w:szCs w:val="21"/>
              </w:rPr>
            </w:pPr>
            <w:r>
              <w:rPr>
                <w:rFonts w:hAnsi="宋体"/>
                <w:b/>
                <w:sz w:val="21"/>
                <w:szCs w:val="21"/>
              </w:rPr>
              <w:t>执行标准</w:t>
            </w:r>
          </w:p>
        </w:tc>
      </w:tr>
      <w:tr w14:paraId="5A1AF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restart"/>
            <w:noWrap w:val="0"/>
            <w:vAlign w:val="center"/>
          </w:tcPr>
          <w:p w14:paraId="19D4EB23">
            <w:pPr>
              <w:adjustRightInd w:val="0"/>
              <w:spacing w:line="400" w:lineRule="exact"/>
              <w:jc w:val="center"/>
              <w:rPr>
                <w:sz w:val="21"/>
                <w:szCs w:val="21"/>
              </w:rPr>
            </w:pPr>
            <w:r>
              <w:rPr>
                <w:rFonts w:hAnsi="宋体"/>
                <w:sz w:val="21"/>
                <w:szCs w:val="21"/>
              </w:rPr>
              <w:t>大气环境</w:t>
            </w:r>
          </w:p>
        </w:tc>
        <w:tc>
          <w:tcPr>
            <w:tcW w:w="627" w:type="pct"/>
            <w:noWrap w:val="0"/>
            <w:vAlign w:val="center"/>
          </w:tcPr>
          <w:p w14:paraId="10FCEFF5">
            <w:pPr>
              <w:jc w:val="center"/>
              <w:rPr>
                <w:sz w:val="21"/>
                <w:szCs w:val="21"/>
              </w:rPr>
            </w:pPr>
            <w:r>
              <w:rPr>
                <w:sz w:val="21"/>
                <w:szCs w:val="21"/>
              </w:rPr>
              <w:t>DA001</w:t>
            </w:r>
          </w:p>
        </w:tc>
        <w:tc>
          <w:tcPr>
            <w:tcW w:w="797" w:type="pct"/>
            <w:noWrap w:val="0"/>
            <w:vAlign w:val="center"/>
          </w:tcPr>
          <w:p w14:paraId="5C5B15B1">
            <w:pPr>
              <w:jc w:val="center"/>
              <w:rPr>
                <w:sz w:val="21"/>
                <w:szCs w:val="21"/>
              </w:rPr>
            </w:pPr>
            <w:r>
              <w:rPr>
                <w:rFonts w:hAnsi="宋体"/>
                <w:sz w:val="21"/>
                <w:szCs w:val="21"/>
              </w:rPr>
              <w:t>颗粒物</w:t>
            </w:r>
          </w:p>
        </w:tc>
        <w:tc>
          <w:tcPr>
            <w:tcW w:w="1425" w:type="pct"/>
            <w:tcBorders>
              <w:bottom w:val="single" w:color="auto" w:sz="4" w:space="0"/>
            </w:tcBorders>
            <w:noWrap w:val="0"/>
            <w:vAlign w:val="center"/>
          </w:tcPr>
          <w:p w14:paraId="0E44631C">
            <w:pPr>
              <w:pStyle w:val="24"/>
              <w:spacing w:line="240" w:lineRule="auto"/>
              <w:rPr>
                <w:rFonts w:ascii="Times New Roman"/>
                <w:sz w:val="21"/>
                <w:szCs w:val="21"/>
              </w:rPr>
            </w:pPr>
            <w:r>
              <w:rPr>
                <w:rFonts w:hint="eastAsia" w:ascii="Times New Roman" w:hAnsi="宋体"/>
                <w:sz w:val="21"/>
                <w:szCs w:val="21"/>
                <w:lang w:eastAsia="zh-CN"/>
              </w:rPr>
              <w:t>密闭吸尘罩</w:t>
            </w:r>
            <w:r>
              <w:rPr>
                <w:rFonts w:ascii="Times New Roman"/>
                <w:sz w:val="21"/>
                <w:szCs w:val="21"/>
              </w:rPr>
              <w:t>+</w:t>
            </w:r>
            <w:r>
              <w:rPr>
                <w:rFonts w:hint="eastAsia" w:ascii="Times New Roman" w:hAnsi="宋体"/>
                <w:sz w:val="21"/>
                <w:szCs w:val="21"/>
                <w:lang w:val="en-US" w:eastAsia="zh-CN"/>
              </w:rPr>
              <w:t>布袋</w:t>
            </w:r>
            <w:r>
              <w:rPr>
                <w:rFonts w:ascii="Times New Roman" w:hAnsi="宋体"/>
                <w:sz w:val="21"/>
                <w:szCs w:val="21"/>
              </w:rPr>
              <w:t>除尘器处理</w:t>
            </w:r>
            <w:r>
              <w:rPr>
                <w:rFonts w:hint="eastAsia" w:ascii="Times New Roman" w:hAnsi="宋体"/>
                <w:sz w:val="21"/>
                <w:szCs w:val="21"/>
                <w:lang w:val="en-US" w:eastAsia="zh-CN"/>
              </w:rPr>
              <w:t>后通过1根</w:t>
            </w:r>
            <w:r>
              <w:rPr>
                <w:rFonts w:hint="eastAsia" w:ascii="Times New Roman"/>
                <w:sz w:val="21"/>
                <w:szCs w:val="21"/>
                <w:lang w:val="en-US" w:eastAsia="zh-CN"/>
              </w:rPr>
              <w:t>20</w:t>
            </w:r>
            <w:r>
              <w:rPr>
                <w:rFonts w:ascii="Times New Roman"/>
                <w:sz w:val="21"/>
                <w:szCs w:val="21"/>
              </w:rPr>
              <w:t>m</w:t>
            </w:r>
            <w:r>
              <w:rPr>
                <w:rFonts w:ascii="Times New Roman" w:hAnsi="宋体"/>
                <w:sz w:val="21"/>
                <w:szCs w:val="21"/>
              </w:rPr>
              <w:t>高的排气筒</w:t>
            </w:r>
            <w:r>
              <w:rPr>
                <w:rFonts w:hint="eastAsia" w:ascii="Times New Roman" w:hAnsi="宋体"/>
                <w:sz w:val="21"/>
                <w:szCs w:val="21"/>
                <w:lang w:eastAsia="zh-CN"/>
              </w:rPr>
              <w:t>排放</w:t>
            </w:r>
          </w:p>
        </w:tc>
        <w:tc>
          <w:tcPr>
            <w:tcW w:w="1394" w:type="pct"/>
            <w:noWrap w:val="0"/>
            <w:vAlign w:val="center"/>
          </w:tcPr>
          <w:p w14:paraId="0942B9BC">
            <w:pPr>
              <w:jc w:val="center"/>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大气污染物综合排放标准</w:t>
            </w:r>
            <w:r>
              <w:rPr>
                <w:rFonts w:hint="eastAsia"/>
                <w:sz w:val="21"/>
                <w:szCs w:val="21"/>
                <w:lang w:eastAsia="zh-CN"/>
              </w:rPr>
              <w:t>》（</w:t>
            </w:r>
            <w:r>
              <w:rPr>
                <w:rFonts w:hint="eastAsia"/>
                <w:sz w:val="21"/>
                <w:szCs w:val="21"/>
                <w:lang w:val="en-US" w:eastAsia="zh-CN"/>
              </w:rPr>
              <w:t>GB16297-1996</w:t>
            </w:r>
            <w:r>
              <w:rPr>
                <w:rFonts w:hint="eastAsia"/>
                <w:sz w:val="21"/>
                <w:szCs w:val="21"/>
                <w:lang w:eastAsia="zh-CN"/>
              </w:rPr>
              <w:t>）</w:t>
            </w:r>
            <w:r>
              <w:rPr>
                <w:rFonts w:hint="eastAsia"/>
                <w:sz w:val="21"/>
                <w:szCs w:val="21"/>
                <w:lang w:val="en-US" w:eastAsia="zh-CN"/>
              </w:rPr>
              <w:t>表2新污染源大气污染物排放限值</w:t>
            </w:r>
          </w:p>
        </w:tc>
      </w:tr>
      <w:tr w14:paraId="0AC12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continue"/>
            <w:noWrap w:val="0"/>
            <w:vAlign w:val="center"/>
          </w:tcPr>
          <w:p w14:paraId="47793BC3">
            <w:pPr>
              <w:adjustRightInd w:val="0"/>
              <w:spacing w:line="400" w:lineRule="exact"/>
              <w:jc w:val="center"/>
              <w:rPr>
                <w:sz w:val="21"/>
                <w:szCs w:val="21"/>
              </w:rPr>
            </w:pPr>
          </w:p>
        </w:tc>
        <w:tc>
          <w:tcPr>
            <w:tcW w:w="627" w:type="pct"/>
            <w:noWrap w:val="0"/>
            <w:vAlign w:val="center"/>
          </w:tcPr>
          <w:p w14:paraId="6FD95941">
            <w:pPr>
              <w:jc w:val="center"/>
              <w:rPr>
                <w:rFonts w:hint="default" w:eastAsia="宋体"/>
                <w:sz w:val="21"/>
                <w:szCs w:val="21"/>
                <w:lang w:val="en-US" w:eastAsia="zh-CN"/>
              </w:rPr>
            </w:pPr>
            <w:r>
              <w:rPr>
                <w:rFonts w:hint="eastAsia"/>
                <w:sz w:val="21"/>
                <w:szCs w:val="21"/>
                <w:lang w:val="en-US" w:eastAsia="zh-CN"/>
              </w:rPr>
              <w:t>厂区无组织粉尘</w:t>
            </w:r>
          </w:p>
        </w:tc>
        <w:tc>
          <w:tcPr>
            <w:tcW w:w="797" w:type="pct"/>
            <w:noWrap w:val="0"/>
            <w:vAlign w:val="center"/>
          </w:tcPr>
          <w:p w14:paraId="151C09DC">
            <w:pPr>
              <w:jc w:val="center"/>
              <w:rPr>
                <w:rFonts w:hint="eastAsia" w:eastAsia="宋体"/>
                <w:sz w:val="21"/>
                <w:szCs w:val="21"/>
                <w:lang w:val="en-US" w:eastAsia="zh-CN"/>
              </w:rPr>
            </w:pPr>
            <w:r>
              <w:rPr>
                <w:rFonts w:hint="eastAsia"/>
                <w:sz w:val="21"/>
                <w:szCs w:val="21"/>
                <w:lang w:val="en-US" w:eastAsia="zh-CN"/>
              </w:rPr>
              <w:t>颗粒物</w:t>
            </w:r>
          </w:p>
        </w:tc>
        <w:tc>
          <w:tcPr>
            <w:tcW w:w="1425" w:type="pct"/>
            <w:tcBorders>
              <w:bottom w:val="single" w:color="auto" w:sz="4" w:space="0"/>
            </w:tcBorders>
            <w:noWrap w:val="0"/>
            <w:vAlign w:val="center"/>
          </w:tcPr>
          <w:p w14:paraId="086DEEA1">
            <w:pPr>
              <w:pStyle w:val="24"/>
              <w:spacing w:line="240" w:lineRule="auto"/>
              <w:rPr>
                <w:rFonts w:hint="default" w:ascii="Times New Roman" w:eastAsia="宋体"/>
                <w:sz w:val="21"/>
                <w:szCs w:val="21"/>
                <w:lang w:val="en-US" w:eastAsia="zh-CN"/>
              </w:rPr>
            </w:pPr>
            <w:r>
              <w:rPr>
                <w:rFonts w:hint="eastAsia" w:ascii="Times New Roman"/>
                <w:sz w:val="21"/>
                <w:szCs w:val="21"/>
                <w:lang w:val="en-US" w:eastAsia="zh-CN"/>
              </w:rPr>
              <w:t>洒水抑尘</w:t>
            </w:r>
          </w:p>
        </w:tc>
        <w:tc>
          <w:tcPr>
            <w:tcW w:w="1394" w:type="pct"/>
            <w:noWrap w:val="0"/>
            <w:vAlign w:val="center"/>
          </w:tcPr>
          <w:p w14:paraId="77E79651">
            <w:pPr>
              <w:jc w:val="center"/>
              <w:rPr>
                <w:rFonts w:hint="default"/>
                <w:sz w:val="21"/>
                <w:szCs w:val="21"/>
                <w:lang w:val="en-US"/>
              </w:rPr>
            </w:pPr>
            <w:r>
              <w:rPr>
                <w:rFonts w:hint="eastAsia"/>
                <w:sz w:val="21"/>
                <w:szCs w:val="21"/>
                <w:lang w:eastAsia="zh-CN"/>
              </w:rPr>
              <w:t>《</w:t>
            </w:r>
            <w:r>
              <w:rPr>
                <w:rFonts w:hint="eastAsia"/>
                <w:sz w:val="21"/>
                <w:szCs w:val="21"/>
                <w:lang w:val="en-US" w:eastAsia="zh-CN"/>
              </w:rPr>
              <w:t>大气污染物综合排放标准</w:t>
            </w:r>
            <w:r>
              <w:rPr>
                <w:rFonts w:hint="eastAsia"/>
                <w:sz w:val="21"/>
                <w:szCs w:val="21"/>
                <w:lang w:eastAsia="zh-CN"/>
              </w:rPr>
              <w:t>》（</w:t>
            </w:r>
            <w:r>
              <w:rPr>
                <w:rFonts w:hint="eastAsia"/>
                <w:sz w:val="21"/>
                <w:szCs w:val="21"/>
                <w:lang w:val="en-US" w:eastAsia="zh-CN"/>
              </w:rPr>
              <w:t>GB16297-1996</w:t>
            </w:r>
            <w:r>
              <w:rPr>
                <w:rFonts w:hint="eastAsia"/>
                <w:sz w:val="21"/>
                <w:szCs w:val="21"/>
                <w:lang w:eastAsia="zh-CN"/>
              </w:rPr>
              <w:t>）</w:t>
            </w:r>
            <w:r>
              <w:rPr>
                <w:rFonts w:hint="eastAsia"/>
                <w:sz w:val="21"/>
                <w:szCs w:val="21"/>
                <w:lang w:val="en-US" w:eastAsia="zh-CN"/>
              </w:rPr>
              <w:t>表2新污染源大气污染物无组织排放监控浓度限值</w:t>
            </w:r>
          </w:p>
        </w:tc>
      </w:tr>
      <w:tr w14:paraId="1CF95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restart"/>
            <w:noWrap w:val="0"/>
            <w:vAlign w:val="center"/>
          </w:tcPr>
          <w:p w14:paraId="719736EC">
            <w:pPr>
              <w:adjustRightInd w:val="0"/>
              <w:spacing w:line="400" w:lineRule="exact"/>
              <w:jc w:val="center"/>
              <w:rPr>
                <w:sz w:val="21"/>
                <w:szCs w:val="21"/>
              </w:rPr>
            </w:pPr>
            <w:r>
              <w:rPr>
                <w:rFonts w:hAnsi="宋体"/>
                <w:sz w:val="21"/>
                <w:szCs w:val="21"/>
              </w:rPr>
              <w:t>地表水环境</w:t>
            </w:r>
          </w:p>
        </w:tc>
        <w:tc>
          <w:tcPr>
            <w:tcW w:w="627" w:type="pct"/>
            <w:noWrap w:val="0"/>
            <w:vAlign w:val="center"/>
          </w:tcPr>
          <w:p w14:paraId="54A8D422">
            <w:pPr>
              <w:jc w:val="center"/>
              <w:rPr>
                <w:sz w:val="21"/>
                <w:szCs w:val="21"/>
              </w:rPr>
            </w:pPr>
            <w:r>
              <w:rPr>
                <w:rFonts w:hAnsi="宋体"/>
                <w:sz w:val="21"/>
                <w:szCs w:val="21"/>
              </w:rPr>
              <w:t>生活</w:t>
            </w:r>
          </w:p>
          <w:p w14:paraId="4C141E1B">
            <w:pPr>
              <w:jc w:val="center"/>
              <w:rPr>
                <w:sz w:val="21"/>
                <w:szCs w:val="21"/>
              </w:rPr>
            </w:pPr>
            <w:r>
              <w:rPr>
                <w:rFonts w:hAnsi="宋体"/>
                <w:sz w:val="21"/>
                <w:szCs w:val="21"/>
              </w:rPr>
              <w:t>污水</w:t>
            </w:r>
          </w:p>
        </w:tc>
        <w:tc>
          <w:tcPr>
            <w:tcW w:w="797" w:type="pct"/>
            <w:noWrap w:val="0"/>
            <w:vAlign w:val="center"/>
          </w:tcPr>
          <w:p w14:paraId="577E35B8">
            <w:pPr>
              <w:jc w:val="center"/>
              <w:rPr>
                <w:sz w:val="21"/>
                <w:szCs w:val="21"/>
              </w:rPr>
            </w:pPr>
            <w:r>
              <w:rPr>
                <w:bCs/>
                <w:sz w:val="21"/>
                <w:szCs w:val="21"/>
              </w:rPr>
              <w:t>COD</w:t>
            </w:r>
            <w:r>
              <w:rPr>
                <w:rFonts w:hAnsi="宋体"/>
                <w:bCs/>
                <w:sz w:val="21"/>
                <w:szCs w:val="21"/>
              </w:rPr>
              <w:t>、</w:t>
            </w:r>
            <w:r>
              <w:rPr>
                <w:bCs/>
                <w:sz w:val="21"/>
                <w:szCs w:val="21"/>
              </w:rPr>
              <w:t>BOD</w:t>
            </w:r>
            <w:r>
              <w:rPr>
                <w:bCs/>
                <w:sz w:val="21"/>
                <w:szCs w:val="21"/>
                <w:vertAlign w:val="subscript"/>
              </w:rPr>
              <w:t>5</w:t>
            </w:r>
            <w:r>
              <w:rPr>
                <w:rFonts w:hAnsi="宋体"/>
                <w:bCs/>
                <w:sz w:val="21"/>
                <w:szCs w:val="21"/>
              </w:rPr>
              <w:t>、</w:t>
            </w:r>
            <w:r>
              <w:rPr>
                <w:bCs/>
                <w:sz w:val="21"/>
                <w:szCs w:val="21"/>
              </w:rPr>
              <w:t>SS</w:t>
            </w:r>
            <w:r>
              <w:rPr>
                <w:rFonts w:hAnsi="宋体"/>
                <w:bCs/>
                <w:sz w:val="21"/>
                <w:szCs w:val="21"/>
              </w:rPr>
              <w:t>、氨氮、</w:t>
            </w:r>
            <w:r>
              <w:rPr>
                <w:bCs/>
                <w:sz w:val="21"/>
                <w:szCs w:val="21"/>
              </w:rPr>
              <w:t>TN</w:t>
            </w:r>
            <w:r>
              <w:rPr>
                <w:rFonts w:hAnsi="宋体"/>
                <w:bCs/>
                <w:sz w:val="21"/>
                <w:szCs w:val="21"/>
              </w:rPr>
              <w:t>、</w:t>
            </w:r>
            <w:r>
              <w:rPr>
                <w:bCs/>
                <w:sz w:val="21"/>
                <w:szCs w:val="21"/>
              </w:rPr>
              <w:t>TP</w:t>
            </w:r>
          </w:p>
        </w:tc>
        <w:tc>
          <w:tcPr>
            <w:tcW w:w="1425" w:type="pct"/>
            <w:noWrap w:val="0"/>
            <w:vAlign w:val="center"/>
          </w:tcPr>
          <w:p w14:paraId="77A7EEA4">
            <w:pPr>
              <w:pStyle w:val="24"/>
              <w:spacing w:line="240" w:lineRule="auto"/>
              <w:rPr>
                <w:rFonts w:hint="default" w:ascii="Times New Roman" w:eastAsia="宋体"/>
                <w:sz w:val="21"/>
                <w:szCs w:val="21"/>
                <w:lang w:val="en-US" w:eastAsia="zh-CN"/>
              </w:rPr>
            </w:pPr>
            <w:r>
              <w:rPr>
                <w:rFonts w:ascii="Times New Roman" w:hAnsi="宋体"/>
                <w:bCs/>
                <w:sz w:val="21"/>
                <w:szCs w:val="21"/>
              </w:rPr>
              <w:t>化粪池处理后</w:t>
            </w:r>
            <w:r>
              <w:rPr>
                <w:rFonts w:hint="eastAsia" w:ascii="Times New Roman" w:hAnsi="宋体"/>
                <w:bCs/>
                <w:sz w:val="21"/>
                <w:szCs w:val="21"/>
                <w:lang w:val="en-US" w:eastAsia="zh-CN"/>
              </w:rPr>
              <w:t>经市政污水管网排入大榄坪污水处理厂进一步处理</w:t>
            </w:r>
          </w:p>
        </w:tc>
        <w:tc>
          <w:tcPr>
            <w:tcW w:w="1394" w:type="pct"/>
            <w:noWrap w:val="0"/>
            <w:vAlign w:val="center"/>
          </w:tcPr>
          <w:p w14:paraId="06294571">
            <w:pPr>
              <w:jc w:val="center"/>
              <w:rPr>
                <w:rFonts w:hint="default" w:eastAsia="宋体"/>
                <w:sz w:val="21"/>
                <w:szCs w:val="21"/>
                <w:lang w:val="en-US" w:eastAsia="zh-CN"/>
              </w:rPr>
            </w:pPr>
            <w:r>
              <w:rPr>
                <w:rFonts w:hint="eastAsia"/>
                <w:sz w:val="21"/>
                <w:szCs w:val="21"/>
                <w:lang w:val="en-US" w:eastAsia="zh-CN"/>
              </w:rPr>
              <w:t>《污水综合排放标准》（GB8978-1996）及大榄坪污水处理厂进水水质标准</w:t>
            </w:r>
          </w:p>
        </w:tc>
      </w:tr>
      <w:tr w14:paraId="4B9D9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continue"/>
            <w:noWrap w:val="0"/>
            <w:vAlign w:val="center"/>
          </w:tcPr>
          <w:p w14:paraId="47DD936B">
            <w:pPr>
              <w:adjustRightInd w:val="0"/>
              <w:spacing w:line="400" w:lineRule="exact"/>
              <w:jc w:val="center"/>
              <w:rPr>
                <w:sz w:val="21"/>
                <w:szCs w:val="21"/>
              </w:rPr>
            </w:pPr>
          </w:p>
        </w:tc>
        <w:tc>
          <w:tcPr>
            <w:tcW w:w="627" w:type="pct"/>
            <w:noWrap w:val="0"/>
            <w:vAlign w:val="center"/>
          </w:tcPr>
          <w:p w14:paraId="7ECEE171">
            <w:pPr>
              <w:jc w:val="center"/>
              <w:rPr>
                <w:rFonts w:hint="default" w:hAnsi="宋体" w:eastAsia="宋体"/>
                <w:sz w:val="21"/>
                <w:szCs w:val="21"/>
                <w:lang w:val="en-US" w:eastAsia="zh-CN"/>
              </w:rPr>
            </w:pPr>
            <w:r>
              <w:rPr>
                <w:rFonts w:hint="eastAsia" w:hAnsi="宋体"/>
                <w:sz w:val="21"/>
                <w:szCs w:val="21"/>
                <w:lang w:val="en-US" w:eastAsia="zh-CN"/>
              </w:rPr>
              <w:t>洗车废水</w:t>
            </w:r>
          </w:p>
        </w:tc>
        <w:tc>
          <w:tcPr>
            <w:tcW w:w="797" w:type="pct"/>
            <w:noWrap w:val="0"/>
            <w:vAlign w:val="center"/>
          </w:tcPr>
          <w:p w14:paraId="7D08584B">
            <w:pPr>
              <w:jc w:val="center"/>
              <w:rPr>
                <w:rFonts w:hint="default" w:eastAsia="宋体"/>
                <w:bCs/>
                <w:sz w:val="21"/>
                <w:szCs w:val="21"/>
                <w:lang w:val="en-US" w:eastAsia="zh-CN"/>
              </w:rPr>
            </w:pPr>
            <w:r>
              <w:rPr>
                <w:rFonts w:hint="eastAsia"/>
                <w:bCs/>
                <w:sz w:val="21"/>
                <w:szCs w:val="21"/>
                <w:lang w:val="en-US" w:eastAsia="zh-CN"/>
              </w:rPr>
              <w:t>SS</w:t>
            </w:r>
          </w:p>
        </w:tc>
        <w:tc>
          <w:tcPr>
            <w:tcW w:w="1425" w:type="pct"/>
            <w:noWrap w:val="0"/>
            <w:vAlign w:val="center"/>
          </w:tcPr>
          <w:p w14:paraId="24AD5DB5">
            <w:pPr>
              <w:pStyle w:val="24"/>
              <w:spacing w:line="240" w:lineRule="auto"/>
              <w:rPr>
                <w:rFonts w:hint="default" w:ascii="Times New Roman" w:hAnsi="宋体" w:eastAsia="宋体"/>
                <w:bCs/>
                <w:sz w:val="21"/>
                <w:szCs w:val="21"/>
                <w:lang w:val="en-US" w:eastAsia="zh-CN"/>
              </w:rPr>
            </w:pPr>
            <w:r>
              <w:rPr>
                <w:rFonts w:hint="eastAsia" w:ascii="Times New Roman" w:hAnsi="宋体"/>
                <w:bCs/>
                <w:sz w:val="21"/>
                <w:szCs w:val="21"/>
                <w:lang w:val="en-US" w:eastAsia="zh-CN"/>
              </w:rPr>
              <w:t>经沉淀池沉淀后回循环利用</w:t>
            </w:r>
          </w:p>
        </w:tc>
        <w:tc>
          <w:tcPr>
            <w:tcW w:w="1394" w:type="pct"/>
            <w:noWrap w:val="0"/>
            <w:vAlign w:val="center"/>
          </w:tcPr>
          <w:p w14:paraId="6EFCEE8F">
            <w:pPr>
              <w:jc w:val="center"/>
              <w:rPr>
                <w:rFonts w:hint="eastAsia" w:hAnsi="宋体" w:eastAsia="宋体"/>
                <w:kern w:val="0"/>
                <w:sz w:val="21"/>
                <w:szCs w:val="21"/>
                <w:lang w:val="en-US" w:eastAsia="zh-CN"/>
              </w:rPr>
            </w:pPr>
            <w:r>
              <w:rPr>
                <w:rFonts w:hint="eastAsia" w:hAnsi="宋体"/>
                <w:kern w:val="0"/>
                <w:sz w:val="21"/>
                <w:szCs w:val="21"/>
                <w:lang w:val="en-US" w:eastAsia="zh-CN"/>
              </w:rPr>
              <w:t>不外排</w:t>
            </w:r>
          </w:p>
        </w:tc>
      </w:tr>
      <w:tr w14:paraId="3E910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continue"/>
            <w:noWrap w:val="0"/>
            <w:vAlign w:val="center"/>
          </w:tcPr>
          <w:p w14:paraId="13652D42">
            <w:pPr>
              <w:adjustRightInd w:val="0"/>
              <w:spacing w:line="400" w:lineRule="exact"/>
              <w:jc w:val="center"/>
              <w:rPr>
                <w:sz w:val="21"/>
                <w:szCs w:val="21"/>
              </w:rPr>
            </w:pPr>
          </w:p>
        </w:tc>
        <w:tc>
          <w:tcPr>
            <w:tcW w:w="627" w:type="pct"/>
            <w:noWrap w:val="0"/>
            <w:vAlign w:val="center"/>
          </w:tcPr>
          <w:p w14:paraId="6DEB6E5D">
            <w:pPr>
              <w:jc w:val="center"/>
              <w:rPr>
                <w:rFonts w:hint="default" w:hAnsi="宋体" w:eastAsia="宋体"/>
                <w:sz w:val="21"/>
                <w:szCs w:val="21"/>
                <w:lang w:val="en-US" w:eastAsia="zh-CN"/>
              </w:rPr>
            </w:pPr>
            <w:r>
              <w:rPr>
                <w:rFonts w:hint="eastAsia" w:hAnsi="宋体"/>
                <w:sz w:val="21"/>
                <w:szCs w:val="21"/>
                <w:lang w:val="en-US" w:eastAsia="zh-CN"/>
              </w:rPr>
              <w:t>地面冲洗废水</w:t>
            </w:r>
          </w:p>
        </w:tc>
        <w:tc>
          <w:tcPr>
            <w:tcW w:w="797" w:type="pct"/>
            <w:noWrap w:val="0"/>
            <w:vAlign w:val="center"/>
          </w:tcPr>
          <w:p w14:paraId="61E51649">
            <w:pPr>
              <w:jc w:val="center"/>
              <w:rPr>
                <w:rFonts w:hint="default" w:eastAsia="宋体"/>
                <w:bCs/>
                <w:sz w:val="21"/>
                <w:szCs w:val="21"/>
                <w:lang w:val="en-US" w:eastAsia="zh-CN"/>
              </w:rPr>
            </w:pPr>
            <w:r>
              <w:rPr>
                <w:rFonts w:hint="eastAsia"/>
                <w:bCs/>
                <w:sz w:val="21"/>
                <w:szCs w:val="21"/>
                <w:lang w:val="en-US" w:eastAsia="zh-CN"/>
              </w:rPr>
              <w:t>SS</w:t>
            </w:r>
          </w:p>
        </w:tc>
        <w:tc>
          <w:tcPr>
            <w:tcW w:w="1425" w:type="pct"/>
            <w:noWrap w:val="0"/>
            <w:vAlign w:val="center"/>
          </w:tcPr>
          <w:p w14:paraId="6F6DAA03">
            <w:pPr>
              <w:pStyle w:val="24"/>
              <w:spacing w:line="240" w:lineRule="auto"/>
              <w:rPr>
                <w:rFonts w:hint="default" w:ascii="Times New Roman" w:hAnsi="宋体" w:eastAsia="宋体"/>
                <w:bCs/>
                <w:sz w:val="21"/>
                <w:szCs w:val="21"/>
                <w:lang w:val="en-US" w:eastAsia="zh-CN"/>
              </w:rPr>
            </w:pPr>
            <w:r>
              <w:rPr>
                <w:rFonts w:hint="eastAsia" w:ascii="Times New Roman" w:hAnsi="宋体"/>
                <w:bCs/>
                <w:sz w:val="21"/>
                <w:szCs w:val="21"/>
                <w:lang w:val="en-US" w:eastAsia="zh-CN"/>
              </w:rPr>
              <w:t>经沉淀池沉淀后回循环利用</w:t>
            </w:r>
          </w:p>
        </w:tc>
        <w:tc>
          <w:tcPr>
            <w:tcW w:w="1394" w:type="pct"/>
            <w:noWrap w:val="0"/>
            <w:vAlign w:val="center"/>
          </w:tcPr>
          <w:p w14:paraId="56878CA2">
            <w:pPr>
              <w:jc w:val="center"/>
              <w:rPr>
                <w:rFonts w:hint="eastAsia" w:hAnsi="宋体" w:eastAsia="宋体"/>
                <w:kern w:val="0"/>
                <w:sz w:val="21"/>
                <w:szCs w:val="21"/>
                <w:lang w:val="en-US" w:eastAsia="zh-CN"/>
              </w:rPr>
            </w:pPr>
            <w:r>
              <w:rPr>
                <w:rFonts w:hint="eastAsia" w:hAnsi="宋体"/>
                <w:kern w:val="0"/>
                <w:sz w:val="21"/>
                <w:szCs w:val="21"/>
                <w:lang w:val="en-US" w:eastAsia="zh-CN"/>
              </w:rPr>
              <w:t>不外排</w:t>
            </w:r>
          </w:p>
        </w:tc>
      </w:tr>
      <w:tr w14:paraId="730F8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Merge w:val="continue"/>
            <w:noWrap w:val="0"/>
            <w:vAlign w:val="center"/>
          </w:tcPr>
          <w:p w14:paraId="423666FD">
            <w:pPr>
              <w:adjustRightInd w:val="0"/>
              <w:spacing w:line="400" w:lineRule="exact"/>
              <w:jc w:val="center"/>
              <w:rPr>
                <w:sz w:val="21"/>
                <w:szCs w:val="21"/>
              </w:rPr>
            </w:pPr>
          </w:p>
        </w:tc>
        <w:tc>
          <w:tcPr>
            <w:tcW w:w="627" w:type="pct"/>
            <w:noWrap w:val="0"/>
            <w:vAlign w:val="center"/>
          </w:tcPr>
          <w:p w14:paraId="4D3929F1">
            <w:pPr>
              <w:jc w:val="center"/>
              <w:rPr>
                <w:sz w:val="21"/>
                <w:szCs w:val="21"/>
              </w:rPr>
            </w:pPr>
            <w:r>
              <w:rPr>
                <w:rFonts w:hAnsi="宋体"/>
                <w:sz w:val="21"/>
                <w:szCs w:val="21"/>
              </w:rPr>
              <w:t>初期雨水</w:t>
            </w:r>
          </w:p>
        </w:tc>
        <w:tc>
          <w:tcPr>
            <w:tcW w:w="797" w:type="pct"/>
            <w:noWrap w:val="0"/>
            <w:vAlign w:val="center"/>
          </w:tcPr>
          <w:p w14:paraId="23C88E7A">
            <w:pPr>
              <w:jc w:val="center"/>
              <w:rPr>
                <w:bCs/>
                <w:sz w:val="21"/>
                <w:szCs w:val="21"/>
              </w:rPr>
            </w:pPr>
            <w:r>
              <w:rPr>
                <w:bCs/>
                <w:sz w:val="21"/>
                <w:szCs w:val="21"/>
              </w:rPr>
              <w:t>SS</w:t>
            </w:r>
          </w:p>
        </w:tc>
        <w:tc>
          <w:tcPr>
            <w:tcW w:w="1425" w:type="pct"/>
            <w:noWrap w:val="0"/>
            <w:vAlign w:val="center"/>
          </w:tcPr>
          <w:p w14:paraId="5000755E">
            <w:pPr>
              <w:pStyle w:val="24"/>
              <w:spacing w:line="240" w:lineRule="auto"/>
              <w:rPr>
                <w:rFonts w:hint="default" w:ascii="Times New Roman" w:eastAsia="宋体"/>
                <w:bCs/>
                <w:sz w:val="21"/>
                <w:szCs w:val="21"/>
                <w:lang w:val="en-US" w:eastAsia="zh-CN"/>
              </w:rPr>
            </w:pPr>
            <w:r>
              <w:rPr>
                <w:rFonts w:hint="eastAsia" w:ascii="Times New Roman"/>
                <w:bCs/>
                <w:sz w:val="21"/>
                <w:szCs w:val="21"/>
                <w:lang w:val="en-US" w:eastAsia="zh-CN"/>
              </w:rPr>
              <w:t>经雨水收集池沉淀后循环利用</w:t>
            </w:r>
          </w:p>
        </w:tc>
        <w:tc>
          <w:tcPr>
            <w:tcW w:w="1394" w:type="pct"/>
            <w:noWrap w:val="0"/>
            <w:vAlign w:val="center"/>
          </w:tcPr>
          <w:p w14:paraId="3CCEC545">
            <w:pPr>
              <w:jc w:val="center"/>
              <w:rPr>
                <w:kern w:val="0"/>
                <w:sz w:val="21"/>
                <w:szCs w:val="21"/>
              </w:rPr>
            </w:pPr>
            <w:r>
              <w:rPr>
                <w:rFonts w:hAnsi="宋体"/>
                <w:kern w:val="0"/>
                <w:sz w:val="21"/>
                <w:szCs w:val="21"/>
              </w:rPr>
              <w:t>不外排</w:t>
            </w:r>
          </w:p>
        </w:tc>
      </w:tr>
      <w:tr w14:paraId="048E7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noWrap w:val="0"/>
            <w:vAlign w:val="center"/>
          </w:tcPr>
          <w:p w14:paraId="76B52614">
            <w:pPr>
              <w:adjustRightInd w:val="0"/>
              <w:spacing w:line="400" w:lineRule="exact"/>
              <w:jc w:val="center"/>
              <w:rPr>
                <w:sz w:val="21"/>
                <w:szCs w:val="21"/>
              </w:rPr>
            </w:pPr>
            <w:r>
              <w:rPr>
                <w:rFonts w:hAnsi="宋体"/>
                <w:sz w:val="21"/>
                <w:szCs w:val="21"/>
              </w:rPr>
              <w:t>声环境</w:t>
            </w:r>
          </w:p>
        </w:tc>
        <w:tc>
          <w:tcPr>
            <w:tcW w:w="627" w:type="pct"/>
            <w:noWrap w:val="0"/>
            <w:vAlign w:val="center"/>
          </w:tcPr>
          <w:p w14:paraId="29D82B77">
            <w:pPr>
              <w:adjustRightInd w:val="0"/>
              <w:spacing w:line="400" w:lineRule="exact"/>
              <w:jc w:val="center"/>
              <w:rPr>
                <w:sz w:val="21"/>
                <w:szCs w:val="21"/>
              </w:rPr>
            </w:pPr>
            <w:r>
              <w:rPr>
                <w:rFonts w:hAnsi="宋体"/>
                <w:sz w:val="21"/>
                <w:szCs w:val="21"/>
              </w:rPr>
              <w:t>生产设备</w:t>
            </w:r>
          </w:p>
        </w:tc>
        <w:tc>
          <w:tcPr>
            <w:tcW w:w="797" w:type="pct"/>
            <w:noWrap w:val="0"/>
            <w:vAlign w:val="center"/>
          </w:tcPr>
          <w:p w14:paraId="1261FE80">
            <w:pPr>
              <w:adjustRightInd w:val="0"/>
              <w:spacing w:line="400" w:lineRule="exact"/>
              <w:jc w:val="center"/>
              <w:rPr>
                <w:sz w:val="21"/>
                <w:szCs w:val="21"/>
              </w:rPr>
            </w:pPr>
            <w:r>
              <w:rPr>
                <w:rFonts w:hAnsi="宋体"/>
                <w:sz w:val="21"/>
                <w:szCs w:val="21"/>
              </w:rPr>
              <w:t>设备噪声</w:t>
            </w:r>
          </w:p>
        </w:tc>
        <w:tc>
          <w:tcPr>
            <w:tcW w:w="1425" w:type="pct"/>
            <w:noWrap w:val="0"/>
            <w:vAlign w:val="center"/>
          </w:tcPr>
          <w:p w14:paraId="4868F7B4">
            <w:pPr>
              <w:adjustRightInd w:val="0"/>
              <w:spacing w:line="400" w:lineRule="exact"/>
              <w:jc w:val="center"/>
              <w:rPr>
                <w:sz w:val="21"/>
                <w:szCs w:val="21"/>
              </w:rPr>
            </w:pPr>
            <w:r>
              <w:rPr>
                <w:rFonts w:hAnsi="宋体"/>
                <w:sz w:val="21"/>
                <w:szCs w:val="21"/>
              </w:rPr>
              <w:t>隔声、减振等各项降噪措施</w:t>
            </w:r>
          </w:p>
        </w:tc>
        <w:tc>
          <w:tcPr>
            <w:tcW w:w="1394" w:type="pct"/>
            <w:noWrap w:val="0"/>
            <w:vAlign w:val="center"/>
          </w:tcPr>
          <w:p w14:paraId="3BB6ECA2">
            <w:pPr>
              <w:adjustRightInd w:val="0"/>
              <w:snapToGrid w:val="0"/>
              <w:rPr>
                <w:sz w:val="21"/>
                <w:szCs w:val="21"/>
              </w:rPr>
            </w:pPr>
            <w:r>
              <w:rPr>
                <w:rFonts w:hAnsi="宋体"/>
                <w:sz w:val="21"/>
                <w:szCs w:val="21"/>
              </w:rPr>
              <w:t>厂界</w:t>
            </w:r>
            <w:r>
              <w:rPr>
                <w:rFonts w:hint="eastAsia" w:hAnsi="宋体"/>
                <w:sz w:val="21"/>
                <w:szCs w:val="21"/>
                <w:lang w:val="en-US" w:eastAsia="zh-CN"/>
              </w:rPr>
              <w:t>北面、南面</w:t>
            </w:r>
            <w:r>
              <w:rPr>
                <w:rFonts w:hAnsi="宋体"/>
                <w:sz w:val="21"/>
                <w:szCs w:val="21"/>
              </w:rPr>
              <w:t>噪声执行《工业企业厂界环境噪声排放标准》（</w:t>
            </w:r>
            <w:r>
              <w:rPr>
                <w:sz w:val="21"/>
                <w:szCs w:val="21"/>
              </w:rPr>
              <w:t>GB12348-2008</w:t>
            </w:r>
            <w:r>
              <w:rPr>
                <w:rFonts w:hAnsi="宋体"/>
                <w:sz w:val="21"/>
                <w:szCs w:val="21"/>
              </w:rPr>
              <w:t>）中</w:t>
            </w:r>
            <w:r>
              <w:rPr>
                <w:rFonts w:hint="eastAsia"/>
                <w:sz w:val="21"/>
                <w:szCs w:val="21"/>
                <w:lang w:val="en-US" w:eastAsia="zh-CN"/>
              </w:rPr>
              <w:t>3</w:t>
            </w:r>
            <w:r>
              <w:rPr>
                <w:rFonts w:hint="eastAsia"/>
                <w:sz w:val="21"/>
                <w:szCs w:val="21"/>
                <w:lang w:eastAsia="zh-CN"/>
              </w:rPr>
              <w:t>，</w:t>
            </w:r>
            <w:r>
              <w:rPr>
                <w:rFonts w:hAnsi="宋体"/>
                <w:sz w:val="21"/>
                <w:szCs w:val="21"/>
              </w:rPr>
              <w:t>厂界</w:t>
            </w:r>
            <w:r>
              <w:rPr>
                <w:rFonts w:hint="eastAsia" w:hAnsi="宋体"/>
                <w:sz w:val="21"/>
                <w:szCs w:val="21"/>
                <w:lang w:val="en-US" w:eastAsia="zh-CN"/>
              </w:rPr>
              <w:t>北面、南面执行</w:t>
            </w:r>
            <w:r>
              <w:rPr>
                <w:rFonts w:hAnsi="宋体"/>
                <w:sz w:val="21"/>
                <w:szCs w:val="21"/>
              </w:rPr>
              <w:t>《工业企业厂界环境噪声排放标准》（</w:t>
            </w:r>
            <w:r>
              <w:rPr>
                <w:sz w:val="21"/>
                <w:szCs w:val="21"/>
              </w:rPr>
              <w:t>GB12348-2008</w:t>
            </w:r>
            <w:r>
              <w:rPr>
                <w:rFonts w:hAnsi="宋体"/>
                <w:sz w:val="21"/>
                <w:szCs w:val="21"/>
              </w:rPr>
              <w:t>）</w:t>
            </w:r>
            <w:r>
              <w:rPr>
                <w:rFonts w:hint="eastAsia"/>
                <w:sz w:val="21"/>
                <w:szCs w:val="21"/>
                <w:lang w:val="en-US" w:eastAsia="zh-CN"/>
              </w:rPr>
              <w:t>4</w:t>
            </w:r>
            <w:r>
              <w:rPr>
                <w:sz w:val="21"/>
                <w:szCs w:val="21"/>
              </w:rPr>
              <w:fldChar w:fldCharType="begin"/>
            </w:r>
            <w:r>
              <w:rPr>
                <w:sz w:val="21"/>
                <w:szCs w:val="21"/>
              </w:rPr>
              <w:instrText xml:space="preserve"> = 3 \* ROMAN </w:instrText>
            </w:r>
            <w:r>
              <w:rPr>
                <w:sz w:val="21"/>
                <w:szCs w:val="21"/>
              </w:rPr>
              <w:fldChar w:fldCharType="separate"/>
            </w:r>
            <w:r>
              <w:rPr>
                <w:sz w:val="21"/>
                <w:szCs w:val="21"/>
              </w:rPr>
              <w:fldChar w:fldCharType="end"/>
            </w:r>
            <w:r>
              <w:rPr>
                <w:rFonts w:hAnsi="宋体"/>
                <w:sz w:val="21"/>
                <w:szCs w:val="21"/>
              </w:rPr>
              <w:t>类标准。</w:t>
            </w:r>
          </w:p>
        </w:tc>
      </w:tr>
      <w:tr w14:paraId="56809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noWrap w:val="0"/>
            <w:vAlign w:val="center"/>
          </w:tcPr>
          <w:p w14:paraId="43E12D76">
            <w:pPr>
              <w:adjustRightInd w:val="0"/>
              <w:spacing w:line="400" w:lineRule="exact"/>
              <w:jc w:val="center"/>
              <w:rPr>
                <w:sz w:val="21"/>
                <w:szCs w:val="21"/>
              </w:rPr>
            </w:pPr>
            <w:r>
              <w:rPr>
                <w:rFonts w:hAnsi="宋体"/>
                <w:sz w:val="21"/>
                <w:szCs w:val="21"/>
              </w:rPr>
              <w:t>电磁辐射</w:t>
            </w:r>
          </w:p>
        </w:tc>
        <w:tc>
          <w:tcPr>
            <w:tcW w:w="627" w:type="pct"/>
            <w:noWrap w:val="0"/>
            <w:vAlign w:val="center"/>
          </w:tcPr>
          <w:p w14:paraId="2B55762D">
            <w:pPr>
              <w:adjustRightInd w:val="0"/>
              <w:spacing w:line="400" w:lineRule="exact"/>
              <w:jc w:val="center"/>
              <w:rPr>
                <w:sz w:val="21"/>
                <w:szCs w:val="21"/>
              </w:rPr>
            </w:pPr>
            <w:r>
              <w:rPr>
                <w:sz w:val="21"/>
                <w:szCs w:val="21"/>
              </w:rPr>
              <w:t>/</w:t>
            </w:r>
          </w:p>
        </w:tc>
        <w:tc>
          <w:tcPr>
            <w:tcW w:w="797" w:type="pct"/>
            <w:noWrap w:val="0"/>
            <w:vAlign w:val="center"/>
          </w:tcPr>
          <w:p w14:paraId="582A9FBC">
            <w:pPr>
              <w:adjustRightInd w:val="0"/>
              <w:spacing w:line="400" w:lineRule="exact"/>
              <w:jc w:val="center"/>
              <w:rPr>
                <w:sz w:val="21"/>
                <w:szCs w:val="21"/>
              </w:rPr>
            </w:pPr>
            <w:r>
              <w:rPr>
                <w:sz w:val="21"/>
                <w:szCs w:val="21"/>
              </w:rPr>
              <w:t>/</w:t>
            </w:r>
          </w:p>
        </w:tc>
        <w:tc>
          <w:tcPr>
            <w:tcW w:w="1425" w:type="pct"/>
            <w:noWrap w:val="0"/>
            <w:vAlign w:val="center"/>
          </w:tcPr>
          <w:p w14:paraId="7144027C">
            <w:pPr>
              <w:adjustRightInd w:val="0"/>
              <w:spacing w:line="400" w:lineRule="exact"/>
              <w:jc w:val="center"/>
              <w:rPr>
                <w:sz w:val="21"/>
                <w:szCs w:val="21"/>
              </w:rPr>
            </w:pPr>
            <w:r>
              <w:rPr>
                <w:sz w:val="21"/>
                <w:szCs w:val="21"/>
              </w:rPr>
              <w:t>/</w:t>
            </w:r>
          </w:p>
        </w:tc>
        <w:tc>
          <w:tcPr>
            <w:tcW w:w="1394" w:type="pct"/>
            <w:noWrap w:val="0"/>
            <w:vAlign w:val="center"/>
          </w:tcPr>
          <w:p w14:paraId="2D39C333">
            <w:pPr>
              <w:adjustRightInd w:val="0"/>
              <w:spacing w:line="400" w:lineRule="exact"/>
              <w:jc w:val="center"/>
              <w:rPr>
                <w:sz w:val="21"/>
                <w:szCs w:val="21"/>
              </w:rPr>
            </w:pPr>
            <w:r>
              <w:rPr>
                <w:sz w:val="21"/>
                <w:szCs w:val="21"/>
              </w:rPr>
              <w:t>/</w:t>
            </w:r>
          </w:p>
        </w:tc>
      </w:tr>
      <w:tr w14:paraId="6C11D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56" w:type="pct"/>
            <w:noWrap w:val="0"/>
            <w:vAlign w:val="center"/>
          </w:tcPr>
          <w:p w14:paraId="701D7604">
            <w:pPr>
              <w:adjustRightInd w:val="0"/>
              <w:spacing w:line="400" w:lineRule="exact"/>
              <w:jc w:val="center"/>
              <w:rPr>
                <w:sz w:val="21"/>
                <w:szCs w:val="21"/>
              </w:rPr>
            </w:pPr>
            <w:r>
              <w:rPr>
                <w:rFonts w:hAnsi="宋体"/>
                <w:sz w:val="21"/>
                <w:szCs w:val="21"/>
              </w:rPr>
              <w:t>固体废物</w:t>
            </w:r>
          </w:p>
        </w:tc>
        <w:tc>
          <w:tcPr>
            <w:tcW w:w="4243" w:type="pct"/>
            <w:gridSpan w:val="4"/>
            <w:noWrap w:val="0"/>
            <w:vAlign w:val="center"/>
          </w:tcPr>
          <w:p w14:paraId="1D807117">
            <w:pPr>
              <w:adjustRightInd w:val="0"/>
              <w:spacing w:line="400" w:lineRule="exact"/>
              <w:ind w:firstLine="420" w:firstLineChars="200"/>
              <w:jc w:val="both"/>
              <w:rPr>
                <w:sz w:val="21"/>
                <w:szCs w:val="21"/>
              </w:rPr>
            </w:pPr>
            <w:r>
              <w:rPr>
                <w:rFonts w:hAnsi="宋体"/>
                <w:kern w:val="0"/>
                <w:sz w:val="21"/>
                <w:szCs w:val="21"/>
              </w:rPr>
              <w:t>生活垃圾收集后由环卫部门统一清运，</w:t>
            </w:r>
            <w:r>
              <w:rPr>
                <w:rFonts w:hint="eastAsia" w:hAnsi="宋体"/>
                <w:kern w:val="0"/>
                <w:sz w:val="21"/>
                <w:szCs w:val="21"/>
                <w:lang w:val="en-US" w:eastAsia="zh-CN"/>
              </w:rPr>
              <w:t>沉淀池沉渣、除尘器收集粉尘等</w:t>
            </w:r>
            <w:r>
              <w:rPr>
                <w:rFonts w:hAnsi="宋体"/>
                <w:kern w:val="0"/>
                <w:sz w:val="21"/>
                <w:szCs w:val="21"/>
              </w:rPr>
              <w:t>一般固废收集后综合利用；</w:t>
            </w:r>
            <w:r>
              <w:rPr>
                <w:rFonts w:hint="eastAsia" w:hAnsi="宋体"/>
                <w:kern w:val="0"/>
                <w:sz w:val="21"/>
                <w:szCs w:val="21"/>
                <w:lang w:val="en-US" w:eastAsia="zh-CN"/>
              </w:rPr>
              <w:t>化粪池污泥委托有资质的单位定期清掏</w:t>
            </w:r>
            <w:r>
              <w:rPr>
                <w:rFonts w:hint="eastAsia" w:hAnsi="宋体"/>
                <w:kern w:val="0"/>
                <w:sz w:val="21"/>
                <w:szCs w:val="21"/>
                <w:lang w:eastAsia="zh-CN"/>
              </w:rPr>
              <w:t>；</w:t>
            </w:r>
            <w:r>
              <w:rPr>
                <w:rFonts w:hint="eastAsia" w:hAnsi="宋体"/>
                <w:kern w:val="0"/>
                <w:sz w:val="21"/>
                <w:szCs w:val="21"/>
                <w:lang w:val="en-US" w:eastAsia="zh-CN"/>
              </w:rPr>
              <w:t>废机油、废润滑油、废油桶、废布袋、废包装（吨袋）收集于危险废物暂存间，定期委托有资质的单位处置</w:t>
            </w:r>
            <w:r>
              <w:rPr>
                <w:rFonts w:hAnsi="宋体"/>
                <w:kern w:val="0"/>
                <w:sz w:val="21"/>
                <w:szCs w:val="21"/>
              </w:rPr>
              <w:t>。</w:t>
            </w:r>
          </w:p>
        </w:tc>
      </w:tr>
      <w:tr w14:paraId="473AB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6" w:type="pct"/>
            <w:noWrap w:val="0"/>
            <w:vAlign w:val="center"/>
          </w:tcPr>
          <w:p w14:paraId="7906C9EC">
            <w:pPr>
              <w:adjustRightInd w:val="0"/>
              <w:spacing w:line="400" w:lineRule="exact"/>
              <w:jc w:val="center"/>
              <w:rPr>
                <w:sz w:val="21"/>
                <w:szCs w:val="21"/>
              </w:rPr>
            </w:pPr>
            <w:r>
              <w:rPr>
                <w:rFonts w:hAnsi="宋体"/>
                <w:sz w:val="21"/>
                <w:szCs w:val="21"/>
              </w:rPr>
              <w:t>土壤及地下水污染防治措施</w:t>
            </w:r>
          </w:p>
        </w:tc>
        <w:tc>
          <w:tcPr>
            <w:tcW w:w="4243" w:type="pct"/>
            <w:gridSpan w:val="4"/>
            <w:noWrap w:val="0"/>
            <w:vAlign w:val="center"/>
          </w:tcPr>
          <w:p w14:paraId="156DC4F1">
            <w:pPr>
              <w:adjustRightInd w:val="0"/>
              <w:spacing w:line="400" w:lineRule="exact"/>
              <w:ind w:firstLine="420" w:firstLineChars="200"/>
              <w:jc w:val="both"/>
              <w:rPr>
                <w:sz w:val="21"/>
                <w:szCs w:val="21"/>
              </w:rPr>
            </w:pPr>
            <w:r>
              <w:rPr>
                <w:rFonts w:hint="eastAsia" w:ascii="宋体" w:hAnsi="宋体" w:eastAsia="宋体" w:cs="宋体"/>
                <w:color w:val="000000"/>
                <w:kern w:val="0"/>
                <w:sz w:val="21"/>
                <w:szCs w:val="21"/>
                <w:lang w:val="en-US" w:eastAsia="zh-CN" w:bidi="ar"/>
              </w:rPr>
              <w:t>对可能泄漏污染物的污染区地面进行防渗处理，</w:t>
            </w:r>
            <w:r>
              <w:rPr>
                <w:rFonts w:hint="eastAsia" w:ascii="宋体" w:hAnsi="宋体" w:cs="宋体"/>
                <w:color w:val="000000"/>
                <w:kern w:val="0"/>
                <w:sz w:val="21"/>
                <w:szCs w:val="21"/>
                <w:lang w:val="en-US" w:eastAsia="zh-CN" w:bidi="ar"/>
              </w:rPr>
              <w:t>危险废物暂存间为重点防渗区，采用</w:t>
            </w:r>
            <w:r>
              <w:rPr>
                <w:b w:val="0"/>
                <w:color w:val="auto"/>
                <w:sz w:val="21"/>
                <w:szCs w:val="21"/>
              </w:rPr>
              <w:t>水泥基渗透结晶型抗渗混凝土（厚度不小于250mm）+水泥基渗透结晶型防渗涂层结构型式（厚度不小于1.0mm）</w:t>
            </w:r>
            <w:r>
              <w:rPr>
                <w:rFonts w:hint="eastAsia"/>
                <w:b w:val="0"/>
                <w:color w:val="auto"/>
                <w:sz w:val="21"/>
                <w:szCs w:val="21"/>
                <w:lang w:eastAsia="zh-CN"/>
              </w:rPr>
              <w:t>，防渗层为至少1m厚黏土层（渗透系数≤10—7cm/s），或2mm厚高密度聚乙烯，或至少2mm厚的其他人工材料，渗透系数≤10—10cm/s</w:t>
            </w:r>
            <w:r>
              <w:rPr>
                <w:rFonts w:hint="eastAsia" w:ascii="宋体" w:hAnsi="宋体" w:cs="宋体"/>
                <w:color w:val="000000"/>
                <w:kern w:val="0"/>
                <w:sz w:val="21"/>
                <w:szCs w:val="21"/>
                <w:lang w:val="en-US" w:eastAsia="zh-CN" w:bidi="ar"/>
              </w:rPr>
              <w:t>；原料仓、成品仓、卸矿站、一般固废暂存间、初期雨水池、沉淀池为一般防渗区</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保证防渗层防渗效果等效黏土防渗层不小于1.5m，防渗层渗透系数小于1×10</w:t>
            </w:r>
            <w:r>
              <w:rPr>
                <w:rFonts w:hint="eastAsia"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cm/s，其中混矿仓库地面设置3mm金刚砂型耐磨材料、350mmC30商品砼，内配置双层双向钢筋网、复合土工膜（两布一膜）、300mm 6%水泥稳定碎石和150mm碎石夯入土层</w:t>
            </w:r>
            <w:r>
              <w:rPr>
                <w:rFonts w:hint="eastAsia" w:ascii="宋体" w:hAnsi="宋体" w:cs="宋体"/>
                <w:color w:val="000000"/>
                <w:kern w:val="0"/>
                <w:sz w:val="21"/>
                <w:szCs w:val="21"/>
                <w:lang w:val="en-US" w:eastAsia="zh-CN" w:bidi="ar"/>
              </w:rPr>
              <w:t>；项目厂区其他区域为简单防渗区，对地面进行水泥混凝土硬化。</w:t>
            </w:r>
            <w:r>
              <w:rPr>
                <w:rFonts w:hint="eastAsia" w:ascii="宋体" w:hAnsi="宋体" w:eastAsia="宋体" w:cs="宋体"/>
                <w:color w:val="000000"/>
                <w:kern w:val="0"/>
                <w:sz w:val="21"/>
                <w:szCs w:val="21"/>
                <w:lang w:val="en-US" w:eastAsia="zh-CN" w:bidi="ar"/>
              </w:rPr>
              <w:t>严格按照国家相关规范要求，对危险废物储存及转运、污水储存、污水运输及处理构筑物采取相应的措施，防止和降低污染物的跑、冒、滴、漏。</w:t>
            </w:r>
          </w:p>
        </w:tc>
      </w:tr>
      <w:tr w14:paraId="0A6FE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56" w:type="pct"/>
            <w:noWrap w:val="0"/>
            <w:vAlign w:val="center"/>
          </w:tcPr>
          <w:p w14:paraId="31FA64C4">
            <w:pPr>
              <w:adjustRightInd w:val="0"/>
              <w:spacing w:line="400" w:lineRule="exact"/>
              <w:jc w:val="center"/>
              <w:rPr>
                <w:sz w:val="21"/>
                <w:szCs w:val="21"/>
              </w:rPr>
            </w:pPr>
            <w:r>
              <w:rPr>
                <w:rFonts w:hAnsi="宋体"/>
                <w:sz w:val="21"/>
                <w:szCs w:val="21"/>
              </w:rPr>
              <w:t>生态保护措施</w:t>
            </w:r>
          </w:p>
        </w:tc>
        <w:tc>
          <w:tcPr>
            <w:tcW w:w="4243" w:type="pct"/>
            <w:gridSpan w:val="4"/>
            <w:noWrap w:val="0"/>
            <w:vAlign w:val="center"/>
          </w:tcPr>
          <w:p w14:paraId="63FB1E71">
            <w:pPr>
              <w:adjustRightInd w:val="0"/>
              <w:spacing w:line="400" w:lineRule="exact"/>
              <w:jc w:val="center"/>
              <w:rPr>
                <w:sz w:val="21"/>
                <w:szCs w:val="21"/>
              </w:rPr>
            </w:pPr>
            <w:r>
              <w:rPr>
                <w:sz w:val="21"/>
                <w:szCs w:val="21"/>
              </w:rPr>
              <w:t>/</w:t>
            </w:r>
          </w:p>
        </w:tc>
      </w:tr>
      <w:tr w14:paraId="1D922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56" w:type="pct"/>
            <w:noWrap w:val="0"/>
            <w:vAlign w:val="center"/>
          </w:tcPr>
          <w:p w14:paraId="6A677EC1">
            <w:pPr>
              <w:adjustRightInd w:val="0"/>
              <w:spacing w:line="400" w:lineRule="exact"/>
              <w:jc w:val="center"/>
              <w:rPr>
                <w:spacing w:val="-8"/>
                <w:sz w:val="21"/>
                <w:szCs w:val="21"/>
              </w:rPr>
            </w:pPr>
            <w:r>
              <w:rPr>
                <w:rFonts w:hAnsi="宋体"/>
                <w:spacing w:val="-8"/>
                <w:sz w:val="21"/>
                <w:szCs w:val="21"/>
              </w:rPr>
              <w:t>环境风险防范措施</w:t>
            </w:r>
          </w:p>
        </w:tc>
        <w:tc>
          <w:tcPr>
            <w:tcW w:w="4243" w:type="pct"/>
            <w:gridSpan w:val="4"/>
            <w:noWrap w:val="0"/>
            <w:vAlign w:val="center"/>
          </w:tcPr>
          <w:p w14:paraId="2EEFC9E6">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①建设单位在运营期应加强危险废物储存设施及转运设施的维护和管理，防止非正常排放或泄漏，将突发环境事故降低至最低限度；</w:t>
            </w:r>
          </w:p>
          <w:p w14:paraId="4B7357D0">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②为防止项目废机油、废润滑油因跑、冒、滴、漏对厂区地下水造成污染，需根据《环境影响评价技术导则 地下水环境》（HJ610-2016），对厂区危废暂存间进行严格的硬化及防渗处理，防渗层渗透系数≤1×10—</w:t>
            </w:r>
            <w:r>
              <w:rPr>
                <w:rFonts w:hint="eastAsia" w:ascii="Times New Roman" w:cs="Times New Roman"/>
                <w:sz w:val="21"/>
                <w:szCs w:val="21"/>
                <w:vertAlign w:val="superscript"/>
                <w:lang w:val="en-US" w:eastAsia="zh-CN"/>
              </w:rPr>
              <w:t>7</w:t>
            </w:r>
            <w:r>
              <w:rPr>
                <w:rFonts w:hint="eastAsia" w:ascii="Times New Roman" w:cs="Times New Roman"/>
                <w:sz w:val="21"/>
                <w:szCs w:val="21"/>
                <w:vertAlign w:val="baseline"/>
                <w:lang w:val="en-US" w:eastAsia="zh-CN"/>
              </w:rPr>
              <w:t>cm/s，四周设置围堰；</w:t>
            </w:r>
            <w:r>
              <w:rPr>
                <w:rFonts w:hint="default" w:ascii="Times New Roman" w:hAnsi="Times New Roman" w:eastAsia="宋体" w:cs="Times New Roman"/>
                <w:color w:val="000000"/>
                <w:kern w:val="0"/>
                <w:sz w:val="21"/>
                <w:szCs w:val="21"/>
                <w:lang w:val="en-US" w:eastAsia="zh-CN" w:bidi="ar"/>
              </w:rPr>
              <w:t>对厂区内道路、初期雨水收集池、沉淀池四周池壁及池底、混矿仓库地面进行防渗处理，保证防渗层防渗效果等效黏土防渗层不小于1.5m，防渗层渗透系数小于1×10</w:t>
            </w:r>
            <w:r>
              <w:rPr>
                <w:rFonts w:hint="eastAsia" w:asci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cm/s，其中混矿仓库地面设置3mm金刚砂型耐磨材料、350mmC30商品砼，内配置双层双向钢筋网 、复合土工膜</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两布一膜</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、300mm 6%水泥稳定碎石和150mm碎石夯入土层。</w:t>
            </w:r>
          </w:p>
          <w:p w14:paraId="47517AEF">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20" w:firstLineChars="200"/>
              <w:jc w:val="both"/>
              <w:textAlignment w:val="auto"/>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③建设单位在运营期加强对废气处理装置的维护与检修，使其处于良好的运行状态，尽量避免事故排放事件发生；</w:t>
            </w:r>
          </w:p>
          <w:p w14:paraId="6D151038">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20" w:firstLineChars="200"/>
              <w:jc w:val="both"/>
              <w:textAlignment w:val="auto"/>
              <w:rPr>
                <w:sz w:val="21"/>
                <w:szCs w:val="21"/>
              </w:rPr>
            </w:pPr>
            <w:r>
              <w:rPr>
                <w:rFonts w:hint="eastAsia" w:ascii="Times New Roman" w:cs="Times New Roman"/>
                <w:sz w:val="21"/>
                <w:szCs w:val="21"/>
                <w:vertAlign w:val="baseline"/>
                <w:lang w:val="en-US" w:eastAsia="zh-CN"/>
              </w:rPr>
              <w:t>④编制突发环境事件应急预案，设置突发环境事件应急指挥部，下设应急指挥办公室及应急工作小组。当发生突发环境事件时，由应急指挥部负责公司应急工作的组织和指挥。</w:t>
            </w:r>
          </w:p>
        </w:tc>
      </w:tr>
      <w:tr w14:paraId="7CD0B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756" w:type="pct"/>
            <w:noWrap w:val="0"/>
            <w:vAlign w:val="center"/>
          </w:tcPr>
          <w:p w14:paraId="15BDC4E1">
            <w:pPr>
              <w:adjustRightInd w:val="0"/>
              <w:spacing w:line="360" w:lineRule="auto"/>
              <w:jc w:val="center"/>
              <w:rPr>
                <w:spacing w:val="-8"/>
                <w:sz w:val="21"/>
                <w:szCs w:val="21"/>
              </w:rPr>
            </w:pPr>
            <w:r>
              <w:rPr>
                <w:rFonts w:hAnsi="宋体"/>
                <w:spacing w:val="-8"/>
                <w:sz w:val="21"/>
                <w:szCs w:val="21"/>
              </w:rPr>
              <w:t>其他环境管理要求</w:t>
            </w:r>
          </w:p>
        </w:tc>
        <w:tc>
          <w:tcPr>
            <w:tcW w:w="4243" w:type="pct"/>
            <w:gridSpan w:val="4"/>
            <w:noWrap w:val="0"/>
            <w:vAlign w:val="center"/>
          </w:tcPr>
          <w:p w14:paraId="7A2C1455">
            <w:pPr>
              <w:adjustRightInd w:val="0"/>
              <w:spacing w:line="380" w:lineRule="exact"/>
              <w:jc w:val="center"/>
              <w:rPr>
                <w:rFonts w:hint="eastAsia" w:eastAsia="宋体"/>
                <w:sz w:val="21"/>
                <w:szCs w:val="21"/>
                <w:lang w:val="en-US" w:eastAsia="zh-CN"/>
              </w:rPr>
            </w:pPr>
            <w:r>
              <w:rPr>
                <w:rFonts w:hint="eastAsia" w:ascii="Times New Roman" w:cs="Times New Roman"/>
                <w:color w:val="auto"/>
                <w:sz w:val="21"/>
                <w:szCs w:val="21"/>
                <w:lang w:val="en-US" w:eastAsia="zh-CN"/>
              </w:rPr>
              <w:t>/</w:t>
            </w:r>
          </w:p>
        </w:tc>
      </w:tr>
    </w:tbl>
    <w:p w14:paraId="54706C20">
      <w:pPr>
        <w:pStyle w:val="15"/>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5441696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Times New Roman"/>
          <w:snapToGrid w:val="0"/>
          <w:sz w:val="30"/>
          <w:szCs w:val="30"/>
          <w:lang w:val="en-US" w:eastAsia="zh-CN"/>
        </w:rPr>
      </w:pPr>
      <w:bookmarkStart w:id="12" w:name="_Toc17322"/>
      <w:bookmarkStart w:id="13" w:name="_Toc9043"/>
      <w:r>
        <w:rPr>
          <w:rFonts w:hint="eastAsia" w:ascii="黑体" w:hAnsi="黑体" w:eastAsia="黑体" w:cs="Times New Roman"/>
          <w:snapToGrid w:val="0"/>
          <w:sz w:val="30"/>
          <w:szCs w:val="30"/>
          <w:lang w:val="en-US" w:eastAsia="zh-CN"/>
        </w:rPr>
        <w:t>六、结论</w:t>
      </w:r>
      <w:bookmarkEnd w:id="12"/>
      <w:bookmarkEnd w:id="13"/>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F0A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noWrap w:val="0"/>
            <w:vAlign w:val="top"/>
          </w:tcPr>
          <w:p w14:paraId="233346C0">
            <w:pPr>
              <w:spacing w:line="460" w:lineRule="exact"/>
              <w:ind w:firstLine="480" w:firstLineChars="200"/>
              <w:rPr>
                <w:sz w:val="24"/>
              </w:rPr>
            </w:pPr>
            <w:r>
              <w:rPr>
                <w:rFonts w:hint="eastAsia" w:hAnsi="宋体"/>
                <w:sz w:val="24"/>
                <w:lang w:val="en-US" w:eastAsia="zh-CN"/>
              </w:rPr>
              <w:t>中铜（钦州）铜精矿混矿项目</w:t>
            </w:r>
            <w:r>
              <w:rPr>
                <w:rFonts w:hAnsi="宋体"/>
                <w:sz w:val="24"/>
              </w:rPr>
              <w:t>符合国家产业政策，选址可行。在落实报告中提出的各项环保措施前提下，可实现污染物达标排放，排放的主要污染物量符合总量控制指标要求。项目建设对环境的不利影响可得到有效控制和缓解，不会降低评价区域原有环境质量功能级别，因而从环境影响角度而言，该项目建设可行。</w:t>
            </w:r>
          </w:p>
          <w:p w14:paraId="713E0329">
            <w:pPr>
              <w:pStyle w:val="22"/>
              <w:rPr>
                <w:rFonts w:ascii="Times New Roman" w:cs="Times New Roman"/>
                <w:color w:val="auto"/>
              </w:rPr>
            </w:pPr>
          </w:p>
          <w:p w14:paraId="68E1C867">
            <w:pPr>
              <w:pStyle w:val="22"/>
              <w:rPr>
                <w:rFonts w:ascii="Times New Roman" w:cs="Times New Roman"/>
                <w:color w:val="auto"/>
              </w:rPr>
            </w:pPr>
          </w:p>
          <w:p w14:paraId="13464D95">
            <w:pPr>
              <w:pStyle w:val="22"/>
              <w:rPr>
                <w:rFonts w:ascii="Times New Roman" w:cs="Times New Roman"/>
                <w:color w:val="auto"/>
              </w:rPr>
            </w:pPr>
          </w:p>
          <w:p w14:paraId="0D5BE628">
            <w:pPr>
              <w:pStyle w:val="22"/>
              <w:rPr>
                <w:rFonts w:ascii="Times New Roman" w:cs="Times New Roman"/>
                <w:color w:val="auto"/>
              </w:rPr>
            </w:pPr>
          </w:p>
          <w:p w14:paraId="5ABFB993">
            <w:pPr>
              <w:pStyle w:val="22"/>
              <w:rPr>
                <w:rFonts w:ascii="Times New Roman" w:cs="Times New Roman"/>
                <w:color w:val="auto"/>
              </w:rPr>
            </w:pPr>
          </w:p>
          <w:p w14:paraId="702EC8E9">
            <w:pPr>
              <w:pStyle w:val="22"/>
              <w:rPr>
                <w:rFonts w:ascii="Times New Roman" w:cs="Times New Roman"/>
                <w:color w:val="auto"/>
              </w:rPr>
            </w:pPr>
          </w:p>
          <w:p w14:paraId="205C3682">
            <w:pPr>
              <w:pStyle w:val="22"/>
              <w:rPr>
                <w:rFonts w:ascii="Times New Roman" w:cs="Times New Roman"/>
                <w:color w:val="auto"/>
              </w:rPr>
            </w:pPr>
          </w:p>
          <w:p w14:paraId="6245DE7F">
            <w:pPr>
              <w:pStyle w:val="22"/>
              <w:rPr>
                <w:rFonts w:ascii="Times New Roman" w:cs="Times New Roman"/>
                <w:color w:val="auto"/>
              </w:rPr>
            </w:pPr>
          </w:p>
          <w:p w14:paraId="49228CA0">
            <w:pPr>
              <w:pStyle w:val="22"/>
              <w:rPr>
                <w:rFonts w:ascii="Times New Roman" w:cs="Times New Roman"/>
                <w:color w:val="auto"/>
              </w:rPr>
            </w:pPr>
          </w:p>
          <w:p w14:paraId="0429B669">
            <w:pPr>
              <w:pStyle w:val="22"/>
              <w:rPr>
                <w:rFonts w:ascii="Times New Roman" w:cs="Times New Roman"/>
                <w:color w:val="auto"/>
              </w:rPr>
            </w:pPr>
          </w:p>
          <w:p w14:paraId="2D6DB7DF">
            <w:pPr>
              <w:pStyle w:val="22"/>
              <w:rPr>
                <w:rFonts w:ascii="Times New Roman" w:cs="Times New Roman"/>
                <w:color w:val="auto"/>
              </w:rPr>
            </w:pPr>
          </w:p>
          <w:p w14:paraId="5959AC00">
            <w:pPr>
              <w:pStyle w:val="22"/>
              <w:rPr>
                <w:rFonts w:ascii="Times New Roman" w:cs="Times New Roman"/>
                <w:color w:val="auto"/>
              </w:rPr>
            </w:pPr>
          </w:p>
          <w:p w14:paraId="3275C91A">
            <w:pPr>
              <w:pStyle w:val="22"/>
              <w:rPr>
                <w:rFonts w:ascii="Times New Roman" w:cs="Times New Roman"/>
                <w:color w:val="auto"/>
              </w:rPr>
            </w:pPr>
          </w:p>
          <w:p w14:paraId="2ECD5996">
            <w:pPr>
              <w:pStyle w:val="22"/>
              <w:rPr>
                <w:rFonts w:ascii="Times New Roman" w:cs="Times New Roman"/>
                <w:color w:val="auto"/>
              </w:rPr>
            </w:pPr>
          </w:p>
          <w:p w14:paraId="792D25C7">
            <w:pPr>
              <w:pStyle w:val="22"/>
              <w:rPr>
                <w:rFonts w:ascii="Times New Roman" w:cs="Times New Roman"/>
                <w:color w:val="auto"/>
              </w:rPr>
            </w:pPr>
          </w:p>
          <w:p w14:paraId="0B0B6815">
            <w:pPr>
              <w:pStyle w:val="22"/>
              <w:rPr>
                <w:rFonts w:ascii="Times New Roman" w:cs="Times New Roman"/>
                <w:color w:val="auto"/>
              </w:rPr>
            </w:pPr>
          </w:p>
          <w:p w14:paraId="427E8AB1">
            <w:pPr>
              <w:pStyle w:val="22"/>
              <w:rPr>
                <w:rFonts w:ascii="Times New Roman" w:cs="Times New Roman"/>
                <w:color w:val="auto"/>
              </w:rPr>
            </w:pPr>
          </w:p>
          <w:p w14:paraId="3524C606">
            <w:pPr>
              <w:pStyle w:val="22"/>
              <w:rPr>
                <w:rFonts w:ascii="Times New Roman" w:cs="Times New Roman"/>
                <w:color w:val="auto"/>
              </w:rPr>
            </w:pPr>
          </w:p>
          <w:p w14:paraId="5A21DFBE">
            <w:pPr>
              <w:pStyle w:val="22"/>
              <w:rPr>
                <w:rFonts w:ascii="Times New Roman" w:cs="Times New Roman"/>
                <w:color w:val="auto"/>
              </w:rPr>
            </w:pPr>
          </w:p>
          <w:p w14:paraId="0562800B">
            <w:pPr>
              <w:pStyle w:val="22"/>
              <w:rPr>
                <w:rFonts w:ascii="Times New Roman" w:cs="Times New Roman"/>
                <w:color w:val="auto"/>
              </w:rPr>
            </w:pPr>
          </w:p>
          <w:p w14:paraId="4B124946">
            <w:pPr>
              <w:pStyle w:val="22"/>
              <w:rPr>
                <w:rFonts w:ascii="Times New Roman" w:cs="Times New Roman"/>
                <w:color w:val="auto"/>
              </w:rPr>
            </w:pPr>
          </w:p>
          <w:p w14:paraId="4FB5A1E8">
            <w:pPr>
              <w:pStyle w:val="22"/>
              <w:rPr>
                <w:rFonts w:ascii="Times New Roman" w:cs="Times New Roman"/>
                <w:color w:val="auto"/>
              </w:rPr>
            </w:pPr>
          </w:p>
          <w:p w14:paraId="66F02665">
            <w:pPr>
              <w:pStyle w:val="22"/>
              <w:rPr>
                <w:rFonts w:ascii="Times New Roman" w:cs="Times New Roman"/>
                <w:color w:val="auto"/>
              </w:rPr>
            </w:pPr>
          </w:p>
          <w:p w14:paraId="09723E61">
            <w:pPr>
              <w:pStyle w:val="22"/>
              <w:rPr>
                <w:rFonts w:ascii="Times New Roman" w:cs="Times New Roman"/>
                <w:color w:val="auto"/>
              </w:rPr>
            </w:pPr>
          </w:p>
          <w:p w14:paraId="3A0F9E72">
            <w:pPr>
              <w:pStyle w:val="22"/>
              <w:rPr>
                <w:rFonts w:ascii="Times New Roman" w:cs="Times New Roman"/>
                <w:color w:val="auto"/>
              </w:rPr>
            </w:pPr>
          </w:p>
          <w:p w14:paraId="2574DD9C">
            <w:pPr>
              <w:pStyle w:val="22"/>
              <w:rPr>
                <w:rFonts w:ascii="Times New Roman" w:cs="Times New Roman"/>
                <w:color w:val="auto"/>
              </w:rPr>
            </w:pPr>
          </w:p>
          <w:p w14:paraId="3F241015">
            <w:pPr>
              <w:pStyle w:val="22"/>
              <w:rPr>
                <w:rFonts w:ascii="Times New Roman" w:cs="Times New Roman"/>
                <w:color w:val="auto"/>
              </w:rPr>
            </w:pPr>
          </w:p>
          <w:p w14:paraId="1983B60C">
            <w:pPr>
              <w:pStyle w:val="22"/>
              <w:rPr>
                <w:rFonts w:ascii="Times New Roman" w:cs="Times New Roman"/>
                <w:color w:val="auto"/>
              </w:rPr>
            </w:pPr>
          </w:p>
          <w:p w14:paraId="2CDF0120">
            <w:pPr>
              <w:pStyle w:val="22"/>
              <w:rPr>
                <w:rFonts w:ascii="Times New Roman" w:cs="Times New Roman"/>
                <w:color w:val="auto"/>
              </w:rPr>
            </w:pPr>
          </w:p>
          <w:p w14:paraId="0B9150B2">
            <w:pPr>
              <w:pStyle w:val="22"/>
              <w:rPr>
                <w:rFonts w:ascii="Times New Roman" w:cs="Times New Roman"/>
                <w:color w:val="auto"/>
              </w:rPr>
            </w:pPr>
          </w:p>
          <w:p w14:paraId="7643F586">
            <w:pPr>
              <w:pStyle w:val="22"/>
              <w:rPr>
                <w:rFonts w:ascii="Times New Roman" w:cs="Times New Roman"/>
                <w:color w:val="auto"/>
              </w:rPr>
            </w:pPr>
          </w:p>
          <w:p w14:paraId="2338C035">
            <w:pPr>
              <w:pStyle w:val="22"/>
              <w:rPr>
                <w:rFonts w:ascii="Times New Roman" w:cs="Times New Roman"/>
                <w:color w:val="auto"/>
              </w:rPr>
            </w:pPr>
          </w:p>
          <w:p w14:paraId="3EF99241">
            <w:pPr>
              <w:pStyle w:val="22"/>
              <w:rPr>
                <w:rFonts w:ascii="Times New Roman" w:cs="Times New Roman"/>
                <w:color w:val="auto"/>
              </w:rPr>
            </w:pPr>
          </w:p>
        </w:tc>
      </w:tr>
    </w:tbl>
    <w:p w14:paraId="2AAC6EF9">
      <w:pPr>
        <w:pStyle w:val="14"/>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5594907F">
      <w:pPr>
        <w:pStyle w:val="22"/>
        <w:keepNext w:val="0"/>
        <w:keepLines w:val="0"/>
        <w:pageBreakBefore w:val="0"/>
        <w:widowControl w:val="0"/>
        <w:numPr>
          <w:ilvl w:val="0"/>
          <w:numId w:val="0"/>
        </w:numPr>
        <w:kinsoku/>
        <w:wordWrap/>
        <w:overflowPunct/>
        <w:topLinePunct w:val="0"/>
        <w:autoSpaceDE w:val="0"/>
        <w:autoSpaceDN w:val="0"/>
        <w:bidi w:val="0"/>
        <w:adjustRightInd w:val="0"/>
        <w:snapToGrid/>
        <w:ind w:left="0" w:leftChars="0" w:firstLine="0" w:firstLineChars="0"/>
        <w:textAlignment w:val="auto"/>
        <w:outlineLvl w:val="0"/>
        <w:rPr>
          <w:rFonts w:hint="eastAsia"/>
          <w:b/>
          <w:bCs/>
          <w:sz w:val="24"/>
          <w:szCs w:val="24"/>
          <w:lang w:val="en-US" w:eastAsia="zh-CN"/>
        </w:rPr>
      </w:pPr>
      <w:bookmarkStart w:id="14" w:name="_Toc10138"/>
      <w:r>
        <w:rPr>
          <w:rFonts w:hint="eastAsia"/>
          <w:b/>
          <w:bCs/>
          <w:sz w:val="24"/>
          <w:szCs w:val="24"/>
          <w:lang w:val="en-US" w:eastAsia="zh-CN"/>
        </w:rPr>
        <w:t>附表</w:t>
      </w:r>
      <w:bookmarkEnd w:id="14"/>
    </w:p>
    <w:p w14:paraId="5ED72C32">
      <w:pPr>
        <w:pStyle w:val="13"/>
        <w:adjustRightInd w:val="0"/>
        <w:snapToGrid w:val="0"/>
        <w:spacing w:before="0" w:beforeAutospacing="0" w:after="0" w:afterAutospacing="0" w:line="240" w:lineRule="auto"/>
        <w:jc w:val="center"/>
        <w:outlineLvl w:val="9"/>
        <w:rPr>
          <w:rFonts w:hint="eastAsia" w:ascii="Times New Roman" w:hAnsi="Times New Roman"/>
          <w:b/>
          <w:snapToGrid w:val="0"/>
          <w:sz w:val="24"/>
          <w:szCs w:val="24"/>
        </w:rPr>
      </w:pPr>
      <w:bookmarkStart w:id="15" w:name="_Toc67775558"/>
      <w:bookmarkStart w:id="16" w:name="_Toc68111815"/>
      <w:r>
        <w:rPr>
          <w:rFonts w:ascii="Times New Roman"/>
          <w:b/>
          <w:snapToGrid w:val="0"/>
          <w:sz w:val="24"/>
          <w:szCs w:val="24"/>
        </w:rPr>
        <w:t>建设项目污染物排放量汇总表</w:t>
      </w:r>
      <w:bookmarkEnd w:id="15"/>
      <w:bookmarkEnd w:id="16"/>
      <w:r>
        <w:rPr>
          <w:rFonts w:hint="eastAsia" w:ascii="Times New Roman"/>
          <w:b/>
          <w:snapToGrid w:val="0"/>
          <w:sz w:val="24"/>
          <w:szCs w:val="24"/>
        </w:rPr>
        <w:t xml:space="preserve"> </w:t>
      </w:r>
    </w:p>
    <w:tbl>
      <w:tblPr>
        <w:tblStyle w:val="16"/>
        <w:tblW w:w="1417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598"/>
        <w:gridCol w:w="1217"/>
        <w:gridCol w:w="1714"/>
        <w:gridCol w:w="1286"/>
        <w:gridCol w:w="1714"/>
        <w:gridCol w:w="1571"/>
        <w:gridCol w:w="1775"/>
        <w:gridCol w:w="1975"/>
        <w:gridCol w:w="1113"/>
      </w:tblGrid>
      <w:tr w14:paraId="4F8E6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11" w:type="dxa"/>
            <w:tcBorders>
              <w:tl2br w:val="single" w:color="auto" w:sz="4" w:space="0"/>
            </w:tcBorders>
            <w:noWrap w:val="0"/>
            <w:tcMar>
              <w:left w:w="28" w:type="dxa"/>
              <w:right w:w="28" w:type="dxa"/>
            </w:tcMar>
            <w:vAlign w:val="center"/>
          </w:tcPr>
          <w:p w14:paraId="7FC72284">
            <w:pPr>
              <w:pStyle w:val="23"/>
              <w:snapToGrid/>
              <w:spacing w:beforeLines="0" w:afterLines="0" w:line="400" w:lineRule="exact"/>
              <w:jc w:val="right"/>
              <w:rPr>
                <w:rFonts w:ascii="Times New Roman"/>
                <w:snapToGrid w:val="0"/>
                <w:spacing w:val="-6"/>
                <w:kern w:val="21"/>
                <w:sz w:val="24"/>
                <w:szCs w:val="24"/>
              </w:rPr>
            </w:pPr>
            <w:r>
              <w:rPr>
                <w:rFonts w:ascii="Times New Roman" w:hAnsi="宋体"/>
                <w:snapToGrid w:val="0"/>
                <w:spacing w:val="-6"/>
                <w:kern w:val="21"/>
                <w:sz w:val="24"/>
                <w:szCs w:val="24"/>
              </w:rPr>
              <w:t>项目</w:t>
            </w:r>
          </w:p>
          <w:p w14:paraId="42536BAE">
            <w:pPr>
              <w:pStyle w:val="23"/>
              <w:snapToGrid/>
              <w:spacing w:beforeLines="0" w:afterLines="0" w:line="400" w:lineRule="exact"/>
              <w:jc w:val="left"/>
              <w:rPr>
                <w:rFonts w:ascii="Times New Roman"/>
                <w:snapToGrid w:val="0"/>
                <w:spacing w:val="-6"/>
                <w:kern w:val="21"/>
                <w:sz w:val="24"/>
                <w:szCs w:val="24"/>
              </w:rPr>
            </w:pPr>
            <w:r>
              <w:rPr>
                <w:rFonts w:ascii="Times New Roman" w:hAnsi="宋体"/>
                <w:snapToGrid w:val="0"/>
                <w:spacing w:val="-6"/>
                <w:kern w:val="21"/>
                <w:sz w:val="24"/>
                <w:szCs w:val="24"/>
              </w:rPr>
              <w:t>分类</w:t>
            </w:r>
          </w:p>
        </w:tc>
        <w:tc>
          <w:tcPr>
            <w:tcW w:w="1815" w:type="dxa"/>
            <w:gridSpan w:val="2"/>
            <w:noWrap w:val="0"/>
            <w:tcMar>
              <w:left w:w="28" w:type="dxa"/>
              <w:right w:w="28" w:type="dxa"/>
            </w:tcMar>
            <w:vAlign w:val="center"/>
          </w:tcPr>
          <w:p w14:paraId="32F5644E">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污染物名称</w:t>
            </w:r>
          </w:p>
        </w:tc>
        <w:tc>
          <w:tcPr>
            <w:tcW w:w="1714" w:type="dxa"/>
            <w:noWrap w:val="0"/>
            <w:tcMar>
              <w:left w:w="28" w:type="dxa"/>
              <w:right w:w="28" w:type="dxa"/>
            </w:tcMar>
            <w:vAlign w:val="center"/>
          </w:tcPr>
          <w:p w14:paraId="420F7866">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现有工程</w:t>
            </w:r>
          </w:p>
          <w:p w14:paraId="1F1F8802">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排放量（固体废物产生量）</w:t>
            </w:r>
            <w:r>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1 \* GB3 \* MERGEFORMAT </w:instrText>
            </w:r>
            <w:r>
              <w:rPr>
                <w:rFonts w:ascii="Times New Roman"/>
                <w:snapToGrid w:val="0"/>
                <w:spacing w:val="-6"/>
                <w:kern w:val="21"/>
                <w:sz w:val="24"/>
                <w:szCs w:val="24"/>
              </w:rPr>
              <w:fldChar w:fldCharType="separate"/>
            </w:r>
            <w:r>
              <w:rPr>
                <w:rFonts w:hAnsi="宋体"/>
                <w:kern w:val="2"/>
                <w:sz w:val="24"/>
                <w:szCs w:val="24"/>
              </w:rPr>
              <w:t>①</w:t>
            </w:r>
            <w:r>
              <w:rPr>
                <w:rFonts w:ascii="Times New Roman"/>
                <w:snapToGrid w:val="0"/>
                <w:spacing w:val="-6"/>
                <w:kern w:val="21"/>
                <w:sz w:val="24"/>
                <w:szCs w:val="24"/>
              </w:rPr>
              <w:fldChar w:fldCharType="end"/>
            </w:r>
          </w:p>
        </w:tc>
        <w:tc>
          <w:tcPr>
            <w:tcW w:w="1286" w:type="dxa"/>
            <w:noWrap w:val="0"/>
            <w:tcMar>
              <w:left w:w="28" w:type="dxa"/>
              <w:right w:w="28" w:type="dxa"/>
            </w:tcMar>
            <w:vAlign w:val="center"/>
          </w:tcPr>
          <w:p w14:paraId="28CB5D49">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现有工程</w:t>
            </w:r>
          </w:p>
          <w:p w14:paraId="0BD608B2">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许可排放量</w:t>
            </w:r>
          </w:p>
          <w:p w14:paraId="6C4F7803">
            <w:pPr>
              <w:pStyle w:val="23"/>
              <w:snapToGrid/>
              <w:spacing w:beforeLines="0" w:afterLines="0" w:line="400" w:lineRule="exact"/>
              <w:rPr>
                <w:rFonts w:ascii="Times New Roman"/>
                <w:snapToGrid w:val="0"/>
                <w:spacing w:val="-6"/>
                <w:kern w:val="21"/>
                <w:sz w:val="24"/>
                <w:szCs w:val="24"/>
              </w:rPr>
            </w:pPr>
            <w:r>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2 \* GB3 \* MERGEFORMAT </w:instrText>
            </w:r>
            <w:r>
              <w:rPr>
                <w:rFonts w:ascii="Times New Roman"/>
                <w:snapToGrid w:val="0"/>
                <w:spacing w:val="-6"/>
                <w:kern w:val="21"/>
                <w:sz w:val="24"/>
                <w:szCs w:val="24"/>
              </w:rPr>
              <w:fldChar w:fldCharType="separate"/>
            </w:r>
            <w:r>
              <w:rPr>
                <w:rFonts w:hAnsi="宋体"/>
                <w:snapToGrid w:val="0"/>
                <w:spacing w:val="-6"/>
                <w:kern w:val="21"/>
                <w:sz w:val="24"/>
                <w:szCs w:val="24"/>
              </w:rPr>
              <w:t>②</w:t>
            </w:r>
            <w:r>
              <w:rPr>
                <w:rFonts w:ascii="Times New Roman"/>
                <w:snapToGrid w:val="0"/>
                <w:spacing w:val="-6"/>
                <w:kern w:val="21"/>
                <w:sz w:val="24"/>
                <w:szCs w:val="24"/>
              </w:rPr>
              <w:fldChar w:fldCharType="end"/>
            </w:r>
          </w:p>
        </w:tc>
        <w:tc>
          <w:tcPr>
            <w:tcW w:w="1714" w:type="dxa"/>
            <w:noWrap w:val="0"/>
            <w:tcMar>
              <w:left w:w="28" w:type="dxa"/>
              <w:right w:w="28" w:type="dxa"/>
            </w:tcMar>
            <w:vAlign w:val="center"/>
          </w:tcPr>
          <w:p w14:paraId="6DBFE38F">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在建工程</w:t>
            </w:r>
          </w:p>
          <w:p w14:paraId="33489EDC">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排放量（固体废物产生量）</w:t>
            </w:r>
            <w:r>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3 \* GB3 \* MERGEFORMAT </w:instrText>
            </w:r>
            <w:r>
              <w:rPr>
                <w:rFonts w:ascii="Times New Roman"/>
                <w:snapToGrid w:val="0"/>
                <w:spacing w:val="-6"/>
                <w:kern w:val="21"/>
                <w:sz w:val="24"/>
                <w:szCs w:val="24"/>
              </w:rPr>
              <w:fldChar w:fldCharType="separate"/>
            </w:r>
            <w:r>
              <w:rPr>
                <w:rFonts w:hAnsi="宋体"/>
                <w:kern w:val="2"/>
                <w:sz w:val="24"/>
                <w:szCs w:val="24"/>
              </w:rPr>
              <w:t>③</w:t>
            </w:r>
            <w:r>
              <w:rPr>
                <w:rFonts w:ascii="Times New Roman"/>
                <w:snapToGrid w:val="0"/>
                <w:spacing w:val="-6"/>
                <w:kern w:val="21"/>
                <w:sz w:val="24"/>
                <w:szCs w:val="24"/>
              </w:rPr>
              <w:fldChar w:fldCharType="end"/>
            </w:r>
          </w:p>
        </w:tc>
        <w:tc>
          <w:tcPr>
            <w:tcW w:w="1571" w:type="dxa"/>
            <w:noWrap w:val="0"/>
            <w:tcMar>
              <w:left w:w="28" w:type="dxa"/>
              <w:right w:w="28" w:type="dxa"/>
            </w:tcMar>
            <w:vAlign w:val="center"/>
          </w:tcPr>
          <w:p w14:paraId="42B2C792">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本项目排放量（固体废物产生量）</w:t>
            </w:r>
            <w:r>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4 \* GB3 \* MERGEFORMAT </w:instrText>
            </w:r>
            <w:r>
              <w:rPr>
                <w:rFonts w:ascii="Times New Roman"/>
                <w:snapToGrid w:val="0"/>
                <w:spacing w:val="-6"/>
                <w:kern w:val="21"/>
                <w:sz w:val="24"/>
                <w:szCs w:val="24"/>
              </w:rPr>
              <w:fldChar w:fldCharType="separate"/>
            </w:r>
            <w:r>
              <w:rPr>
                <w:rFonts w:hAnsi="宋体"/>
                <w:kern w:val="2"/>
                <w:sz w:val="24"/>
                <w:szCs w:val="24"/>
              </w:rPr>
              <w:t>④</w:t>
            </w:r>
            <w:r>
              <w:rPr>
                <w:rFonts w:ascii="Times New Roman"/>
                <w:snapToGrid w:val="0"/>
                <w:spacing w:val="-6"/>
                <w:kern w:val="21"/>
                <w:sz w:val="24"/>
                <w:szCs w:val="24"/>
              </w:rPr>
              <w:fldChar w:fldCharType="end"/>
            </w:r>
          </w:p>
        </w:tc>
        <w:tc>
          <w:tcPr>
            <w:tcW w:w="1775" w:type="dxa"/>
            <w:noWrap w:val="0"/>
            <w:tcMar>
              <w:left w:w="28" w:type="dxa"/>
              <w:right w:w="28" w:type="dxa"/>
            </w:tcMar>
            <w:vAlign w:val="center"/>
          </w:tcPr>
          <w:p w14:paraId="6CC507A9">
            <w:pPr>
              <w:pStyle w:val="23"/>
              <w:snapToGrid/>
              <w:spacing w:beforeLines="0" w:afterLines="0" w:line="400" w:lineRule="exact"/>
              <w:rPr>
                <w:rFonts w:ascii="Times New Roman"/>
                <w:snapToGrid w:val="0"/>
                <w:spacing w:val="-16"/>
                <w:kern w:val="21"/>
                <w:sz w:val="24"/>
                <w:szCs w:val="24"/>
              </w:rPr>
            </w:pPr>
            <w:r>
              <w:rPr>
                <w:rFonts w:ascii="Times New Roman" w:hAnsi="宋体"/>
                <w:snapToGrid w:val="0"/>
                <w:spacing w:val="-16"/>
                <w:kern w:val="21"/>
                <w:sz w:val="24"/>
                <w:szCs w:val="24"/>
              </w:rPr>
              <w:t>以新带老削减量</w:t>
            </w:r>
          </w:p>
          <w:p w14:paraId="2A137F63">
            <w:pPr>
              <w:pStyle w:val="23"/>
              <w:snapToGrid/>
              <w:spacing w:beforeLines="0" w:afterLines="0" w:line="400" w:lineRule="exact"/>
              <w:rPr>
                <w:rFonts w:ascii="Times New Roman"/>
                <w:snapToGrid w:val="0"/>
                <w:spacing w:val="-16"/>
                <w:kern w:val="21"/>
                <w:sz w:val="24"/>
                <w:szCs w:val="24"/>
              </w:rPr>
            </w:pPr>
            <w:r>
              <w:rPr>
                <w:rFonts w:ascii="Times New Roman" w:hAnsi="宋体"/>
                <w:snapToGrid w:val="0"/>
                <w:spacing w:val="-16"/>
                <w:kern w:val="21"/>
                <w:sz w:val="24"/>
                <w:szCs w:val="24"/>
              </w:rPr>
              <w:t>（新建项目不填）</w:t>
            </w:r>
            <w:r>
              <w:rPr>
                <w:rFonts w:ascii="Times New Roman"/>
                <w:snapToGrid w:val="0"/>
                <w:spacing w:val="-16"/>
                <w:kern w:val="21"/>
                <w:sz w:val="24"/>
                <w:szCs w:val="24"/>
              </w:rPr>
              <w:fldChar w:fldCharType="begin"/>
            </w:r>
            <w:r>
              <w:rPr>
                <w:rFonts w:ascii="Times New Roman"/>
                <w:snapToGrid w:val="0"/>
                <w:spacing w:val="-16"/>
                <w:kern w:val="21"/>
                <w:sz w:val="24"/>
                <w:szCs w:val="24"/>
              </w:rPr>
              <w:instrText xml:space="preserve"> = 5 \* GB3 \* MERGEFORMAT </w:instrText>
            </w:r>
            <w:r>
              <w:rPr>
                <w:rFonts w:ascii="Times New Roman"/>
                <w:snapToGrid w:val="0"/>
                <w:spacing w:val="-16"/>
                <w:kern w:val="21"/>
                <w:sz w:val="24"/>
                <w:szCs w:val="24"/>
              </w:rPr>
              <w:fldChar w:fldCharType="separate"/>
            </w:r>
            <w:r>
              <w:rPr>
                <w:rFonts w:hAnsi="宋体"/>
                <w:kern w:val="2"/>
                <w:sz w:val="24"/>
                <w:szCs w:val="24"/>
              </w:rPr>
              <w:t>⑤</w:t>
            </w:r>
            <w:r>
              <w:rPr>
                <w:rFonts w:ascii="Times New Roman"/>
                <w:snapToGrid w:val="0"/>
                <w:spacing w:val="-16"/>
                <w:kern w:val="21"/>
                <w:sz w:val="24"/>
                <w:szCs w:val="24"/>
              </w:rPr>
              <w:fldChar w:fldCharType="end"/>
            </w:r>
          </w:p>
        </w:tc>
        <w:tc>
          <w:tcPr>
            <w:tcW w:w="1975" w:type="dxa"/>
            <w:noWrap w:val="0"/>
            <w:tcMar>
              <w:left w:w="28" w:type="dxa"/>
              <w:right w:w="28" w:type="dxa"/>
            </w:tcMar>
            <w:vAlign w:val="center"/>
          </w:tcPr>
          <w:p w14:paraId="4EEB74AE">
            <w:pPr>
              <w:pStyle w:val="23"/>
              <w:snapToGrid/>
              <w:spacing w:beforeLines="0" w:afterLines="0" w:line="400" w:lineRule="exact"/>
              <w:rPr>
                <w:rFonts w:ascii="Times New Roman"/>
                <w:snapToGrid w:val="0"/>
                <w:spacing w:val="-16"/>
                <w:kern w:val="21"/>
                <w:sz w:val="24"/>
                <w:szCs w:val="24"/>
              </w:rPr>
            </w:pPr>
            <w:r>
              <w:rPr>
                <w:rFonts w:ascii="Times New Roman" w:hAnsi="宋体"/>
                <w:snapToGrid w:val="0"/>
                <w:spacing w:val="-16"/>
                <w:kern w:val="21"/>
                <w:sz w:val="24"/>
                <w:szCs w:val="24"/>
              </w:rPr>
              <w:t>本项目建成后</w:t>
            </w:r>
          </w:p>
          <w:p w14:paraId="140AED0E">
            <w:pPr>
              <w:pStyle w:val="23"/>
              <w:snapToGrid/>
              <w:spacing w:beforeLines="0" w:afterLines="0" w:line="400" w:lineRule="exact"/>
              <w:rPr>
                <w:rFonts w:ascii="Times New Roman"/>
                <w:snapToGrid w:val="0"/>
                <w:spacing w:val="-16"/>
                <w:kern w:val="21"/>
                <w:sz w:val="24"/>
                <w:szCs w:val="24"/>
              </w:rPr>
            </w:pPr>
            <w:r>
              <w:rPr>
                <w:rFonts w:ascii="Times New Roman" w:hAnsi="宋体"/>
                <w:snapToGrid w:val="0"/>
                <w:spacing w:val="-16"/>
                <w:kern w:val="21"/>
                <w:sz w:val="24"/>
                <w:szCs w:val="24"/>
              </w:rPr>
              <w:t>全厂排放量（固体废物产生量）</w:t>
            </w:r>
            <w:r>
              <w:rPr>
                <w:rFonts w:ascii="Times New Roman"/>
                <w:snapToGrid w:val="0"/>
                <w:spacing w:val="-16"/>
                <w:kern w:val="21"/>
                <w:sz w:val="24"/>
                <w:szCs w:val="24"/>
              </w:rPr>
              <w:fldChar w:fldCharType="begin"/>
            </w:r>
            <w:r>
              <w:rPr>
                <w:rFonts w:ascii="Times New Roman"/>
                <w:snapToGrid w:val="0"/>
                <w:spacing w:val="-16"/>
                <w:kern w:val="21"/>
                <w:sz w:val="24"/>
                <w:szCs w:val="24"/>
              </w:rPr>
              <w:instrText xml:space="preserve"> = 6 \* GB3 \* MERGEFORMAT </w:instrText>
            </w:r>
            <w:r>
              <w:rPr>
                <w:rFonts w:ascii="Times New Roman"/>
                <w:snapToGrid w:val="0"/>
                <w:spacing w:val="-16"/>
                <w:kern w:val="21"/>
                <w:sz w:val="24"/>
                <w:szCs w:val="24"/>
              </w:rPr>
              <w:fldChar w:fldCharType="separate"/>
            </w:r>
            <w:r>
              <w:rPr>
                <w:rFonts w:hAnsi="宋体"/>
                <w:kern w:val="2"/>
                <w:sz w:val="24"/>
                <w:szCs w:val="24"/>
              </w:rPr>
              <w:t>⑥</w:t>
            </w:r>
            <w:r>
              <w:rPr>
                <w:rFonts w:ascii="Times New Roman"/>
                <w:snapToGrid w:val="0"/>
                <w:spacing w:val="-16"/>
                <w:kern w:val="21"/>
                <w:sz w:val="24"/>
                <w:szCs w:val="24"/>
              </w:rPr>
              <w:fldChar w:fldCharType="end"/>
            </w:r>
          </w:p>
        </w:tc>
        <w:tc>
          <w:tcPr>
            <w:tcW w:w="1113" w:type="dxa"/>
            <w:noWrap w:val="0"/>
            <w:tcMar>
              <w:left w:w="28" w:type="dxa"/>
              <w:right w:w="28" w:type="dxa"/>
            </w:tcMar>
            <w:vAlign w:val="center"/>
          </w:tcPr>
          <w:p w14:paraId="2DF5F875">
            <w:pPr>
              <w:pStyle w:val="23"/>
              <w:snapToGrid/>
              <w:spacing w:beforeLines="0" w:afterLines="0" w:line="400" w:lineRule="exact"/>
              <w:rPr>
                <w:rFonts w:ascii="Times New Roman"/>
                <w:snapToGrid w:val="0"/>
                <w:spacing w:val="-6"/>
                <w:kern w:val="21"/>
                <w:sz w:val="24"/>
                <w:szCs w:val="24"/>
              </w:rPr>
            </w:pPr>
            <w:r>
              <w:rPr>
                <w:rFonts w:ascii="Times New Roman" w:hAnsi="宋体"/>
                <w:snapToGrid w:val="0"/>
                <w:spacing w:val="-6"/>
                <w:kern w:val="21"/>
                <w:sz w:val="24"/>
                <w:szCs w:val="24"/>
              </w:rPr>
              <w:t>变化量</w:t>
            </w:r>
          </w:p>
          <w:p w14:paraId="75803566">
            <w:pPr>
              <w:pStyle w:val="23"/>
              <w:snapToGrid/>
              <w:spacing w:beforeLines="0" w:afterLines="0" w:line="400" w:lineRule="exact"/>
              <w:rPr>
                <w:rFonts w:ascii="Times New Roman"/>
                <w:snapToGrid w:val="0"/>
                <w:spacing w:val="-6"/>
                <w:kern w:val="21"/>
                <w:sz w:val="24"/>
                <w:szCs w:val="24"/>
              </w:rPr>
            </w:pPr>
            <w:r>
              <w:rPr>
                <w:rFonts w:ascii="Times New Roman"/>
                <w:snapToGrid w:val="0"/>
                <w:spacing w:val="-6"/>
                <w:kern w:val="21"/>
                <w:sz w:val="24"/>
                <w:szCs w:val="24"/>
              </w:rPr>
              <w:fldChar w:fldCharType="begin"/>
            </w:r>
            <w:r>
              <w:rPr>
                <w:rFonts w:ascii="Times New Roman"/>
                <w:snapToGrid w:val="0"/>
                <w:spacing w:val="-6"/>
                <w:kern w:val="21"/>
                <w:sz w:val="24"/>
                <w:szCs w:val="24"/>
              </w:rPr>
              <w:instrText xml:space="preserve"> = 7 \* GB3 \* MERGEFORMAT </w:instrText>
            </w:r>
            <w:r>
              <w:rPr>
                <w:rFonts w:ascii="Times New Roman"/>
                <w:snapToGrid w:val="0"/>
                <w:spacing w:val="-6"/>
                <w:kern w:val="21"/>
                <w:sz w:val="24"/>
                <w:szCs w:val="24"/>
              </w:rPr>
              <w:fldChar w:fldCharType="separate"/>
            </w:r>
            <w:r>
              <w:rPr>
                <w:rFonts w:hAnsi="宋体"/>
                <w:kern w:val="2"/>
                <w:sz w:val="24"/>
                <w:szCs w:val="24"/>
              </w:rPr>
              <w:t>⑦</w:t>
            </w:r>
            <w:r>
              <w:rPr>
                <w:rFonts w:ascii="Times New Roman"/>
                <w:snapToGrid w:val="0"/>
                <w:spacing w:val="-6"/>
                <w:kern w:val="21"/>
                <w:sz w:val="24"/>
                <w:szCs w:val="24"/>
              </w:rPr>
              <w:fldChar w:fldCharType="end"/>
            </w:r>
          </w:p>
        </w:tc>
      </w:tr>
      <w:tr w14:paraId="3CCB6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noWrap w:val="0"/>
            <w:vAlign w:val="center"/>
          </w:tcPr>
          <w:p w14:paraId="1B5A8155">
            <w:pPr>
              <w:pStyle w:val="25"/>
              <w:spacing w:line="400" w:lineRule="exact"/>
              <w:ind w:firstLine="0" w:firstLineChars="0"/>
              <w:jc w:val="center"/>
              <w:rPr>
                <w:rFonts w:ascii="Times New Roman" w:hAnsi="Times New Roman" w:eastAsia="宋体"/>
                <w:snapToGrid w:val="0"/>
                <w:kern w:val="21"/>
                <w:sz w:val="24"/>
                <w:szCs w:val="24"/>
              </w:rPr>
            </w:pPr>
            <w:r>
              <w:rPr>
                <w:rFonts w:ascii="Times New Roman" w:eastAsia="宋体"/>
                <w:snapToGrid w:val="0"/>
                <w:kern w:val="21"/>
                <w:sz w:val="24"/>
                <w:szCs w:val="24"/>
              </w:rPr>
              <w:t>废气</w:t>
            </w:r>
          </w:p>
        </w:tc>
        <w:tc>
          <w:tcPr>
            <w:tcW w:w="1815" w:type="dxa"/>
            <w:gridSpan w:val="2"/>
            <w:noWrap w:val="0"/>
            <w:vAlign w:val="center"/>
          </w:tcPr>
          <w:p w14:paraId="1001366C">
            <w:pPr>
              <w:jc w:val="center"/>
              <w:rPr>
                <w:sz w:val="24"/>
              </w:rPr>
            </w:pPr>
            <w:r>
              <w:rPr>
                <w:rFonts w:hAnsi="宋体"/>
                <w:kern w:val="0"/>
                <w:sz w:val="24"/>
              </w:rPr>
              <w:t>颗粒物</w:t>
            </w:r>
          </w:p>
        </w:tc>
        <w:tc>
          <w:tcPr>
            <w:tcW w:w="1714" w:type="dxa"/>
            <w:noWrap w:val="0"/>
            <w:vAlign w:val="center"/>
          </w:tcPr>
          <w:p w14:paraId="39CA2AC7">
            <w:pPr>
              <w:spacing w:line="400" w:lineRule="exact"/>
              <w:jc w:val="center"/>
              <w:rPr>
                <w:rFonts w:hint="default" w:eastAsia="宋体"/>
                <w:sz w:val="24"/>
                <w:lang w:val="en-US" w:eastAsia="zh-CN"/>
              </w:rPr>
            </w:pPr>
            <w:r>
              <w:rPr>
                <w:rFonts w:hint="eastAsia"/>
                <w:sz w:val="24"/>
                <w:lang w:val="en-US" w:eastAsia="zh-CN"/>
              </w:rPr>
              <w:t>0</w:t>
            </w:r>
          </w:p>
        </w:tc>
        <w:tc>
          <w:tcPr>
            <w:tcW w:w="1286" w:type="dxa"/>
            <w:noWrap w:val="0"/>
            <w:vAlign w:val="center"/>
          </w:tcPr>
          <w:p w14:paraId="54664478">
            <w:pPr>
              <w:spacing w:line="400" w:lineRule="exact"/>
              <w:jc w:val="center"/>
              <w:rPr>
                <w:sz w:val="24"/>
              </w:rPr>
            </w:pPr>
            <w:r>
              <w:rPr>
                <w:rFonts w:hint="eastAsia"/>
                <w:sz w:val="24"/>
                <w:lang w:val="en-US" w:eastAsia="zh-CN"/>
              </w:rPr>
              <w:t>0</w:t>
            </w:r>
          </w:p>
        </w:tc>
        <w:tc>
          <w:tcPr>
            <w:tcW w:w="1714" w:type="dxa"/>
            <w:noWrap w:val="0"/>
            <w:vAlign w:val="center"/>
          </w:tcPr>
          <w:p w14:paraId="4E6879AE">
            <w:pPr>
              <w:spacing w:line="400" w:lineRule="exact"/>
              <w:jc w:val="center"/>
              <w:rPr>
                <w:snapToGrid w:val="0"/>
                <w:kern w:val="21"/>
                <w:sz w:val="24"/>
              </w:rPr>
            </w:pPr>
            <w:r>
              <w:rPr>
                <w:rFonts w:hint="eastAsia"/>
                <w:sz w:val="24"/>
                <w:lang w:val="en-US" w:eastAsia="zh-CN"/>
              </w:rPr>
              <w:t>0</w:t>
            </w:r>
          </w:p>
        </w:tc>
        <w:tc>
          <w:tcPr>
            <w:tcW w:w="1571" w:type="dxa"/>
            <w:noWrap w:val="0"/>
            <w:vAlign w:val="center"/>
          </w:tcPr>
          <w:p w14:paraId="0A28BD06">
            <w:pPr>
              <w:jc w:val="center"/>
              <w:rPr>
                <w:rFonts w:hint="default" w:eastAsia="宋体"/>
                <w:color w:val="auto"/>
                <w:sz w:val="24"/>
                <w:lang w:val="en-US" w:eastAsia="zh-CN"/>
              </w:rPr>
            </w:pPr>
            <w:r>
              <w:rPr>
                <w:rFonts w:hint="eastAsia"/>
                <w:color w:val="auto"/>
                <w:sz w:val="24"/>
                <w:lang w:val="en-US" w:eastAsia="zh-CN"/>
              </w:rPr>
              <w:t>2.785</w:t>
            </w:r>
          </w:p>
        </w:tc>
        <w:tc>
          <w:tcPr>
            <w:tcW w:w="1775" w:type="dxa"/>
            <w:noWrap w:val="0"/>
            <w:vAlign w:val="center"/>
          </w:tcPr>
          <w:p w14:paraId="4DC52FFD">
            <w:pPr>
              <w:spacing w:line="400" w:lineRule="exact"/>
              <w:jc w:val="center"/>
              <w:rPr>
                <w:rFonts w:ascii="Times New Roman" w:hAnsi="Times New Roman" w:eastAsia="宋体"/>
                <w:snapToGrid w:val="0"/>
                <w:color w:val="auto"/>
                <w:kern w:val="21"/>
                <w:sz w:val="24"/>
                <w:szCs w:val="24"/>
              </w:rPr>
            </w:pPr>
          </w:p>
        </w:tc>
        <w:tc>
          <w:tcPr>
            <w:tcW w:w="1975" w:type="dxa"/>
            <w:noWrap w:val="0"/>
            <w:vAlign w:val="center"/>
          </w:tcPr>
          <w:p w14:paraId="5040FC7B">
            <w:pPr>
              <w:jc w:val="center"/>
              <w:rPr>
                <w:rFonts w:hint="default"/>
                <w:color w:val="auto"/>
                <w:sz w:val="24"/>
                <w:lang w:val="en-US"/>
              </w:rPr>
            </w:pPr>
            <w:r>
              <w:rPr>
                <w:rFonts w:hint="eastAsia"/>
                <w:color w:val="auto"/>
                <w:sz w:val="24"/>
                <w:lang w:val="en-US" w:eastAsia="zh-CN"/>
              </w:rPr>
              <w:t>2.785</w:t>
            </w:r>
          </w:p>
        </w:tc>
        <w:tc>
          <w:tcPr>
            <w:tcW w:w="1113" w:type="dxa"/>
            <w:shd w:val="clear" w:color="auto" w:fill="auto"/>
            <w:noWrap w:val="0"/>
            <w:vAlign w:val="center"/>
          </w:tcPr>
          <w:p w14:paraId="25E35547">
            <w:pPr>
              <w:jc w:val="center"/>
              <w:rPr>
                <w:rFonts w:hint="default" w:ascii="Times New Roman" w:hAnsi="Times New Roman" w:eastAsia="宋体" w:cs="Times New Roman"/>
                <w:color w:val="auto"/>
                <w:kern w:val="2"/>
                <w:sz w:val="24"/>
                <w:szCs w:val="24"/>
                <w:lang w:val="en-US" w:eastAsia="zh-CN" w:bidi="ar-SA"/>
              </w:rPr>
            </w:pPr>
            <w:r>
              <w:rPr>
                <w:rFonts w:hint="eastAsia"/>
                <w:color w:val="auto"/>
                <w:sz w:val="24"/>
                <w:lang w:val="en-US" w:eastAsia="zh-CN"/>
              </w:rPr>
              <w:t>+2.785</w:t>
            </w:r>
          </w:p>
        </w:tc>
      </w:tr>
      <w:tr w14:paraId="5479E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restart"/>
            <w:noWrap w:val="0"/>
            <w:vAlign w:val="center"/>
          </w:tcPr>
          <w:p w14:paraId="6468F536">
            <w:pPr>
              <w:pStyle w:val="23"/>
              <w:snapToGrid/>
              <w:spacing w:beforeLines="0" w:afterLines="0" w:line="400" w:lineRule="exact"/>
              <w:rPr>
                <w:rFonts w:ascii="Times New Roman"/>
                <w:snapToGrid w:val="0"/>
                <w:kern w:val="21"/>
                <w:sz w:val="24"/>
                <w:szCs w:val="24"/>
              </w:rPr>
            </w:pPr>
            <w:r>
              <w:rPr>
                <w:rFonts w:ascii="Times New Roman" w:hAnsi="宋体"/>
                <w:snapToGrid w:val="0"/>
                <w:kern w:val="21"/>
                <w:sz w:val="24"/>
                <w:szCs w:val="24"/>
              </w:rPr>
              <w:t>废水</w:t>
            </w:r>
          </w:p>
        </w:tc>
        <w:tc>
          <w:tcPr>
            <w:tcW w:w="1815" w:type="dxa"/>
            <w:gridSpan w:val="2"/>
            <w:noWrap w:val="0"/>
            <w:vAlign w:val="center"/>
          </w:tcPr>
          <w:p w14:paraId="4DA73AA4">
            <w:pPr>
              <w:widowControl/>
              <w:spacing w:line="400" w:lineRule="exact"/>
              <w:jc w:val="center"/>
              <w:rPr>
                <w:rFonts w:hint="eastAsia" w:eastAsia="宋体"/>
                <w:sz w:val="24"/>
                <w:lang w:eastAsia="zh-CN"/>
              </w:rPr>
            </w:pPr>
            <w:r>
              <w:rPr>
                <w:sz w:val="24"/>
              </w:rPr>
              <w:t>COD</w:t>
            </w:r>
          </w:p>
        </w:tc>
        <w:tc>
          <w:tcPr>
            <w:tcW w:w="1714" w:type="dxa"/>
            <w:noWrap w:val="0"/>
            <w:vAlign w:val="center"/>
          </w:tcPr>
          <w:p w14:paraId="5725AAC7">
            <w:pPr>
              <w:spacing w:line="400" w:lineRule="exact"/>
              <w:jc w:val="center"/>
              <w:rPr>
                <w:rFonts w:hint="default"/>
                <w:sz w:val="24"/>
                <w:lang w:val="en-US"/>
              </w:rPr>
            </w:pPr>
            <w:r>
              <w:rPr>
                <w:rFonts w:hint="eastAsia"/>
                <w:sz w:val="24"/>
                <w:lang w:val="en-US" w:eastAsia="zh-CN"/>
              </w:rPr>
              <w:t>0</w:t>
            </w:r>
          </w:p>
        </w:tc>
        <w:tc>
          <w:tcPr>
            <w:tcW w:w="1286" w:type="dxa"/>
            <w:noWrap w:val="0"/>
            <w:vAlign w:val="center"/>
          </w:tcPr>
          <w:p w14:paraId="597B6A0C">
            <w:pPr>
              <w:spacing w:line="400" w:lineRule="exact"/>
              <w:jc w:val="center"/>
              <w:rPr>
                <w:sz w:val="24"/>
              </w:rPr>
            </w:pPr>
            <w:r>
              <w:rPr>
                <w:rFonts w:hint="eastAsia"/>
                <w:sz w:val="24"/>
                <w:lang w:val="en-US" w:eastAsia="zh-CN"/>
              </w:rPr>
              <w:t>0</w:t>
            </w:r>
          </w:p>
        </w:tc>
        <w:tc>
          <w:tcPr>
            <w:tcW w:w="1714" w:type="dxa"/>
            <w:noWrap w:val="0"/>
            <w:vAlign w:val="center"/>
          </w:tcPr>
          <w:p w14:paraId="54FBF86E">
            <w:pPr>
              <w:spacing w:line="400" w:lineRule="exact"/>
              <w:jc w:val="center"/>
              <w:rPr>
                <w:sz w:val="24"/>
              </w:rPr>
            </w:pPr>
            <w:r>
              <w:rPr>
                <w:rFonts w:hint="eastAsia"/>
                <w:sz w:val="24"/>
                <w:lang w:val="en-US" w:eastAsia="zh-CN"/>
              </w:rPr>
              <w:t>0</w:t>
            </w:r>
          </w:p>
        </w:tc>
        <w:tc>
          <w:tcPr>
            <w:tcW w:w="1571" w:type="dxa"/>
            <w:noWrap w:val="0"/>
            <w:vAlign w:val="center"/>
          </w:tcPr>
          <w:p w14:paraId="4F3AE70C">
            <w:pPr>
              <w:spacing w:line="400" w:lineRule="exact"/>
              <w:jc w:val="center"/>
              <w:rPr>
                <w:rFonts w:hint="default" w:eastAsia="宋体"/>
                <w:sz w:val="24"/>
                <w:lang w:val="en-US" w:eastAsia="zh-CN"/>
              </w:rPr>
            </w:pPr>
            <w:r>
              <w:rPr>
                <w:rFonts w:hint="eastAsia"/>
                <w:sz w:val="24"/>
                <w:lang w:val="en-US" w:eastAsia="zh-CN"/>
              </w:rPr>
              <w:t>0.21</w:t>
            </w:r>
          </w:p>
        </w:tc>
        <w:tc>
          <w:tcPr>
            <w:tcW w:w="1775" w:type="dxa"/>
            <w:noWrap w:val="0"/>
            <w:vAlign w:val="center"/>
          </w:tcPr>
          <w:p w14:paraId="51046391">
            <w:pPr>
              <w:spacing w:line="400" w:lineRule="exact"/>
              <w:jc w:val="center"/>
              <w:rPr>
                <w:sz w:val="24"/>
              </w:rPr>
            </w:pPr>
          </w:p>
        </w:tc>
        <w:tc>
          <w:tcPr>
            <w:tcW w:w="1975" w:type="dxa"/>
            <w:noWrap w:val="0"/>
            <w:vAlign w:val="center"/>
          </w:tcPr>
          <w:p w14:paraId="2D1D8FEB">
            <w:pPr>
              <w:spacing w:line="400" w:lineRule="exact"/>
              <w:jc w:val="center"/>
              <w:rPr>
                <w:rFonts w:hint="eastAsia" w:eastAsia="宋体"/>
                <w:sz w:val="24"/>
                <w:lang w:val="en-US" w:eastAsia="zh-CN"/>
              </w:rPr>
            </w:pPr>
            <w:r>
              <w:rPr>
                <w:rFonts w:hint="eastAsia"/>
                <w:sz w:val="24"/>
                <w:lang w:val="en-US" w:eastAsia="zh-CN"/>
              </w:rPr>
              <w:t>0.21</w:t>
            </w:r>
          </w:p>
        </w:tc>
        <w:tc>
          <w:tcPr>
            <w:tcW w:w="1113" w:type="dxa"/>
            <w:shd w:val="clear" w:color="auto" w:fill="auto"/>
            <w:noWrap w:val="0"/>
            <w:vAlign w:val="center"/>
          </w:tcPr>
          <w:p w14:paraId="2F8922B9">
            <w:pPr>
              <w:spacing w:line="400" w:lineRule="exact"/>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+0.21</w:t>
            </w:r>
          </w:p>
        </w:tc>
      </w:tr>
      <w:tr w14:paraId="64BF3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continue"/>
            <w:noWrap w:val="0"/>
            <w:vAlign w:val="center"/>
          </w:tcPr>
          <w:p w14:paraId="429F2D6D">
            <w:pPr>
              <w:pStyle w:val="23"/>
              <w:snapToGrid/>
              <w:spacing w:beforeLines="0" w:afterLines="0" w:line="400" w:lineRule="exact"/>
              <w:rPr>
                <w:rFonts w:ascii="Times New Roman"/>
                <w:snapToGrid w:val="0"/>
                <w:kern w:val="21"/>
                <w:sz w:val="24"/>
                <w:szCs w:val="24"/>
              </w:rPr>
            </w:pPr>
          </w:p>
        </w:tc>
        <w:tc>
          <w:tcPr>
            <w:tcW w:w="1815" w:type="dxa"/>
            <w:gridSpan w:val="2"/>
            <w:noWrap w:val="0"/>
            <w:vAlign w:val="center"/>
          </w:tcPr>
          <w:p w14:paraId="3406AACD">
            <w:pPr>
              <w:widowControl/>
              <w:spacing w:line="400" w:lineRule="exact"/>
              <w:jc w:val="center"/>
              <w:rPr>
                <w:sz w:val="24"/>
              </w:rPr>
            </w:pPr>
            <w:r>
              <w:rPr>
                <w:sz w:val="24"/>
              </w:rPr>
              <w:t>NH</w:t>
            </w:r>
            <w:r>
              <w:rPr>
                <w:sz w:val="24"/>
                <w:vertAlign w:val="subscript"/>
              </w:rPr>
              <w:t>3</w:t>
            </w:r>
            <w:r>
              <w:rPr>
                <w:sz w:val="24"/>
              </w:rPr>
              <w:t>-N</w:t>
            </w:r>
          </w:p>
        </w:tc>
        <w:tc>
          <w:tcPr>
            <w:tcW w:w="1714" w:type="dxa"/>
            <w:noWrap w:val="0"/>
            <w:vAlign w:val="center"/>
          </w:tcPr>
          <w:p w14:paraId="60F95E11">
            <w:pPr>
              <w:spacing w:line="400" w:lineRule="exact"/>
              <w:jc w:val="center"/>
              <w:rPr>
                <w:rFonts w:hint="default"/>
                <w:sz w:val="24"/>
                <w:lang w:val="en-US"/>
              </w:rPr>
            </w:pPr>
            <w:r>
              <w:rPr>
                <w:rFonts w:hint="eastAsia"/>
                <w:sz w:val="24"/>
                <w:lang w:val="en-US" w:eastAsia="zh-CN"/>
              </w:rPr>
              <w:t>0</w:t>
            </w:r>
          </w:p>
        </w:tc>
        <w:tc>
          <w:tcPr>
            <w:tcW w:w="1286" w:type="dxa"/>
            <w:noWrap w:val="0"/>
            <w:vAlign w:val="center"/>
          </w:tcPr>
          <w:p w14:paraId="36FAEB09">
            <w:pPr>
              <w:spacing w:line="400" w:lineRule="exact"/>
              <w:jc w:val="center"/>
              <w:rPr>
                <w:sz w:val="24"/>
              </w:rPr>
            </w:pPr>
            <w:r>
              <w:rPr>
                <w:rFonts w:hint="eastAsia"/>
                <w:sz w:val="24"/>
                <w:lang w:val="en-US" w:eastAsia="zh-CN"/>
              </w:rPr>
              <w:t>0</w:t>
            </w:r>
          </w:p>
        </w:tc>
        <w:tc>
          <w:tcPr>
            <w:tcW w:w="1714" w:type="dxa"/>
            <w:noWrap w:val="0"/>
            <w:vAlign w:val="center"/>
          </w:tcPr>
          <w:p w14:paraId="3B1237E0">
            <w:pPr>
              <w:spacing w:line="400" w:lineRule="exact"/>
              <w:jc w:val="center"/>
              <w:rPr>
                <w:sz w:val="24"/>
              </w:rPr>
            </w:pPr>
            <w:r>
              <w:rPr>
                <w:rFonts w:hint="eastAsia"/>
                <w:sz w:val="24"/>
                <w:lang w:val="en-US" w:eastAsia="zh-CN"/>
              </w:rPr>
              <w:t>0</w:t>
            </w:r>
          </w:p>
        </w:tc>
        <w:tc>
          <w:tcPr>
            <w:tcW w:w="1571" w:type="dxa"/>
            <w:noWrap w:val="0"/>
            <w:vAlign w:val="center"/>
          </w:tcPr>
          <w:p w14:paraId="6C4B4914">
            <w:pPr>
              <w:spacing w:line="400" w:lineRule="exact"/>
              <w:jc w:val="center"/>
              <w:rPr>
                <w:rFonts w:hint="default" w:eastAsia="宋体"/>
                <w:sz w:val="24"/>
                <w:lang w:val="en-US" w:eastAsia="zh-CN"/>
              </w:rPr>
            </w:pPr>
            <w:r>
              <w:rPr>
                <w:rFonts w:hint="eastAsia"/>
                <w:sz w:val="24"/>
                <w:lang w:val="en-US" w:eastAsia="zh-CN"/>
              </w:rPr>
              <w:t>0.02</w:t>
            </w:r>
          </w:p>
        </w:tc>
        <w:tc>
          <w:tcPr>
            <w:tcW w:w="1775" w:type="dxa"/>
            <w:noWrap w:val="0"/>
            <w:vAlign w:val="center"/>
          </w:tcPr>
          <w:p w14:paraId="0D325912">
            <w:pPr>
              <w:spacing w:line="400" w:lineRule="exact"/>
              <w:jc w:val="center"/>
              <w:rPr>
                <w:sz w:val="24"/>
              </w:rPr>
            </w:pPr>
          </w:p>
        </w:tc>
        <w:tc>
          <w:tcPr>
            <w:tcW w:w="1975" w:type="dxa"/>
            <w:noWrap w:val="0"/>
            <w:vAlign w:val="center"/>
          </w:tcPr>
          <w:p w14:paraId="128F6148">
            <w:pPr>
              <w:spacing w:line="400" w:lineRule="exact"/>
              <w:jc w:val="center"/>
              <w:rPr>
                <w:sz w:val="24"/>
              </w:rPr>
            </w:pPr>
            <w:r>
              <w:rPr>
                <w:rFonts w:hint="eastAsia"/>
                <w:sz w:val="24"/>
                <w:lang w:val="en-US" w:eastAsia="zh-CN"/>
              </w:rPr>
              <w:t>0.02</w:t>
            </w:r>
          </w:p>
        </w:tc>
        <w:tc>
          <w:tcPr>
            <w:tcW w:w="1113" w:type="dxa"/>
            <w:shd w:val="clear" w:color="auto" w:fill="auto"/>
            <w:noWrap w:val="0"/>
            <w:vAlign w:val="center"/>
          </w:tcPr>
          <w:p w14:paraId="478035FF">
            <w:pPr>
              <w:spacing w:line="400" w:lineRule="exact"/>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+0.02</w:t>
            </w:r>
          </w:p>
        </w:tc>
      </w:tr>
      <w:tr w14:paraId="1CEF8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restart"/>
            <w:noWrap w:val="0"/>
            <w:vAlign w:val="center"/>
          </w:tcPr>
          <w:p w14:paraId="412BBC21">
            <w:pPr>
              <w:pStyle w:val="26"/>
              <w:spacing w:line="400" w:lineRule="exact"/>
              <w:ind w:firstLine="0" w:firstLineChars="0"/>
              <w:jc w:val="center"/>
            </w:pPr>
            <w:r>
              <w:rPr>
                <w:rFonts w:hAnsi="宋体"/>
              </w:rPr>
              <w:t>固体废物</w:t>
            </w:r>
          </w:p>
        </w:tc>
        <w:tc>
          <w:tcPr>
            <w:tcW w:w="598" w:type="dxa"/>
            <w:vMerge w:val="restart"/>
            <w:shd w:val="clear" w:color="auto" w:fill="auto"/>
            <w:noWrap w:val="0"/>
            <w:vAlign w:val="center"/>
          </w:tcPr>
          <w:p w14:paraId="6A3BADC4">
            <w:pPr>
              <w:spacing w:line="360" w:lineRule="exact"/>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一般工业固体废物</w:t>
            </w:r>
          </w:p>
        </w:tc>
        <w:tc>
          <w:tcPr>
            <w:tcW w:w="1217" w:type="dxa"/>
            <w:shd w:val="clear" w:color="auto" w:fill="auto"/>
            <w:noWrap w:val="0"/>
            <w:vAlign w:val="center"/>
          </w:tcPr>
          <w:p w14:paraId="7C9DFF2E">
            <w:pPr>
              <w:spacing w:line="360" w:lineRule="exact"/>
              <w:jc w:val="center"/>
              <w:rPr>
                <w:rFonts w:hint="eastAsia"/>
                <w:sz w:val="24"/>
                <w:lang w:val="en-US" w:eastAsia="zh-CN"/>
              </w:rPr>
            </w:pPr>
            <w:r>
              <w:rPr>
                <w:rFonts w:hint="eastAsia"/>
                <w:sz w:val="24"/>
                <w:lang w:val="en-US" w:eastAsia="zh-CN"/>
              </w:rPr>
              <w:t>化粪池污泥</w:t>
            </w:r>
          </w:p>
        </w:tc>
        <w:tc>
          <w:tcPr>
            <w:tcW w:w="1714" w:type="dxa"/>
            <w:noWrap w:val="0"/>
            <w:vAlign w:val="center"/>
          </w:tcPr>
          <w:p w14:paraId="0FFA4CAF">
            <w:pPr>
              <w:adjustRightInd w:val="0"/>
              <w:spacing w:line="400" w:lineRule="exact"/>
              <w:jc w:val="center"/>
              <w:rPr>
                <w:rFonts w:hint="default"/>
                <w:sz w:val="24"/>
                <w:lang w:val="en-US"/>
              </w:rPr>
            </w:pPr>
            <w:r>
              <w:rPr>
                <w:rFonts w:hint="eastAsia"/>
                <w:sz w:val="24"/>
                <w:lang w:val="en-US" w:eastAsia="zh-CN"/>
              </w:rPr>
              <w:t>0</w:t>
            </w:r>
          </w:p>
        </w:tc>
        <w:tc>
          <w:tcPr>
            <w:tcW w:w="1286" w:type="dxa"/>
            <w:noWrap w:val="0"/>
            <w:vAlign w:val="center"/>
          </w:tcPr>
          <w:p w14:paraId="52994E40">
            <w:pPr>
              <w:adjustRightInd w:val="0"/>
              <w:spacing w:line="400" w:lineRule="exact"/>
              <w:jc w:val="center"/>
              <w:rPr>
                <w:sz w:val="24"/>
              </w:rPr>
            </w:pPr>
            <w:r>
              <w:rPr>
                <w:rFonts w:hint="eastAsia"/>
                <w:sz w:val="24"/>
                <w:lang w:val="en-US" w:eastAsia="zh-CN"/>
              </w:rPr>
              <w:t>0</w:t>
            </w:r>
          </w:p>
        </w:tc>
        <w:tc>
          <w:tcPr>
            <w:tcW w:w="1714" w:type="dxa"/>
            <w:noWrap w:val="0"/>
            <w:vAlign w:val="center"/>
          </w:tcPr>
          <w:p w14:paraId="670868CE">
            <w:pPr>
              <w:spacing w:line="400" w:lineRule="exact"/>
              <w:jc w:val="center"/>
              <w:rPr>
                <w:snapToGrid w:val="0"/>
                <w:kern w:val="21"/>
                <w:sz w:val="24"/>
              </w:rPr>
            </w:pPr>
            <w:r>
              <w:rPr>
                <w:rFonts w:hint="eastAsia"/>
                <w:sz w:val="24"/>
                <w:lang w:val="en-US" w:eastAsia="zh-CN"/>
              </w:rPr>
              <w:t>0</w:t>
            </w:r>
          </w:p>
        </w:tc>
        <w:tc>
          <w:tcPr>
            <w:tcW w:w="1571" w:type="dxa"/>
            <w:noWrap w:val="0"/>
            <w:vAlign w:val="center"/>
          </w:tcPr>
          <w:p w14:paraId="23055AC8">
            <w:pPr>
              <w:spacing w:line="360" w:lineRule="exact"/>
              <w:jc w:val="center"/>
              <w:rPr>
                <w:rFonts w:hint="default" w:eastAsia="宋体"/>
                <w:snapToGrid w:val="0"/>
                <w:kern w:val="21"/>
                <w:sz w:val="24"/>
                <w:lang w:val="en-US" w:eastAsia="zh-CN"/>
              </w:rPr>
            </w:pPr>
            <w:r>
              <w:rPr>
                <w:rFonts w:hint="eastAsia"/>
                <w:snapToGrid w:val="0"/>
                <w:kern w:val="21"/>
                <w:sz w:val="24"/>
                <w:lang w:val="en-US" w:eastAsia="zh-CN"/>
              </w:rPr>
              <w:t>5</w:t>
            </w:r>
          </w:p>
        </w:tc>
        <w:tc>
          <w:tcPr>
            <w:tcW w:w="1775" w:type="dxa"/>
            <w:noWrap w:val="0"/>
            <w:vAlign w:val="center"/>
          </w:tcPr>
          <w:p w14:paraId="68E0B389">
            <w:pPr>
              <w:adjustRightInd w:val="0"/>
              <w:spacing w:line="400" w:lineRule="exact"/>
              <w:jc w:val="center"/>
              <w:rPr>
                <w:snapToGrid w:val="0"/>
                <w:kern w:val="21"/>
                <w:sz w:val="24"/>
              </w:rPr>
            </w:pPr>
          </w:p>
        </w:tc>
        <w:tc>
          <w:tcPr>
            <w:tcW w:w="1975" w:type="dxa"/>
            <w:noWrap w:val="0"/>
            <w:vAlign w:val="center"/>
          </w:tcPr>
          <w:p w14:paraId="100C0336">
            <w:pPr>
              <w:spacing w:line="360" w:lineRule="exact"/>
              <w:jc w:val="center"/>
              <w:rPr>
                <w:snapToGrid w:val="0"/>
                <w:kern w:val="21"/>
                <w:sz w:val="24"/>
              </w:rPr>
            </w:pPr>
            <w:r>
              <w:rPr>
                <w:rFonts w:hint="eastAsia"/>
                <w:snapToGrid w:val="0"/>
                <w:kern w:val="21"/>
                <w:sz w:val="24"/>
                <w:lang w:val="en-US" w:eastAsia="zh-CN"/>
              </w:rPr>
              <w:t>5</w:t>
            </w:r>
          </w:p>
        </w:tc>
        <w:tc>
          <w:tcPr>
            <w:tcW w:w="1113" w:type="dxa"/>
            <w:shd w:val="clear" w:color="auto" w:fill="auto"/>
            <w:noWrap w:val="0"/>
            <w:vAlign w:val="center"/>
          </w:tcPr>
          <w:p w14:paraId="5F41B59F">
            <w:pPr>
              <w:spacing w:line="360" w:lineRule="exact"/>
              <w:jc w:val="center"/>
              <w:rPr>
                <w:rFonts w:hint="default" w:ascii="Times New Roman" w:hAnsi="Times New Roman" w:eastAsia="宋体" w:cs="Times New Roman"/>
                <w:snapToGrid w:val="0"/>
                <w:kern w:val="21"/>
                <w:sz w:val="24"/>
                <w:szCs w:val="24"/>
                <w:lang w:val="en-US" w:eastAsia="zh-CN" w:bidi="ar-SA"/>
              </w:rPr>
            </w:pPr>
            <w:r>
              <w:rPr>
                <w:rFonts w:hint="eastAsia"/>
                <w:snapToGrid w:val="0"/>
                <w:kern w:val="21"/>
                <w:sz w:val="24"/>
                <w:lang w:val="en-US" w:eastAsia="zh-CN"/>
              </w:rPr>
              <w:t>+5</w:t>
            </w:r>
          </w:p>
        </w:tc>
      </w:tr>
      <w:tr w14:paraId="40F69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continue"/>
            <w:noWrap w:val="0"/>
            <w:vAlign w:val="center"/>
          </w:tcPr>
          <w:p w14:paraId="4E14D416">
            <w:pPr>
              <w:pStyle w:val="26"/>
              <w:spacing w:line="400" w:lineRule="exact"/>
              <w:ind w:firstLine="0" w:firstLineChars="0"/>
              <w:jc w:val="center"/>
              <w:rPr>
                <w:rFonts w:hAnsi="宋体"/>
              </w:rPr>
            </w:pPr>
          </w:p>
        </w:tc>
        <w:tc>
          <w:tcPr>
            <w:tcW w:w="598" w:type="dxa"/>
            <w:vMerge w:val="continue"/>
            <w:shd w:val="clear" w:color="auto" w:fill="auto"/>
            <w:noWrap w:val="0"/>
            <w:vAlign w:val="center"/>
          </w:tcPr>
          <w:p w14:paraId="11252489">
            <w:pPr>
              <w:spacing w:line="360" w:lineRule="exact"/>
              <w:jc w:val="center"/>
              <w:rPr>
                <w:rFonts w:hint="default" w:ascii="Times New Roman" w:hAnsi="Times New Roman" w:eastAsia="宋体" w:cs="Times New Roman"/>
                <w:kern w:val="2"/>
                <w:sz w:val="24"/>
                <w:szCs w:val="24"/>
                <w:lang w:val="en-US" w:eastAsia="zh-CN" w:bidi="ar-SA"/>
              </w:rPr>
            </w:pPr>
          </w:p>
        </w:tc>
        <w:tc>
          <w:tcPr>
            <w:tcW w:w="1217" w:type="dxa"/>
            <w:shd w:val="clear" w:color="auto" w:fill="auto"/>
            <w:noWrap w:val="0"/>
            <w:vAlign w:val="center"/>
          </w:tcPr>
          <w:p w14:paraId="7CDE8D22">
            <w:pPr>
              <w:spacing w:line="360" w:lineRule="exact"/>
              <w:jc w:val="center"/>
              <w:rPr>
                <w:rFonts w:hint="eastAsia"/>
                <w:sz w:val="24"/>
                <w:lang w:val="en-US" w:eastAsia="zh-CN"/>
              </w:rPr>
            </w:pPr>
            <w:r>
              <w:rPr>
                <w:rFonts w:hint="eastAsia"/>
                <w:sz w:val="24"/>
                <w:lang w:val="en-US" w:eastAsia="zh-CN"/>
              </w:rPr>
              <w:t>除尘器收集粉尘</w:t>
            </w:r>
          </w:p>
        </w:tc>
        <w:tc>
          <w:tcPr>
            <w:tcW w:w="1714" w:type="dxa"/>
            <w:noWrap w:val="0"/>
            <w:vAlign w:val="center"/>
          </w:tcPr>
          <w:p w14:paraId="3FC03D72">
            <w:pPr>
              <w:adjustRightInd w:val="0"/>
              <w:spacing w:line="400" w:lineRule="exact"/>
              <w:jc w:val="center"/>
              <w:rPr>
                <w:sz w:val="24"/>
              </w:rPr>
            </w:pPr>
            <w:r>
              <w:rPr>
                <w:rFonts w:hint="eastAsia"/>
                <w:sz w:val="24"/>
                <w:lang w:val="en-US" w:eastAsia="zh-CN"/>
              </w:rPr>
              <w:t>0</w:t>
            </w:r>
          </w:p>
        </w:tc>
        <w:tc>
          <w:tcPr>
            <w:tcW w:w="1286" w:type="dxa"/>
            <w:noWrap w:val="0"/>
            <w:vAlign w:val="center"/>
          </w:tcPr>
          <w:p w14:paraId="6A309248">
            <w:pPr>
              <w:adjustRightInd w:val="0"/>
              <w:spacing w:line="400" w:lineRule="exact"/>
              <w:jc w:val="center"/>
              <w:rPr>
                <w:sz w:val="24"/>
              </w:rPr>
            </w:pPr>
            <w:r>
              <w:rPr>
                <w:rFonts w:hint="eastAsia"/>
                <w:sz w:val="24"/>
                <w:lang w:val="en-US" w:eastAsia="zh-CN"/>
              </w:rPr>
              <w:t>0</w:t>
            </w:r>
          </w:p>
        </w:tc>
        <w:tc>
          <w:tcPr>
            <w:tcW w:w="1714" w:type="dxa"/>
            <w:noWrap w:val="0"/>
            <w:vAlign w:val="center"/>
          </w:tcPr>
          <w:p w14:paraId="7CE509DF">
            <w:pPr>
              <w:spacing w:line="400" w:lineRule="exact"/>
              <w:jc w:val="center"/>
              <w:rPr>
                <w:snapToGrid w:val="0"/>
                <w:kern w:val="21"/>
                <w:sz w:val="24"/>
              </w:rPr>
            </w:pPr>
            <w:r>
              <w:rPr>
                <w:rFonts w:hint="eastAsia"/>
                <w:sz w:val="24"/>
                <w:lang w:val="en-US" w:eastAsia="zh-CN"/>
              </w:rPr>
              <w:t>0</w:t>
            </w:r>
          </w:p>
        </w:tc>
        <w:tc>
          <w:tcPr>
            <w:tcW w:w="1571" w:type="dxa"/>
            <w:noWrap w:val="0"/>
            <w:vAlign w:val="center"/>
          </w:tcPr>
          <w:p w14:paraId="6905112E">
            <w:pPr>
              <w:spacing w:line="360" w:lineRule="exact"/>
              <w:jc w:val="center"/>
              <w:rPr>
                <w:rFonts w:hint="default" w:eastAsia="宋体"/>
                <w:snapToGrid w:val="0"/>
                <w:kern w:val="21"/>
                <w:sz w:val="24"/>
                <w:lang w:val="en-US" w:eastAsia="zh-CN"/>
              </w:rPr>
            </w:pPr>
            <w:r>
              <w:rPr>
                <w:rFonts w:hint="eastAsia"/>
                <w:snapToGrid w:val="0"/>
                <w:kern w:val="21"/>
                <w:sz w:val="24"/>
                <w:lang w:val="en-US" w:eastAsia="zh-CN"/>
              </w:rPr>
              <w:t>13.8</w:t>
            </w:r>
          </w:p>
        </w:tc>
        <w:tc>
          <w:tcPr>
            <w:tcW w:w="1775" w:type="dxa"/>
            <w:noWrap w:val="0"/>
            <w:vAlign w:val="center"/>
          </w:tcPr>
          <w:p w14:paraId="26AED3E8">
            <w:pPr>
              <w:adjustRightInd w:val="0"/>
              <w:spacing w:line="400" w:lineRule="exact"/>
              <w:jc w:val="center"/>
              <w:rPr>
                <w:snapToGrid w:val="0"/>
                <w:kern w:val="21"/>
                <w:sz w:val="24"/>
              </w:rPr>
            </w:pPr>
          </w:p>
        </w:tc>
        <w:tc>
          <w:tcPr>
            <w:tcW w:w="1975" w:type="dxa"/>
            <w:noWrap w:val="0"/>
            <w:vAlign w:val="center"/>
          </w:tcPr>
          <w:p w14:paraId="4C0F96A8">
            <w:pPr>
              <w:spacing w:line="360" w:lineRule="exact"/>
              <w:jc w:val="center"/>
              <w:rPr>
                <w:snapToGrid w:val="0"/>
                <w:kern w:val="21"/>
                <w:sz w:val="24"/>
              </w:rPr>
            </w:pPr>
            <w:r>
              <w:rPr>
                <w:rFonts w:hint="eastAsia"/>
                <w:snapToGrid w:val="0"/>
                <w:kern w:val="21"/>
                <w:sz w:val="24"/>
                <w:lang w:val="en-US" w:eastAsia="zh-CN"/>
              </w:rPr>
              <w:t>0</w:t>
            </w:r>
          </w:p>
        </w:tc>
        <w:tc>
          <w:tcPr>
            <w:tcW w:w="1113" w:type="dxa"/>
            <w:shd w:val="clear" w:color="auto" w:fill="auto"/>
            <w:noWrap w:val="0"/>
            <w:vAlign w:val="center"/>
          </w:tcPr>
          <w:p w14:paraId="0208A5C9">
            <w:pPr>
              <w:spacing w:line="360" w:lineRule="exact"/>
              <w:jc w:val="center"/>
              <w:rPr>
                <w:rFonts w:hint="default" w:ascii="Times New Roman" w:hAnsi="Times New Roman" w:eastAsia="宋体" w:cs="Times New Roman"/>
                <w:snapToGrid w:val="0"/>
                <w:kern w:val="21"/>
                <w:sz w:val="24"/>
                <w:szCs w:val="24"/>
                <w:lang w:val="en-US" w:eastAsia="zh-CN" w:bidi="ar-SA"/>
              </w:rPr>
            </w:pPr>
            <w:r>
              <w:rPr>
                <w:rFonts w:hint="eastAsia"/>
                <w:snapToGrid w:val="0"/>
                <w:kern w:val="21"/>
                <w:sz w:val="24"/>
                <w:lang w:val="en-US" w:eastAsia="zh-CN"/>
              </w:rPr>
              <w:t>0</w:t>
            </w:r>
          </w:p>
        </w:tc>
      </w:tr>
      <w:tr w14:paraId="35FA8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continue"/>
            <w:noWrap w:val="0"/>
            <w:vAlign w:val="center"/>
          </w:tcPr>
          <w:p w14:paraId="2C83C0F6">
            <w:pPr>
              <w:pStyle w:val="26"/>
              <w:spacing w:line="400" w:lineRule="exact"/>
              <w:ind w:firstLine="0" w:firstLineChars="0"/>
              <w:jc w:val="center"/>
            </w:pPr>
          </w:p>
        </w:tc>
        <w:tc>
          <w:tcPr>
            <w:tcW w:w="598" w:type="dxa"/>
            <w:vMerge w:val="continue"/>
            <w:shd w:val="clear" w:color="auto" w:fill="auto"/>
            <w:noWrap w:val="0"/>
            <w:vAlign w:val="center"/>
          </w:tcPr>
          <w:p w14:paraId="17CC3ECA">
            <w:pPr>
              <w:spacing w:line="360" w:lineRule="exact"/>
              <w:jc w:val="center"/>
              <w:rPr>
                <w:rFonts w:hint="default" w:ascii="Times New Roman" w:hAnsi="Times New Roman" w:eastAsia="宋体" w:cs="Times New Roman"/>
                <w:kern w:val="2"/>
                <w:sz w:val="24"/>
                <w:szCs w:val="24"/>
                <w:lang w:val="en-US" w:eastAsia="zh-CN" w:bidi="ar-SA"/>
              </w:rPr>
            </w:pPr>
          </w:p>
        </w:tc>
        <w:tc>
          <w:tcPr>
            <w:tcW w:w="1217" w:type="dxa"/>
            <w:shd w:val="clear" w:color="auto" w:fill="auto"/>
            <w:noWrap w:val="0"/>
            <w:vAlign w:val="center"/>
          </w:tcPr>
          <w:p w14:paraId="7AAB0C39">
            <w:pPr>
              <w:spacing w:line="360" w:lineRule="exact"/>
              <w:jc w:val="center"/>
              <w:rPr>
                <w:rFonts w:hint="eastAsia" w:hAnsi="宋体"/>
                <w:sz w:val="24"/>
                <w:lang w:val="en-US" w:eastAsia="zh-CN"/>
              </w:rPr>
            </w:pPr>
            <w:r>
              <w:rPr>
                <w:rFonts w:hint="eastAsia" w:hAnsi="宋体"/>
                <w:sz w:val="24"/>
                <w:lang w:val="en-US" w:eastAsia="zh-CN"/>
              </w:rPr>
              <w:t>沉淀池沉</w:t>
            </w:r>
            <w:r>
              <w:rPr>
                <w:rFonts w:hAnsi="宋体"/>
                <w:sz w:val="24"/>
              </w:rPr>
              <w:t>渣</w:t>
            </w:r>
          </w:p>
        </w:tc>
        <w:tc>
          <w:tcPr>
            <w:tcW w:w="1714" w:type="dxa"/>
            <w:noWrap w:val="0"/>
            <w:vAlign w:val="center"/>
          </w:tcPr>
          <w:p w14:paraId="2823FDD4">
            <w:pPr>
              <w:adjustRightInd w:val="0"/>
              <w:spacing w:line="400" w:lineRule="exact"/>
              <w:jc w:val="center"/>
              <w:rPr>
                <w:sz w:val="24"/>
              </w:rPr>
            </w:pPr>
            <w:r>
              <w:rPr>
                <w:rFonts w:hint="eastAsia"/>
                <w:sz w:val="24"/>
                <w:lang w:val="en-US" w:eastAsia="zh-CN"/>
              </w:rPr>
              <w:t>0</w:t>
            </w:r>
          </w:p>
        </w:tc>
        <w:tc>
          <w:tcPr>
            <w:tcW w:w="1286" w:type="dxa"/>
            <w:noWrap w:val="0"/>
            <w:vAlign w:val="center"/>
          </w:tcPr>
          <w:p w14:paraId="45D12ED5">
            <w:pPr>
              <w:adjustRightInd w:val="0"/>
              <w:spacing w:line="400" w:lineRule="exact"/>
              <w:jc w:val="center"/>
              <w:rPr>
                <w:sz w:val="24"/>
              </w:rPr>
            </w:pPr>
            <w:r>
              <w:rPr>
                <w:rFonts w:hint="eastAsia"/>
                <w:sz w:val="24"/>
                <w:lang w:val="en-US" w:eastAsia="zh-CN"/>
              </w:rPr>
              <w:t>0</w:t>
            </w:r>
          </w:p>
        </w:tc>
        <w:tc>
          <w:tcPr>
            <w:tcW w:w="1714" w:type="dxa"/>
            <w:noWrap w:val="0"/>
            <w:vAlign w:val="center"/>
          </w:tcPr>
          <w:p w14:paraId="5305D430">
            <w:pPr>
              <w:spacing w:line="400" w:lineRule="exact"/>
              <w:jc w:val="center"/>
              <w:rPr>
                <w:snapToGrid w:val="0"/>
                <w:kern w:val="21"/>
                <w:sz w:val="24"/>
              </w:rPr>
            </w:pPr>
            <w:r>
              <w:rPr>
                <w:rFonts w:hint="eastAsia"/>
                <w:sz w:val="24"/>
                <w:lang w:val="en-US" w:eastAsia="zh-CN"/>
              </w:rPr>
              <w:t>0</w:t>
            </w:r>
          </w:p>
        </w:tc>
        <w:tc>
          <w:tcPr>
            <w:tcW w:w="1571" w:type="dxa"/>
            <w:noWrap w:val="0"/>
            <w:vAlign w:val="center"/>
          </w:tcPr>
          <w:p w14:paraId="51DC6F6C">
            <w:pPr>
              <w:spacing w:line="360" w:lineRule="exact"/>
              <w:jc w:val="center"/>
              <w:rPr>
                <w:rFonts w:hint="default" w:eastAsia="宋体"/>
                <w:snapToGrid w:val="0"/>
                <w:kern w:val="21"/>
                <w:sz w:val="24"/>
                <w:lang w:val="en-US" w:eastAsia="zh-CN"/>
              </w:rPr>
            </w:pPr>
            <w:r>
              <w:rPr>
                <w:rFonts w:hint="eastAsia"/>
                <w:sz w:val="24"/>
                <w:lang w:val="en-US" w:eastAsia="zh-CN"/>
              </w:rPr>
              <w:t>8</w:t>
            </w:r>
          </w:p>
        </w:tc>
        <w:tc>
          <w:tcPr>
            <w:tcW w:w="1775" w:type="dxa"/>
            <w:noWrap w:val="0"/>
            <w:vAlign w:val="center"/>
          </w:tcPr>
          <w:p w14:paraId="53333EBF">
            <w:pPr>
              <w:adjustRightInd w:val="0"/>
              <w:spacing w:line="400" w:lineRule="exact"/>
              <w:jc w:val="center"/>
              <w:rPr>
                <w:snapToGrid w:val="0"/>
                <w:kern w:val="21"/>
                <w:sz w:val="24"/>
              </w:rPr>
            </w:pPr>
          </w:p>
        </w:tc>
        <w:tc>
          <w:tcPr>
            <w:tcW w:w="1975" w:type="dxa"/>
            <w:noWrap w:val="0"/>
            <w:vAlign w:val="center"/>
          </w:tcPr>
          <w:p w14:paraId="612CE02E">
            <w:pPr>
              <w:spacing w:line="360" w:lineRule="exact"/>
              <w:jc w:val="center"/>
              <w:rPr>
                <w:snapToGrid w:val="0"/>
                <w:kern w:val="21"/>
                <w:sz w:val="24"/>
              </w:rPr>
            </w:pPr>
            <w:r>
              <w:rPr>
                <w:rFonts w:hint="eastAsia"/>
                <w:sz w:val="24"/>
                <w:lang w:val="en-US" w:eastAsia="zh-CN"/>
              </w:rPr>
              <w:t>0</w:t>
            </w:r>
          </w:p>
        </w:tc>
        <w:tc>
          <w:tcPr>
            <w:tcW w:w="1113" w:type="dxa"/>
            <w:shd w:val="clear" w:color="auto" w:fill="auto"/>
            <w:noWrap w:val="0"/>
            <w:vAlign w:val="center"/>
          </w:tcPr>
          <w:p w14:paraId="1BF731C9">
            <w:pPr>
              <w:spacing w:line="360" w:lineRule="exact"/>
              <w:jc w:val="center"/>
              <w:rPr>
                <w:rFonts w:hint="default" w:ascii="Times New Roman" w:hAnsi="Times New Roman" w:eastAsia="宋体" w:cs="Times New Roman"/>
                <w:snapToGrid w:val="0"/>
                <w:kern w:val="21"/>
                <w:sz w:val="24"/>
                <w:szCs w:val="24"/>
                <w:lang w:val="en-US" w:eastAsia="zh-CN" w:bidi="ar-SA"/>
              </w:rPr>
            </w:pPr>
            <w:r>
              <w:rPr>
                <w:rFonts w:hint="eastAsia"/>
                <w:sz w:val="24"/>
                <w:lang w:val="en-US" w:eastAsia="zh-CN"/>
              </w:rPr>
              <w:t>0</w:t>
            </w:r>
          </w:p>
        </w:tc>
      </w:tr>
      <w:tr w14:paraId="58FA2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11" w:type="dxa"/>
            <w:vMerge w:val="continue"/>
            <w:noWrap w:val="0"/>
            <w:vAlign w:val="center"/>
          </w:tcPr>
          <w:p w14:paraId="1836AAC1">
            <w:pPr>
              <w:pStyle w:val="26"/>
              <w:spacing w:line="400" w:lineRule="exact"/>
              <w:ind w:firstLine="0" w:firstLineChars="0"/>
              <w:jc w:val="center"/>
            </w:pPr>
          </w:p>
        </w:tc>
        <w:tc>
          <w:tcPr>
            <w:tcW w:w="598" w:type="dxa"/>
            <w:vMerge w:val="continue"/>
            <w:shd w:val="clear" w:color="auto" w:fill="auto"/>
            <w:noWrap w:val="0"/>
            <w:vAlign w:val="center"/>
          </w:tcPr>
          <w:p w14:paraId="6612FE7E">
            <w:pPr>
              <w:spacing w:line="360" w:lineRule="exact"/>
              <w:jc w:val="center"/>
              <w:rPr>
                <w:rFonts w:ascii="Times New Roman" w:hAnsi="Times New Roman" w:eastAsia="宋体" w:cs="Times New Roman"/>
                <w:kern w:val="2"/>
                <w:sz w:val="24"/>
                <w:szCs w:val="24"/>
                <w:lang w:val="en-US" w:eastAsia="zh-CN" w:bidi="ar-SA"/>
              </w:rPr>
            </w:pPr>
          </w:p>
        </w:tc>
        <w:tc>
          <w:tcPr>
            <w:tcW w:w="1217" w:type="dxa"/>
            <w:shd w:val="clear" w:color="auto" w:fill="auto"/>
            <w:noWrap w:val="0"/>
            <w:vAlign w:val="center"/>
          </w:tcPr>
          <w:p w14:paraId="1A50BA57">
            <w:pPr>
              <w:spacing w:line="360" w:lineRule="exact"/>
              <w:jc w:val="center"/>
              <w:rPr>
                <w:rFonts w:hAnsi="宋体"/>
                <w:sz w:val="24"/>
              </w:rPr>
            </w:pPr>
            <w:r>
              <w:rPr>
                <w:rFonts w:hAnsi="宋体"/>
                <w:sz w:val="24"/>
              </w:rPr>
              <w:t>生活垃圾</w:t>
            </w:r>
          </w:p>
        </w:tc>
        <w:tc>
          <w:tcPr>
            <w:tcW w:w="1714" w:type="dxa"/>
            <w:noWrap w:val="0"/>
            <w:vAlign w:val="center"/>
          </w:tcPr>
          <w:p w14:paraId="18165441">
            <w:pPr>
              <w:adjustRightInd w:val="0"/>
              <w:spacing w:line="400" w:lineRule="exact"/>
              <w:jc w:val="center"/>
              <w:rPr>
                <w:snapToGrid w:val="0"/>
                <w:kern w:val="21"/>
                <w:sz w:val="24"/>
              </w:rPr>
            </w:pPr>
            <w:r>
              <w:rPr>
                <w:rFonts w:hint="eastAsia"/>
                <w:sz w:val="24"/>
                <w:lang w:val="en-US" w:eastAsia="zh-CN"/>
              </w:rPr>
              <w:t>0</w:t>
            </w:r>
          </w:p>
        </w:tc>
        <w:tc>
          <w:tcPr>
            <w:tcW w:w="1286" w:type="dxa"/>
            <w:noWrap w:val="0"/>
            <w:vAlign w:val="center"/>
          </w:tcPr>
          <w:p w14:paraId="49CA7452">
            <w:pPr>
              <w:adjustRightInd w:val="0"/>
              <w:spacing w:line="400" w:lineRule="exact"/>
              <w:jc w:val="center"/>
              <w:rPr>
                <w:snapToGrid w:val="0"/>
                <w:kern w:val="21"/>
                <w:sz w:val="24"/>
              </w:rPr>
            </w:pPr>
            <w:r>
              <w:rPr>
                <w:rFonts w:hint="eastAsia"/>
                <w:sz w:val="24"/>
                <w:lang w:val="en-US" w:eastAsia="zh-CN"/>
              </w:rPr>
              <w:t>0</w:t>
            </w:r>
          </w:p>
        </w:tc>
        <w:tc>
          <w:tcPr>
            <w:tcW w:w="1714" w:type="dxa"/>
            <w:noWrap w:val="0"/>
            <w:vAlign w:val="center"/>
          </w:tcPr>
          <w:p w14:paraId="2EA73D2C">
            <w:pPr>
              <w:adjustRightInd w:val="0"/>
              <w:spacing w:line="400" w:lineRule="exact"/>
              <w:jc w:val="center"/>
              <w:rPr>
                <w:snapToGrid w:val="0"/>
                <w:kern w:val="21"/>
                <w:sz w:val="24"/>
              </w:rPr>
            </w:pPr>
            <w:r>
              <w:rPr>
                <w:rFonts w:hint="eastAsia"/>
                <w:sz w:val="24"/>
                <w:lang w:val="en-US" w:eastAsia="zh-CN"/>
              </w:rPr>
              <w:t>0</w:t>
            </w:r>
          </w:p>
        </w:tc>
        <w:tc>
          <w:tcPr>
            <w:tcW w:w="1571" w:type="dxa"/>
            <w:noWrap w:val="0"/>
            <w:vAlign w:val="center"/>
          </w:tcPr>
          <w:p w14:paraId="0F891654">
            <w:pPr>
              <w:spacing w:line="360" w:lineRule="exact"/>
              <w:jc w:val="center"/>
              <w:rPr>
                <w:rFonts w:hint="default" w:eastAsia="宋体"/>
                <w:sz w:val="24"/>
                <w:lang w:val="en-US" w:eastAsia="zh-CN"/>
              </w:rPr>
            </w:pPr>
            <w:r>
              <w:rPr>
                <w:rFonts w:hint="eastAsia"/>
                <w:sz w:val="24"/>
                <w:lang w:val="en-US" w:eastAsia="zh-CN"/>
              </w:rPr>
              <w:t>4.62</w:t>
            </w:r>
          </w:p>
        </w:tc>
        <w:tc>
          <w:tcPr>
            <w:tcW w:w="1775" w:type="dxa"/>
            <w:noWrap w:val="0"/>
            <w:vAlign w:val="center"/>
          </w:tcPr>
          <w:p w14:paraId="10BE74BA">
            <w:pPr>
              <w:adjustRightInd w:val="0"/>
              <w:spacing w:line="400" w:lineRule="exact"/>
              <w:jc w:val="center"/>
              <w:rPr>
                <w:snapToGrid w:val="0"/>
                <w:kern w:val="21"/>
                <w:sz w:val="24"/>
              </w:rPr>
            </w:pPr>
          </w:p>
        </w:tc>
        <w:tc>
          <w:tcPr>
            <w:tcW w:w="1975" w:type="dxa"/>
            <w:noWrap w:val="0"/>
            <w:vAlign w:val="center"/>
          </w:tcPr>
          <w:p w14:paraId="5A858717">
            <w:pPr>
              <w:spacing w:line="360" w:lineRule="exact"/>
              <w:jc w:val="center"/>
              <w:rPr>
                <w:rFonts w:hint="default"/>
                <w:sz w:val="24"/>
                <w:lang w:val="en-US"/>
              </w:rPr>
            </w:pPr>
            <w:r>
              <w:rPr>
                <w:rFonts w:hint="eastAsia"/>
                <w:sz w:val="24"/>
                <w:lang w:val="en-US" w:eastAsia="zh-CN"/>
              </w:rPr>
              <w:t>4.62</w:t>
            </w:r>
          </w:p>
        </w:tc>
        <w:tc>
          <w:tcPr>
            <w:tcW w:w="1113" w:type="dxa"/>
            <w:shd w:val="clear" w:color="auto" w:fill="auto"/>
            <w:noWrap w:val="0"/>
            <w:vAlign w:val="center"/>
          </w:tcPr>
          <w:p w14:paraId="494E2CF8">
            <w:pPr>
              <w:spacing w:line="360" w:lineRule="exact"/>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+4.62</w:t>
            </w:r>
          </w:p>
        </w:tc>
      </w:tr>
      <w:tr w14:paraId="53D60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11" w:type="dxa"/>
            <w:vMerge w:val="continue"/>
            <w:noWrap w:val="0"/>
            <w:vAlign w:val="center"/>
          </w:tcPr>
          <w:p w14:paraId="63A3CDAE">
            <w:pPr>
              <w:pStyle w:val="26"/>
              <w:spacing w:line="400" w:lineRule="exact"/>
              <w:ind w:firstLine="0" w:firstLineChars="0"/>
              <w:jc w:val="center"/>
            </w:pPr>
          </w:p>
        </w:tc>
        <w:tc>
          <w:tcPr>
            <w:tcW w:w="598" w:type="dxa"/>
            <w:vMerge w:val="restart"/>
            <w:noWrap w:val="0"/>
            <w:vAlign w:val="center"/>
          </w:tcPr>
          <w:p w14:paraId="27323CDB">
            <w:pPr>
              <w:spacing w:line="360" w:lineRule="exact"/>
              <w:jc w:val="center"/>
              <w:rPr>
                <w:rFonts w:hint="default" w:eastAsia="宋体"/>
                <w:sz w:val="24"/>
                <w:lang w:val="en-US" w:eastAsia="zh-CN"/>
              </w:rPr>
            </w:pPr>
            <w:r>
              <w:rPr>
                <w:rFonts w:hint="eastAsia"/>
                <w:sz w:val="24"/>
                <w:lang w:val="en-US" w:eastAsia="zh-CN"/>
              </w:rPr>
              <w:t>危险废物</w:t>
            </w:r>
          </w:p>
        </w:tc>
        <w:tc>
          <w:tcPr>
            <w:tcW w:w="1217" w:type="dxa"/>
            <w:noWrap w:val="0"/>
            <w:vAlign w:val="center"/>
          </w:tcPr>
          <w:p w14:paraId="1296BCE2">
            <w:pPr>
              <w:spacing w:line="360" w:lineRule="exact"/>
              <w:jc w:val="center"/>
              <w:rPr>
                <w:rFonts w:hint="eastAsia"/>
                <w:sz w:val="24"/>
                <w:lang w:val="en-US" w:eastAsia="zh-CN"/>
              </w:rPr>
            </w:pPr>
            <w:r>
              <w:rPr>
                <w:rFonts w:hint="eastAsia"/>
                <w:sz w:val="24"/>
                <w:lang w:val="en-US" w:eastAsia="zh-CN"/>
              </w:rPr>
              <w:t>废布袋</w:t>
            </w:r>
          </w:p>
        </w:tc>
        <w:tc>
          <w:tcPr>
            <w:tcW w:w="1714" w:type="dxa"/>
            <w:noWrap w:val="0"/>
            <w:vAlign w:val="center"/>
          </w:tcPr>
          <w:p w14:paraId="12B949EF">
            <w:pPr>
              <w:adjustRightInd w:val="0"/>
              <w:spacing w:line="400" w:lineRule="exact"/>
              <w:jc w:val="center"/>
              <w:rPr>
                <w:snapToGrid w:val="0"/>
                <w:kern w:val="21"/>
                <w:sz w:val="24"/>
              </w:rPr>
            </w:pPr>
            <w:r>
              <w:rPr>
                <w:rFonts w:hint="eastAsia"/>
                <w:sz w:val="24"/>
                <w:lang w:val="en-US" w:eastAsia="zh-CN"/>
              </w:rPr>
              <w:t>0</w:t>
            </w:r>
          </w:p>
        </w:tc>
        <w:tc>
          <w:tcPr>
            <w:tcW w:w="1286" w:type="dxa"/>
            <w:noWrap w:val="0"/>
            <w:vAlign w:val="center"/>
          </w:tcPr>
          <w:p w14:paraId="69F8D2F3">
            <w:pPr>
              <w:adjustRightInd w:val="0"/>
              <w:spacing w:line="400" w:lineRule="exact"/>
              <w:jc w:val="center"/>
              <w:rPr>
                <w:snapToGrid w:val="0"/>
                <w:kern w:val="21"/>
                <w:sz w:val="24"/>
              </w:rPr>
            </w:pPr>
            <w:r>
              <w:rPr>
                <w:rFonts w:hint="eastAsia"/>
                <w:sz w:val="24"/>
                <w:lang w:val="en-US" w:eastAsia="zh-CN"/>
              </w:rPr>
              <w:t>0</w:t>
            </w:r>
          </w:p>
        </w:tc>
        <w:tc>
          <w:tcPr>
            <w:tcW w:w="1714" w:type="dxa"/>
            <w:noWrap w:val="0"/>
            <w:vAlign w:val="center"/>
          </w:tcPr>
          <w:p w14:paraId="25693921">
            <w:pPr>
              <w:adjustRightInd w:val="0"/>
              <w:spacing w:line="400" w:lineRule="exact"/>
              <w:jc w:val="center"/>
              <w:rPr>
                <w:snapToGrid w:val="0"/>
                <w:kern w:val="21"/>
                <w:sz w:val="24"/>
              </w:rPr>
            </w:pPr>
            <w:r>
              <w:rPr>
                <w:rFonts w:hint="eastAsia"/>
                <w:sz w:val="24"/>
                <w:lang w:val="en-US" w:eastAsia="zh-CN"/>
              </w:rPr>
              <w:t>0</w:t>
            </w:r>
          </w:p>
        </w:tc>
        <w:tc>
          <w:tcPr>
            <w:tcW w:w="1571" w:type="dxa"/>
            <w:noWrap w:val="0"/>
            <w:vAlign w:val="center"/>
          </w:tcPr>
          <w:p w14:paraId="74505CF4">
            <w:pPr>
              <w:spacing w:line="360" w:lineRule="exact"/>
              <w:jc w:val="center"/>
              <w:rPr>
                <w:rFonts w:hint="default" w:eastAsia="宋体"/>
                <w:sz w:val="24"/>
                <w:lang w:val="en-US" w:eastAsia="zh-CN"/>
              </w:rPr>
            </w:pPr>
            <w:r>
              <w:rPr>
                <w:rFonts w:hint="eastAsia"/>
                <w:sz w:val="24"/>
                <w:lang w:val="en-US" w:eastAsia="zh-CN"/>
              </w:rPr>
              <w:t>0.4</w:t>
            </w:r>
          </w:p>
        </w:tc>
        <w:tc>
          <w:tcPr>
            <w:tcW w:w="1775" w:type="dxa"/>
            <w:noWrap w:val="0"/>
            <w:vAlign w:val="center"/>
          </w:tcPr>
          <w:p w14:paraId="32B51F9A">
            <w:pPr>
              <w:adjustRightInd w:val="0"/>
              <w:spacing w:line="400" w:lineRule="exact"/>
              <w:jc w:val="center"/>
              <w:rPr>
                <w:snapToGrid w:val="0"/>
                <w:kern w:val="21"/>
                <w:sz w:val="24"/>
              </w:rPr>
            </w:pPr>
          </w:p>
        </w:tc>
        <w:tc>
          <w:tcPr>
            <w:tcW w:w="1975" w:type="dxa"/>
            <w:noWrap w:val="0"/>
            <w:vAlign w:val="center"/>
          </w:tcPr>
          <w:p w14:paraId="20A30DD3">
            <w:pPr>
              <w:spacing w:line="360" w:lineRule="exact"/>
              <w:jc w:val="center"/>
              <w:rPr>
                <w:rFonts w:hint="default" w:eastAsia="宋体"/>
                <w:sz w:val="24"/>
                <w:lang w:val="en-US" w:eastAsia="zh-CN"/>
              </w:rPr>
            </w:pPr>
            <w:r>
              <w:rPr>
                <w:rFonts w:hint="eastAsia"/>
                <w:sz w:val="24"/>
                <w:lang w:val="en-US" w:eastAsia="zh-CN"/>
              </w:rPr>
              <w:t>0.4</w:t>
            </w:r>
          </w:p>
        </w:tc>
        <w:tc>
          <w:tcPr>
            <w:tcW w:w="1113" w:type="dxa"/>
            <w:shd w:val="clear" w:color="auto" w:fill="auto"/>
            <w:noWrap w:val="0"/>
            <w:vAlign w:val="center"/>
          </w:tcPr>
          <w:p w14:paraId="717A6F55">
            <w:pPr>
              <w:spacing w:line="360" w:lineRule="exact"/>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+0.4</w:t>
            </w:r>
          </w:p>
        </w:tc>
      </w:tr>
      <w:tr w14:paraId="0AD5A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11" w:type="dxa"/>
            <w:vMerge w:val="continue"/>
            <w:noWrap w:val="0"/>
            <w:vAlign w:val="center"/>
          </w:tcPr>
          <w:p w14:paraId="2389C812">
            <w:pPr>
              <w:spacing w:line="400" w:lineRule="exact"/>
              <w:rPr>
                <w:snapToGrid w:val="0"/>
                <w:kern w:val="21"/>
                <w:sz w:val="24"/>
              </w:rPr>
            </w:pPr>
          </w:p>
        </w:tc>
        <w:tc>
          <w:tcPr>
            <w:tcW w:w="598" w:type="dxa"/>
            <w:vMerge w:val="continue"/>
            <w:noWrap w:val="0"/>
            <w:vAlign w:val="center"/>
          </w:tcPr>
          <w:p w14:paraId="6F0708D2">
            <w:pPr>
              <w:topLinePunct/>
              <w:adjustRightInd w:val="0"/>
              <w:snapToGrid w:val="0"/>
              <w:spacing w:line="360" w:lineRule="exact"/>
              <w:jc w:val="center"/>
              <w:rPr>
                <w:sz w:val="24"/>
              </w:rPr>
            </w:pPr>
          </w:p>
        </w:tc>
        <w:tc>
          <w:tcPr>
            <w:tcW w:w="1217" w:type="dxa"/>
            <w:noWrap w:val="0"/>
            <w:vAlign w:val="center"/>
          </w:tcPr>
          <w:p w14:paraId="785C332F">
            <w:pPr>
              <w:topLinePunct/>
              <w:adjustRightInd w:val="0"/>
              <w:snapToGrid w:val="0"/>
              <w:spacing w:line="360" w:lineRule="exact"/>
              <w:jc w:val="center"/>
              <w:rPr>
                <w:rFonts w:hint="default" w:hAnsi="宋体"/>
                <w:sz w:val="24"/>
                <w:lang w:val="en-US" w:eastAsia="zh-CN"/>
              </w:rPr>
            </w:pPr>
            <w:r>
              <w:rPr>
                <w:rFonts w:hint="eastAsia" w:hAnsi="宋体"/>
                <w:sz w:val="24"/>
                <w:lang w:val="en-US" w:eastAsia="zh-CN"/>
              </w:rPr>
              <w:t>废机油、废润滑油、废油桶</w:t>
            </w:r>
          </w:p>
        </w:tc>
        <w:tc>
          <w:tcPr>
            <w:tcW w:w="1714" w:type="dxa"/>
            <w:noWrap w:val="0"/>
            <w:vAlign w:val="center"/>
          </w:tcPr>
          <w:p w14:paraId="232EA3A8">
            <w:pPr>
              <w:adjustRightInd w:val="0"/>
              <w:spacing w:line="400" w:lineRule="exact"/>
              <w:jc w:val="center"/>
              <w:rPr>
                <w:snapToGrid w:val="0"/>
                <w:kern w:val="21"/>
                <w:sz w:val="24"/>
              </w:rPr>
            </w:pPr>
            <w:r>
              <w:rPr>
                <w:rFonts w:hint="eastAsia"/>
                <w:sz w:val="24"/>
                <w:lang w:val="en-US" w:eastAsia="zh-CN"/>
              </w:rPr>
              <w:t>0</w:t>
            </w:r>
          </w:p>
        </w:tc>
        <w:tc>
          <w:tcPr>
            <w:tcW w:w="1286" w:type="dxa"/>
            <w:noWrap w:val="0"/>
            <w:vAlign w:val="center"/>
          </w:tcPr>
          <w:p w14:paraId="146D516B">
            <w:pPr>
              <w:adjustRightInd w:val="0"/>
              <w:spacing w:line="400" w:lineRule="exact"/>
              <w:jc w:val="center"/>
              <w:rPr>
                <w:snapToGrid w:val="0"/>
                <w:kern w:val="21"/>
                <w:sz w:val="24"/>
              </w:rPr>
            </w:pPr>
            <w:r>
              <w:rPr>
                <w:rFonts w:hint="eastAsia"/>
                <w:sz w:val="24"/>
                <w:lang w:val="en-US" w:eastAsia="zh-CN"/>
              </w:rPr>
              <w:t>0</w:t>
            </w:r>
          </w:p>
        </w:tc>
        <w:tc>
          <w:tcPr>
            <w:tcW w:w="1714" w:type="dxa"/>
            <w:noWrap w:val="0"/>
            <w:vAlign w:val="center"/>
          </w:tcPr>
          <w:p w14:paraId="6A31EE30">
            <w:pPr>
              <w:adjustRightInd w:val="0"/>
              <w:spacing w:line="400" w:lineRule="exact"/>
              <w:jc w:val="center"/>
              <w:rPr>
                <w:snapToGrid w:val="0"/>
                <w:kern w:val="21"/>
                <w:sz w:val="24"/>
              </w:rPr>
            </w:pPr>
            <w:r>
              <w:rPr>
                <w:rFonts w:hint="eastAsia"/>
                <w:sz w:val="24"/>
                <w:lang w:val="en-US" w:eastAsia="zh-CN"/>
              </w:rPr>
              <w:t>0</w:t>
            </w:r>
          </w:p>
        </w:tc>
        <w:tc>
          <w:tcPr>
            <w:tcW w:w="1571" w:type="dxa"/>
            <w:noWrap w:val="0"/>
            <w:vAlign w:val="center"/>
          </w:tcPr>
          <w:p w14:paraId="7133C663">
            <w:pPr>
              <w:topLinePunct/>
              <w:adjustRightInd w:val="0"/>
              <w:snapToGrid w:val="0"/>
              <w:spacing w:line="360" w:lineRule="exact"/>
              <w:jc w:val="center"/>
              <w:rPr>
                <w:rFonts w:hint="default" w:eastAsia="宋体"/>
                <w:sz w:val="24"/>
                <w:lang w:val="en-US" w:eastAsia="zh-CN"/>
              </w:rPr>
            </w:pPr>
            <w:r>
              <w:rPr>
                <w:rFonts w:hint="eastAsia"/>
                <w:sz w:val="24"/>
                <w:lang w:val="en-US" w:eastAsia="zh-CN"/>
              </w:rPr>
              <w:t>0.05</w:t>
            </w:r>
          </w:p>
        </w:tc>
        <w:tc>
          <w:tcPr>
            <w:tcW w:w="1775" w:type="dxa"/>
            <w:noWrap w:val="0"/>
            <w:vAlign w:val="center"/>
          </w:tcPr>
          <w:p w14:paraId="711CD228">
            <w:pPr>
              <w:adjustRightInd w:val="0"/>
              <w:spacing w:line="400" w:lineRule="exact"/>
              <w:jc w:val="center"/>
              <w:rPr>
                <w:snapToGrid w:val="0"/>
                <w:kern w:val="21"/>
                <w:sz w:val="24"/>
              </w:rPr>
            </w:pPr>
          </w:p>
        </w:tc>
        <w:tc>
          <w:tcPr>
            <w:tcW w:w="1975" w:type="dxa"/>
            <w:noWrap w:val="0"/>
            <w:vAlign w:val="center"/>
          </w:tcPr>
          <w:p w14:paraId="0241CD57">
            <w:pPr>
              <w:topLinePunct/>
              <w:adjustRightInd w:val="0"/>
              <w:snapToGrid w:val="0"/>
              <w:spacing w:line="360" w:lineRule="exact"/>
              <w:jc w:val="center"/>
              <w:rPr>
                <w:rFonts w:hint="default"/>
                <w:sz w:val="24"/>
                <w:lang w:val="en-US"/>
              </w:rPr>
            </w:pPr>
            <w:r>
              <w:rPr>
                <w:rFonts w:hint="eastAsia"/>
                <w:sz w:val="24"/>
                <w:lang w:val="en-US" w:eastAsia="zh-CN"/>
              </w:rPr>
              <w:t>0.05</w:t>
            </w:r>
          </w:p>
        </w:tc>
        <w:tc>
          <w:tcPr>
            <w:tcW w:w="1113" w:type="dxa"/>
            <w:shd w:val="clear" w:color="auto" w:fill="auto"/>
            <w:noWrap w:val="0"/>
            <w:vAlign w:val="center"/>
          </w:tcPr>
          <w:p w14:paraId="169140E3">
            <w:pPr>
              <w:topLinePunct/>
              <w:adjustRightInd w:val="0"/>
              <w:snapToGrid w:val="0"/>
              <w:spacing w:line="360" w:lineRule="exact"/>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+0.05</w:t>
            </w:r>
          </w:p>
        </w:tc>
      </w:tr>
      <w:tr w14:paraId="66A96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11" w:type="dxa"/>
            <w:noWrap w:val="0"/>
            <w:vAlign w:val="center"/>
          </w:tcPr>
          <w:p w14:paraId="464B426D">
            <w:pPr>
              <w:spacing w:line="400" w:lineRule="exact"/>
              <w:rPr>
                <w:snapToGrid w:val="0"/>
                <w:kern w:val="21"/>
                <w:sz w:val="24"/>
              </w:rPr>
            </w:pPr>
          </w:p>
        </w:tc>
        <w:tc>
          <w:tcPr>
            <w:tcW w:w="598" w:type="dxa"/>
            <w:vMerge w:val="continue"/>
            <w:noWrap w:val="0"/>
            <w:vAlign w:val="center"/>
          </w:tcPr>
          <w:p w14:paraId="49A8A965">
            <w:pPr>
              <w:topLinePunct/>
              <w:adjustRightInd w:val="0"/>
              <w:snapToGrid w:val="0"/>
              <w:spacing w:line="360" w:lineRule="exact"/>
              <w:jc w:val="center"/>
              <w:rPr>
                <w:sz w:val="24"/>
              </w:rPr>
            </w:pPr>
          </w:p>
        </w:tc>
        <w:tc>
          <w:tcPr>
            <w:tcW w:w="1217" w:type="dxa"/>
            <w:noWrap w:val="0"/>
            <w:vAlign w:val="center"/>
          </w:tcPr>
          <w:p w14:paraId="5404A3E7">
            <w:pPr>
              <w:topLinePunct/>
              <w:adjustRightInd w:val="0"/>
              <w:snapToGrid w:val="0"/>
              <w:spacing w:line="360" w:lineRule="exact"/>
              <w:jc w:val="center"/>
              <w:rPr>
                <w:rFonts w:hint="default" w:hAnsi="宋体"/>
                <w:sz w:val="24"/>
                <w:lang w:val="en-US" w:eastAsia="zh-CN"/>
              </w:rPr>
            </w:pPr>
            <w:r>
              <w:rPr>
                <w:rFonts w:hint="eastAsia" w:hAnsi="宋体"/>
                <w:sz w:val="24"/>
                <w:lang w:val="en-US" w:eastAsia="zh-CN"/>
              </w:rPr>
              <w:t>废包装（吨袋）</w:t>
            </w:r>
          </w:p>
        </w:tc>
        <w:tc>
          <w:tcPr>
            <w:tcW w:w="1714" w:type="dxa"/>
            <w:noWrap w:val="0"/>
            <w:vAlign w:val="center"/>
          </w:tcPr>
          <w:p w14:paraId="45298134">
            <w:pPr>
              <w:adjustRightInd w:val="0"/>
              <w:spacing w:line="400" w:lineRule="exact"/>
              <w:jc w:val="center"/>
              <w:rPr>
                <w:rFonts w:hint="default"/>
                <w:sz w:val="24"/>
                <w:lang w:val="en-US" w:eastAsia="zh-CN"/>
              </w:rPr>
            </w:pPr>
            <w:r>
              <w:rPr>
                <w:rFonts w:hint="eastAsia"/>
                <w:sz w:val="24"/>
                <w:lang w:val="en-US" w:eastAsia="zh-CN"/>
              </w:rPr>
              <w:t>0</w:t>
            </w:r>
          </w:p>
        </w:tc>
        <w:tc>
          <w:tcPr>
            <w:tcW w:w="1286" w:type="dxa"/>
            <w:noWrap w:val="0"/>
            <w:vAlign w:val="center"/>
          </w:tcPr>
          <w:p w14:paraId="1D33CA02">
            <w:pPr>
              <w:adjustRightInd w:val="0"/>
              <w:spacing w:line="400" w:lineRule="exact"/>
              <w:jc w:val="center"/>
              <w:rPr>
                <w:rFonts w:hint="default"/>
                <w:sz w:val="24"/>
                <w:lang w:val="en-US" w:eastAsia="zh-CN"/>
              </w:rPr>
            </w:pPr>
            <w:r>
              <w:rPr>
                <w:rFonts w:hint="eastAsia"/>
                <w:sz w:val="24"/>
                <w:lang w:val="en-US" w:eastAsia="zh-CN"/>
              </w:rPr>
              <w:t>0</w:t>
            </w:r>
          </w:p>
        </w:tc>
        <w:tc>
          <w:tcPr>
            <w:tcW w:w="1714" w:type="dxa"/>
            <w:noWrap w:val="0"/>
            <w:vAlign w:val="center"/>
          </w:tcPr>
          <w:p w14:paraId="306D66AF">
            <w:pPr>
              <w:adjustRightInd w:val="0"/>
              <w:spacing w:line="400" w:lineRule="exact"/>
              <w:jc w:val="center"/>
              <w:rPr>
                <w:rFonts w:hint="default"/>
                <w:sz w:val="24"/>
                <w:lang w:val="en-US" w:eastAsia="zh-CN"/>
              </w:rPr>
            </w:pPr>
            <w:r>
              <w:rPr>
                <w:rFonts w:hint="eastAsia"/>
                <w:sz w:val="24"/>
                <w:lang w:val="en-US" w:eastAsia="zh-CN"/>
              </w:rPr>
              <w:t>0</w:t>
            </w:r>
          </w:p>
        </w:tc>
        <w:tc>
          <w:tcPr>
            <w:tcW w:w="1571" w:type="dxa"/>
            <w:noWrap w:val="0"/>
            <w:vAlign w:val="center"/>
          </w:tcPr>
          <w:p w14:paraId="5F601784">
            <w:pPr>
              <w:topLinePunct/>
              <w:adjustRightInd w:val="0"/>
              <w:snapToGrid w:val="0"/>
              <w:spacing w:line="360" w:lineRule="exact"/>
              <w:jc w:val="center"/>
              <w:rPr>
                <w:rFonts w:hint="default"/>
                <w:sz w:val="24"/>
                <w:lang w:val="en-US" w:eastAsia="zh-CN"/>
              </w:rPr>
            </w:pPr>
            <w:r>
              <w:rPr>
                <w:rFonts w:hint="eastAsia"/>
                <w:sz w:val="24"/>
                <w:lang w:val="en-US" w:eastAsia="zh-CN"/>
              </w:rPr>
              <w:t>333.3</w:t>
            </w:r>
          </w:p>
        </w:tc>
        <w:tc>
          <w:tcPr>
            <w:tcW w:w="1775" w:type="dxa"/>
            <w:noWrap w:val="0"/>
            <w:vAlign w:val="center"/>
          </w:tcPr>
          <w:p w14:paraId="676D561A">
            <w:pPr>
              <w:adjustRightInd w:val="0"/>
              <w:spacing w:line="400" w:lineRule="exact"/>
              <w:jc w:val="center"/>
              <w:rPr>
                <w:snapToGrid w:val="0"/>
                <w:kern w:val="21"/>
                <w:sz w:val="24"/>
              </w:rPr>
            </w:pPr>
          </w:p>
        </w:tc>
        <w:tc>
          <w:tcPr>
            <w:tcW w:w="1975" w:type="dxa"/>
            <w:noWrap w:val="0"/>
            <w:vAlign w:val="center"/>
          </w:tcPr>
          <w:p w14:paraId="34F49A38">
            <w:pPr>
              <w:topLinePunct/>
              <w:adjustRightInd w:val="0"/>
              <w:snapToGrid w:val="0"/>
              <w:spacing w:line="360" w:lineRule="exact"/>
              <w:jc w:val="center"/>
              <w:rPr>
                <w:rFonts w:hint="default"/>
                <w:sz w:val="24"/>
                <w:lang w:val="en-US" w:eastAsia="zh-CN"/>
              </w:rPr>
            </w:pPr>
            <w:r>
              <w:rPr>
                <w:rFonts w:hint="eastAsia"/>
                <w:sz w:val="24"/>
                <w:lang w:val="en-US" w:eastAsia="zh-CN"/>
              </w:rPr>
              <w:t>333.3</w:t>
            </w:r>
          </w:p>
        </w:tc>
        <w:tc>
          <w:tcPr>
            <w:tcW w:w="1113" w:type="dxa"/>
            <w:shd w:val="clear" w:color="auto" w:fill="auto"/>
            <w:noWrap w:val="0"/>
            <w:vAlign w:val="center"/>
          </w:tcPr>
          <w:p w14:paraId="3451EC12">
            <w:pPr>
              <w:topLinePunct/>
              <w:adjustRightInd w:val="0"/>
              <w:snapToGrid w:val="0"/>
              <w:spacing w:line="360" w:lineRule="exact"/>
              <w:jc w:val="center"/>
              <w:rPr>
                <w:rFonts w:hint="default"/>
                <w:sz w:val="24"/>
                <w:lang w:val="en-US" w:eastAsia="zh-CN"/>
              </w:rPr>
            </w:pPr>
            <w:r>
              <w:rPr>
                <w:rFonts w:hint="eastAsia"/>
                <w:sz w:val="24"/>
                <w:lang w:val="en-US" w:eastAsia="zh-CN"/>
              </w:rPr>
              <w:t>+333.3</w:t>
            </w:r>
          </w:p>
        </w:tc>
      </w:tr>
    </w:tbl>
    <w:p w14:paraId="51C6F73B">
      <w:pPr>
        <w:pStyle w:val="15"/>
        <w:ind w:left="0" w:leftChars="0" w:firstLine="0" w:firstLineChars="0"/>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6AB8">
    <w:pPr>
      <w:pStyle w:val="7"/>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584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D5D7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8D5D72">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A4A31"/>
    <w:multiLevelType w:val="singleLevel"/>
    <w:tmpl w:val="803A4A31"/>
    <w:lvl w:ilvl="0" w:tentative="0">
      <w:start w:val="1"/>
      <w:numFmt w:val="decimal"/>
      <w:suff w:val="nothing"/>
      <w:lvlText w:val="（%1）"/>
      <w:lvlJc w:val="left"/>
      <w:rPr>
        <w:rFonts w:hint="default"/>
        <w:sz w:val="24"/>
        <w:szCs w:val="24"/>
      </w:rPr>
    </w:lvl>
  </w:abstractNum>
  <w:abstractNum w:abstractNumId="1">
    <w:nsid w:val="929E82AC"/>
    <w:multiLevelType w:val="singleLevel"/>
    <w:tmpl w:val="929E82AC"/>
    <w:lvl w:ilvl="0" w:tentative="0">
      <w:start w:val="1"/>
      <w:numFmt w:val="decimal"/>
      <w:suff w:val="nothing"/>
      <w:lvlText w:val="（%1）"/>
      <w:lvlJc w:val="left"/>
    </w:lvl>
  </w:abstractNum>
  <w:abstractNum w:abstractNumId="2">
    <w:nsid w:val="A3D19109"/>
    <w:multiLevelType w:val="singleLevel"/>
    <w:tmpl w:val="A3D19109"/>
    <w:lvl w:ilvl="0" w:tentative="0">
      <w:start w:val="1"/>
      <w:numFmt w:val="decimal"/>
      <w:suff w:val="nothing"/>
      <w:lvlText w:val="%1、"/>
      <w:lvlJc w:val="left"/>
    </w:lvl>
  </w:abstractNum>
  <w:abstractNum w:abstractNumId="3">
    <w:nsid w:val="AC370FA8"/>
    <w:multiLevelType w:val="singleLevel"/>
    <w:tmpl w:val="AC370FA8"/>
    <w:lvl w:ilvl="0" w:tentative="0">
      <w:start w:val="1"/>
      <w:numFmt w:val="decimal"/>
      <w:suff w:val="nothing"/>
      <w:lvlText w:val="（%1）"/>
      <w:lvlJc w:val="left"/>
    </w:lvl>
  </w:abstractNum>
  <w:abstractNum w:abstractNumId="4">
    <w:nsid w:val="BCDA9735"/>
    <w:multiLevelType w:val="singleLevel"/>
    <w:tmpl w:val="BCDA9735"/>
    <w:lvl w:ilvl="0" w:tentative="0">
      <w:start w:val="1"/>
      <w:numFmt w:val="decimal"/>
      <w:suff w:val="nothing"/>
      <w:lvlText w:val="（%1）"/>
      <w:lvlJc w:val="left"/>
    </w:lvl>
  </w:abstractNum>
  <w:abstractNum w:abstractNumId="5">
    <w:nsid w:val="D9CE46F0"/>
    <w:multiLevelType w:val="singleLevel"/>
    <w:tmpl w:val="D9CE46F0"/>
    <w:lvl w:ilvl="0" w:tentative="0">
      <w:start w:val="1"/>
      <w:numFmt w:val="chineseCounting"/>
      <w:suff w:val="nothing"/>
      <w:lvlText w:val="%1、"/>
      <w:lvlJc w:val="left"/>
      <w:rPr>
        <w:rFonts w:hint="eastAsia"/>
        <w:b/>
        <w:bCs/>
        <w:sz w:val="24"/>
        <w:szCs w:val="24"/>
      </w:rPr>
    </w:lvl>
  </w:abstractNum>
  <w:abstractNum w:abstractNumId="6">
    <w:nsid w:val="E34EAE3E"/>
    <w:multiLevelType w:val="singleLevel"/>
    <w:tmpl w:val="E34EAE3E"/>
    <w:lvl w:ilvl="0" w:tentative="0">
      <w:start w:val="1"/>
      <w:numFmt w:val="decimal"/>
      <w:suff w:val="nothing"/>
      <w:lvlText w:val="（%1）"/>
      <w:lvlJc w:val="left"/>
    </w:lvl>
  </w:abstractNum>
  <w:abstractNum w:abstractNumId="7">
    <w:nsid w:val="ED38F004"/>
    <w:multiLevelType w:val="singleLevel"/>
    <w:tmpl w:val="ED38F004"/>
    <w:lvl w:ilvl="0" w:tentative="0">
      <w:start w:val="1"/>
      <w:numFmt w:val="decimal"/>
      <w:suff w:val="nothing"/>
      <w:lvlText w:val="%1、"/>
      <w:lvlJc w:val="left"/>
    </w:lvl>
  </w:abstractNum>
  <w:abstractNum w:abstractNumId="8">
    <w:nsid w:val="EED577B4"/>
    <w:multiLevelType w:val="singleLevel"/>
    <w:tmpl w:val="EED577B4"/>
    <w:lvl w:ilvl="0" w:tentative="0">
      <w:start w:val="3"/>
      <w:numFmt w:val="decimal"/>
      <w:lvlText w:val="%1."/>
      <w:lvlJc w:val="left"/>
      <w:pPr>
        <w:tabs>
          <w:tab w:val="left" w:pos="312"/>
        </w:tabs>
      </w:pPr>
    </w:lvl>
  </w:abstractNum>
  <w:abstractNum w:abstractNumId="9">
    <w:nsid w:val="1028EDA4"/>
    <w:multiLevelType w:val="singleLevel"/>
    <w:tmpl w:val="1028EDA4"/>
    <w:lvl w:ilvl="0" w:tentative="0">
      <w:start w:val="1"/>
      <w:numFmt w:val="decimal"/>
      <w:suff w:val="nothing"/>
      <w:lvlText w:val="%1、"/>
      <w:lvlJc w:val="left"/>
    </w:lvl>
  </w:abstractNum>
  <w:abstractNum w:abstractNumId="10">
    <w:nsid w:val="195D13C0"/>
    <w:multiLevelType w:val="singleLevel"/>
    <w:tmpl w:val="195D13C0"/>
    <w:lvl w:ilvl="0" w:tentative="0">
      <w:start w:val="1"/>
      <w:numFmt w:val="decimal"/>
      <w:suff w:val="nothing"/>
      <w:lvlText w:val="%1、"/>
      <w:lvlJc w:val="left"/>
    </w:lvl>
  </w:abstractNum>
  <w:abstractNum w:abstractNumId="11">
    <w:nsid w:val="20C01E5D"/>
    <w:multiLevelType w:val="singleLevel"/>
    <w:tmpl w:val="20C01E5D"/>
    <w:lvl w:ilvl="0" w:tentative="0">
      <w:start w:val="1"/>
      <w:numFmt w:val="decimal"/>
      <w:suff w:val="nothing"/>
      <w:lvlText w:val="%1、"/>
      <w:lvlJc w:val="left"/>
      <w:rPr>
        <w:rFonts w:hint="default"/>
        <w:sz w:val="24"/>
        <w:szCs w:val="24"/>
      </w:rPr>
    </w:lvl>
  </w:abstractNum>
  <w:abstractNum w:abstractNumId="12">
    <w:nsid w:val="34F31E88"/>
    <w:multiLevelType w:val="singleLevel"/>
    <w:tmpl w:val="34F31E88"/>
    <w:lvl w:ilvl="0" w:tentative="0">
      <w:start w:val="1"/>
      <w:numFmt w:val="decimal"/>
      <w:lvlText w:val="%1."/>
      <w:lvlJc w:val="left"/>
      <w:pPr>
        <w:tabs>
          <w:tab w:val="left" w:pos="312"/>
        </w:tabs>
      </w:pPr>
    </w:lvl>
  </w:abstractNum>
  <w:abstractNum w:abstractNumId="13">
    <w:nsid w:val="37EA191C"/>
    <w:multiLevelType w:val="singleLevel"/>
    <w:tmpl w:val="37EA191C"/>
    <w:lvl w:ilvl="0" w:tentative="0">
      <w:start w:val="1"/>
      <w:numFmt w:val="decimal"/>
      <w:suff w:val="nothing"/>
      <w:lvlText w:val="（%1）"/>
      <w:lvlJc w:val="left"/>
    </w:lvl>
  </w:abstractNum>
  <w:abstractNum w:abstractNumId="14">
    <w:nsid w:val="456A7C57"/>
    <w:multiLevelType w:val="singleLevel"/>
    <w:tmpl w:val="456A7C57"/>
    <w:lvl w:ilvl="0" w:tentative="0">
      <w:start w:val="1"/>
      <w:numFmt w:val="decimal"/>
      <w:suff w:val="nothing"/>
      <w:lvlText w:val="%1、"/>
      <w:lvlJc w:val="left"/>
      <w:rPr>
        <w:rFonts w:hint="default"/>
        <w:sz w:val="24"/>
        <w:szCs w:val="24"/>
      </w:rPr>
    </w:lvl>
  </w:abstractNum>
  <w:abstractNum w:abstractNumId="15">
    <w:nsid w:val="70A95FC7"/>
    <w:multiLevelType w:val="singleLevel"/>
    <w:tmpl w:val="70A95FC7"/>
    <w:lvl w:ilvl="0" w:tentative="0">
      <w:start w:val="1"/>
      <w:numFmt w:val="decimal"/>
      <w:suff w:val="nothing"/>
      <w:lvlText w:val="%1、"/>
      <w:lvlJc w:val="left"/>
    </w:lvl>
  </w:abstractNum>
  <w:num w:numId="1">
    <w:abstractNumId w:val="4"/>
  </w:num>
  <w:num w:numId="2">
    <w:abstractNumId w:val="8"/>
  </w:num>
  <w:num w:numId="3">
    <w:abstractNumId w:val="14"/>
  </w:num>
  <w:num w:numId="4">
    <w:abstractNumId w:val="6"/>
  </w:num>
  <w:num w:numId="5">
    <w:abstractNumId w:val="12"/>
  </w:num>
  <w:num w:numId="6">
    <w:abstractNumId w:val="11"/>
  </w:num>
  <w:num w:numId="7">
    <w:abstractNumId w:val="3"/>
  </w:num>
  <w:num w:numId="8">
    <w:abstractNumId w:val="13"/>
  </w:num>
  <w:num w:numId="9">
    <w:abstractNumId w:val="15"/>
  </w:num>
  <w:num w:numId="10">
    <w:abstractNumId w:val="5"/>
  </w:num>
  <w:num w:numId="11">
    <w:abstractNumId w:val="7"/>
  </w:num>
  <w:num w:numId="12">
    <w:abstractNumId w:val="2"/>
  </w:num>
  <w:num w:numId="13">
    <w:abstractNumId w:val="0"/>
  </w:num>
  <w:num w:numId="14">
    <w:abstractNumId w:val="1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3300"/>
    <w:rsid w:val="00076D34"/>
    <w:rsid w:val="00134AF2"/>
    <w:rsid w:val="002822DA"/>
    <w:rsid w:val="00603FE2"/>
    <w:rsid w:val="00870C8C"/>
    <w:rsid w:val="0093014E"/>
    <w:rsid w:val="00A25758"/>
    <w:rsid w:val="00BC57CD"/>
    <w:rsid w:val="00D20C3F"/>
    <w:rsid w:val="00E03118"/>
    <w:rsid w:val="00ED1E2A"/>
    <w:rsid w:val="01503F03"/>
    <w:rsid w:val="01541EA9"/>
    <w:rsid w:val="016A22B4"/>
    <w:rsid w:val="01714809"/>
    <w:rsid w:val="01891B53"/>
    <w:rsid w:val="019046DC"/>
    <w:rsid w:val="0196601E"/>
    <w:rsid w:val="01983754"/>
    <w:rsid w:val="01AB65E6"/>
    <w:rsid w:val="01B34E22"/>
    <w:rsid w:val="01E86FEB"/>
    <w:rsid w:val="021653B1"/>
    <w:rsid w:val="022573A2"/>
    <w:rsid w:val="022A2C9E"/>
    <w:rsid w:val="022E6257"/>
    <w:rsid w:val="02336E6B"/>
    <w:rsid w:val="027D2423"/>
    <w:rsid w:val="02D06122"/>
    <w:rsid w:val="02D45050"/>
    <w:rsid w:val="0301263B"/>
    <w:rsid w:val="0306264C"/>
    <w:rsid w:val="031F6C4A"/>
    <w:rsid w:val="033E071B"/>
    <w:rsid w:val="037B371D"/>
    <w:rsid w:val="038D622C"/>
    <w:rsid w:val="039C7753"/>
    <w:rsid w:val="03CA3810"/>
    <w:rsid w:val="03D137D5"/>
    <w:rsid w:val="041A57DE"/>
    <w:rsid w:val="043F347F"/>
    <w:rsid w:val="04632502"/>
    <w:rsid w:val="049F0B84"/>
    <w:rsid w:val="04A722F0"/>
    <w:rsid w:val="04D07501"/>
    <w:rsid w:val="04F55751"/>
    <w:rsid w:val="0533594D"/>
    <w:rsid w:val="056D353A"/>
    <w:rsid w:val="056F1754"/>
    <w:rsid w:val="057C19CF"/>
    <w:rsid w:val="05891715"/>
    <w:rsid w:val="0599422C"/>
    <w:rsid w:val="05A0746B"/>
    <w:rsid w:val="05AD600A"/>
    <w:rsid w:val="05CD5B41"/>
    <w:rsid w:val="05E8769B"/>
    <w:rsid w:val="06033F82"/>
    <w:rsid w:val="06240FB0"/>
    <w:rsid w:val="063A78C0"/>
    <w:rsid w:val="063D2F0C"/>
    <w:rsid w:val="063E3729"/>
    <w:rsid w:val="06420522"/>
    <w:rsid w:val="06500C15"/>
    <w:rsid w:val="065838EC"/>
    <w:rsid w:val="066F5090"/>
    <w:rsid w:val="06771F60"/>
    <w:rsid w:val="06B5008B"/>
    <w:rsid w:val="06B55198"/>
    <w:rsid w:val="06BD229F"/>
    <w:rsid w:val="06BE181B"/>
    <w:rsid w:val="06C32B36"/>
    <w:rsid w:val="06D373CC"/>
    <w:rsid w:val="07424F11"/>
    <w:rsid w:val="07491CD5"/>
    <w:rsid w:val="075A189C"/>
    <w:rsid w:val="075C1AB8"/>
    <w:rsid w:val="0780428E"/>
    <w:rsid w:val="07910380"/>
    <w:rsid w:val="079B257F"/>
    <w:rsid w:val="07B53200"/>
    <w:rsid w:val="07BD70D6"/>
    <w:rsid w:val="07EC262D"/>
    <w:rsid w:val="07EC56DA"/>
    <w:rsid w:val="07F32206"/>
    <w:rsid w:val="08493DE9"/>
    <w:rsid w:val="087D3A94"/>
    <w:rsid w:val="08C16076"/>
    <w:rsid w:val="08CB3CEC"/>
    <w:rsid w:val="090221EB"/>
    <w:rsid w:val="09150856"/>
    <w:rsid w:val="09304920"/>
    <w:rsid w:val="0935611C"/>
    <w:rsid w:val="094A6D62"/>
    <w:rsid w:val="095276EA"/>
    <w:rsid w:val="095C431D"/>
    <w:rsid w:val="097A6225"/>
    <w:rsid w:val="09B814DE"/>
    <w:rsid w:val="09BC5884"/>
    <w:rsid w:val="09C474A0"/>
    <w:rsid w:val="09CD18E1"/>
    <w:rsid w:val="09D24291"/>
    <w:rsid w:val="09F5530D"/>
    <w:rsid w:val="0A081FD4"/>
    <w:rsid w:val="0A2F5262"/>
    <w:rsid w:val="0A4554D2"/>
    <w:rsid w:val="0AA479FE"/>
    <w:rsid w:val="0AA95014"/>
    <w:rsid w:val="0ADD0EBF"/>
    <w:rsid w:val="0AF435E5"/>
    <w:rsid w:val="0AFA5B1B"/>
    <w:rsid w:val="0AFB20FF"/>
    <w:rsid w:val="0B430409"/>
    <w:rsid w:val="0B6C2629"/>
    <w:rsid w:val="0B964496"/>
    <w:rsid w:val="0B980BE5"/>
    <w:rsid w:val="0BC814CA"/>
    <w:rsid w:val="0BD04822"/>
    <w:rsid w:val="0BEB6F66"/>
    <w:rsid w:val="0BF24799"/>
    <w:rsid w:val="0C1741FF"/>
    <w:rsid w:val="0C19236B"/>
    <w:rsid w:val="0C3628D7"/>
    <w:rsid w:val="0C4A0131"/>
    <w:rsid w:val="0C7A30DA"/>
    <w:rsid w:val="0CCA56C3"/>
    <w:rsid w:val="0CD81BE1"/>
    <w:rsid w:val="0D0F4ED6"/>
    <w:rsid w:val="0D2A664B"/>
    <w:rsid w:val="0D3D3E59"/>
    <w:rsid w:val="0D3E429D"/>
    <w:rsid w:val="0D3F756A"/>
    <w:rsid w:val="0D497AA9"/>
    <w:rsid w:val="0D585AC0"/>
    <w:rsid w:val="0D696CDD"/>
    <w:rsid w:val="0D724AF0"/>
    <w:rsid w:val="0D9B0DE1"/>
    <w:rsid w:val="0DB907FE"/>
    <w:rsid w:val="0DDC057E"/>
    <w:rsid w:val="0DEB14A0"/>
    <w:rsid w:val="0DFC545B"/>
    <w:rsid w:val="0E0662D9"/>
    <w:rsid w:val="0E0A5DCA"/>
    <w:rsid w:val="0E34676E"/>
    <w:rsid w:val="0E537423"/>
    <w:rsid w:val="0E581F46"/>
    <w:rsid w:val="0E677FB6"/>
    <w:rsid w:val="0E8B1475"/>
    <w:rsid w:val="0E8B753E"/>
    <w:rsid w:val="0EA323E3"/>
    <w:rsid w:val="0F156D04"/>
    <w:rsid w:val="0F5F0397"/>
    <w:rsid w:val="0F784FB5"/>
    <w:rsid w:val="0F973805"/>
    <w:rsid w:val="0FD27910"/>
    <w:rsid w:val="0FE73EE9"/>
    <w:rsid w:val="0FF46692"/>
    <w:rsid w:val="0FFA1E6E"/>
    <w:rsid w:val="0FFB485C"/>
    <w:rsid w:val="1010467E"/>
    <w:rsid w:val="101822F4"/>
    <w:rsid w:val="101F3E50"/>
    <w:rsid w:val="10295143"/>
    <w:rsid w:val="105B6840"/>
    <w:rsid w:val="10994852"/>
    <w:rsid w:val="10BB5630"/>
    <w:rsid w:val="10D11705"/>
    <w:rsid w:val="10D557BF"/>
    <w:rsid w:val="10DD5A17"/>
    <w:rsid w:val="10E217B2"/>
    <w:rsid w:val="10F3105F"/>
    <w:rsid w:val="110552BA"/>
    <w:rsid w:val="113C5FC2"/>
    <w:rsid w:val="114F3C6F"/>
    <w:rsid w:val="11511F61"/>
    <w:rsid w:val="11574FC0"/>
    <w:rsid w:val="11586E4C"/>
    <w:rsid w:val="11595733"/>
    <w:rsid w:val="1165131B"/>
    <w:rsid w:val="118A0FD0"/>
    <w:rsid w:val="11B147AE"/>
    <w:rsid w:val="11E8281D"/>
    <w:rsid w:val="11F03528"/>
    <w:rsid w:val="121E72D8"/>
    <w:rsid w:val="12261D51"/>
    <w:rsid w:val="12304909"/>
    <w:rsid w:val="12411FD6"/>
    <w:rsid w:val="125F726F"/>
    <w:rsid w:val="12647866"/>
    <w:rsid w:val="126A06D5"/>
    <w:rsid w:val="12C44963"/>
    <w:rsid w:val="13143B13"/>
    <w:rsid w:val="13394A5B"/>
    <w:rsid w:val="13494A5F"/>
    <w:rsid w:val="1363767D"/>
    <w:rsid w:val="138008DC"/>
    <w:rsid w:val="138706ED"/>
    <w:rsid w:val="13AC7923"/>
    <w:rsid w:val="13B62B7A"/>
    <w:rsid w:val="13CF1228"/>
    <w:rsid w:val="13F20BF0"/>
    <w:rsid w:val="13F225FA"/>
    <w:rsid w:val="14373691"/>
    <w:rsid w:val="144677A2"/>
    <w:rsid w:val="14471F61"/>
    <w:rsid w:val="14AD17E2"/>
    <w:rsid w:val="14B52807"/>
    <w:rsid w:val="14C127B6"/>
    <w:rsid w:val="14C54132"/>
    <w:rsid w:val="14CF6F1E"/>
    <w:rsid w:val="14F37A13"/>
    <w:rsid w:val="154F0CA1"/>
    <w:rsid w:val="155E4C4D"/>
    <w:rsid w:val="15A07014"/>
    <w:rsid w:val="15BE7527"/>
    <w:rsid w:val="15D77522"/>
    <w:rsid w:val="15E6572E"/>
    <w:rsid w:val="15F25F9F"/>
    <w:rsid w:val="15F64E85"/>
    <w:rsid w:val="16056E04"/>
    <w:rsid w:val="161A5018"/>
    <w:rsid w:val="1633462A"/>
    <w:rsid w:val="16460D7C"/>
    <w:rsid w:val="166029F5"/>
    <w:rsid w:val="16747CB5"/>
    <w:rsid w:val="1681729A"/>
    <w:rsid w:val="16871A0C"/>
    <w:rsid w:val="16B07D64"/>
    <w:rsid w:val="16EF4EE4"/>
    <w:rsid w:val="170F61FF"/>
    <w:rsid w:val="17103D84"/>
    <w:rsid w:val="17231CAA"/>
    <w:rsid w:val="172A6476"/>
    <w:rsid w:val="172F4AF3"/>
    <w:rsid w:val="173C4B1A"/>
    <w:rsid w:val="17425FE9"/>
    <w:rsid w:val="17B17522"/>
    <w:rsid w:val="17C12D29"/>
    <w:rsid w:val="17D705CB"/>
    <w:rsid w:val="17E22AF6"/>
    <w:rsid w:val="17FB32D5"/>
    <w:rsid w:val="180901F5"/>
    <w:rsid w:val="18177D8F"/>
    <w:rsid w:val="18185587"/>
    <w:rsid w:val="183028DA"/>
    <w:rsid w:val="18452495"/>
    <w:rsid w:val="18574301"/>
    <w:rsid w:val="185F2BFB"/>
    <w:rsid w:val="186124A9"/>
    <w:rsid w:val="18693919"/>
    <w:rsid w:val="187F1162"/>
    <w:rsid w:val="18E522D5"/>
    <w:rsid w:val="18F30F10"/>
    <w:rsid w:val="190B07B0"/>
    <w:rsid w:val="191B0654"/>
    <w:rsid w:val="193E62A3"/>
    <w:rsid w:val="194F0CE3"/>
    <w:rsid w:val="19627F68"/>
    <w:rsid w:val="196D545F"/>
    <w:rsid w:val="197A4D9E"/>
    <w:rsid w:val="19914358"/>
    <w:rsid w:val="19B62A89"/>
    <w:rsid w:val="19D410C9"/>
    <w:rsid w:val="19F214C6"/>
    <w:rsid w:val="19FA7AF8"/>
    <w:rsid w:val="1A364C21"/>
    <w:rsid w:val="1A7573D0"/>
    <w:rsid w:val="1A8448EE"/>
    <w:rsid w:val="1A8707A2"/>
    <w:rsid w:val="1AC612CA"/>
    <w:rsid w:val="1AEA2461"/>
    <w:rsid w:val="1AEB304F"/>
    <w:rsid w:val="1AF42694"/>
    <w:rsid w:val="1B47333F"/>
    <w:rsid w:val="1B854BE1"/>
    <w:rsid w:val="1B866CAC"/>
    <w:rsid w:val="1BB747A9"/>
    <w:rsid w:val="1BDD099E"/>
    <w:rsid w:val="1C0C71B1"/>
    <w:rsid w:val="1C3D52B3"/>
    <w:rsid w:val="1C3E5644"/>
    <w:rsid w:val="1C5648D0"/>
    <w:rsid w:val="1CAD66DB"/>
    <w:rsid w:val="1CE9427F"/>
    <w:rsid w:val="1D140369"/>
    <w:rsid w:val="1D491378"/>
    <w:rsid w:val="1D5373D8"/>
    <w:rsid w:val="1D6E17A5"/>
    <w:rsid w:val="1D9A259A"/>
    <w:rsid w:val="1DBC1A7D"/>
    <w:rsid w:val="1DD757F7"/>
    <w:rsid w:val="1E345F74"/>
    <w:rsid w:val="1E4D585F"/>
    <w:rsid w:val="1E7159F1"/>
    <w:rsid w:val="1E982F7E"/>
    <w:rsid w:val="1EC46BDF"/>
    <w:rsid w:val="1EE62BC9"/>
    <w:rsid w:val="1EF04B68"/>
    <w:rsid w:val="1EF1268E"/>
    <w:rsid w:val="1F130BC7"/>
    <w:rsid w:val="1F30765A"/>
    <w:rsid w:val="1F3E1D77"/>
    <w:rsid w:val="1F59095F"/>
    <w:rsid w:val="1F896D6A"/>
    <w:rsid w:val="1FA12BF2"/>
    <w:rsid w:val="1FBC0EEE"/>
    <w:rsid w:val="1FE05460"/>
    <w:rsid w:val="1FFB2068"/>
    <w:rsid w:val="202A69C4"/>
    <w:rsid w:val="205B4263"/>
    <w:rsid w:val="20996A20"/>
    <w:rsid w:val="20A976C4"/>
    <w:rsid w:val="20C938C2"/>
    <w:rsid w:val="20EE16EE"/>
    <w:rsid w:val="20FA7F20"/>
    <w:rsid w:val="215872A0"/>
    <w:rsid w:val="215F183D"/>
    <w:rsid w:val="218705CA"/>
    <w:rsid w:val="219657C7"/>
    <w:rsid w:val="21A75CD6"/>
    <w:rsid w:val="21D342CD"/>
    <w:rsid w:val="21D818E3"/>
    <w:rsid w:val="21FF753F"/>
    <w:rsid w:val="222E06E7"/>
    <w:rsid w:val="22544EFC"/>
    <w:rsid w:val="22961CDF"/>
    <w:rsid w:val="22A45BC3"/>
    <w:rsid w:val="22E16293"/>
    <w:rsid w:val="22E44DF7"/>
    <w:rsid w:val="22E5075C"/>
    <w:rsid w:val="231A7F5B"/>
    <w:rsid w:val="232748D0"/>
    <w:rsid w:val="23294AEC"/>
    <w:rsid w:val="232B2612"/>
    <w:rsid w:val="23432A93"/>
    <w:rsid w:val="234469A0"/>
    <w:rsid w:val="23571659"/>
    <w:rsid w:val="237F64BA"/>
    <w:rsid w:val="2383244E"/>
    <w:rsid w:val="23A0431E"/>
    <w:rsid w:val="23A22C64"/>
    <w:rsid w:val="23B726D7"/>
    <w:rsid w:val="23C021C2"/>
    <w:rsid w:val="23FE7D27"/>
    <w:rsid w:val="243A03A2"/>
    <w:rsid w:val="247164AE"/>
    <w:rsid w:val="24BE3012"/>
    <w:rsid w:val="24C32890"/>
    <w:rsid w:val="24F3132E"/>
    <w:rsid w:val="251913F0"/>
    <w:rsid w:val="25302162"/>
    <w:rsid w:val="253E1F4B"/>
    <w:rsid w:val="253F23A5"/>
    <w:rsid w:val="25491022"/>
    <w:rsid w:val="254A0D4A"/>
    <w:rsid w:val="25626093"/>
    <w:rsid w:val="25DF64D4"/>
    <w:rsid w:val="25F3318F"/>
    <w:rsid w:val="260319D4"/>
    <w:rsid w:val="26064C71"/>
    <w:rsid w:val="260C3EE7"/>
    <w:rsid w:val="26166B51"/>
    <w:rsid w:val="263A21BF"/>
    <w:rsid w:val="26856303"/>
    <w:rsid w:val="2687398C"/>
    <w:rsid w:val="26923CF6"/>
    <w:rsid w:val="26963F32"/>
    <w:rsid w:val="26A06E73"/>
    <w:rsid w:val="26B15E27"/>
    <w:rsid w:val="26D25C1B"/>
    <w:rsid w:val="26EF02FF"/>
    <w:rsid w:val="270C4509"/>
    <w:rsid w:val="27303202"/>
    <w:rsid w:val="27361586"/>
    <w:rsid w:val="273B5A6E"/>
    <w:rsid w:val="27870033"/>
    <w:rsid w:val="2791112C"/>
    <w:rsid w:val="27983EEA"/>
    <w:rsid w:val="27A40466"/>
    <w:rsid w:val="27CC3C98"/>
    <w:rsid w:val="27DD5803"/>
    <w:rsid w:val="27E70A71"/>
    <w:rsid w:val="27F67FC9"/>
    <w:rsid w:val="280269F6"/>
    <w:rsid w:val="28155093"/>
    <w:rsid w:val="2829733C"/>
    <w:rsid w:val="284D302B"/>
    <w:rsid w:val="285F4B0C"/>
    <w:rsid w:val="28677F43"/>
    <w:rsid w:val="28783894"/>
    <w:rsid w:val="288602EB"/>
    <w:rsid w:val="28AA222B"/>
    <w:rsid w:val="28D81D16"/>
    <w:rsid w:val="28DA2E6D"/>
    <w:rsid w:val="28FC3BD8"/>
    <w:rsid w:val="290B259E"/>
    <w:rsid w:val="290E5FEF"/>
    <w:rsid w:val="29182FB2"/>
    <w:rsid w:val="2920429C"/>
    <w:rsid w:val="29276371"/>
    <w:rsid w:val="295D54F0"/>
    <w:rsid w:val="299D58EC"/>
    <w:rsid w:val="29BF5862"/>
    <w:rsid w:val="29CA4207"/>
    <w:rsid w:val="29E452C9"/>
    <w:rsid w:val="29F74CE4"/>
    <w:rsid w:val="29F86FC6"/>
    <w:rsid w:val="29FB0865"/>
    <w:rsid w:val="2A10536E"/>
    <w:rsid w:val="2A22201E"/>
    <w:rsid w:val="2A3D09D8"/>
    <w:rsid w:val="2A4F7BED"/>
    <w:rsid w:val="2A5735BF"/>
    <w:rsid w:val="2A6D4DC3"/>
    <w:rsid w:val="2A726D79"/>
    <w:rsid w:val="2A741495"/>
    <w:rsid w:val="2A7C19A5"/>
    <w:rsid w:val="2A922F77"/>
    <w:rsid w:val="2ADB5B3C"/>
    <w:rsid w:val="2ADE1DA5"/>
    <w:rsid w:val="2AFC2AE6"/>
    <w:rsid w:val="2B086DB8"/>
    <w:rsid w:val="2B942CB2"/>
    <w:rsid w:val="2BBB2FE0"/>
    <w:rsid w:val="2BD26F37"/>
    <w:rsid w:val="2BFB2D9E"/>
    <w:rsid w:val="2C212804"/>
    <w:rsid w:val="2C351E0C"/>
    <w:rsid w:val="2C440C0B"/>
    <w:rsid w:val="2C5129BE"/>
    <w:rsid w:val="2C5A7AC4"/>
    <w:rsid w:val="2C6C504A"/>
    <w:rsid w:val="2C7843EE"/>
    <w:rsid w:val="2CBC42DB"/>
    <w:rsid w:val="2CF00C50"/>
    <w:rsid w:val="2D0A3299"/>
    <w:rsid w:val="2D1119B9"/>
    <w:rsid w:val="2D3A15DD"/>
    <w:rsid w:val="2D3A3710"/>
    <w:rsid w:val="2D4A7B39"/>
    <w:rsid w:val="2D5E5392"/>
    <w:rsid w:val="2D88252C"/>
    <w:rsid w:val="2D9C0F1E"/>
    <w:rsid w:val="2DE01199"/>
    <w:rsid w:val="2DEB69F1"/>
    <w:rsid w:val="2DFE426D"/>
    <w:rsid w:val="2E0F2B31"/>
    <w:rsid w:val="2E49615F"/>
    <w:rsid w:val="2E4C53EC"/>
    <w:rsid w:val="2E627104"/>
    <w:rsid w:val="2E7C6418"/>
    <w:rsid w:val="2E8452CD"/>
    <w:rsid w:val="2ED00512"/>
    <w:rsid w:val="2ED609E7"/>
    <w:rsid w:val="2EE921C6"/>
    <w:rsid w:val="2F400F4C"/>
    <w:rsid w:val="2F6A7C3F"/>
    <w:rsid w:val="2F7E7F6E"/>
    <w:rsid w:val="2F7F1049"/>
    <w:rsid w:val="2F803CE6"/>
    <w:rsid w:val="2F996724"/>
    <w:rsid w:val="2F9C21A2"/>
    <w:rsid w:val="2FEA5603"/>
    <w:rsid w:val="2FF55C2B"/>
    <w:rsid w:val="301D579B"/>
    <w:rsid w:val="30246A80"/>
    <w:rsid w:val="302A5A00"/>
    <w:rsid w:val="303074BA"/>
    <w:rsid w:val="307A5119"/>
    <w:rsid w:val="307E6440"/>
    <w:rsid w:val="30864BF9"/>
    <w:rsid w:val="30C51817"/>
    <w:rsid w:val="30F4600E"/>
    <w:rsid w:val="30F71D86"/>
    <w:rsid w:val="31363506"/>
    <w:rsid w:val="31603DCF"/>
    <w:rsid w:val="317B29C9"/>
    <w:rsid w:val="31913A15"/>
    <w:rsid w:val="31A415D4"/>
    <w:rsid w:val="31C815A4"/>
    <w:rsid w:val="31D6133A"/>
    <w:rsid w:val="31EF0CAF"/>
    <w:rsid w:val="31F80815"/>
    <w:rsid w:val="321D3FE2"/>
    <w:rsid w:val="32285F6F"/>
    <w:rsid w:val="325E6561"/>
    <w:rsid w:val="328062C5"/>
    <w:rsid w:val="32850897"/>
    <w:rsid w:val="328E02A4"/>
    <w:rsid w:val="32C4213C"/>
    <w:rsid w:val="32F61142"/>
    <w:rsid w:val="32FD73FC"/>
    <w:rsid w:val="33044C2E"/>
    <w:rsid w:val="3307027A"/>
    <w:rsid w:val="33226B7C"/>
    <w:rsid w:val="3335358C"/>
    <w:rsid w:val="333B549A"/>
    <w:rsid w:val="335F38EC"/>
    <w:rsid w:val="33607F84"/>
    <w:rsid w:val="33623E02"/>
    <w:rsid w:val="336851BD"/>
    <w:rsid w:val="336E0395"/>
    <w:rsid w:val="33AC1B75"/>
    <w:rsid w:val="33B52879"/>
    <w:rsid w:val="33E67E90"/>
    <w:rsid w:val="33ED46A8"/>
    <w:rsid w:val="33F830BA"/>
    <w:rsid w:val="342235BE"/>
    <w:rsid w:val="34442BEF"/>
    <w:rsid w:val="347B716F"/>
    <w:rsid w:val="34936772"/>
    <w:rsid w:val="34DF14AF"/>
    <w:rsid w:val="34F16642"/>
    <w:rsid w:val="34F211E2"/>
    <w:rsid w:val="34F31214"/>
    <w:rsid w:val="351612AE"/>
    <w:rsid w:val="35596871"/>
    <w:rsid w:val="35611B54"/>
    <w:rsid w:val="35973B37"/>
    <w:rsid w:val="35C9771B"/>
    <w:rsid w:val="35D52C49"/>
    <w:rsid w:val="35DE257C"/>
    <w:rsid w:val="36237179"/>
    <w:rsid w:val="36241FE5"/>
    <w:rsid w:val="362C0724"/>
    <w:rsid w:val="36356EAC"/>
    <w:rsid w:val="363E044A"/>
    <w:rsid w:val="36462E68"/>
    <w:rsid w:val="36464C48"/>
    <w:rsid w:val="36624145"/>
    <w:rsid w:val="366B06E0"/>
    <w:rsid w:val="36851BE2"/>
    <w:rsid w:val="368D4925"/>
    <w:rsid w:val="368F4ADC"/>
    <w:rsid w:val="36944C84"/>
    <w:rsid w:val="36FF4C05"/>
    <w:rsid w:val="37421881"/>
    <w:rsid w:val="374B61CE"/>
    <w:rsid w:val="377C0882"/>
    <w:rsid w:val="377C5FB2"/>
    <w:rsid w:val="377F0D27"/>
    <w:rsid w:val="37A102A0"/>
    <w:rsid w:val="37A91900"/>
    <w:rsid w:val="37BC5AD7"/>
    <w:rsid w:val="37BE1DBD"/>
    <w:rsid w:val="38190E02"/>
    <w:rsid w:val="38353194"/>
    <w:rsid w:val="386F48F8"/>
    <w:rsid w:val="38832997"/>
    <w:rsid w:val="38A22F48"/>
    <w:rsid w:val="38A5656B"/>
    <w:rsid w:val="38A807CE"/>
    <w:rsid w:val="38B44A00"/>
    <w:rsid w:val="38C41EAF"/>
    <w:rsid w:val="38D03C5D"/>
    <w:rsid w:val="38DF020C"/>
    <w:rsid w:val="38F1355F"/>
    <w:rsid w:val="390019F4"/>
    <w:rsid w:val="39180AEB"/>
    <w:rsid w:val="391A31E3"/>
    <w:rsid w:val="393777E0"/>
    <w:rsid w:val="39510F45"/>
    <w:rsid w:val="39A11555"/>
    <w:rsid w:val="39A52F16"/>
    <w:rsid w:val="39E135D3"/>
    <w:rsid w:val="39F7736E"/>
    <w:rsid w:val="3A0234A6"/>
    <w:rsid w:val="3A057791"/>
    <w:rsid w:val="3A316AB1"/>
    <w:rsid w:val="3A40479E"/>
    <w:rsid w:val="3A4C56B3"/>
    <w:rsid w:val="3A7B72EC"/>
    <w:rsid w:val="3A8328DC"/>
    <w:rsid w:val="3ABE586F"/>
    <w:rsid w:val="3AC058DE"/>
    <w:rsid w:val="3ACF72F6"/>
    <w:rsid w:val="3AE7480B"/>
    <w:rsid w:val="3B07332D"/>
    <w:rsid w:val="3B26765E"/>
    <w:rsid w:val="3B556027"/>
    <w:rsid w:val="3B81506E"/>
    <w:rsid w:val="3B8D3C6A"/>
    <w:rsid w:val="3B8E7491"/>
    <w:rsid w:val="3BB15227"/>
    <w:rsid w:val="3BED65BA"/>
    <w:rsid w:val="3BFA7EF7"/>
    <w:rsid w:val="3C3E2F5F"/>
    <w:rsid w:val="3C432323"/>
    <w:rsid w:val="3C4F7771"/>
    <w:rsid w:val="3CA64660"/>
    <w:rsid w:val="3CA768D3"/>
    <w:rsid w:val="3CD34C1C"/>
    <w:rsid w:val="3D0D49A3"/>
    <w:rsid w:val="3D1253BE"/>
    <w:rsid w:val="3D160305"/>
    <w:rsid w:val="3D2A5291"/>
    <w:rsid w:val="3D4225DB"/>
    <w:rsid w:val="3D582936"/>
    <w:rsid w:val="3D622C7D"/>
    <w:rsid w:val="3D727C7F"/>
    <w:rsid w:val="3D7529B0"/>
    <w:rsid w:val="3D9646D4"/>
    <w:rsid w:val="3D9A6E6F"/>
    <w:rsid w:val="3DA57FDB"/>
    <w:rsid w:val="3DA662ED"/>
    <w:rsid w:val="3DC167B0"/>
    <w:rsid w:val="3DC3424B"/>
    <w:rsid w:val="3DCA2479"/>
    <w:rsid w:val="3DE57EBB"/>
    <w:rsid w:val="3E291774"/>
    <w:rsid w:val="3E2B12C1"/>
    <w:rsid w:val="3E57281C"/>
    <w:rsid w:val="3E5E4B58"/>
    <w:rsid w:val="3E611186"/>
    <w:rsid w:val="3E703177"/>
    <w:rsid w:val="3EA1096C"/>
    <w:rsid w:val="3EC55360"/>
    <w:rsid w:val="3EC6723B"/>
    <w:rsid w:val="3EED47BE"/>
    <w:rsid w:val="3F0F2990"/>
    <w:rsid w:val="3F6C12E5"/>
    <w:rsid w:val="3F7B78A2"/>
    <w:rsid w:val="3FAF13AE"/>
    <w:rsid w:val="3FBB6674"/>
    <w:rsid w:val="3FC050A0"/>
    <w:rsid w:val="3FE30487"/>
    <w:rsid w:val="3FF1309C"/>
    <w:rsid w:val="40112738"/>
    <w:rsid w:val="40296AF8"/>
    <w:rsid w:val="40316936"/>
    <w:rsid w:val="40432CD4"/>
    <w:rsid w:val="404949AC"/>
    <w:rsid w:val="40746734"/>
    <w:rsid w:val="408D1DBF"/>
    <w:rsid w:val="40900347"/>
    <w:rsid w:val="40A1676B"/>
    <w:rsid w:val="40D14ACF"/>
    <w:rsid w:val="40E6505C"/>
    <w:rsid w:val="40E97B41"/>
    <w:rsid w:val="40FF0F37"/>
    <w:rsid w:val="4110479E"/>
    <w:rsid w:val="411163DF"/>
    <w:rsid w:val="41150A3E"/>
    <w:rsid w:val="41442D9F"/>
    <w:rsid w:val="4159220A"/>
    <w:rsid w:val="415D593F"/>
    <w:rsid w:val="416232B6"/>
    <w:rsid w:val="416E3087"/>
    <w:rsid w:val="41830FFF"/>
    <w:rsid w:val="41893DE7"/>
    <w:rsid w:val="419929E5"/>
    <w:rsid w:val="41B20CD4"/>
    <w:rsid w:val="420267DC"/>
    <w:rsid w:val="422B7AE1"/>
    <w:rsid w:val="42384E7D"/>
    <w:rsid w:val="423D2F75"/>
    <w:rsid w:val="42565841"/>
    <w:rsid w:val="425B35B9"/>
    <w:rsid w:val="428B4A24"/>
    <w:rsid w:val="428E0070"/>
    <w:rsid w:val="42A53A11"/>
    <w:rsid w:val="42A72B17"/>
    <w:rsid w:val="42B21FB1"/>
    <w:rsid w:val="42B76F21"/>
    <w:rsid w:val="42C674F8"/>
    <w:rsid w:val="43192030"/>
    <w:rsid w:val="43364618"/>
    <w:rsid w:val="43394480"/>
    <w:rsid w:val="43454BD3"/>
    <w:rsid w:val="435D3F5C"/>
    <w:rsid w:val="43617533"/>
    <w:rsid w:val="43851473"/>
    <w:rsid w:val="43873AA0"/>
    <w:rsid w:val="43A7763B"/>
    <w:rsid w:val="441B20B5"/>
    <w:rsid w:val="44764A07"/>
    <w:rsid w:val="449A3F3B"/>
    <w:rsid w:val="449C4CC6"/>
    <w:rsid w:val="44B042CE"/>
    <w:rsid w:val="44DF2E05"/>
    <w:rsid w:val="44E030DB"/>
    <w:rsid w:val="450B7FC6"/>
    <w:rsid w:val="45341D73"/>
    <w:rsid w:val="458C66A6"/>
    <w:rsid w:val="458E78FB"/>
    <w:rsid w:val="459C79C4"/>
    <w:rsid w:val="45AA3680"/>
    <w:rsid w:val="45C344D5"/>
    <w:rsid w:val="45E00BE3"/>
    <w:rsid w:val="45E22BAD"/>
    <w:rsid w:val="46004DE1"/>
    <w:rsid w:val="460C19D8"/>
    <w:rsid w:val="461412EB"/>
    <w:rsid w:val="46576CE3"/>
    <w:rsid w:val="46761D34"/>
    <w:rsid w:val="469A000B"/>
    <w:rsid w:val="46CA0A20"/>
    <w:rsid w:val="46F05292"/>
    <w:rsid w:val="46F13982"/>
    <w:rsid w:val="46FE0937"/>
    <w:rsid w:val="47500C83"/>
    <w:rsid w:val="478D4D9A"/>
    <w:rsid w:val="47AD71EA"/>
    <w:rsid w:val="47F65B00"/>
    <w:rsid w:val="48097DF6"/>
    <w:rsid w:val="48955B9F"/>
    <w:rsid w:val="48BC19CE"/>
    <w:rsid w:val="48C11BEB"/>
    <w:rsid w:val="48C447EC"/>
    <w:rsid w:val="48DA7809"/>
    <w:rsid w:val="48EC308E"/>
    <w:rsid w:val="48F76E74"/>
    <w:rsid w:val="491A265E"/>
    <w:rsid w:val="49491024"/>
    <w:rsid w:val="496F29A9"/>
    <w:rsid w:val="497D40E7"/>
    <w:rsid w:val="49A32B11"/>
    <w:rsid w:val="49C11C8B"/>
    <w:rsid w:val="4A1471FD"/>
    <w:rsid w:val="4A1724A6"/>
    <w:rsid w:val="4A186665"/>
    <w:rsid w:val="4A1C0B36"/>
    <w:rsid w:val="4A410749"/>
    <w:rsid w:val="4A4A0D21"/>
    <w:rsid w:val="4A9F33E2"/>
    <w:rsid w:val="4AA04DE4"/>
    <w:rsid w:val="4AA448D5"/>
    <w:rsid w:val="4AC960E9"/>
    <w:rsid w:val="4AE11DA2"/>
    <w:rsid w:val="4AE253FD"/>
    <w:rsid w:val="4B1F21AD"/>
    <w:rsid w:val="4B5C0F28"/>
    <w:rsid w:val="4B702A09"/>
    <w:rsid w:val="4B7342A7"/>
    <w:rsid w:val="4B751DCD"/>
    <w:rsid w:val="4B8E0905"/>
    <w:rsid w:val="4B9F4B14"/>
    <w:rsid w:val="4BA601D9"/>
    <w:rsid w:val="4BBD77C6"/>
    <w:rsid w:val="4BC82845"/>
    <w:rsid w:val="4BD263D4"/>
    <w:rsid w:val="4C1C09C1"/>
    <w:rsid w:val="4C343A36"/>
    <w:rsid w:val="4C4315B6"/>
    <w:rsid w:val="4C435E69"/>
    <w:rsid w:val="4C612D62"/>
    <w:rsid w:val="4C7C718B"/>
    <w:rsid w:val="4C881C6A"/>
    <w:rsid w:val="4C8F3716"/>
    <w:rsid w:val="4CA13C8F"/>
    <w:rsid w:val="4CC24380"/>
    <w:rsid w:val="4CC9184B"/>
    <w:rsid w:val="4CDB65A8"/>
    <w:rsid w:val="4CE342E9"/>
    <w:rsid w:val="4CE34453"/>
    <w:rsid w:val="4D396D7E"/>
    <w:rsid w:val="4D3C37EB"/>
    <w:rsid w:val="4D770B5F"/>
    <w:rsid w:val="4D7B654D"/>
    <w:rsid w:val="4DC76478"/>
    <w:rsid w:val="4DCB7328"/>
    <w:rsid w:val="4E000207"/>
    <w:rsid w:val="4E1407FF"/>
    <w:rsid w:val="4E416D78"/>
    <w:rsid w:val="4E434405"/>
    <w:rsid w:val="4E516C97"/>
    <w:rsid w:val="4E8116E8"/>
    <w:rsid w:val="4E984407"/>
    <w:rsid w:val="4EA82B7F"/>
    <w:rsid w:val="4EB26E94"/>
    <w:rsid w:val="4EEE5791"/>
    <w:rsid w:val="4EF02A66"/>
    <w:rsid w:val="4F1A3900"/>
    <w:rsid w:val="4F2413EF"/>
    <w:rsid w:val="4F305E53"/>
    <w:rsid w:val="4F3E697A"/>
    <w:rsid w:val="4F5E2313"/>
    <w:rsid w:val="4F65598B"/>
    <w:rsid w:val="4F951C6E"/>
    <w:rsid w:val="4FAC52CF"/>
    <w:rsid w:val="4FD646D7"/>
    <w:rsid w:val="4FEE3B26"/>
    <w:rsid w:val="502A479E"/>
    <w:rsid w:val="505200D4"/>
    <w:rsid w:val="506352ED"/>
    <w:rsid w:val="50C64E79"/>
    <w:rsid w:val="50D51DF6"/>
    <w:rsid w:val="50D77086"/>
    <w:rsid w:val="50E571DB"/>
    <w:rsid w:val="510A745E"/>
    <w:rsid w:val="51165E00"/>
    <w:rsid w:val="511D718F"/>
    <w:rsid w:val="511E4CB5"/>
    <w:rsid w:val="51825BF6"/>
    <w:rsid w:val="5189297B"/>
    <w:rsid w:val="5192073C"/>
    <w:rsid w:val="51A60F32"/>
    <w:rsid w:val="51AA18F1"/>
    <w:rsid w:val="51B97506"/>
    <w:rsid w:val="51C413B8"/>
    <w:rsid w:val="51C83FD4"/>
    <w:rsid w:val="51D419CD"/>
    <w:rsid w:val="51DA2631"/>
    <w:rsid w:val="51DA5080"/>
    <w:rsid w:val="51F31E36"/>
    <w:rsid w:val="523547E4"/>
    <w:rsid w:val="5239082E"/>
    <w:rsid w:val="52426781"/>
    <w:rsid w:val="52475C21"/>
    <w:rsid w:val="525564B4"/>
    <w:rsid w:val="529C40E3"/>
    <w:rsid w:val="529E42FF"/>
    <w:rsid w:val="52C644C3"/>
    <w:rsid w:val="52CF0D56"/>
    <w:rsid w:val="52E066C6"/>
    <w:rsid w:val="53063FF1"/>
    <w:rsid w:val="530A729F"/>
    <w:rsid w:val="530C7C04"/>
    <w:rsid w:val="53177C0D"/>
    <w:rsid w:val="532C06D7"/>
    <w:rsid w:val="533D70E2"/>
    <w:rsid w:val="534074DD"/>
    <w:rsid w:val="53411623"/>
    <w:rsid w:val="5357510D"/>
    <w:rsid w:val="535A355B"/>
    <w:rsid w:val="536B550D"/>
    <w:rsid w:val="538C5F06"/>
    <w:rsid w:val="53BC42D5"/>
    <w:rsid w:val="53BD42D4"/>
    <w:rsid w:val="53C438F2"/>
    <w:rsid w:val="53CE051C"/>
    <w:rsid w:val="53F1220D"/>
    <w:rsid w:val="54077C82"/>
    <w:rsid w:val="54136627"/>
    <w:rsid w:val="545033D7"/>
    <w:rsid w:val="54556C40"/>
    <w:rsid w:val="547407BF"/>
    <w:rsid w:val="549C486F"/>
    <w:rsid w:val="54A84FC1"/>
    <w:rsid w:val="54E61C23"/>
    <w:rsid w:val="54EF2BF0"/>
    <w:rsid w:val="54F8018E"/>
    <w:rsid w:val="551433BA"/>
    <w:rsid w:val="554A42CB"/>
    <w:rsid w:val="55603AEE"/>
    <w:rsid w:val="556B0CBF"/>
    <w:rsid w:val="558E065B"/>
    <w:rsid w:val="559C55C2"/>
    <w:rsid w:val="55BA5191"/>
    <w:rsid w:val="55CA71B9"/>
    <w:rsid w:val="55CC49A9"/>
    <w:rsid w:val="560E5D0A"/>
    <w:rsid w:val="561E2A02"/>
    <w:rsid w:val="564379C9"/>
    <w:rsid w:val="56784C66"/>
    <w:rsid w:val="569B242E"/>
    <w:rsid w:val="56C449A6"/>
    <w:rsid w:val="56FB2B1E"/>
    <w:rsid w:val="570108EB"/>
    <w:rsid w:val="570479D8"/>
    <w:rsid w:val="571A0371"/>
    <w:rsid w:val="571A1A7B"/>
    <w:rsid w:val="571B3010"/>
    <w:rsid w:val="574014E1"/>
    <w:rsid w:val="574E07BF"/>
    <w:rsid w:val="57A4244B"/>
    <w:rsid w:val="57B13726"/>
    <w:rsid w:val="57C540DC"/>
    <w:rsid w:val="57CE4965"/>
    <w:rsid w:val="580544D9"/>
    <w:rsid w:val="58545E47"/>
    <w:rsid w:val="58A27021"/>
    <w:rsid w:val="58BC103B"/>
    <w:rsid w:val="58C852F3"/>
    <w:rsid w:val="58CB6B41"/>
    <w:rsid w:val="58D36385"/>
    <w:rsid w:val="58DF3C9E"/>
    <w:rsid w:val="590824D3"/>
    <w:rsid w:val="590A0C7B"/>
    <w:rsid w:val="59347A5E"/>
    <w:rsid w:val="594E53E5"/>
    <w:rsid w:val="59544349"/>
    <w:rsid w:val="599B6EA3"/>
    <w:rsid w:val="59A246D5"/>
    <w:rsid w:val="59B2243E"/>
    <w:rsid w:val="59D365A4"/>
    <w:rsid w:val="59D81EA5"/>
    <w:rsid w:val="59F91B3E"/>
    <w:rsid w:val="5A1B4488"/>
    <w:rsid w:val="5A40496C"/>
    <w:rsid w:val="5A5272C6"/>
    <w:rsid w:val="5A7B4428"/>
    <w:rsid w:val="5AB97E5A"/>
    <w:rsid w:val="5AB97EAE"/>
    <w:rsid w:val="5AC95C92"/>
    <w:rsid w:val="5AD6259C"/>
    <w:rsid w:val="5ADB5346"/>
    <w:rsid w:val="5B0B62AA"/>
    <w:rsid w:val="5B270FC9"/>
    <w:rsid w:val="5B2737D0"/>
    <w:rsid w:val="5B2C1644"/>
    <w:rsid w:val="5B367308"/>
    <w:rsid w:val="5B4672E2"/>
    <w:rsid w:val="5B774546"/>
    <w:rsid w:val="5B7C4AB2"/>
    <w:rsid w:val="5B8404C5"/>
    <w:rsid w:val="5B921200"/>
    <w:rsid w:val="5BAD56A6"/>
    <w:rsid w:val="5BD14DFE"/>
    <w:rsid w:val="5BF23CD7"/>
    <w:rsid w:val="5C0465ED"/>
    <w:rsid w:val="5C0B5A5D"/>
    <w:rsid w:val="5C115035"/>
    <w:rsid w:val="5C400A2A"/>
    <w:rsid w:val="5C9A78E6"/>
    <w:rsid w:val="5CA615A9"/>
    <w:rsid w:val="5CAD5C12"/>
    <w:rsid w:val="5CAE0957"/>
    <w:rsid w:val="5CB510C9"/>
    <w:rsid w:val="5CDA4186"/>
    <w:rsid w:val="5CDE2BD0"/>
    <w:rsid w:val="5CFF599B"/>
    <w:rsid w:val="5D747DE6"/>
    <w:rsid w:val="5D8208D7"/>
    <w:rsid w:val="5DA27C78"/>
    <w:rsid w:val="5DAB39F2"/>
    <w:rsid w:val="5DB76275"/>
    <w:rsid w:val="5DEC583D"/>
    <w:rsid w:val="5E0737FD"/>
    <w:rsid w:val="5E0A2849"/>
    <w:rsid w:val="5E203E1A"/>
    <w:rsid w:val="5E5F0DE7"/>
    <w:rsid w:val="5E62411C"/>
    <w:rsid w:val="5E6A32E8"/>
    <w:rsid w:val="5E6F6B4C"/>
    <w:rsid w:val="5E7B72A3"/>
    <w:rsid w:val="5E890C4F"/>
    <w:rsid w:val="5E8F2DB2"/>
    <w:rsid w:val="5ED47233"/>
    <w:rsid w:val="5F076D88"/>
    <w:rsid w:val="5F4A759F"/>
    <w:rsid w:val="5F6B1AA0"/>
    <w:rsid w:val="5F97010C"/>
    <w:rsid w:val="5F973477"/>
    <w:rsid w:val="5FA36AB1"/>
    <w:rsid w:val="5FA62A45"/>
    <w:rsid w:val="5FAF36A8"/>
    <w:rsid w:val="5FDB493A"/>
    <w:rsid w:val="5FEA0B84"/>
    <w:rsid w:val="600520DA"/>
    <w:rsid w:val="604D0A15"/>
    <w:rsid w:val="605253B6"/>
    <w:rsid w:val="606E670A"/>
    <w:rsid w:val="608232AD"/>
    <w:rsid w:val="60955254"/>
    <w:rsid w:val="60B85360"/>
    <w:rsid w:val="60E54AE2"/>
    <w:rsid w:val="60E72604"/>
    <w:rsid w:val="60EC26DA"/>
    <w:rsid w:val="60F577E0"/>
    <w:rsid w:val="60FF240D"/>
    <w:rsid w:val="610A756C"/>
    <w:rsid w:val="615A7643"/>
    <w:rsid w:val="61735ADB"/>
    <w:rsid w:val="61776447"/>
    <w:rsid w:val="61933A28"/>
    <w:rsid w:val="6194649D"/>
    <w:rsid w:val="619D25BD"/>
    <w:rsid w:val="619E0E1F"/>
    <w:rsid w:val="62373E29"/>
    <w:rsid w:val="62AA45FB"/>
    <w:rsid w:val="62BD32C5"/>
    <w:rsid w:val="62D92232"/>
    <w:rsid w:val="62E573E1"/>
    <w:rsid w:val="62EC6671"/>
    <w:rsid w:val="62FC3445"/>
    <w:rsid w:val="63027872"/>
    <w:rsid w:val="630F6567"/>
    <w:rsid w:val="631877B6"/>
    <w:rsid w:val="63241CDF"/>
    <w:rsid w:val="63443399"/>
    <w:rsid w:val="63476184"/>
    <w:rsid w:val="635C27BC"/>
    <w:rsid w:val="635D06AC"/>
    <w:rsid w:val="6361265E"/>
    <w:rsid w:val="63687055"/>
    <w:rsid w:val="636D2598"/>
    <w:rsid w:val="63A417BB"/>
    <w:rsid w:val="63C869A4"/>
    <w:rsid w:val="64195594"/>
    <w:rsid w:val="641F6922"/>
    <w:rsid w:val="642A608F"/>
    <w:rsid w:val="64425B37"/>
    <w:rsid w:val="64526CF8"/>
    <w:rsid w:val="6486165D"/>
    <w:rsid w:val="649F591D"/>
    <w:rsid w:val="64AF7CA6"/>
    <w:rsid w:val="64B41760"/>
    <w:rsid w:val="64C74888"/>
    <w:rsid w:val="64CC0858"/>
    <w:rsid w:val="64CE452F"/>
    <w:rsid w:val="64D21BE7"/>
    <w:rsid w:val="6501198A"/>
    <w:rsid w:val="65197815"/>
    <w:rsid w:val="653B3C30"/>
    <w:rsid w:val="65485045"/>
    <w:rsid w:val="6554602F"/>
    <w:rsid w:val="655C6080"/>
    <w:rsid w:val="656708D2"/>
    <w:rsid w:val="658258BD"/>
    <w:rsid w:val="65A76BCF"/>
    <w:rsid w:val="65D23D3C"/>
    <w:rsid w:val="661544A9"/>
    <w:rsid w:val="6618187B"/>
    <w:rsid w:val="6622438B"/>
    <w:rsid w:val="665A4FC1"/>
    <w:rsid w:val="66A66497"/>
    <w:rsid w:val="66BC66AA"/>
    <w:rsid w:val="66C268BB"/>
    <w:rsid w:val="66E94385"/>
    <w:rsid w:val="66EA3F50"/>
    <w:rsid w:val="66ED2478"/>
    <w:rsid w:val="671210C4"/>
    <w:rsid w:val="6735666F"/>
    <w:rsid w:val="674A595E"/>
    <w:rsid w:val="676C1E58"/>
    <w:rsid w:val="67E97973"/>
    <w:rsid w:val="67FC1454"/>
    <w:rsid w:val="681F2861"/>
    <w:rsid w:val="684B1FCC"/>
    <w:rsid w:val="684C7E16"/>
    <w:rsid w:val="68A35D74"/>
    <w:rsid w:val="68AC4851"/>
    <w:rsid w:val="68BD5601"/>
    <w:rsid w:val="68BE0B19"/>
    <w:rsid w:val="68C907BA"/>
    <w:rsid w:val="68D54F41"/>
    <w:rsid w:val="68D777CC"/>
    <w:rsid w:val="68F0306A"/>
    <w:rsid w:val="69083E29"/>
    <w:rsid w:val="6938470E"/>
    <w:rsid w:val="693C7FF6"/>
    <w:rsid w:val="693F0FE1"/>
    <w:rsid w:val="696568CF"/>
    <w:rsid w:val="69A15BD3"/>
    <w:rsid w:val="69A85CC9"/>
    <w:rsid w:val="69AB2521"/>
    <w:rsid w:val="69B61AD7"/>
    <w:rsid w:val="69BF6CDC"/>
    <w:rsid w:val="69C20294"/>
    <w:rsid w:val="69DF2DDC"/>
    <w:rsid w:val="6A191820"/>
    <w:rsid w:val="6A4946F9"/>
    <w:rsid w:val="6A750203"/>
    <w:rsid w:val="6AA977E9"/>
    <w:rsid w:val="6AB3266C"/>
    <w:rsid w:val="6ABA6D8C"/>
    <w:rsid w:val="6B166CD1"/>
    <w:rsid w:val="6B2A668F"/>
    <w:rsid w:val="6B2C310B"/>
    <w:rsid w:val="6B4003DE"/>
    <w:rsid w:val="6B480E55"/>
    <w:rsid w:val="6B5B1EEA"/>
    <w:rsid w:val="6B632713"/>
    <w:rsid w:val="6B7E03D2"/>
    <w:rsid w:val="6B7F62DE"/>
    <w:rsid w:val="6B871E8E"/>
    <w:rsid w:val="6B965BD0"/>
    <w:rsid w:val="6B99520C"/>
    <w:rsid w:val="6BA14063"/>
    <w:rsid w:val="6BBB3466"/>
    <w:rsid w:val="6BEF5112"/>
    <w:rsid w:val="6BF3491C"/>
    <w:rsid w:val="6BF44EAF"/>
    <w:rsid w:val="6C2B055A"/>
    <w:rsid w:val="6C417685"/>
    <w:rsid w:val="6C797461"/>
    <w:rsid w:val="6C7A50A0"/>
    <w:rsid w:val="6C7D068A"/>
    <w:rsid w:val="6CA35F05"/>
    <w:rsid w:val="6CC12C6C"/>
    <w:rsid w:val="6CD01D77"/>
    <w:rsid w:val="6D5E495F"/>
    <w:rsid w:val="6D98352B"/>
    <w:rsid w:val="6D9E70BA"/>
    <w:rsid w:val="6DAC32E9"/>
    <w:rsid w:val="6DB30807"/>
    <w:rsid w:val="6DBB3B60"/>
    <w:rsid w:val="6DD35943"/>
    <w:rsid w:val="6DF66946"/>
    <w:rsid w:val="6E0472B5"/>
    <w:rsid w:val="6E5D6B7B"/>
    <w:rsid w:val="6E63739C"/>
    <w:rsid w:val="6E767DF4"/>
    <w:rsid w:val="6E777A87"/>
    <w:rsid w:val="6ECB5306"/>
    <w:rsid w:val="6ECB7DD2"/>
    <w:rsid w:val="6ED233F9"/>
    <w:rsid w:val="6EEA46FD"/>
    <w:rsid w:val="6EFA2466"/>
    <w:rsid w:val="6F2042DD"/>
    <w:rsid w:val="6F322F49"/>
    <w:rsid w:val="6F4059E0"/>
    <w:rsid w:val="6F435BBB"/>
    <w:rsid w:val="6F525DFE"/>
    <w:rsid w:val="6F5B04CE"/>
    <w:rsid w:val="6F63000B"/>
    <w:rsid w:val="6FAF3250"/>
    <w:rsid w:val="6FF953E1"/>
    <w:rsid w:val="6FFC6061"/>
    <w:rsid w:val="700C5324"/>
    <w:rsid w:val="700D048B"/>
    <w:rsid w:val="700F04C1"/>
    <w:rsid w:val="7020414E"/>
    <w:rsid w:val="708244C1"/>
    <w:rsid w:val="70953B34"/>
    <w:rsid w:val="7095557D"/>
    <w:rsid w:val="70D63FCB"/>
    <w:rsid w:val="70EF7A4B"/>
    <w:rsid w:val="710D2D90"/>
    <w:rsid w:val="7115636D"/>
    <w:rsid w:val="711C4915"/>
    <w:rsid w:val="714D2D21"/>
    <w:rsid w:val="7156719C"/>
    <w:rsid w:val="717402AD"/>
    <w:rsid w:val="71782745"/>
    <w:rsid w:val="718304F0"/>
    <w:rsid w:val="71A3364D"/>
    <w:rsid w:val="71C01745"/>
    <w:rsid w:val="71C36751"/>
    <w:rsid w:val="71C82CA0"/>
    <w:rsid w:val="71CF667C"/>
    <w:rsid w:val="71D76A8E"/>
    <w:rsid w:val="71DD137A"/>
    <w:rsid w:val="71FB6E8E"/>
    <w:rsid w:val="71FD7ECB"/>
    <w:rsid w:val="723272B4"/>
    <w:rsid w:val="723465F1"/>
    <w:rsid w:val="724063E2"/>
    <w:rsid w:val="7241536A"/>
    <w:rsid w:val="7250637F"/>
    <w:rsid w:val="72536A46"/>
    <w:rsid w:val="729329B5"/>
    <w:rsid w:val="729B36AB"/>
    <w:rsid w:val="72A9549D"/>
    <w:rsid w:val="72DA4A88"/>
    <w:rsid w:val="72ED003A"/>
    <w:rsid w:val="731A6C33"/>
    <w:rsid w:val="73210B37"/>
    <w:rsid w:val="732950C8"/>
    <w:rsid w:val="7339611F"/>
    <w:rsid w:val="73603A6C"/>
    <w:rsid w:val="7365397F"/>
    <w:rsid w:val="7371219D"/>
    <w:rsid w:val="737C3808"/>
    <w:rsid w:val="737F5DFC"/>
    <w:rsid w:val="738506EA"/>
    <w:rsid w:val="73AF7CC3"/>
    <w:rsid w:val="73B2330F"/>
    <w:rsid w:val="73D56FFD"/>
    <w:rsid w:val="73DC2F49"/>
    <w:rsid w:val="74147B26"/>
    <w:rsid w:val="741F342F"/>
    <w:rsid w:val="74296F20"/>
    <w:rsid w:val="743E2185"/>
    <w:rsid w:val="74832EBF"/>
    <w:rsid w:val="74843057"/>
    <w:rsid w:val="748477DF"/>
    <w:rsid w:val="74A92964"/>
    <w:rsid w:val="74AD4072"/>
    <w:rsid w:val="74E67714"/>
    <w:rsid w:val="74FA0D3C"/>
    <w:rsid w:val="74FA4327"/>
    <w:rsid w:val="7500472F"/>
    <w:rsid w:val="750850C7"/>
    <w:rsid w:val="75117969"/>
    <w:rsid w:val="75621998"/>
    <w:rsid w:val="757E4C5F"/>
    <w:rsid w:val="75810911"/>
    <w:rsid w:val="75A50CFE"/>
    <w:rsid w:val="75B36B20"/>
    <w:rsid w:val="75B77E87"/>
    <w:rsid w:val="75BD407D"/>
    <w:rsid w:val="75BE243F"/>
    <w:rsid w:val="75CE730E"/>
    <w:rsid w:val="76033702"/>
    <w:rsid w:val="761024BB"/>
    <w:rsid w:val="761C3879"/>
    <w:rsid w:val="76740D50"/>
    <w:rsid w:val="7693567A"/>
    <w:rsid w:val="76A553AD"/>
    <w:rsid w:val="76A94ED9"/>
    <w:rsid w:val="76BD6253"/>
    <w:rsid w:val="76C9501B"/>
    <w:rsid w:val="76E7394B"/>
    <w:rsid w:val="76F52E1A"/>
    <w:rsid w:val="77040CB4"/>
    <w:rsid w:val="77282C5F"/>
    <w:rsid w:val="7731698A"/>
    <w:rsid w:val="774970F7"/>
    <w:rsid w:val="7769569A"/>
    <w:rsid w:val="77816215"/>
    <w:rsid w:val="77DC36F4"/>
    <w:rsid w:val="77E84005"/>
    <w:rsid w:val="77FB66F1"/>
    <w:rsid w:val="7802736D"/>
    <w:rsid w:val="781D4395"/>
    <w:rsid w:val="785F24DC"/>
    <w:rsid w:val="786347CA"/>
    <w:rsid w:val="787022F4"/>
    <w:rsid w:val="788D49D6"/>
    <w:rsid w:val="78B215C0"/>
    <w:rsid w:val="78B638A1"/>
    <w:rsid w:val="78D36201"/>
    <w:rsid w:val="791B40DF"/>
    <w:rsid w:val="79825532"/>
    <w:rsid w:val="798C63B0"/>
    <w:rsid w:val="79C173EB"/>
    <w:rsid w:val="79CE4C1B"/>
    <w:rsid w:val="79D52367"/>
    <w:rsid w:val="79E51571"/>
    <w:rsid w:val="7A533724"/>
    <w:rsid w:val="7A7163CE"/>
    <w:rsid w:val="7A8650E9"/>
    <w:rsid w:val="7AC81860"/>
    <w:rsid w:val="7B102FB5"/>
    <w:rsid w:val="7B424F78"/>
    <w:rsid w:val="7B4D0ACB"/>
    <w:rsid w:val="7B610002"/>
    <w:rsid w:val="7B641393"/>
    <w:rsid w:val="7B6C7619"/>
    <w:rsid w:val="7BE10C35"/>
    <w:rsid w:val="7BF46558"/>
    <w:rsid w:val="7BFA5AF3"/>
    <w:rsid w:val="7C216DD0"/>
    <w:rsid w:val="7C262AEC"/>
    <w:rsid w:val="7C372976"/>
    <w:rsid w:val="7C4D62CB"/>
    <w:rsid w:val="7C5326C5"/>
    <w:rsid w:val="7C902BCC"/>
    <w:rsid w:val="7CA0464C"/>
    <w:rsid w:val="7CBD3CDE"/>
    <w:rsid w:val="7CDE33C7"/>
    <w:rsid w:val="7CE502B1"/>
    <w:rsid w:val="7CF7055E"/>
    <w:rsid w:val="7CF93D5D"/>
    <w:rsid w:val="7D133070"/>
    <w:rsid w:val="7D180687"/>
    <w:rsid w:val="7D9A5540"/>
    <w:rsid w:val="7DA672E9"/>
    <w:rsid w:val="7DB54128"/>
    <w:rsid w:val="7DBA235B"/>
    <w:rsid w:val="7DEF74BD"/>
    <w:rsid w:val="7E543940"/>
    <w:rsid w:val="7E9B3A95"/>
    <w:rsid w:val="7EB511FB"/>
    <w:rsid w:val="7ECA3C03"/>
    <w:rsid w:val="7F0604DE"/>
    <w:rsid w:val="7F076E56"/>
    <w:rsid w:val="7F100830"/>
    <w:rsid w:val="7F2702A0"/>
    <w:rsid w:val="7F285EF6"/>
    <w:rsid w:val="7F37711E"/>
    <w:rsid w:val="7F4339B5"/>
    <w:rsid w:val="7F445A11"/>
    <w:rsid w:val="7F4508A1"/>
    <w:rsid w:val="7F663D79"/>
    <w:rsid w:val="7F987DCA"/>
    <w:rsid w:val="7FA02BB5"/>
    <w:rsid w:val="7FAA7590"/>
    <w:rsid w:val="7FB846CC"/>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abs>
        <w:tab w:val="left" w:pos="1985"/>
      </w:tabs>
      <w:spacing w:line="500" w:lineRule="exact"/>
      <w:ind w:firstLine="500" w:firstLineChars="200"/>
    </w:pPr>
    <w:rPr>
      <w:rFonts w:ascii="Arial" w:hAnsi="Arial" w:cs="Arial"/>
      <w:spacing w:val="10"/>
    </w:rPr>
  </w:style>
  <w:style w:type="paragraph" w:styleId="3">
    <w:name w:val="annotation text"/>
    <w:basedOn w:val="1"/>
    <w:qFormat/>
    <w:uiPriority w:val="0"/>
    <w:pPr>
      <w:jc w:val="left"/>
    </w:pPr>
  </w:style>
  <w:style w:type="paragraph" w:styleId="4">
    <w:name w:val="Body Text"/>
    <w:basedOn w:val="1"/>
    <w:next w:val="1"/>
    <w:semiHidden/>
    <w:unhideWhenUsed/>
    <w:qFormat/>
    <w:uiPriority w:val="99"/>
    <w:pPr>
      <w:spacing w:after="120"/>
    </w:p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Indent 2"/>
    <w:basedOn w:val="1"/>
    <w:next w:val="1"/>
    <w:qFormat/>
    <w:uiPriority w:val="0"/>
    <w:pPr>
      <w:spacing w:after="120" w:line="480" w:lineRule="auto"/>
      <w:ind w:left="420" w:leftChars="20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296"/>
      </w:tabs>
      <w:jc w:val="center"/>
    </w:pPr>
    <w:rPr>
      <w:sz w:val="28"/>
      <w:szCs w:val="28"/>
    </w:rPr>
  </w:style>
  <w:style w:type="paragraph" w:styleId="10">
    <w:name w:val="index heading"/>
    <w:basedOn w:val="1"/>
    <w:next w:val="11"/>
    <w:qFormat/>
    <w:uiPriority w:val="99"/>
    <w:pPr>
      <w:tabs>
        <w:tab w:val="left" w:pos="2150"/>
        <w:tab w:val="left" w:pos="3685"/>
        <w:tab w:val="left" w:pos="5835"/>
        <w:tab w:val="left" w:pos="7385"/>
      </w:tabs>
      <w:autoSpaceDE w:val="0"/>
      <w:autoSpaceDN w:val="0"/>
      <w:adjustRightInd w:val="0"/>
      <w:spacing w:line="240" w:lineRule="atLeast"/>
      <w:ind w:firstLine="0" w:firstLineChars="0"/>
      <w:jc w:val="center"/>
    </w:pPr>
    <w:rPr>
      <w:rFonts w:ascii="System" w:hAnsi="Times New Roman" w:eastAsia="System" w:cs="Times New Roman"/>
      <w:kern w:val="0"/>
      <w:szCs w:val="20"/>
    </w:rPr>
  </w:style>
  <w:style w:type="paragraph" w:styleId="11">
    <w:name w:val="index 1"/>
    <w:basedOn w:val="1"/>
    <w:next w:val="1"/>
    <w:qFormat/>
    <w:uiPriority w:val="0"/>
    <w:pPr>
      <w:spacing w:line="360" w:lineRule="auto"/>
      <w:ind w:firstLine="0" w:firstLineChars="0"/>
    </w:pPr>
    <w:rPr>
      <w:rFonts w:ascii="黑体" w:eastAsia="黑体" w:cs="Times New Roman"/>
    </w:rPr>
  </w:style>
  <w:style w:type="paragraph" w:styleId="12">
    <w:name w:val="List"/>
    <w:basedOn w:val="1"/>
    <w:qFormat/>
    <w:uiPriority w:val="0"/>
    <w:pPr>
      <w:spacing w:line="360" w:lineRule="auto"/>
      <w:jc w:val="center"/>
    </w:pPr>
    <w:rPr>
      <w:rFonts w:eastAsia="黑体"/>
      <w:sz w:val="24"/>
      <w:szCs w:val="20"/>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4">
    <w:name w:val="Body Text First Indent"/>
    <w:basedOn w:val="4"/>
    <w:qFormat/>
    <w:uiPriority w:val="0"/>
    <w:pPr>
      <w:ind w:firstLine="420" w:firstLineChars="100"/>
    </w:pPr>
  </w:style>
  <w:style w:type="paragraph" w:styleId="15">
    <w:name w:val="Body Text First Indent 2"/>
    <w:basedOn w:val="1"/>
    <w:next w:val="14"/>
    <w:qFormat/>
    <w:uiPriority w:val="0"/>
    <w:pPr>
      <w:ind w:firstLine="420" w:firstLineChars="200"/>
    </w:pPr>
    <w:rPr>
      <w:kern w:val="2"/>
      <w:sz w:val="21"/>
      <w:szCs w:val="24"/>
    </w:rPr>
  </w:style>
  <w:style w:type="table" w:styleId="17">
    <w:name w:val="Table Grid"/>
    <w:basedOn w:val="1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表格内容"/>
    <w:basedOn w:val="21"/>
    <w:qFormat/>
    <w:uiPriority w:val="0"/>
    <w:pPr>
      <w:tabs>
        <w:tab w:val="left" w:pos="2150"/>
        <w:tab w:val="left" w:pos="3685"/>
        <w:tab w:val="left" w:pos="5835"/>
        <w:tab w:val="left" w:pos="7385"/>
      </w:tabs>
      <w:spacing w:line="288" w:lineRule="auto"/>
      <w:ind w:firstLine="480" w:firstLineChars="200"/>
      <w:jc w:val="center"/>
    </w:pPr>
    <w:rPr>
      <w:rFonts w:ascii="Arial" w:hAnsi="Arial"/>
      <w:sz w:val="21"/>
      <w:szCs w:val="21"/>
    </w:rPr>
  </w:style>
  <w:style w:type="paragraph" w:customStyle="1" w:styleId="21">
    <w:name w:val="样式1"/>
    <w:basedOn w:val="10"/>
    <w:next w:val="1"/>
    <w:qFormat/>
    <w:uiPriority w:val="0"/>
    <w:pPr>
      <w:widowControl/>
      <w:spacing w:line="351" w:lineRule="atLeast"/>
      <w:ind w:firstLine="561"/>
      <w:textAlignment w:val="baseline"/>
    </w:pPr>
    <w:rPr>
      <w:color w:val="000000"/>
      <w:kern w:val="0"/>
      <w:sz w:val="28"/>
      <w:szCs w:val="20"/>
      <w:u w:val="none" w:color="000000"/>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表格"/>
    <w:next w:val="1"/>
    <w:qFormat/>
    <w:uiPriority w:val="0"/>
    <w:pPr>
      <w:keepNext/>
      <w:widowControl w:val="0"/>
      <w:autoSpaceDE w:val="0"/>
      <w:autoSpaceDN w:val="0"/>
      <w:adjustRightInd w:val="0"/>
      <w:jc w:val="center"/>
      <w:textAlignment w:val="baseline"/>
    </w:pPr>
    <w:rPr>
      <w:rFonts w:ascii="Times New Roman" w:hAnsi="Times New Roman" w:eastAsia="宋体" w:cs="Times New Roman"/>
      <w:sz w:val="24"/>
      <w:lang w:val="en-US" w:eastAsia="zh-CN" w:bidi="ar-SA"/>
    </w:rPr>
  </w:style>
  <w:style w:type="paragraph" w:customStyle="1" w:styleId="24">
    <w:name w:val="表格式"/>
    <w:basedOn w:val="12"/>
    <w:qFormat/>
    <w:uiPriority w:val="0"/>
    <w:pPr>
      <w:spacing w:line="400" w:lineRule="exact"/>
    </w:pPr>
    <w:rPr>
      <w:rFonts w:ascii="宋体" w:eastAsia="宋体"/>
      <w:sz w:val="21"/>
    </w:rPr>
  </w:style>
  <w:style w:type="paragraph" w:customStyle="1" w:styleId="25">
    <w:name w:val="正文首行缩进＋湿地"/>
    <w:basedOn w:val="1"/>
    <w:qFormat/>
    <w:uiPriority w:val="0"/>
    <w:pPr>
      <w:spacing w:line="440" w:lineRule="exact"/>
      <w:ind w:firstLine="540" w:firstLineChars="225"/>
    </w:pPr>
    <w:rPr>
      <w:rFonts w:ascii="仿宋_GB2312" w:hAnsi="宋体" w:eastAsia="仿宋_GB2312"/>
      <w:kern w:val="0"/>
      <w:sz w:val="28"/>
      <w:szCs w:val="20"/>
    </w:rPr>
  </w:style>
  <w:style w:type="paragraph" w:customStyle="1" w:styleId="26">
    <w:name w:val="报告正文"/>
    <w:basedOn w:val="1"/>
    <w:qFormat/>
    <w:uiPriority w:val="0"/>
    <w:pPr>
      <w:spacing w:line="360" w:lineRule="auto"/>
      <w:ind w:firstLine="200" w:firstLineChars="200"/>
      <w:jc w:val="left"/>
    </w:pPr>
    <w:rPr>
      <w:sz w:val="24"/>
    </w:rPr>
  </w:style>
  <w:style w:type="character" w:customStyle="1" w:styleId="27">
    <w:name w:val="正文 Char"/>
    <w:basedOn w:val="18"/>
    <w:link w:val="28"/>
    <w:qFormat/>
    <w:uiPriority w:val="0"/>
    <w:rPr>
      <w:rFonts w:ascii="仿宋_GB2312" w:eastAsia="仿宋_GB2312" w:hAnsiTheme="minorHAnsi" w:cstheme="minorBidi"/>
      <w:sz w:val="28"/>
      <w:szCs w:val="28"/>
    </w:rPr>
  </w:style>
  <w:style w:type="paragraph" w:customStyle="1" w:styleId="28">
    <w:name w:val="正文1"/>
    <w:basedOn w:val="1"/>
    <w:link w:val="27"/>
    <w:qFormat/>
    <w:uiPriority w:val="0"/>
    <w:pPr>
      <w:spacing w:line="480" w:lineRule="exact"/>
      <w:ind w:firstLine="560" w:firstLineChars="200"/>
    </w:pPr>
    <w:rPr>
      <w:rFonts w:ascii="仿宋_GB2312" w:eastAsia="仿宋_GB2312" w:hAnsiTheme="minorHAnsi" w:cstheme="minorBidi"/>
      <w:sz w:val="28"/>
      <w:szCs w:val="28"/>
    </w:rPr>
  </w:style>
  <w:style w:type="paragraph" w:customStyle="1" w:styleId="29">
    <w:name w:val="Other|1"/>
    <w:basedOn w:val="1"/>
    <w:autoRedefine/>
    <w:qFormat/>
    <w:uiPriority w:val="0"/>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AxMDgyNDg2NzM5IiwKCSJHcm91cElkIiA6ICIxOTI1NzE0ODQ5IiwKCSJJbWFnZSIgOiAiaVZCT1J3MEtHZ29BQUFBTlNVaEVVZ0FBQkJvQUFBTG1DQVlBQUFEc1hQY0hBQUFBQVhOU1IwSUFyczRjNlFBQUlBQkpSRUZVZUp6czNYbDhGT1g5Qi9EUGQzYVRiTUlaN2lOVlJCQU5PV1ptZjJyeEtCWkJiSzBDVlZ2Rm85NVlEeXA0Z0lnSDFMdG9CUzlBUlVXTFd2RkFyRVVVTE9DRm1KM05oa013S2xJT09lUW01KzU4ZjM5a044Mnh1U0NhQUovMzYrWEw3RFBQUFBQTTZ1enNmUGQ1dmc5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p5dy9qL3NvZWpFZEtUbEZBQUFBQUJKUlU1RXJrSmdnZz09IiwKCSJUaGVtZSIgOiAiIiwKCSJUeXBlIiA6ICJmbG93IiwKCSJVc2VySWQiIDogIjE0MTA5Mzg2MTAiLAoJIlZlcnNpb24iIDogIjU2Igp9Cg=="/>
    </extobj>
    <extobj name="ECB019B1-382A-4266-B25C-5B523AA43C14-2">
      <extobjdata type="ECB019B1-382A-4266-B25C-5B523AA43C14" data="ewoJIkZpbGVJZCIgOiAiNTA1Nzk3NjczMjQxIiwKCSJHcm91cElkIiA6ICIxOTI1NzE0ODQ5IiwKCSJJbWFnZSIgOiAiaVZCT1J3MEtHZ29BQUFBTlNVaEVVZ0FBQTZNQUFBTXpDQVlBQUFCVEFNUmZBQUFBQVhOU1IwSUFyczRjNlFBQUlBQkpSRUZVZUp6czNYdDhWTlc5Ly8vMzJqT1RHeVJjQk9TbUlFWEJBRWxtSWxvVUZSUTlTclcxbHFQVmVrV2h0a2V0eUxGNEtTalZvN1g0QTIydFZtdEZyYlpxclg2eEZLK0FpTGVxbVprRWlISVZCZkZDMEFDNVoyYXYzeDhrTkpDRUpDVFprOERyK1hqNHlNemFhNjM5Mlgzd2FIaXo5bDViQ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UJMOC84dVVCQUg1M2IyblFBQUFBQkpSVTVFcmtKZ2dnPT0iLAoJIlRoZW1lIiA6ICIiLAoJIlR5cGUiIDogImZsb3ciLAoJIlVzZXJJZCIgOiAiMTQxMDkzODYxMCIsCgkiVmVyc2lvbiIgOiAiMzYiCn0K"/>
    </extobj>
    <extobj name="ECB019B1-382A-4266-B25C-5B523AA43C14-3">
      <extobjdata type="ECB019B1-382A-4266-B25C-5B523AA43C14" data="ewoJIkZpbGVJZCIgOiAiNDk5ODQ2MTc5MDY2IiwKCSJHcm91cElkIiA6ICIxOTI1NzE0ODQ5IiwKCSJJbWFnZSIgOiAiaVZCT1J3MEtHZ29BQUFBTlNVaEVVZ0FBQlA4QUFBRkhDQVlBQUFEZVArbmtBQUFBQVhOU1IwSUFyczRjNlFBQUlBQkpSRUZVZUp6czNYZDRWRlgreC9IUG5aSWVXa0lMZ1FRSUVDSWxDT3FLeWlJaTZPb3FzcXRZd0VWK3RyV2hvQ0FpaUFWd3BhaXNpSWhkc2FDZ3Jyb29Mckx1Q2xKVWV1OHR0QUFCMGpNejkvZkhKa09HdERza1pNTHdmajJQeitNOU0rZmU3NEg1bmpQejVSWUp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aWkvZ0pBODZhNmdOQm8vQUFBQUFCSlJVNUVya0pnZ2c9PSIsCgkiVGhlbWUiIDogIiIsCgkiVHlwZSIgOiAiZmxvdyIsCgkiVXNlcklkIiA6ICIxNDEwOTM4NjEwIiwKCSJWZXJzaW9uIiA6ICIxNSIKfQo="/>
    </extobj>
    <extobj name="ECB019B1-382A-4266-B25C-5B523AA43C14-4">
      <extobjdata type="ECB019B1-382A-4266-B25C-5B523AA43C14" data="ewoJIkZpbGVJZCIgOiAiNTAxMTYxOTg1NDQzIiwKCSJHcm91cElkIiA6ICIxOTI1NzE0ODQ5IiwKCSJJbWFnZSIgOiAiaVZCT1J3MEtHZ29BQUFBTlNVaEVVZ0FBQTJRQUFBUldDQVlBQUFCVS9YSGdBQUFBQVhOU1IwSUFyczRjNlFBQUlBQkpSRUZVZUp6czNYbWNqZlgvLy9IbmRlYWNXY3hpc21ScFpFbUVNRE5TS1Z2S21sS0VVa2twRmFYaVd6NnlGYVZJVVo4UUtXdVNraUpraVVxMkxHTXBTOFRFV0FjTnhxem5uT3YzeDJmTzlYUE1ER2VLcnFISC9YWnpxM09kYTNtZE16UHZPYzk1TDVjR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algvRDhiN1UxY3RXbXMwZ0FBQUFCSlJVNUVya0pnZ2c9PSIsCgkiVGhlbWUiIDogIiIsCgkiVHlwZSIgOiAiZmxvdyIsCgkiVXNlcklkIiA6ICIxNDEwOTM4NjEwIiwKCSJWZXJzaW9uIiA6ICIzNSIKfQo="/>
    </extobj>
  </extobjs>
</s:customData>
</file>

<file path=customXml/item2.xml><?xml version="1.0" encoding="utf-8"?>
<contractReview xmlns="http://schemas.wps.cn/vas-ai-hub/contract-review">
  <reviewItems>
    <reviewItem>
      <errorID>e84192d5-f2e2-4f66-bfb0-9e5b54364d34</errorID>
      <errorWord>原则表</errorWord>
      <group>L1_Word</group>
      <groupName>字词问题</groupName>
      <ability>L2_Typo</ability>
      <abilityName>字词错误</abilityName>
      <candidateList>
        <item>原则</item>
      </candidateList>
      <explain/>
      <paraID>462564CF</paraID>
      <start>45</start>
      <end>48</end>
      <status>unmodified</status>
      <modifiedWord/>
      <trackRevisions>false</trackRevisions>
    </reviewItem>
    <reviewItem>
      <errorID>fa183c43-2f97-4a0c-9f5d-726b33132294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FCB9ABA</paraID>
      <start>0</start>
      <end>2</end>
      <status>unmodified</status>
      <modifiedWord/>
      <trackRevisions>false</trackRevisions>
    </reviewItem>
    <reviewItem>
      <errorID>c2fd7047-0294-4c81-b2bf-b8043182dbdc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755CA556</paraID>
      <start>0</start>
      <end>2</end>
      <status>unmodified</status>
      <modifiedWord/>
      <trackRevisions>false</trackRevisions>
    </reviewItem>
    <reviewItem>
      <errorID>ab90613b-c90a-41d1-b477-5856331bea1d</errorID>
      <errorWord>主要经营以非保税业务为主</errorWord>
      <group>L1_Grammar</group>
      <groupName>语法问题</groupName>
      <ability>L2_Grammar</ability>
      <abilityName>语法错误</abilityName>
      <candidateList>
        <item>经营以非保税业务为主</item>
      </candidateList>
      <explain/>
      <paraID>3944065A</paraID>
      <start>7</start>
      <end>19</end>
      <status>unmodified</status>
      <modifiedWord/>
      <trackRevisions>false</trackRevisions>
    </reviewItem>
    <reviewItem>
      <errorID>c762b1ed-283d-499a-a7ed-ca9ed2f08f9e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632039AF</paraID>
      <start>41</start>
      <end>44</end>
      <status>unmodified</status>
      <modifiedWord/>
      <trackRevisions>false</trackRevisions>
    </reviewItem>
    <reviewItem>
      <errorID>b01b1e69-1c80-4037-bf79-ee20d8fca471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1803FEE8</paraID>
      <start>0</start>
      <end>2</end>
      <status>unmodified</status>
      <modifiedWord/>
      <trackRevisions>false</trackRevisions>
    </reviewItem>
    <reviewItem>
      <errorID>422d7e4f-4efd-4e53-aab1-037113803229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5F0F1265</paraID>
      <start>0</start>
      <end>2</end>
      <status>unmodified</status>
      <modifiedWord/>
      <trackRevisions>false</trackRevisions>
    </reviewItem>
    <reviewItem>
      <errorID>6e622397-0074-4d0f-bb2e-3cfa5eca7161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3364D4ED</paraID>
      <start>0</start>
      <end>2</end>
      <status>unmodified</status>
      <modifiedWord/>
      <trackRevisions>false</trackRevisions>
    </reviewItem>
    <reviewItem>
      <errorID>ef1bc6ff-1955-4ee2-a3ca-4b5fba4fe3d1</errorID>
      <errorWord>，</errorWord>
      <group>L1_Word</group>
      <groupName>字词问题</groupName>
      <ability>L2_Typo</ability>
      <abilityName>字词错误</abilityName>
      <candidateList>
        <item>，在</item>
      </candidateList>
      <explain/>
      <paraID>1ACC8184</paraID>
      <start>17</start>
      <end>18</end>
      <status>unmodified</status>
      <modifiedWord/>
      <trackRevisions>false</trackRevisions>
    </reviewItem>
    <reviewItem>
      <errorID>141877fa-9db9-4c0d-a9dd-5b9383333f19</errorID>
      <errorWord>推进区域土地</errorWord>
      <group>L1_Word</group>
      <groupName>字词问题</groupName>
      <ability>L2_Typo</ability>
      <abilityName>字词错误</abilityName>
      <candidateList>
        <item>推进全域土地</item>
      </candidateList>
      <explain/>
      <paraID> BAE26C2</paraID>
      <start>2</start>
      <end>8</end>
      <status>unmodified</status>
      <modifiedWord/>
      <trackRevisions>false</trackRevisions>
    </reviewItem>
    <reviewItem>
      <errorID>eb0ead40-a023-47b5-97d2-92f0207a8b55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51A5C53F</paraID>
      <start>0</start>
      <end>2</end>
      <status>unmodified</status>
      <modifiedWord/>
      <trackRevisions>false</trackRevisions>
    </reviewItem>
    <reviewItem>
      <errorID>9a48d4b2-de0c-432c-afe6-736a8f3060b9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3FAE85DF</paraID>
      <start>0</start>
      <end>2</end>
      <status>unmodified</status>
      <modifiedWord/>
      <trackRevisions>false</trackRevisions>
    </reviewItem>
    <reviewItem>
      <errorID>df878a03-0ac1-4486-9f09-862925eb2ece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5DD9F1BA</paraID>
      <start>51</start>
      <end>53</end>
      <status>unmodified</status>
      <modifiedWord/>
      <trackRevisions>false</trackRevisions>
    </reviewItem>
    <reviewItem>
      <errorID>8d41a038-1fbf-45f1-99b0-f25c8648b266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B8EAA8D</paraID>
      <start>0</start>
      <end>2</end>
      <status>unmodified</status>
      <modifiedWord/>
      <trackRevisions>false</trackRevisions>
    </reviewItem>
    <reviewItem>
      <errorID>032b7061-2689-4b0a-9cb8-7b52d06d2b05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1684EA2B</paraID>
      <start>9</start>
      <end>10</end>
      <status>unmodified</status>
      <modifiedWord/>
      <trackRevisions>false</trackRevisions>
    </reviewItem>
    <reviewItem>
      <errorID>cf9a1a55-8fdd-4dd3-a8fc-b25abfd9d97d</errorID>
      <errorWord>*</errorWord>
      <group>L1_Punc</group>
      <groupName>标点问题</groupName>
      <ability>L2_Punc</ability>
      <abilityName>标点符号检查</abilityName>
      <candidateList/>
      <explain/>
      <paraID>63587C26</paraID>
      <start>0</start>
      <end>1</end>
      <status>unmodified</status>
      <modifiedWord/>
      <trackRevisions>false</trackRevisions>
    </reviewItem>
    <reviewItem>
      <errorID>51581bdc-6f1d-4ae1-9e3d-93d8c79ce7de</errorID>
      <errorWord>*</errorWord>
      <group>L1_Punc</group>
      <groupName>标点问题</groupName>
      <ability>L2_Punc</ability>
      <abilityName>标点符号检查</abilityName>
      <candidateList/>
      <explain/>
      <paraID>194B8BC6</paraID>
      <start>0</start>
      <end>1</end>
      <status>unmodified</status>
      <modifiedWord/>
      <trackRevisions>false</trackRevisions>
    </reviewItem>
    <reviewItem>
      <errorID>3b26b8da-3c04-4c73-ac69-cc0db90a6c79</errorID>
      <errorWord>*</errorWord>
      <group>L1_Punc</group>
      <groupName>标点问题</groupName>
      <ability>L2_Punc</ability>
      <abilityName>标点符号检查</abilityName>
      <candidateList/>
      <explain/>
      <paraID>3AA03744</paraID>
      <start>0</start>
      <end>1</end>
      <status>unmodified</status>
      <modifiedWord/>
      <trackRevisions>false</trackRevisions>
    </reviewItem>
    <reviewItem>
      <errorID>368dbba1-c0f2-41a2-b157-4c8fafea5782</errorID>
      <errorWord>*</errorWord>
      <group>L1_Punc</group>
      <groupName>标点问题</groupName>
      <ability>L2_Punc</ability>
      <abilityName>标点符号检查</abilityName>
      <candidateList/>
      <explain/>
      <paraID>5CB65B9D</paraID>
      <start>0</start>
      <end>1</end>
      <status>unmodified</status>
      <modifiedWord/>
      <trackRevisions>false</trackRevisions>
    </reviewItem>
    <reviewItem>
      <errorID>5c2ebd7a-0f08-4ac1-a377-f301bbbed9cf</errorID>
      <errorWord>*</errorWord>
      <group>L1_Punc</group>
      <groupName>标点问题</groupName>
      <ability>L2_Punc</ability>
      <abilityName>标点符号检查</abilityName>
      <candidateList/>
      <explain/>
      <paraID>19BB564B</paraID>
      <start>0</start>
      <end>1</end>
      <status>unmodified</status>
      <modifiedWord/>
      <trackRevisions>false</trackRevisions>
    </reviewItem>
    <reviewItem>
      <errorID>6826e22a-3799-45e7-9555-d7fd4cdef80f</errorID>
      <errorWord>*</errorWord>
      <group>L1_Punc</group>
      <groupName>标点问题</groupName>
      <ability>L2_Punc</ability>
      <abilityName>标点符号检查</abilityName>
      <candidateList/>
      <explain/>
      <paraID>7F5E109B</paraID>
      <start>0</start>
      <end>1</end>
      <status>unmodified</status>
      <modifiedWord/>
      <trackRevisions>false</trackRevisions>
    </reviewItem>
    <reviewItem>
      <errorID>3fdc0786-c877-4c25-ab88-57b98a9f269a</errorID>
      <errorWord>*</errorWord>
      <group>L1_Punc</group>
      <groupName>标点问题</groupName>
      <ability>L2_Punc</ability>
      <abilityName>标点符号检查</abilityName>
      <candidateList/>
      <explain/>
      <paraID>2F43D8F0</paraID>
      <start>0</start>
      <end>1</end>
      <status>unmodified</status>
      <modifiedWord/>
      <trackRevisions>false</trackRevisions>
    </reviewItem>
    <reviewItem>
      <errorID>c1a9c21a-ac08-4386-b075-a4c35dde875d</errorID>
      <errorWord>*</errorWord>
      <group>L1_Punc</group>
      <groupName>标点问题</groupName>
      <ability>L2_Punc</ability>
      <abilityName>标点符号检查</abilityName>
      <candidateList/>
      <explain/>
      <paraID>51C696C6</paraID>
      <start>0</start>
      <end>1</end>
      <status>unmodified</status>
      <modifiedWord/>
      <trackRevisions>false</trackRevisions>
    </reviewItem>
    <reviewItem>
      <errorID>ae5d4e0a-ea26-4825-939f-f2578747080a</errorID>
      <errorWord>*</errorWord>
      <group>L1_Punc</group>
      <groupName>标点问题</groupName>
      <ability>L2_Punc</ability>
      <abilityName>标点符号检查</abilityName>
      <candidateList/>
      <explain/>
      <paraID>5EC5CC03</paraID>
      <start>0</start>
      <end>1</end>
      <status>unmodified</status>
      <modifiedWord/>
      <trackRevisions>false</trackRevisions>
    </reviewItem>
    <reviewItem>
      <errorID>33fc1d4a-72c1-476d-b3ff-c0688022f1ad</errorID>
      <errorWord>*</errorWord>
      <group>L1_Punc</group>
      <groupName>标点问题</groupName>
      <ability>L2_Punc</ability>
      <abilityName>标点符号检查</abilityName>
      <candidateList/>
      <explain/>
      <paraID>378859A9</paraID>
      <start>0</start>
      <end>1</end>
      <status>unmodified</status>
      <modifiedWord/>
      <trackRevisions>false</trackRevisions>
    </reviewItem>
    <reviewItem>
      <errorID>d0f9609e-a2a3-4d76-a761-d3a501dcd3f1</errorID>
      <errorWord>*</errorWord>
      <group>L1_Punc</group>
      <groupName>标点问题</groupName>
      <ability>L2_Punc</ability>
      <abilityName>标点符号检查</abilityName>
      <candidateList/>
      <explain/>
      <paraID>76DFA3DB</paraID>
      <start>0</start>
      <end>1</end>
      <status>unmodified</status>
      <modifiedWord/>
      <trackRevisions>false</trackRevisions>
    </reviewItem>
    <reviewItem>
      <errorID>b774afda-661e-4469-a8d8-98449a61d435</errorID>
      <errorWord>*</errorWord>
      <group>L1_Punc</group>
      <groupName>标点问题</groupName>
      <ability>L2_Punc</ability>
      <abilityName>标点符号检查</abilityName>
      <candidateList/>
      <explain/>
      <paraID>363BB1AE</paraID>
      <start>0</start>
      <end>1</end>
      <status>unmodified</status>
      <modifiedWord/>
      <trackRevisions>false</trackRevisions>
    </reviewItem>
    <reviewItem>
      <errorID>a18a6570-e4ad-46fe-9308-a7aa2b809287</errorID>
      <errorWord>*</errorWord>
      <group>L1_Punc</group>
      <groupName>标点问题</groupName>
      <ability>L2_Punc</ability>
      <abilityName>标点符号检查</abilityName>
      <candidateList/>
      <explain/>
      <paraID>620855DF</paraID>
      <start>0</start>
      <end>1</end>
      <status>unmodified</status>
      <modifiedWord/>
      <trackRevisions>false</trackRevisions>
    </reviewItem>
    <reviewItem>
      <errorID>0a16ec21-ccf1-4466-b839-ee27c2bdf60e</errorID>
      <errorWord>*</errorWord>
      <group>L1_Punc</group>
      <groupName>标点问题</groupName>
      <ability>L2_Punc</ability>
      <abilityName>标点符号检查</abilityName>
      <candidateList/>
      <explain/>
      <paraID>2521EA9C</paraID>
      <start>0</start>
      <end>1</end>
      <status>unmodified</status>
      <modifiedWord/>
      <trackRevisions>false</trackRevisions>
    </reviewItem>
    <reviewItem>
      <errorID>ad458516-cbb7-4169-8a08-a5cb74679f4a</errorID>
      <errorWord>*</errorWord>
      <group>L1_Punc</group>
      <groupName>标点问题</groupName>
      <ability>L2_Punc</ability>
      <abilityName>标点符号检查</abilityName>
      <candidateList/>
      <explain/>
      <paraID>48F35EA4</paraID>
      <start>0</start>
      <end>1</end>
      <status>unmodified</status>
      <modifiedWord/>
      <trackRevisions>false</trackRevisions>
    </reviewItem>
    <reviewItem>
      <errorID>ce54e728-bbcf-4500-9592-f57b080bfd5e</errorID>
      <errorWord>*</errorWord>
      <group>L1_Punc</group>
      <groupName>标点问题</groupName>
      <ability>L2_Punc</ability>
      <abilityName>标点符号检查</abilityName>
      <candidateList/>
      <explain/>
      <paraID>480C0312</paraID>
      <start>0</start>
      <end>1</end>
      <status>unmodified</status>
      <modifiedWord/>
      <trackRevisions>false</trackRevisions>
    </reviewItem>
    <reviewItem>
      <errorID>2ea86a3b-3756-4c68-80aa-883e713c7b97</errorID>
      <errorWord>*</errorWord>
      <group>L1_Punc</group>
      <groupName>标点问题</groupName>
      <ability>L2_Punc</ability>
      <abilityName>标点符号检查</abilityName>
      <candidateList/>
      <explain/>
      <paraID>19A0040A</paraID>
      <start>0</start>
      <end>1</end>
      <status>unmodified</status>
      <modifiedWord/>
      <trackRevisions>false</trackRevisions>
    </reviewItem>
    <reviewItem>
      <errorID>93a9ad65-a74d-484c-b226-cf9857dcb7b6</errorID>
      <errorWord>*</errorWord>
      <group>L1_Punc</group>
      <groupName>标点问题</groupName>
      <ability>L2_Punc</ability>
      <abilityName>标点符号检查</abilityName>
      <candidateList/>
      <explain/>
      <paraID>38CCD913</paraID>
      <start>0</start>
      <end>1</end>
      <status>unmodified</status>
      <modifiedWord/>
      <trackRevisions>false</trackRevisions>
    </reviewItem>
    <reviewItem>
      <errorID>5577d899-9af8-4231-abe8-4dc065fe1388</errorID>
      <errorWord>*</errorWord>
      <group>L1_Punc</group>
      <groupName>标点问题</groupName>
      <ability>L2_Punc</ability>
      <abilityName>标点符号检查</abilityName>
      <candidateList/>
      <explain/>
      <paraID>744C835A</paraID>
      <start>0</start>
      <end>1</end>
      <status>unmodified</status>
      <modifiedWord/>
      <trackRevisions>false</trackRevisions>
    </reviewItem>
    <reviewItem>
      <errorID>0a3d32e7-2d8e-4a39-8bdb-f3926a36f7a9</errorID>
      <errorWord>*</errorWord>
      <group>L1_Punc</group>
      <groupName>标点问题</groupName>
      <ability>L2_Punc</ability>
      <abilityName>标点符号检查</abilityName>
      <candidateList/>
      <explain/>
      <paraID>3FA7639C</paraID>
      <start>0</start>
      <end>1</end>
      <status>unmodified</status>
      <modifiedWord/>
      <trackRevisions>false</trackRevisions>
    </reviewItem>
    <reviewItem>
      <errorID>cbedb112-b591-475f-8cb1-b67c17dc3a15</errorID>
      <errorWord>*</errorWord>
      <group>L1_Punc</group>
      <groupName>标点问题</groupName>
      <ability>L2_Punc</ability>
      <abilityName>标点符号检查</abilityName>
      <candidateList/>
      <explain/>
      <paraID>49543769</paraID>
      <start>0</start>
      <end>1</end>
      <status>unmodified</status>
      <modifiedWord/>
      <trackRevisions>false</trackRevisions>
    </reviewItem>
    <reviewItem>
      <errorID>0ef30ee4-dc80-496f-9de3-3f613e4a5aa2</errorID>
      <errorWord>*</errorWord>
      <group>L1_Punc</group>
      <groupName>标点问题</groupName>
      <ability>L2_Punc</ability>
      <abilityName>标点符号检查</abilityName>
      <candidateList/>
      <explain/>
      <paraID>61CA335E</paraID>
      <start>0</start>
      <end>1</end>
      <status>unmodified</status>
      <modifiedWord/>
      <trackRevisions>false</trackRevisions>
    </reviewItem>
    <reviewItem>
      <errorID>3d571439-8641-45f5-9aef-a12ef2ac7ac2</errorID>
      <errorWord>*</errorWord>
      <group>L1_Punc</group>
      <groupName>标点问题</groupName>
      <ability>L2_Punc</ability>
      <abilityName>标点符号检查</abilityName>
      <candidateList/>
      <explain/>
      <paraID> 2BC4F98</paraID>
      <start>0</start>
      <end>1</end>
      <status>unmodified</status>
      <modifiedWord/>
      <trackRevisions>false</trackRevisions>
    </reviewItem>
    <reviewItem>
      <errorID>fc27d68e-3964-4887-9bf7-11070a800a64</errorID>
      <errorWord>*</errorWord>
      <group>L1_Punc</group>
      <groupName>标点问题</groupName>
      <ability>L2_Punc</ability>
      <abilityName>标点符号检查</abilityName>
      <candidateList/>
      <explain/>
      <paraID>712E1A36</paraID>
      <start>0</start>
      <end>1</end>
      <status>unmodified</status>
      <modifiedWord/>
      <trackRevisions>false</trackRevisions>
    </reviewItem>
    <reviewItem>
      <errorID>184271b4-ffad-4c5e-b072-0f9be176c289</errorID>
      <errorWord>*</errorWord>
      <group>L1_Punc</group>
      <groupName>标点问题</groupName>
      <ability>L2_Punc</ability>
      <abilityName>标点符号检查</abilityName>
      <candidateList/>
      <explain/>
      <paraID>1CD07A45</paraID>
      <start>0</start>
      <end>1</end>
      <status>unmodified</status>
      <modifiedWord/>
      <trackRevisions>false</trackRevisions>
    </reviewItem>
    <reviewItem>
      <errorID>87ed08a0-1bc2-42e7-a8cd-dc61d9b24ade</errorID>
      <errorWord>*</errorWord>
      <group>L1_Punc</group>
      <groupName>标点问题</groupName>
      <ability>L2_Punc</ability>
      <abilityName>标点符号检查</abilityName>
      <candidateList/>
      <explain/>
      <paraID>4998DDF5</paraID>
      <start>0</start>
      <end>1</end>
      <status>unmodified</status>
      <modifiedWord/>
      <trackRevisions>false</trackRevisions>
    </reviewItem>
    <reviewItem>
      <errorID>94e85ca2-c765-4d4b-8ec9-156453612462</errorID>
      <errorWord>*</errorWord>
      <group>L1_Punc</group>
      <groupName>标点问题</groupName>
      <ability>L2_Punc</ability>
      <abilityName>标点符号检查</abilityName>
      <candidateList/>
      <explain/>
      <paraID>6E691F84</paraID>
      <start>0</start>
      <end>1</end>
      <status>unmodified</status>
      <modifiedWord/>
      <trackRevisions>false</trackRevisions>
    </reviewItem>
    <reviewItem>
      <errorID>6093b9ba-8525-4440-bd7c-683c95dc9753</errorID>
      <errorWord>*</errorWord>
      <group>L1_Punc</group>
      <groupName>标点问题</groupName>
      <ability>L2_Punc</ability>
      <abilityName>标点符号检查</abilityName>
      <candidateList/>
      <explain/>
      <paraID>4C97211A</paraID>
      <start>0</start>
      <end>1</end>
      <status>unmodified</status>
      <modifiedWord/>
      <trackRevisions>false</trackRevisions>
    </reviewItem>
    <reviewItem>
      <errorID>181afe3d-9c54-4805-af0a-b05499e7df22</errorID>
      <errorWord>*</errorWord>
      <group>L1_Punc</group>
      <groupName>标点问题</groupName>
      <ability>L2_Punc</ability>
      <abilityName>标点符号检查</abilityName>
      <candidateList/>
      <explain/>
      <paraID>18F50E30</paraID>
      <start>0</start>
      <end>1</end>
      <status>unmodified</status>
      <modifiedWord/>
      <trackRevisions>false</trackRevisions>
    </reviewItem>
    <reviewItem>
      <errorID>dfbd4699-3cd5-4ab4-93ea-b5cb36532a3e</errorID>
      <errorWord>*</errorWord>
      <group>L1_Punc</group>
      <groupName>标点问题</groupName>
      <ability>L2_Punc</ability>
      <abilityName>标点符号检查</abilityName>
      <candidateList/>
      <explain/>
      <paraID>3D3219AD</paraID>
      <start>0</start>
      <end>1</end>
      <status>unmodified</status>
      <modifiedWord/>
      <trackRevisions>false</trackRevisions>
    </reviewItem>
    <reviewItem>
      <errorID>eef498db-fbce-4820-8127-1cf1602fd59f</errorID>
      <errorWord>*</errorWord>
      <group>L1_Punc</group>
      <groupName>标点问题</groupName>
      <ability>L2_Punc</ability>
      <abilityName>标点符号检查</abilityName>
      <candidateList/>
      <explain/>
      <paraID>27681D34</paraID>
      <start>0</start>
      <end>1</end>
      <status>unmodified</status>
      <modifiedWord/>
      <trackRevisions>false</trackRevisions>
    </reviewItem>
    <reviewItem>
      <errorID>53a97597-c430-42b5-9699-3234095d8beb</errorID>
      <errorWord>*</errorWord>
      <group>L1_Punc</group>
      <groupName>标点问题</groupName>
      <ability>L2_Punc</ability>
      <abilityName>标点符号检查</abilityName>
      <candidateList/>
      <explain/>
      <paraID>616F038E</paraID>
      <start>0</start>
      <end>1</end>
      <status>unmodified</status>
      <modifiedWord/>
      <trackRevisions>false</trackRevisions>
    </reviewItem>
    <reviewItem>
      <errorID>506f3552-6888-4d10-bb1e-474cada4679b</errorID>
      <errorWord>*</errorWord>
      <group>L1_Punc</group>
      <groupName>标点问题</groupName>
      <ability>L2_Punc</ability>
      <abilityName>标点符号检查</abilityName>
      <candidateList/>
      <explain/>
      <paraID>6D93E3CD</paraID>
      <start>0</start>
      <end>1</end>
      <status>unmodified</status>
      <modifiedWord/>
      <trackRevisions>false</trackRevisions>
    </reviewItem>
    <reviewItem>
      <errorID>10606f46-684f-4bcd-aeff-13b2fa5e74dd</errorID>
      <errorWord>*</errorWord>
      <group>L1_Punc</group>
      <groupName>标点问题</groupName>
      <ability>L2_Punc</ability>
      <abilityName>标点符号检查</abilityName>
      <candidateList/>
      <explain/>
      <paraID>438900BF</paraID>
      <start>0</start>
      <end>1</end>
      <status>unmodified</status>
      <modifiedWord/>
      <trackRevisions>false</trackRevisions>
    </reviewItem>
    <reviewItem>
      <errorID>b898498e-4597-4170-b7c9-051190de07cc</errorID>
      <errorWord>*</errorWord>
      <group>L1_Punc</group>
      <groupName>标点问题</groupName>
      <ability>L2_Punc</ability>
      <abilityName>标点符号检查</abilityName>
      <candidateList/>
      <explain/>
      <paraID>43338D0F</paraID>
      <start>0</start>
      <end>1</end>
      <status>unmodified</status>
      <modifiedWord/>
      <trackRevisions>false</trackRevisions>
    </reviewItem>
    <reviewItem>
      <errorID>5c3bdb8b-9088-4b09-a58a-48112d9be628</errorID>
      <errorWord>*</errorWord>
      <group>L1_Punc</group>
      <groupName>标点问题</groupName>
      <ability>L2_Punc</ability>
      <abilityName>标点符号检查</abilityName>
      <candidateList/>
      <explain/>
      <paraID> 6D4E663</paraID>
      <start>0</start>
      <end>1</end>
      <status>unmodified</status>
      <modifiedWord/>
      <trackRevisions>false</trackRevisions>
    </reviewItem>
    <reviewItem>
      <errorID>ae249948-0a26-4e71-b6cb-69998c146a53</errorID>
      <errorWord>*</errorWord>
      <group>L1_Punc</group>
      <groupName>标点问题</groupName>
      <ability>L2_Punc</ability>
      <abilityName>标点符号检查</abilityName>
      <candidateList/>
      <explain/>
      <paraID>1AC4AF32</paraID>
      <start>0</start>
      <end>1</end>
      <status>unmodified</status>
      <modifiedWord/>
      <trackRevisions>false</trackRevisions>
    </reviewItem>
    <reviewItem>
      <errorID>1d12691b-7470-486f-98bc-7660efd0e4f4</errorID>
      <errorWord>*</errorWord>
      <group>L1_Punc</group>
      <groupName>标点问题</groupName>
      <ability>L2_Punc</ability>
      <abilityName>标点符号检查</abilityName>
      <candidateList/>
      <explain/>
      <paraID>672C52E2</paraID>
      <start>0</start>
      <end>1</end>
      <status>unmodified</status>
      <modifiedWord/>
      <trackRevisions>false</trackRevisions>
    </reviewItem>
    <reviewItem>
      <errorID>77d0c84e-f119-40dc-a5c4-2b87a71adc2f</errorID>
      <errorWord>*</errorWord>
      <group>L1_Punc</group>
      <groupName>标点问题</groupName>
      <ability>L2_Punc</ability>
      <abilityName>标点符号检查</abilityName>
      <candidateList/>
      <explain/>
      <paraID>5AF4A998</paraID>
      <start>0</start>
      <end>1</end>
      <status>unmodified</status>
      <modifiedWord/>
      <trackRevisions>false</trackRevisions>
    </reviewItem>
    <reviewItem>
      <errorID>ad85a493-cc81-47a2-babb-62de7c373f09</errorID>
      <errorWord>*</errorWord>
      <group>L1_Punc</group>
      <groupName>标点问题</groupName>
      <ability>L2_Punc</ability>
      <abilityName>标点符号检查</abilityName>
      <candidateList/>
      <explain/>
      <paraID>39829934</paraID>
      <start>0</start>
      <end>1</end>
      <status>unmodified</status>
      <modifiedWord/>
      <trackRevisions>false</trackRevisions>
    </reviewItem>
    <reviewItem>
      <errorID>3f44f41e-2323-4503-b926-4b4e00594c4a</errorID>
      <errorWord>*</errorWord>
      <group>L1_Punc</group>
      <groupName>标点问题</groupName>
      <ability>L2_Punc</ability>
      <abilityName>标点符号检查</abilityName>
      <candidateList/>
      <explain/>
      <paraID>4E698A14</paraID>
      <start>0</start>
      <end>1</end>
      <status>unmodified</status>
      <modifiedWord/>
      <trackRevisions>false</trackRevisions>
    </reviewItem>
    <reviewItem>
      <errorID>f1aac5b9-b334-4aee-a3da-f47a6c131b5a</errorID>
      <errorWord>*</errorWord>
      <group>L1_Punc</group>
      <groupName>标点问题</groupName>
      <ability>L2_Punc</ability>
      <abilityName>标点符号检查</abilityName>
      <candidateList/>
      <explain/>
      <paraID>5ECFFCFA</paraID>
      <start>0</start>
      <end>1</end>
      <status>unmodified</status>
      <modifiedWord/>
      <trackRevisions>false</trackRevisions>
    </reviewItem>
    <reviewItem>
      <errorID>f4290714-aebb-49f3-a5e0-5ca5c1d07c71</errorID>
      <errorWord>*</errorWord>
      <group>L1_Punc</group>
      <groupName>标点问题</groupName>
      <ability>L2_Punc</ability>
      <abilityName>标点符号检查</abilityName>
      <candidateList/>
      <explain/>
      <paraID>3CC998D4</paraID>
      <start>0</start>
      <end>1</end>
      <status>unmodified</status>
      <modifiedWord/>
      <trackRevisions>false</trackRevisions>
    </reviewItem>
    <reviewItem>
      <errorID>757d1ae8-6e0d-4ffb-a32d-c57edb0ede7f</errorID>
      <errorWord>*</errorWord>
      <group>L1_Punc</group>
      <groupName>标点问题</groupName>
      <ability>L2_Punc</ability>
      <abilityName>标点符号检查</abilityName>
      <candidateList/>
      <explain/>
      <paraID>131230B4</paraID>
      <start>0</start>
      <end>1</end>
      <status>unmodified</status>
      <modifiedWord/>
      <trackRevisions>false</trackRevisions>
    </reviewItem>
    <reviewItem>
      <errorID>cbae7952-7539-4ab8-b684-4f1a708eae4d</errorID>
      <errorWord>*</errorWord>
      <group>L1_Punc</group>
      <groupName>标点问题</groupName>
      <ability>L2_Punc</ability>
      <abilityName>标点符号检查</abilityName>
      <candidateList/>
      <explain/>
      <paraID>5FCC35D7</paraID>
      <start>0</start>
      <end>1</end>
      <status>unmodified</status>
      <modifiedWord/>
      <trackRevisions>false</trackRevisions>
    </reviewItem>
    <reviewItem>
      <errorID>6c5850a9-5e40-457c-adab-72b0430e2442</errorID>
      <errorWord>*</errorWord>
      <group>L1_Punc</group>
      <groupName>标点问题</groupName>
      <ability>L2_Punc</ability>
      <abilityName>标点符号检查</abilityName>
      <candidateList/>
      <explain/>
      <paraID>5A274774</paraID>
      <start>0</start>
      <end>1</end>
      <status>unmodified</status>
      <modifiedWord/>
      <trackRevisions>false</trackRevisions>
    </reviewItem>
    <reviewItem>
      <errorID>654bbf0c-8dd1-4466-ab06-86eaca59772e</errorID>
      <errorWord>*</errorWord>
      <group>L1_Punc</group>
      <groupName>标点问题</groupName>
      <ability>L2_Punc</ability>
      <abilityName>标点符号检查</abilityName>
      <candidateList/>
      <explain/>
      <paraID>258B2A9C</paraID>
      <start>0</start>
      <end>1</end>
      <status>unmodified</status>
      <modifiedWord/>
      <trackRevisions>false</trackRevisions>
    </reviewItem>
    <reviewItem>
      <errorID>86e3ca7a-7c46-43a2-9510-a53690d4130c</errorID>
      <errorWord>(</errorWord>
      <group>L1_Format</group>
      <groupName>格式问题</groupName>
      <ability>L2_HalfPunc</ability>
      <abilityName>全半角检查</abilityName>
      <candidateList>
        <item>（</item>
      </candidateList>
      <explain>文本全半角错误。</explain>
      <paraID>73CD483A</paraID>
      <start>3</start>
      <end>4</end>
      <status>unmodified</status>
      <modifiedWord/>
      <trackRevisions>false</trackRevisions>
    </reviewItem>
    <reviewItem>
      <errorID>474bbd1b-1f30-4f10-94e3-55a199b371f6</errorID>
      <errorWord>)</errorWord>
      <group>L1_Format</group>
      <groupName>格式问题</groupName>
      <ability>L2_HalfPunc</ability>
      <abilityName>全半角检查</abilityName>
      <candidateList>
        <item>）</item>
      </candidateList>
      <explain>文本全半角错误。</explain>
      <paraID>73CD483A</paraID>
      <start>11</start>
      <end>12</end>
      <status>unmodified</status>
      <modifiedWord/>
      <trackRevisions>false</trackRevisions>
    </reviewItem>
    <reviewItem>
      <errorID>2993ede9-8b44-4d17-a797-c3f141f97c71</errorID>
      <errorWord>*</errorWord>
      <group>L1_Punc</group>
      <groupName>标点问题</groupName>
      <ability>L2_Punc</ability>
      <abilityName>标点符号检查</abilityName>
      <candidateList/>
      <explain/>
      <paraID>47998A88</paraID>
      <start>0</start>
      <end>1</end>
      <status>unmodified</status>
      <modifiedWord/>
      <trackRevisions>false</trackRevisions>
    </reviewItem>
    <reviewItem>
      <errorID>9d25ac7f-e5dd-4da0-a165-7624f49ace7c</errorID>
      <errorWord>*</errorWord>
      <group>L1_Punc</group>
      <groupName>标点问题</groupName>
      <ability>L2_Punc</ability>
      <abilityName>标点符号检查</abilityName>
      <candidateList/>
      <explain/>
      <paraID>51B631C4</paraID>
      <start>0</start>
      <end>1</end>
      <status>unmodified</status>
      <modifiedWord/>
      <trackRevisions>false</trackRevisions>
    </reviewItem>
    <reviewItem>
      <errorID>a9f8bb0a-aa81-433d-995b-c25cb8ebe2be</errorID>
      <errorWord>2029年08月01日</errorWord>
      <group>L1_Knowledge</group>
      <groupName>知识性问题</groupName>
      <ability>L2_Time</ability>
      <abilityName>日期时间</abilityName>
      <candidateList>
        <item>2029年8月1日</item>
      </candidateList>
      <explain>根据日常书写习惯，月份和日期一般会省略前导零。</explain>
      <paraID>34A6B43E</paraID>
      <start>353</start>
      <end>364</end>
      <status>unmodified</status>
      <modifiedWord/>
      <trackRevisions>false</trackRevisions>
    </reviewItem>
    <reviewItem>
      <errorID>a42ce7f4-db39-4d1a-b729-0504121e6ba0</errorID>
      <errorWord>*</errorWord>
      <group>L1_Punc</group>
      <groupName>标点问题</groupName>
      <ability>L2_Punc</ability>
      <abilityName>标点符号检查</abilityName>
      <candidateList/>
      <explain/>
      <paraID>3D20D5C0</paraID>
      <start>0</start>
      <end>1</end>
      <status>unmodified</status>
      <modifiedWord/>
      <trackRevisions>false</trackRevisions>
    </reviewItem>
    <reviewItem>
      <errorID>b2863c36-7d3a-4d5a-9fdf-c5762560afeb</errorID>
      <errorWord>*</errorWord>
      <group>L1_Punc</group>
      <groupName>标点问题</groupName>
      <ability>L2_Punc</ability>
      <abilityName>标点符号检查</abilityName>
      <candidateList/>
      <explain/>
      <paraID>2A1650C0</paraID>
      <start>0</start>
      <end>1</end>
      <status>unmodified</status>
      <modifiedWord/>
      <trackRevisions>false</trackRevisions>
    </reviewItem>
    <reviewItem>
      <errorID>71f2720a-74ee-428f-b255-69b23ea581c7</errorID>
      <errorWord>*</errorWord>
      <group>L1_Punc</group>
      <groupName>标点问题</groupName>
      <ability>L2_Punc</ability>
      <abilityName>标点符号检查</abilityName>
      <candidateList/>
      <explain/>
      <paraID>77AD5B6B</paraID>
      <start>0</start>
      <end>1</end>
      <status>unmodified</status>
      <modifiedWord/>
      <trackRevisions>false</trackRevisions>
    </reviewItem>
    <reviewItem>
      <errorID>8e174c2b-cb22-413d-a3e2-78444478eeca</errorID>
      <errorWord>*</errorWord>
      <group>L1_Punc</group>
      <groupName>标点问题</groupName>
      <ability>L2_Punc</ability>
      <abilityName>标点符号检查</abilityName>
      <candidateList/>
      <explain/>
      <paraID>40E58732</paraID>
      <start>0</start>
      <end>1</end>
      <status>unmodified</status>
      <modifiedWord/>
      <trackRevisions>false</trackRevisions>
    </reviewItem>
    <reviewItem>
      <errorID>22d0e560-c68a-4285-9ce1-f10269e552a6</errorID>
      <errorWord>*</errorWord>
      <group>L1_Punc</group>
      <groupName>标点问题</groupName>
      <ability>L2_Punc</ability>
      <abilityName>标点符号检查</abilityName>
      <candidateList/>
      <explain/>
      <paraID> 3C54A23</paraID>
      <start>0</start>
      <end>1</end>
      <status>unmodified</status>
      <modifiedWord/>
      <trackRevisions>false</trackRevisions>
    </reviewItem>
    <reviewItem>
      <errorID>b382c69c-dfc2-4fc0-acd3-c434ba5576af</errorID>
      <errorWord>*</errorWord>
      <group>L1_Punc</group>
      <groupName>标点问题</groupName>
      <ability>L2_Punc</ability>
      <abilityName>标点符号检查</abilityName>
      <candidateList/>
      <explain/>
      <paraID>53CB36D2</paraID>
      <start>0</start>
      <end>1</end>
      <status>unmodified</status>
      <modifiedWord/>
      <trackRevisions>false</trackRevisions>
    </reviewItem>
    <reviewItem>
      <errorID>6f07f95f-a94c-4aab-9f48-edeaa00ee1c3</errorID>
      <errorWord>*</errorWord>
      <group>L1_Punc</group>
      <groupName>标点问题</groupName>
      <ability>L2_Punc</ability>
      <abilityName>标点符号检查</abilityName>
      <candidateList/>
      <explain/>
      <paraID>6D763F7B</paraID>
      <start>0</start>
      <end>1</end>
      <status>unmodified</status>
      <modifiedWord/>
      <trackRevisions>false</trackRevisions>
    </reviewItem>
    <reviewItem>
      <errorID>829e8399-e08d-4d26-b001-f48a5aa1b233</errorID>
      <errorWord>*</errorWord>
      <group>L1_Punc</group>
      <groupName>标点问题</groupName>
      <ability>L2_Punc</ability>
      <abilityName>标点符号检查</abilityName>
      <candidateList/>
      <explain/>
      <paraID>5223914E</paraID>
      <start>0</start>
      <end>1</end>
      <status>unmodified</status>
      <modifiedWord/>
      <trackRevisions>false</trackRevisions>
    </reviewItem>
    <reviewItem>
      <errorID>8c033b03-71a9-4c14-8d00-dcf76f76a0af</errorID>
      <errorWord>*</errorWord>
      <group>L1_Punc</group>
      <groupName>标点问题</groupName>
      <ability>L2_Punc</ability>
      <abilityName>标点符号检查</abilityName>
      <candidateList/>
      <explain/>
      <paraID>7E666CB0</paraID>
      <start>0</start>
      <end>1</end>
      <status>unmodified</status>
      <modifiedWord/>
      <trackRevisions>false</trackRevisions>
    </reviewItem>
    <reviewItem>
      <errorID>204d9108-37e1-4b7b-a934-fa43b46c7313</errorID>
      <errorWord>*</errorWord>
      <group>L1_Punc</group>
      <groupName>标点问题</groupName>
      <ability>L2_Punc</ability>
      <abilityName>标点符号检查</abilityName>
      <candidateList/>
      <explain/>
      <paraID>4F6C327A</paraID>
      <start>0</start>
      <end>1</end>
      <status>unmodified</status>
      <modifiedWord/>
      <trackRevisions>false</trackRevisions>
    </reviewItem>
    <reviewItem>
      <errorID>4954f731-9cf0-402b-9789-cb4e13bdb68e</errorID>
      <errorWord>*</errorWord>
      <group>L1_Punc</group>
      <groupName>标点问题</groupName>
      <ability>L2_Punc</ability>
      <abilityName>标点符号检查</abilityName>
      <candidateList/>
      <explain/>
      <paraID>6C50F928</paraID>
      <start>0</start>
      <end>1</end>
      <status>unmodified</status>
      <modifiedWord/>
      <trackRevisions>false</trackRevisions>
    </reviewItem>
    <reviewItem>
      <errorID>c7fd4f55-1f99-4794-a935-95e64d26d860</errorID>
      <errorWord>*</errorWord>
      <group>L1_Punc</group>
      <groupName>标点问题</groupName>
      <ability>L2_Punc</ability>
      <abilityName>标点符号检查</abilityName>
      <candidateList/>
      <explain/>
      <paraID>308B6E0E</paraID>
      <start>0</start>
      <end>1</end>
      <status>unmodified</status>
      <modifiedWord/>
      <trackRevisions>false</trackRevisions>
    </reviewItem>
    <reviewItem>
      <errorID>b0a3a619-db86-49e1-8480-a99260df2601</errorID>
      <errorWord>*</errorWord>
      <group>L1_Punc</group>
      <groupName>标点问题</groupName>
      <ability>L2_Punc</ability>
      <abilityName>标点符号检查</abilityName>
      <candidateList/>
      <explain/>
      <paraID>53FBF849</paraID>
      <start>0</start>
      <end>1</end>
      <status>unmodified</status>
      <modifiedWord/>
      <trackRevisions>false</trackRevisions>
    </reviewItem>
    <reviewItem>
      <errorID>48ba00ad-1fe4-476e-9ea5-28d6f700816b</errorID>
      <errorWord>*</errorWord>
      <group>L1_Punc</group>
      <groupName>标点问题</groupName>
      <ability>L2_Punc</ability>
      <abilityName>标点符号检查</abilityName>
      <candidateList/>
      <explain/>
      <paraID>26E89A72</paraID>
      <start>0</start>
      <end>1</end>
      <status>unmodified</status>
      <modifiedWord/>
      <trackRevisions>false</trackRevisions>
    </reviewItem>
    <reviewItem>
      <errorID>180e62dc-ecae-47ef-8151-e38ee97338a6</errorID>
      <errorWord>*</errorWord>
      <group>L1_Punc</group>
      <groupName>标点问题</groupName>
      <ability>L2_Punc</ability>
      <abilityName>标点符号检查</abilityName>
      <candidateList/>
      <explain/>
      <paraID> 81FA4A6</paraID>
      <start>0</start>
      <end>1</end>
      <status>unmodified</status>
      <modifiedWord/>
      <trackRevisions>false</trackRevisions>
    </reviewItem>
    <reviewItem>
      <errorID>84670cea-7198-4282-be2c-e681fa87a7f8</errorID>
      <errorWord>*</errorWord>
      <group>L1_Punc</group>
      <groupName>标点问题</groupName>
      <ability>L2_Punc</ability>
      <abilityName>标点符号检查</abilityName>
      <candidateList/>
      <explain/>
      <paraID>7118B425</paraID>
      <start>0</start>
      <end>1</end>
      <status>unmodified</status>
      <modifiedWord/>
      <trackRevisions>false</trackRevisions>
    </reviewItem>
    <reviewItem>
      <errorID>4566df3e-f8fc-4240-a179-e5af7e57926a</errorID>
      <errorWord>*</errorWord>
      <group>L1_Punc</group>
      <groupName>标点问题</groupName>
      <ability>L2_Punc</ability>
      <abilityName>标点符号检查</abilityName>
      <candidateList/>
      <explain/>
      <paraID>1276500B</paraID>
      <start>0</start>
      <end>1</end>
      <status>unmodified</status>
      <modifiedWord/>
      <trackRevisions>false</trackRevisions>
    </reviewItem>
    <reviewItem>
      <errorID>f89656aa-e0e0-417c-ab0e-a826e00d4157</errorID>
      <errorWord>*</errorWord>
      <group>L1_Punc</group>
      <groupName>标点问题</groupName>
      <ability>L2_Punc</ability>
      <abilityName>标点符号检查</abilityName>
      <candidateList/>
      <explain/>
      <paraID>3BF053D2</paraID>
      <start>0</start>
      <end>1</end>
      <status>unmodified</status>
      <modifiedWord/>
      <trackRevisions>false</trackRevisions>
    </reviewItem>
    <reviewItem>
      <errorID>64cb8c78-b6b1-401c-bd42-172ee6a0fdcb</errorID>
      <errorWord>*</errorWord>
      <group>L1_Punc</group>
      <groupName>标点问题</groupName>
      <ability>L2_Punc</ability>
      <abilityName>标点符号检查</abilityName>
      <candidateList/>
      <explain/>
      <paraID>6BAD1BE5</paraID>
      <start>0</start>
      <end>1</end>
      <status>unmodified</status>
      <modifiedWord/>
      <trackRevisions>false</trackRevisions>
    </reviewItem>
    <reviewItem>
      <errorID>88fa5e1f-625c-4207-9387-e3a57f40f189</errorID>
      <errorWord>*</errorWord>
      <group>L1_Punc</group>
      <groupName>标点问题</groupName>
      <ability>L2_Punc</ability>
      <abilityName>标点符号检查</abilityName>
      <candidateList/>
      <explain/>
      <paraID> 2D53E02</paraID>
      <start>0</start>
      <end>1</end>
      <status>unmodified</status>
      <modifiedWord/>
      <trackRevisions>false</trackRevisions>
    </reviewItem>
    <reviewItem>
      <errorID>33d2aa44-8943-475e-a8bb-60f75e25217e</errorID>
      <errorWord>*</errorWord>
      <group>L1_Punc</group>
      <groupName>标点问题</groupName>
      <ability>L2_Punc</ability>
      <abilityName>标点符号检查</abilityName>
      <candidateList/>
      <explain/>
      <paraID>6079C7EE</paraID>
      <start>0</start>
      <end>1</end>
      <status>unmodified</status>
      <modifiedWord/>
      <trackRevisions>false</trackRevisions>
    </reviewItem>
    <reviewItem>
      <errorID>af28db09-2c7f-4f5a-8112-b917e02777a4</errorID>
      <errorWord>*</errorWord>
      <group>L1_Punc</group>
      <groupName>标点问题</groupName>
      <ability>L2_Punc</ability>
      <abilityName>标点符号检查</abilityName>
      <candidateList/>
      <explain/>
      <paraID>59C3DF0F</paraID>
      <start>0</start>
      <end>1</end>
      <status>unmodified</status>
      <modifiedWord/>
      <trackRevisions>false</trackRevisions>
    </reviewItem>
    <reviewItem>
      <errorID>b7f32587-7812-47d3-989c-9f790f6b6055</errorID>
      <errorWord>*</errorWord>
      <group>L1_Punc</group>
      <groupName>标点问题</groupName>
      <ability>L2_Punc</ability>
      <abilityName>标点符号检查</abilityName>
      <candidateList/>
      <explain/>
      <paraID>54BA3694</paraID>
      <start>0</start>
      <end>1</end>
      <status>unmodified</status>
      <modifiedWord/>
      <trackRevisions>false</trackRevisions>
    </reviewItem>
    <reviewItem>
      <errorID>3786e9c2-9c8b-47a5-9a19-e581a3ad9796</errorID>
      <errorWord>*</errorWord>
      <group>L1_Punc</group>
      <groupName>标点问题</groupName>
      <ability>L2_Punc</ability>
      <abilityName>标点符号检查</abilityName>
      <candidateList/>
      <explain/>
      <paraID>220BA6E9</paraID>
      <start>0</start>
      <end>1</end>
      <status>unmodified</status>
      <modifiedWord/>
      <trackRevisions>false</trackRevisions>
    </reviewItem>
    <reviewItem>
      <errorID>b40538b7-babf-46b0-aaa6-ca38bea1f171</errorID>
      <errorWord>*</errorWord>
      <group>L1_Punc</group>
      <groupName>标点问题</groupName>
      <ability>L2_Punc</ability>
      <abilityName>标点符号检查</abilityName>
      <candidateList/>
      <explain/>
      <paraID>29AB0D16</paraID>
      <start>0</start>
      <end>1</end>
      <status>unmodified</status>
      <modifiedWord/>
      <trackRevisions>false</trackRevisions>
    </reviewItem>
    <reviewItem>
      <errorID>0ccdff77-ca31-43bb-b981-da2064314189</errorID>
      <errorWord>*</errorWord>
      <group>L1_Punc</group>
      <groupName>标点问题</groupName>
      <ability>L2_Punc</ability>
      <abilityName>标点符号检查</abilityName>
      <candidateList/>
      <explain/>
      <paraID>73A51786</paraID>
      <start>0</start>
      <end>1</end>
      <status>unmodified</status>
      <modifiedWord/>
      <trackRevisions>false</trackRevisions>
    </reviewItem>
    <reviewItem>
      <errorID>020c1a0f-3243-4df0-a0d9-905ee10805ab</errorID>
      <errorWord>*</errorWord>
      <group>L1_Punc</group>
      <groupName>标点问题</groupName>
      <ability>L2_Punc</ability>
      <abilityName>标点符号检查</abilityName>
      <candidateList/>
      <explain/>
      <paraID>42D99A5B</paraID>
      <start>0</start>
      <end>1</end>
      <status>unmodified</status>
      <modifiedWord/>
      <trackRevisions>false</trackRevisions>
    </reviewItem>
    <reviewItem>
      <errorID>ddfaca55-16b3-40b3-8ff4-a6ac0ebbc0db</errorID>
      <errorWord>*</errorWord>
      <group>L1_Punc</group>
      <groupName>标点问题</groupName>
      <ability>L2_Punc</ability>
      <abilityName>标点符号检查</abilityName>
      <candidateList/>
      <explain/>
      <paraID> 5D85071</paraID>
      <start>0</start>
      <end>1</end>
      <status>unmodified</status>
      <modifiedWord/>
      <trackRevisions>false</trackRevisions>
    </reviewItem>
    <reviewItem>
      <errorID>8ad66ec1-5b1a-4b9e-a943-9c139914fc99</errorID>
      <errorWord>*</errorWord>
      <group>L1_Punc</group>
      <groupName>标点问题</groupName>
      <ability>L2_Punc</ability>
      <abilityName>标点符号检查</abilityName>
      <candidateList/>
      <explain/>
      <paraID>4FE12BF4</paraID>
      <start>0</start>
      <end>1</end>
      <status>unmodified</status>
      <modifiedWord/>
      <trackRevisions>false</trackRevisions>
    </reviewItem>
    <reviewItem>
      <errorID>cfe44fcc-f369-4599-b916-9e9c11da9089</errorID>
      <errorWord>*</errorWord>
      <group>L1_Punc</group>
      <groupName>标点问题</groupName>
      <ability>L2_Punc</ability>
      <abilityName>标点符号检查</abilityName>
      <candidateList/>
      <explain/>
      <paraID>347A200A</paraID>
      <start>0</start>
      <end>1</end>
      <status>unmodified</status>
      <modifiedWord/>
      <trackRevisions>false</trackRevisions>
    </reviewItem>
    <reviewItem>
      <errorID>ffa13e43-3287-421c-a152-adb2a9329641</errorID>
      <errorWord>*</errorWord>
      <group>L1_Punc</group>
      <groupName>标点问题</groupName>
      <ability>L2_Punc</ability>
      <abilityName>标点符号检查</abilityName>
      <candidateList/>
      <explain/>
      <paraID>  113F2B</paraID>
      <start>0</start>
      <end>1</end>
      <status>unmodified</status>
      <modifiedWord/>
      <trackRevisions>false</trackRevisions>
    </reviewItem>
    <reviewItem>
      <errorID>172fc176-db7b-4ed3-8906-9d1fc05d061d</errorID>
      <errorWord>*</errorWord>
      <group>L1_Punc</group>
      <groupName>标点问题</groupName>
      <ability>L2_Punc</ability>
      <abilityName>标点符号检查</abilityName>
      <candidateList/>
      <explain/>
      <paraID> 62A1716</paraID>
      <start>0</start>
      <end>1</end>
      <status>unmodified</status>
      <modifiedWord/>
      <trackRevisions>false</trackRevisions>
    </reviewItem>
    <reviewItem>
      <errorID>7e5dbad9-2ba8-409e-a762-91030a2155cb</errorID>
      <errorWord>*</errorWord>
      <group>L1_Punc</group>
      <groupName>标点问题</groupName>
      <ability>L2_Punc</ability>
      <abilityName>标点符号检查</abilityName>
      <candidateList/>
      <explain/>
      <paraID>1A24F6CE</paraID>
      <start>0</start>
      <end>1</end>
      <status>unmodified</status>
      <modifiedWord/>
      <trackRevisions>false</trackRevisions>
    </reviewItem>
    <reviewItem>
      <errorID>65a43667-6ac2-4fdf-acb7-02ba399742d6</errorID>
      <errorWord>*</errorWord>
      <group>L1_Punc</group>
      <groupName>标点问题</groupName>
      <ability>L2_Punc</ability>
      <abilityName>标点符号检查</abilityName>
      <candidateList/>
      <explain/>
      <paraID>1A3A0A3B</paraID>
      <start>0</start>
      <end>1</end>
      <status>unmodified</status>
      <modifiedWord/>
      <trackRevisions>false</trackRevisions>
    </reviewItem>
    <reviewItem>
      <errorID>cfa9c1aa-d697-4d31-8094-5fa222ba5dea</errorID>
      <errorWord>*</errorWord>
      <group>L1_Punc</group>
      <groupName>标点问题</groupName>
      <ability>L2_Punc</ability>
      <abilityName>标点符号检查</abilityName>
      <candidateList/>
      <explain/>
      <paraID>763CF4E8</paraID>
      <start>0</start>
      <end>1</end>
      <status>unmodified</status>
      <modifiedWord/>
      <trackRevisions>false</trackRevisions>
    </reviewItem>
    <reviewItem>
      <errorID>50458631-4fc6-487c-87e3-628a40682151</errorID>
      <errorWord>*</errorWord>
      <group>L1_Punc</group>
      <groupName>标点问题</groupName>
      <ability>L2_Punc</ability>
      <abilityName>标点符号检查</abilityName>
      <candidateList/>
      <explain/>
      <paraID>16D6EDA4</paraID>
      <start>0</start>
      <end>1</end>
      <status>unmodified</status>
      <modifiedWord/>
      <trackRevisions>false</trackRevisions>
    </reviewItem>
    <reviewItem>
      <errorID>164646aa-3775-4c91-b852-2d12473059e9</errorID>
      <errorWord>*</errorWord>
      <group>L1_Punc</group>
      <groupName>标点问题</groupName>
      <ability>L2_Punc</ability>
      <abilityName>标点符号检查</abilityName>
      <candidateList/>
      <explain/>
      <paraID>2756B97A</paraID>
      <start>0</start>
      <end>1</end>
      <status>unmodified</status>
      <modifiedWord/>
      <trackRevisions>false</trackRevisions>
    </reviewItem>
    <reviewItem>
      <errorID>e13fa9c3-a666-4bfd-93fb-295eb820b292</errorID>
      <errorWord>*</errorWord>
      <group>L1_Punc</group>
      <groupName>标点问题</groupName>
      <ability>L2_Punc</ability>
      <abilityName>标点符号检查</abilityName>
      <candidateList/>
      <explain/>
      <paraID> CCD0E09</paraID>
      <start>0</start>
      <end>1</end>
      <status>unmodified</status>
      <modifiedWord/>
      <trackRevisions>false</trackRevisions>
    </reviewItem>
    <reviewItem>
      <errorID>ee2d38df-d228-43c1-89e4-7c824bf4c725</errorID>
      <errorWord>*</errorWord>
      <group>L1_Punc</group>
      <groupName>标点问题</groupName>
      <ability>L2_Punc</ability>
      <abilityName>标点符号检查</abilityName>
      <candidateList/>
      <explain/>
      <paraID> 9C429B0</paraID>
      <start>0</start>
      <end>1</end>
      <status>unmodified</status>
      <modifiedWord/>
      <trackRevisions>false</trackRevisions>
    </reviewItem>
    <reviewItem>
      <errorID>299f9f0c-7740-4e61-bdbf-f6f41f914848</errorID>
      <errorWord>*</errorWord>
      <group>L1_Punc</group>
      <groupName>标点问题</groupName>
      <ability>L2_Punc</ability>
      <abilityName>标点符号检查</abilityName>
      <candidateList/>
      <explain/>
      <paraID>10544E6A</paraID>
      <start>0</start>
      <end>1</end>
      <status>unmodified</status>
      <modifiedWord/>
      <trackRevisions>false</trackRevisions>
    </reviewItem>
    <reviewItem>
      <errorID>a19f6754-9e01-496d-b433-9e491b02a378</errorID>
      <errorWord>*</errorWord>
      <group>L1_Punc</group>
      <groupName>标点问题</groupName>
      <ability>L2_Punc</ability>
      <abilityName>标点符号检查</abilityName>
      <candidateList/>
      <explain/>
      <paraID>2EFD70F3</paraID>
      <start>0</start>
      <end>1</end>
      <status>unmodified</status>
      <modifiedWord/>
      <trackRevisions>false</trackRevisions>
    </reviewItem>
    <reviewItem>
      <errorID>fb4bf3a0-653d-4f59-b87f-9e05815c3b50</errorID>
      <errorWord>*</errorWord>
      <group>L1_Punc</group>
      <groupName>标点问题</groupName>
      <ability>L2_Punc</ability>
      <abilityName>标点符号检查</abilityName>
      <candidateList/>
      <explain/>
      <paraID>3643F50B</paraID>
      <start>0</start>
      <end>1</end>
      <status>unmodified</status>
      <modifiedWord/>
      <trackRevisions>false</trackRevisions>
    </reviewItem>
    <reviewItem>
      <errorID>c2c72d96-28d0-421c-b152-a2dcfae22990</errorID>
      <errorWord>*</errorWord>
      <group>L1_Punc</group>
      <groupName>标点问题</groupName>
      <ability>L2_Punc</ability>
      <abilityName>标点符号检查</abilityName>
      <candidateList/>
      <explain/>
      <paraID>2CC8D6DE</paraID>
      <start>0</start>
      <end>1</end>
      <status>unmodified</status>
      <modifiedWord/>
      <trackRevisions>false</trackRevisions>
    </reviewItem>
    <reviewItem>
      <errorID>22c26be7-f383-4ebd-aa9f-e20ef288c943</errorID>
      <errorWord>*</errorWord>
      <group>L1_Punc</group>
      <groupName>标点问题</groupName>
      <ability>L2_Punc</ability>
      <abilityName>标点符号检查</abilityName>
      <candidateList/>
      <explain/>
      <paraID>4D27471A</paraID>
      <start>0</start>
      <end>1</end>
      <status>unmodified</status>
      <modifiedWord/>
      <trackRevisions>false</trackRevisions>
    </reviewItem>
    <reviewItem>
      <errorID>378ce191-383d-4df5-8cdb-a64086bb27cc</errorID>
      <errorWord>*</errorWord>
      <group>L1_Punc</group>
      <groupName>标点问题</groupName>
      <ability>L2_Punc</ability>
      <abilityName>标点符号检查</abilityName>
      <candidateList/>
      <explain/>
      <paraID>3AEC5F20</paraID>
      <start>0</start>
      <end>1</end>
      <status>unmodified</status>
      <modifiedWord/>
      <trackRevisions>false</trackRevisions>
    </reviewItem>
    <reviewItem>
      <errorID>f3d2a201-3300-4745-b95c-e4606f6489e7</errorID>
      <errorWord>*</errorWord>
      <group>L1_Punc</group>
      <groupName>标点问题</groupName>
      <ability>L2_Punc</ability>
      <abilityName>标点符号检查</abilityName>
      <candidateList/>
      <explain/>
      <paraID>6C3E2D8F</paraID>
      <start>0</start>
      <end>1</end>
      <status>unmodified</status>
      <modifiedWord/>
      <trackRevisions>false</trackRevisions>
    </reviewItem>
    <reviewItem>
      <errorID>954b3c8d-f1a5-41c8-8728-6e6a57eb6bc2</errorID>
      <errorWord>*</errorWord>
      <group>L1_Punc</group>
      <groupName>标点问题</groupName>
      <ability>L2_Punc</ability>
      <abilityName>标点符号检查</abilityName>
      <candidateList/>
      <explain/>
      <paraID>3FF8B02B</paraID>
      <start>0</start>
      <end>1</end>
      <status>unmodified</status>
      <modifiedWord/>
      <trackRevisions>false</trackRevisions>
    </reviewItem>
    <reviewItem>
      <errorID>eaf93d5b-99ea-4328-abf7-f4700d15e6ab</errorID>
      <errorWord>*</errorWord>
      <group>L1_Punc</group>
      <groupName>标点问题</groupName>
      <ability>L2_Punc</ability>
      <abilityName>标点符号检查</abilityName>
      <candidateList/>
      <explain/>
      <paraID> 284A57B</paraID>
      <start>0</start>
      <end>1</end>
      <status>unmodified</status>
      <modifiedWord/>
      <trackRevisions>false</trackRevisions>
    </reviewItem>
    <reviewItem>
      <errorID>40be13c2-58e5-44ad-ad66-d4d490c8a1d5</errorID>
      <errorWord>*</errorWord>
      <group>L1_Punc</group>
      <groupName>标点问题</groupName>
      <ability>L2_Punc</ability>
      <abilityName>标点符号检查</abilityName>
      <candidateList/>
      <explain/>
      <paraID>54E4AC57</paraID>
      <start>0</start>
      <end>1</end>
      <status>unmodified</status>
      <modifiedWord/>
      <trackRevisions>false</trackRevisions>
    </reviewItem>
    <reviewItem>
      <errorID>98eca073-65b9-493d-9a39-8bfac28dcb7f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2192544</paraID>
      <start>81</start>
      <end>82</end>
      <status>unmodified</status>
      <modifiedWord/>
      <trackRevisions>false</trackRevisions>
    </reviewItem>
    <reviewItem>
      <errorID>afea7245-3da2-4356-b9ef-0c9db09cf071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4E1E9876</paraID>
      <start>0</start>
      <end>2</end>
      <status>unmodified</status>
      <modifiedWord/>
      <trackRevisions>false</trackRevisions>
    </reviewItem>
    <reviewItem>
      <errorID>12837870-f621-48e8-8c77-129f8f5e900e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7A84980B</paraID>
      <start>0</start>
      <end>2</end>
      <status>unmodified</status>
      <modifiedWord/>
      <trackRevisions>false</trackRevisions>
    </reviewItem>
    <reviewItem>
      <errorID>b51f868b-c985-4ebd-8fec-072033dd32c9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4DDC00DD</paraID>
      <start>0</start>
      <end>2</end>
      <status>unmodified</status>
      <modifiedWord/>
      <trackRevisions>false</trackRevisions>
    </reviewItem>
    <reviewItem>
      <errorID>cc9577b1-634a-44a9-a3d6-8b89fcc8c4e4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3CE82BC5</paraID>
      <start>2</start>
      <end>3</end>
      <status>unmodified</status>
      <modifiedWord/>
      <trackRevisions>false</trackRevisions>
    </reviewItem>
    <reviewItem>
      <errorID>5d764713-a5e4-4e7a-a07b-98b3514d2fbe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525969D1</paraID>
      <start>0</start>
      <end>2</end>
      <status>unmodified</status>
      <modifiedWord/>
      <trackRevisions>false</trackRevisions>
    </reviewItem>
    <reviewItem>
      <errorID>d4db667e-fdb0-4b44-b03c-812d1bad974c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7C29AA92</paraID>
      <start>0</start>
      <end>2</end>
      <status>unmodified</status>
      <modifiedWord/>
      <trackRevisions>false</trackRevisions>
    </reviewItem>
    <reviewItem>
      <errorID>f86bdaa8-8049-4143-af6f-f5e2716bebb7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1399C722</paraID>
      <start>0</start>
      <end>2</end>
      <status>unmodified</status>
      <modifiedWord/>
      <trackRevisions>false</trackRevisions>
    </reviewItem>
    <reviewItem>
      <errorID>d5d82339-5f77-47c3-aac9-49794b050dc5</errorID>
      <errorWord>法律、法规</errorWord>
      <group>L1_Word</group>
      <groupName>字词问题</groupName>
      <ability>L2_Typo</ability>
      <abilityName>字词错误</abilityName>
      <candidateList>
        <item>法律法规</item>
      </candidateList>
      <explain/>
      <paraID>2401F7D4</paraID>
      <start>44</start>
      <end>49</end>
      <status>unmodified</status>
      <modifiedWord/>
      <trackRevisions>false</trackRevisions>
    </reviewItem>
    <reviewItem>
      <errorID>bf759502-1e9e-449a-8b32-2b17a03a983c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36D4873B</paraID>
      <start>0</start>
      <end>2</end>
      <status>unmodified</status>
      <modifiedWord/>
      <trackRevisions>false</trackRevisions>
    </reviewItem>
    <reviewItem>
      <errorID>c4e1c584-795b-4f42-b209-f70e03659837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2A90618A</paraID>
      <start>0</start>
      <end>2</end>
      <status>unmodified</status>
      <modifiedWord/>
      <trackRevisions>false</trackRevisions>
    </reviewItem>
    <reviewItem>
      <errorID>e55950c0-4df6-4856-9056-38462b9fa6e9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763E1A80</paraID>
      <start>0</start>
      <end>2</end>
      <status>unmodified</status>
      <modifiedWord/>
      <trackRevisions>false</trackRevisions>
    </reviewItem>
    <reviewItem>
      <errorID>845f0a04-9562-40a7-bdab-eb466f795abe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7D57D542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65cba-537d-43db-aaea-a9e143c6d32b}">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908</Words>
  <Characters>965</Characters>
  <Lines>0</Lines>
  <Paragraphs>0</Paragraphs>
  <TotalTime>6</TotalTime>
  <ScaleCrop>false</ScaleCrop>
  <LinksUpToDate>false</LinksUpToDate>
  <CharactersWithSpaces>1020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2026-03-10T09:26:00Z</dcterms:created>
  <dc:creator>Administrator</dc:creator>
  <cp:lastModifiedBy>20314</cp:lastModifiedBy>
  <dcterms:modified xsi:type="dcterms:W3CDTF">2026-04-09T09:09:28Z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eyJoZGlkIjoiNWYwYjdkYjZlZGM2NWFlNjkyM2U1MWM0ZTNmZWEwZTIiLCJ1c2VySWQiOiIxMDM3NjMxMjY0In0=</vt:lpwstr>
  </property>
  <property fmtid="{D5CDD505-2E9C-101B-9397-08002B2CF9AE}" pid="4" name="ICV">
    <vt:lpwstr>1BDBC1FB3A12417990622C20E2B83668_12</vt:lpwstr>
  </property>
</Properties>
</file>