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C45D4">
      <w:pPr>
        <w:spacing w:line="360" w:lineRule="auto"/>
        <w:jc w:val="center"/>
        <w:rPr>
          <w:bCs/>
          <w:color w:val="000000" w:themeColor="text1"/>
          <w:kern w:val="36"/>
          <w:sz w:val="30"/>
          <w:szCs w:val="30"/>
          <w14:textFill>
            <w14:solidFill>
              <w14:schemeClr w14:val="tx1"/>
            </w14:solidFill>
          </w14:textFill>
        </w:rPr>
      </w:pPr>
    </w:p>
    <w:p w14:paraId="0BEFA285">
      <w:pPr>
        <w:spacing w:line="360" w:lineRule="auto"/>
        <w:jc w:val="center"/>
        <w:rPr>
          <w:bCs/>
          <w:color w:val="000000" w:themeColor="text1"/>
          <w:kern w:val="36"/>
          <w:sz w:val="30"/>
          <w:szCs w:val="30"/>
          <w14:textFill>
            <w14:solidFill>
              <w14:schemeClr w14:val="tx1"/>
            </w14:solidFill>
          </w14:textFill>
        </w:rPr>
      </w:pPr>
    </w:p>
    <w:p w14:paraId="033A8D41">
      <w:pPr>
        <w:adjustRightInd w:val="0"/>
        <w:snapToGrid w:val="0"/>
        <w:spacing w:line="360" w:lineRule="auto"/>
        <w:jc w:val="center"/>
        <w:rPr>
          <w:b/>
          <w:bCs/>
          <w:color w:val="000000" w:themeColor="text1"/>
          <w:spacing w:val="10"/>
          <w:kern w:val="36"/>
          <w:sz w:val="52"/>
          <w:szCs w:val="52"/>
          <w14:textFill>
            <w14:solidFill>
              <w14:schemeClr w14:val="tx1"/>
            </w14:solidFill>
          </w14:textFill>
        </w:rPr>
      </w:pPr>
      <w:r>
        <w:rPr>
          <w:rFonts w:ascii="Times New Roman" w:hAnsi="Times New Roman" w:eastAsia="黑体"/>
          <w:b/>
          <w:color w:val="000000" w:themeColor="text1"/>
          <w:spacing w:val="-2"/>
          <w:sz w:val="52"/>
          <w:szCs w:val="52"/>
          <w14:textFill>
            <w14:solidFill>
              <w14:schemeClr w14:val="tx1"/>
            </w14:solidFill>
          </w14:textFill>
        </w:rPr>
        <w:t>锆钛矿石分选加工项目</w:t>
      </w:r>
    </w:p>
    <w:p w14:paraId="7849AE48">
      <w:pPr>
        <w:adjustRightInd w:val="0"/>
        <w:snapToGrid w:val="0"/>
        <w:spacing w:line="360" w:lineRule="auto"/>
        <w:jc w:val="center"/>
        <w:rPr>
          <w:rFonts w:ascii="Times New Roman" w:hAnsi="Times New Roman" w:eastAsia="黑体"/>
          <w:b/>
          <w:color w:val="000000" w:themeColor="text1"/>
          <w:spacing w:val="-2"/>
          <w:sz w:val="72"/>
          <w:szCs w:val="72"/>
          <w14:textFill>
            <w14:solidFill>
              <w14:schemeClr w14:val="tx1"/>
            </w14:solidFill>
          </w14:textFill>
        </w:rPr>
      </w:pPr>
      <w:r>
        <w:rPr>
          <w:rFonts w:ascii="Times New Roman" w:hAnsi="Times New Roman" w:eastAsia="黑体"/>
          <w:b/>
          <w:color w:val="000000" w:themeColor="text1"/>
          <w:spacing w:val="-2"/>
          <w:sz w:val="72"/>
          <w:szCs w:val="72"/>
          <w14:textFill>
            <w14:solidFill>
              <w14:schemeClr w14:val="tx1"/>
            </w14:solidFill>
          </w14:textFill>
        </w:rPr>
        <w:t>辐射环境影响评价专篇</w:t>
      </w:r>
    </w:p>
    <w:p w14:paraId="6CAA5AFA">
      <w:pPr>
        <w:spacing w:line="1000" w:lineRule="exact"/>
        <w:jc w:val="center"/>
        <w:rPr>
          <w:rFonts w:ascii="Times New Roman" w:hAnsi="Times New Roman" w:eastAsia="黑体"/>
          <w:b/>
          <w:color w:val="000000" w:themeColor="text1"/>
          <w:spacing w:val="-2"/>
          <w:sz w:val="36"/>
          <w:szCs w:val="36"/>
          <w14:textFill>
            <w14:solidFill>
              <w14:schemeClr w14:val="tx1"/>
            </w14:solidFill>
          </w14:textFill>
        </w:rPr>
      </w:pPr>
      <w:r>
        <w:rPr>
          <w:rFonts w:ascii="Times New Roman" w:hAnsi="Times New Roman" w:eastAsia="黑体"/>
          <w:b/>
          <w:color w:val="000000" w:themeColor="text1"/>
          <w:spacing w:val="-2"/>
          <w:sz w:val="36"/>
          <w:szCs w:val="36"/>
          <w14:textFill>
            <w14:solidFill>
              <w14:schemeClr w14:val="tx1"/>
            </w14:solidFill>
          </w14:textFill>
        </w:rPr>
        <w:t>（</w:t>
      </w:r>
      <w:r>
        <w:rPr>
          <w:rFonts w:hint="eastAsia" w:ascii="Times New Roman" w:hAnsi="Times New Roman" w:eastAsia="黑体"/>
          <w:b/>
          <w:color w:val="000000" w:themeColor="text1"/>
          <w:spacing w:val="-2"/>
          <w:sz w:val="36"/>
          <w:szCs w:val="36"/>
          <w14:textFill>
            <w14:solidFill>
              <w14:schemeClr w14:val="tx1"/>
            </w14:solidFill>
          </w14:textFill>
        </w:rPr>
        <w:t>公示本</w:t>
      </w:r>
      <w:r>
        <w:rPr>
          <w:rFonts w:ascii="Times New Roman" w:hAnsi="Times New Roman" w:eastAsia="黑体"/>
          <w:b/>
          <w:color w:val="000000" w:themeColor="text1"/>
          <w:spacing w:val="-2"/>
          <w:sz w:val="36"/>
          <w:szCs w:val="36"/>
          <w14:textFill>
            <w14:solidFill>
              <w14:schemeClr w14:val="tx1"/>
            </w14:solidFill>
          </w14:textFill>
        </w:rPr>
        <w:t>）</w:t>
      </w:r>
    </w:p>
    <w:p w14:paraId="23CE54E4">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3D9B6993">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0E2DEF77">
      <w:pPr>
        <w:pStyle w:val="2"/>
        <w:rPr>
          <w:color w:val="000000" w:themeColor="text1"/>
          <w14:textFill>
            <w14:solidFill>
              <w14:schemeClr w14:val="tx1"/>
            </w14:solidFill>
          </w14:textFill>
        </w:rPr>
      </w:pPr>
    </w:p>
    <w:p w14:paraId="13487183">
      <w:pPr>
        <w:pStyle w:val="2"/>
        <w:rPr>
          <w:color w:val="000000" w:themeColor="text1"/>
          <w14:textFill>
            <w14:solidFill>
              <w14:schemeClr w14:val="tx1"/>
            </w14:solidFill>
          </w14:textFill>
        </w:rPr>
      </w:pPr>
    </w:p>
    <w:p w14:paraId="5D377ACA">
      <w:pPr>
        <w:ind w:firstLine="1044"/>
        <w:jc w:val="center"/>
        <w:rPr>
          <w:rFonts w:ascii="Times New Roman" w:hAnsi="Times New Roman" w:eastAsia="黑体"/>
          <w:b/>
          <w:color w:val="000000" w:themeColor="text1"/>
          <w:spacing w:val="-2"/>
          <w:sz w:val="50"/>
          <w:szCs w:val="50"/>
          <w14:textFill>
            <w14:solidFill>
              <w14:schemeClr w14:val="tx1"/>
            </w14:solidFill>
          </w14:textFill>
        </w:rPr>
      </w:pPr>
    </w:p>
    <w:p w14:paraId="346E8D2C">
      <w:pPr>
        <w:ind w:firstLine="1044"/>
        <w:jc w:val="center"/>
        <w:rPr>
          <w:rFonts w:ascii="Times New Roman" w:hAnsi="Times New Roman" w:eastAsia="黑体"/>
          <w:b/>
          <w:color w:val="000000" w:themeColor="text1"/>
          <w:spacing w:val="-2"/>
          <w:sz w:val="32"/>
          <w:szCs w:val="32"/>
          <w14:textFill>
            <w14:solidFill>
              <w14:schemeClr w14:val="tx1"/>
            </w14:solidFill>
          </w14:textFill>
        </w:rPr>
      </w:pPr>
    </w:p>
    <w:p w14:paraId="102A9925">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r>
        <w:rPr>
          <w:rFonts w:ascii="Times New Roman" w:hAnsi="Times New Roman" w:eastAsia="黑体"/>
          <w:b/>
          <w:color w:val="000000" w:themeColor="text1"/>
          <w:spacing w:val="-2"/>
          <w:sz w:val="32"/>
          <w:szCs w:val="32"/>
          <w14:textFill>
            <w14:solidFill>
              <w14:schemeClr w14:val="tx1"/>
            </w14:solidFill>
          </w14:textFill>
        </w:rPr>
        <w:t>建设单位：广西瑞腾贸易有限公司</w:t>
      </w:r>
    </w:p>
    <w:p w14:paraId="4D41D0D8">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p>
    <w:p w14:paraId="70F5D558">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r>
        <w:rPr>
          <w:rFonts w:ascii="Times New Roman" w:hAnsi="Times New Roman" w:eastAsia="黑体"/>
          <w:b/>
          <w:color w:val="000000" w:themeColor="text1"/>
          <w:spacing w:val="-2"/>
          <w:sz w:val="32"/>
          <w:szCs w:val="32"/>
          <w14:textFill>
            <w14:solidFill>
              <w14:schemeClr w14:val="tx1"/>
            </w14:solidFill>
          </w14:textFill>
        </w:rPr>
        <w:t>编制单位：广西绿港环保科技有限公司</w:t>
      </w:r>
    </w:p>
    <w:p w14:paraId="220679DF">
      <w:pPr>
        <w:spacing w:after="0" w:line="360" w:lineRule="auto"/>
        <w:ind w:firstLine="939" w:firstLineChars="296"/>
        <w:rPr>
          <w:rFonts w:ascii="Times New Roman" w:hAnsi="Times New Roman" w:eastAsia="黑体"/>
          <w:b/>
          <w:color w:val="000000" w:themeColor="text1"/>
          <w:spacing w:val="-2"/>
          <w:sz w:val="32"/>
          <w:szCs w:val="32"/>
          <w14:textFill>
            <w14:solidFill>
              <w14:schemeClr w14:val="tx1"/>
            </w14:solidFill>
          </w14:textFill>
        </w:rPr>
      </w:pPr>
    </w:p>
    <w:p w14:paraId="6D7E1EE0">
      <w:pPr>
        <w:jc w:val="center"/>
        <w:rPr>
          <w:rFonts w:hint="eastAsia" w:ascii="宋体" w:hAnsi="宋体" w:eastAsia="宋体" w:cs="宋体"/>
          <w:b/>
          <w:color w:val="000000" w:themeColor="text1"/>
          <w:sz w:val="32"/>
          <w:szCs w:val="32"/>
          <w14:textFill>
            <w14:solidFill>
              <w14:schemeClr w14:val="tx1"/>
            </w14:solidFill>
          </w14:textFill>
        </w:rPr>
      </w:pPr>
      <w:r>
        <w:rPr>
          <w:rFonts w:ascii="Times New Roman" w:hAnsi="Times New Roman"/>
          <w:b/>
          <w:bCs/>
          <w:caps/>
          <w:snapToGrid w:val="0"/>
          <w:color w:val="000000" w:themeColor="text1"/>
          <w:spacing w:val="-2"/>
          <w:sz w:val="30"/>
          <w:szCs w:val="30"/>
          <w14:textFill>
            <w14:solidFill>
              <w14:schemeClr w14:val="tx1"/>
            </w14:solidFill>
          </w14:textFill>
        </w:rPr>
        <w:t>二〇二</w:t>
      </w:r>
      <w:r>
        <w:rPr>
          <w:rFonts w:hint="eastAsia" w:ascii="Times New Roman" w:hAnsi="Times New Roman"/>
          <w:b/>
          <w:bCs/>
          <w:caps/>
          <w:snapToGrid w:val="0"/>
          <w:color w:val="000000" w:themeColor="text1"/>
          <w:spacing w:val="-2"/>
          <w:sz w:val="30"/>
          <w:szCs w:val="30"/>
          <w14:textFill>
            <w14:solidFill>
              <w14:schemeClr w14:val="tx1"/>
            </w14:solidFill>
          </w14:textFill>
        </w:rPr>
        <w:t>五</w:t>
      </w:r>
      <w:r>
        <w:rPr>
          <w:rFonts w:ascii="Times New Roman" w:hAnsi="Times New Roman"/>
          <w:b/>
          <w:bCs/>
          <w:caps/>
          <w:snapToGrid w:val="0"/>
          <w:color w:val="000000" w:themeColor="text1"/>
          <w:spacing w:val="-2"/>
          <w:sz w:val="30"/>
          <w:szCs w:val="30"/>
          <w14:textFill>
            <w14:solidFill>
              <w14:schemeClr w14:val="tx1"/>
            </w14:solidFill>
          </w14:textFill>
        </w:rPr>
        <w:t>年</w:t>
      </w:r>
      <w:r>
        <w:rPr>
          <w:rFonts w:hint="eastAsia" w:ascii="Times New Roman" w:hAnsi="Times New Roman"/>
          <w:b/>
          <w:bCs/>
          <w:caps/>
          <w:snapToGrid w:val="0"/>
          <w:color w:val="000000" w:themeColor="text1"/>
          <w:spacing w:val="-2"/>
          <w:sz w:val="30"/>
          <w:szCs w:val="30"/>
          <w14:textFill>
            <w14:solidFill>
              <w14:schemeClr w14:val="tx1"/>
            </w14:solidFill>
          </w14:textFill>
        </w:rPr>
        <w:t>四</w:t>
      </w:r>
      <w:r>
        <w:rPr>
          <w:rFonts w:ascii="Times New Roman" w:hAnsi="Times New Roman"/>
          <w:b/>
          <w:bCs/>
          <w:caps/>
          <w:snapToGrid w:val="0"/>
          <w:color w:val="000000" w:themeColor="text1"/>
          <w:spacing w:val="-2"/>
          <w:sz w:val="30"/>
          <w:szCs w:val="30"/>
          <w14:textFill>
            <w14:solidFill>
              <w14:schemeClr w14:val="tx1"/>
            </w14:solidFill>
          </w14:textFill>
        </w:rPr>
        <w:t>月</w:t>
      </w:r>
    </w:p>
    <w:p w14:paraId="1A73606D">
      <w:pPr>
        <w:spacing w:before="156" w:beforeLines="50" w:line="360" w:lineRule="auto"/>
        <w:jc w:val="center"/>
        <w:textAlignment w:val="baseline"/>
        <w:rPr>
          <w:rFonts w:hint="eastAsia" w:ascii="黑体" w:hAnsi="黑体" w:eastAsia="黑体"/>
          <w:b/>
          <w:color w:val="000000" w:themeColor="text1"/>
          <w:kern w:val="18"/>
          <w:sz w:val="48"/>
          <w:szCs w:val="48"/>
          <w14:textFill>
            <w14:solidFill>
              <w14:schemeClr w14:val="tx1"/>
            </w14:solidFill>
          </w14:textFill>
        </w:rPr>
      </w:pPr>
    </w:p>
    <w:p w14:paraId="713AB461">
      <w:pPr>
        <w:spacing w:before="156" w:beforeLines="50" w:line="360" w:lineRule="auto"/>
        <w:jc w:val="center"/>
        <w:textAlignment w:val="baseline"/>
        <w:rPr>
          <w:b/>
          <w:color w:val="000000" w:themeColor="text1"/>
          <w:sz w:val="52"/>
          <w:szCs w:val="52"/>
          <w14:textFill>
            <w14:solidFill>
              <w14:schemeClr w14:val="tx1"/>
            </w14:solidFill>
          </w14:textFill>
        </w:rPr>
        <w:sectPr>
          <w:footerReference r:id="rId8" w:type="first"/>
          <w:footerReference r:id="rId6" w:type="default"/>
          <w:headerReference r:id="rId5" w:type="even"/>
          <w:footerReference r:id="rId7" w:type="even"/>
          <w:pgSz w:w="11906" w:h="16838"/>
          <w:pgMar w:top="1440" w:right="1800" w:bottom="1440" w:left="1800" w:header="851" w:footer="992" w:gutter="0"/>
          <w:pgNumType w:start="0"/>
          <w:cols w:space="425" w:num="1"/>
          <w:titlePg/>
          <w:docGrid w:type="lines" w:linePitch="312" w:charSpace="0"/>
        </w:sectPr>
      </w:pPr>
    </w:p>
    <w:sdt>
      <w:sdtPr>
        <w:rPr>
          <w:rFonts w:asciiTheme="minorHAnsi" w:hAnsiTheme="minorHAnsi" w:eastAsiaTheme="minorEastAsia" w:cstheme="minorBidi"/>
          <w:caps w:val="0"/>
          <w:color w:val="000000" w:themeColor="text1"/>
          <w:spacing w:val="0"/>
          <w:sz w:val="21"/>
          <w:szCs w:val="21"/>
          <w:lang w:val="zh-CN"/>
          <w14:textFill>
            <w14:solidFill>
              <w14:schemeClr w14:val="tx1"/>
            </w14:solidFill>
          </w14:textFill>
        </w:rPr>
        <w:id w:val="477431557"/>
        <w:docPartObj>
          <w:docPartGallery w:val="Table of Contents"/>
          <w:docPartUnique/>
        </w:docPartObj>
      </w:sdtPr>
      <w:sdtEndPr>
        <w:rPr>
          <w:rFonts w:asciiTheme="minorHAnsi" w:hAnsiTheme="minorHAnsi" w:eastAsiaTheme="minorEastAsia" w:cstheme="minorBidi"/>
          <w:b/>
          <w:bCs/>
          <w:caps w:val="0"/>
          <w:color w:val="000000" w:themeColor="text1"/>
          <w:spacing w:val="0"/>
          <w:sz w:val="21"/>
          <w:szCs w:val="21"/>
          <w:lang w:val="zh-CN"/>
          <w14:textFill>
            <w14:solidFill>
              <w14:schemeClr w14:val="tx1"/>
            </w14:solidFill>
          </w14:textFill>
        </w:rPr>
      </w:sdtEndPr>
      <w:sdtContent>
        <w:p w14:paraId="5A39A39A">
          <w:pPr>
            <w:pStyle w:val="83"/>
            <w:jc w:val="center"/>
            <w:rPr>
              <w:b/>
              <w:bCs/>
              <w:color w:val="000000" w:themeColor="text1"/>
              <w14:textFill>
                <w14:solidFill>
                  <w14:schemeClr w14:val="tx1"/>
                </w14:solidFill>
              </w14:textFill>
            </w:rPr>
          </w:pPr>
          <w:r>
            <w:rPr>
              <w:b/>
              <w:bCs/>
              <w:color w:val="000000" w:themeColor="text1"/>
              <w:lang w:val="zh-CN"/>
              <w14:textFill>
                <w14:solidFill>
                  <w14:schemeClr w14:val="tx1"/>
                </w14:solidFill>
              </w14:textFill>
            </w:rPr>
            <w:t>目</w:t>
          </w:r>
          <w:r>
            <w:rPr>
              <w:rFonts w:hint="eastAsia"/>
              <w:b/>
              <w:bCs/>
              <w:color w:val="000000" w:themeColor="text1"/>
              <w:lang w:val="zh-CN"/>
              <w14:textFill>
                <w14:solidFill>
                  <w14:schemeClr w14:val="tx1"/>
                </w14:solidFill>
              </w14:textFill>
            </w:rPr>
            <w:t xml:space="preserve"> </w:t>
          </w:r>
          <w:r>
            <w:rPr>
              <w:b/>
              <w:bCs/>
              <w:color w:val="000000" w:themeColor="text1"/>
              <w:lang w:val="zh-CN"/>
              <w14:textFill>
                <w14:solidFill>
                  <w14:schemeClr w14:val="tx1"/>
                </w14:solidFill>
              </w14:textFill>
            </w:rPr>
            <w:t xml:space="preserve"> 录</w:t>
          </w:r>
        </w:p>
        <w:p w14:paraId="7046369D">
          <w:pPr>
            <w:pStyle w:val="31"/>
            <w:tabs>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rPr>
              <w:rFonts w:ascii="Times New Roman" w:hAnsi="Times New Roman"/>
              <w:b w:val="0"/>
              <w:bCs w:val="0"/>
              <w:caps w:val="0"/>
              <w:color w:val="000000" w:themeColor="text1"/>
              <w:sz w:val="24"/>
              <w:szCs w:val="24"/>
              <w:lang w:val="zh-CN"/>
              <w14:textFill>
                <w14:solidFill>
                  <w14:schemeClr w14:val="tx1"/>
                </w14:solidFill>
              </w14:textFill>
            </w:rPr>
            <w:fldChar w:fldCharType="begin"/>
          </w:r>
          <w:r>
            <w:rPr>
              <w:rFonts w:ascii="Times New Roman" w:hAnsi="Times New Roman"/>
              <w:b w:val="0"/>
              <w:bCs w:val="0"/>
              <w:caps w:val="0"/>
              <w:color w:val="000000" w:themeColor="text1"/>
              <w:sz w:val="24"/>
              <w:szCs w:val="24"/>
              <w:lang w:val="zh-CN"/>
              <w14:textFill>
                <w14:solidFill>
                  <w14:schemeClr w14:val="tx1"/>
                </w14:solidFill>
              </w14:textFill>
            </w:rPr>
            <w:instrText xml:space="preserve"> TOC \o "1-2" \h \z \u </w:instrText>
          </w:r>
          <w:r>
            <w:rPr>
              <w:rFonts w:ascii="Times New Roman" w:hAnsi="Times New Roman"/>
              <w:b w:val="0"/>
              <w:bCs w:val="0"/>
              <w:caps w:val="0"/>
              <w:color w:val="000000" w:themeColor="text1"/>
              <w:sz w:val="24"/>
              <w:szCs w:val="24"/>
              <w:lang w:val="zh-CN"/>
              <w14:textFill>
                <w14:solidFill>
                  <w14:schemeClr w14:val="tx1"/>
                </w14:solidFill>
              </w14:textFill>
            </w:rPr>
            <w:fldChar w:fldCharType="separate"/>
          </w:r>
          <w:r>
            <w:fldChar w:fldCharType="begin"/>
          </w:r>
          <w:r>
            <w:instrText xml:space="preserve"> HYPERLINK \l "_Toc187653455" </w:instrText>
          </w:r>
          <w:r>
            <w:fldChar w:fldCharType="separate"/>
          </w:r>
          <w:r>
            <w:rPr>
              <w:rStyle w:val="56"/>
              <w:rFonts w:ascii="Times New Roman" w:hAnsi="Times New Roman"/>
              <w:color w:val="000000" w:themeColor="text1"/>
              <w:spacing w:val="-2"/>
              <w:kern w:val="44"/>
              <w:sz w:val="24"/>
              <w:szCs w:val="24"/>
              <w14:textFill>
                <w14:solidFill>
                  <w14:schemeClr w14:val="tx1"/>
                </w14:solidFill>
              </w14:textFill>
            </w:rPr>
            <w:t>前言</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0AA25E9">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"_Toc187653456" </w:instrText>
          </w:r>
          <w:r>
            <w:fldChar w:fldCharType="separate"/>
          </w:r>
          <w:r>
            <w:rPr>
              <w:rStyle w:val="56"/>
              <w:rFonts w:ascii="Times New Roman" w:hAnsi="Times New Roman"/>
              <w:color w:val="000000" w:themeColor="text1"/>
              <w:kern w:val="44"/>
              <w:sz w:val="24"/>
              <w:szCs w:val="24"/>
              <w14:textFill>
                <w14:solidFill>
                  <w14:schemeClr w14:val="tx1"/>
                </w14:solidFill>
              </w14:textFill>
            </w:rPr>
            <w:t>1.</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概述</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A7D45A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"_Toc187653457" </w:instrText>
          </w:r>
          <w:r>
            <w:fldChar w:fldCharType="separate"/>
          </w:r>
          <w:r>
            <w:rPr>
              <w:rStyle w:val="56"/>
              <w:rFonts w:ascii="Times New Roman" w:hAnsi="Times New Roman"/>
              <w:color w:val="000000" w:themeColor="text1"/>
              <w:sz w:val="24"/>
              <w:szCs w:val="24"/>
              <w14:textFill>
                <w14:solidFill>
                  <w14:schemeClr w14:val="tx1"/>
                </w14:solidFill>
              </w14:textFill>
            </w:rPr>
            <w:t>1.1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编制依据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2E68BC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"_Toc187653458" </w:instrText>
          </w:r>
          <w:r>
            <w:fldChar w:fldCharType="separate"/>
          </w:r>
          <w:r>
            <w:rPr>
              <w:rStyle w:val="56"/>
              <w:rFonts w:ascii="Times New Roman" w:hAnsi="Times New Roman"/>
              <w:color w:val="000000" w:themeColor="text1"/>
              <w:sz w:val="24"/>
              <w:szCs w:val="24"/>
              <w14:textFill>
                <w14:solidFill>
                  <w14:schemeClr w14:val="tx1"/>
                </w14:solidFill>
              </w14:textFill>
            </w:rPr>
            <w:t>1.2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控制指标</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18D6F9F">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"_Toc187653459" </w:instrText>
          </w:r>
          <w:r>
            <w:fldChar w:fldCharType="separate"/>
          </w:r>
          <w:r>
            <w:rPr>
              <w:rStyle w:val="56"/>
              <w:rFonts w:ascii="Times New Roman" w:hAnsi="Times New Roman"/>
              <w:color w:val="000000" w:themeColor="text1"/>
              <w:sz w:val="24"/>
              <w:szCs w:val="24"/>
              <w14:textFill>
                <w14:solidFill>
                  <w14:schemeClr w14:val="tx1"/>
                </w14:solidFill>
              </w14:textFill>
            </w:rPr>
            <w:t>1.3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评价核素</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_Toc187653459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9FFD2D2">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"_Toc187653460" </w:instrText>
          </w:r>
          <w:r>
            <w:fldChar w:fldCharType="separate"/>
          </w:r>
          <w:r>
            <w:rPr>
              <w:rStyle w:val="56"/>
              <w:rFonts w:ascii="Times New Roman" w:hAnsi="Times New Roman"/>
              <w:color w:val="000000" w:themeColor="text1"/>
              <w:sz w:val="24"/>
              <w:szCs w:val="24"/>
              <w14:textFill>
                <w14:solidFill>
                  <w14:schemeClr w14:val="tx1"/>
                </w14:solidFill>
              </w14:textFill>
            </w:rPr>
            <w:t>1.4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评价范围及环境保护目标</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64794A3">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"_Toc187653461" </w:instrText>
          </w:r>
          <w:r>
            <w:fldChar w:fldCharType="separate"/>
          </w:r>
          <w:r>
            <w:rPr>
              <w:rStyle w:val="56"/>
              <w:rFonts w:ascii="Times New Roman" w:hAnsi="Times New Roman"/>
              <w:color w:val="000000" w:themeColor="text1"/>
              <w:sz w:val="24"/>
              <w:szCs w:val="24"/>
              <w14:textFill>
                <w14:solidFill>
                  <w14:schemeClr w14:val="tx1"/>
                </w14:solidFill>
              </w14:textFill>
            </w:rPr>
            <w:t>1.5</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选址合理性</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131E0819">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"_Toc187653462" </w:instrText>
          </w:r>
          <w:r>
            <w:fldChar w:fldCharType="separate"/>
          </w:r>
          <w:r>
            <w:rPr>
              <w:rStyle w:val="56"/>
              <w:rFonts w:ascii="Times New Roman" w:hAnsi="Times New Roman"/>
              <w:color w:val="000000" w:themeColor="text1"/>
              <w:kern w:val="44"/>
              <w:sz w:val="24"/>
              <w:szCs w:val="24"/>
              <w14:textFill>
                <w14:solidFill>
                  <w14:schemeClr w14:val="tx1"/>
                </w14:solidFill>
              </w14:textFill>
            </w:rPr>
            <w:t>2.</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放射性源项分析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2295ED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"_Toc187653463" </w:instrText>
          </w:r>
          <w:r>
            <w:fldChar w:fldCharType="separate"/>
          </w:r>
          <w:r>
            <w:rPr>
              <w:rStyle w:val="56"/>
              <w:rFonts w:ascii="Times New Roman" w:hAnsi="Times New Roman"/>
              <w:color w:val="000000" w:themeColor="text1"/>
              <w:sz w:val="24"/>
              <w:szCs w:val="24"/>
              <w14:textFill>
                <w14:solidFill>
                  <w14:schemeClr w14:val="tx1"/>
                </w14:solidFill>
              </w14:textFill>
            </w:rPr>
            <w:t>2.1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工程概况</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827CA4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"_Toc187653464" </w:instrText>
          </w:r>
          <w:r>
            <w:fldChar w:fldCharType="separate"/>
          </w:r>
          <w:r>
            <w:rPr>
              <w:rStyle w:val="56"/>
              <w:rFonts w:ascii="Times New Roman" w:hAnsi="Times New Roman"/>
              <w:color w:val="000000" w:themeColor="text1"/>
              <w:sz w:val="24"/>
              <w:szCs w:val="24"/>
              <w14:textFill>
                <w14:solidFill>
                  <w14:schemeClr w14:val="tx1"/>
                </w14:solidFill>
              </w14:textFill>
            </w:rPr>
            <w:t>2.2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废物管理及排放源项</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22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7986CDE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"_Toc187653465" </w:instrText>
          </w:r>
          <w:r>
            <w:fldChar w:fldCharType="separate"/>
          </w:r>
          <w:r>
            <w:rPr>
              <w:rStyle w:val="56"/>
              <w:rFonts w:ascii="Times New Roman" w:hAnsi="Times New Roman"/>
              <w:color w:val="000000" w:themeColor="text1"/>
              <w:sz w:val="24"/>
              <w:szCs w:val="24"/>
              <w14:textFill>
                <w14:solidFill>
                  <w14:schemeClr w14:val="tx1"/>
                </w14:solidFill>
              </w14:textFill>
            </w:rPr>
            <w:t>2.3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辐射防护措施</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28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396AAF2">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"_Toc187653466" </w:instrText>
          </w:r>
          <w:r>
            <w:fldChar w:fldCharType="separate"/>
          </w:r>
          <w:r>
            <w:rPr>
              <w:rStyle w:val="56"/>
              <w:rFonts w:ascii="Times New Roman" w:hAnsi="Times New Roman"/>
              <w:color w:val="000000" w:themeColor="text1"/>
              <w:kern w:val="44"/>
              <w:sz w:val="24"/>
              <w:szCs w:val="24"/>
              <w14:textFill>
                <w14:solidFill>
                  <w14:schemeClr w14:val="tx1"/>
                </w14:solidFill>
              </w14:textFill>
            </w:rPr>
            <w:t>3.</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辐射环境质量现状</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628D6EA">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"_Toc187653467" </w:instrText>
          </w:r>
          <w:r>
            <w:fldChar w:fldCharType="separate"/>
          </w:r>
          <w:r>
            <w:rPr>
              <w:rStyle w:val="56"/>
              <w:rFonts w:ascii="Times New Roman" w:hAnsi="Times New Roman"/>
              <w:color w:val="000000" w:themeColor="text1"/>
              <w:sz w:val="24"/>
              <w:szCs w:val="24"/>
              <w14:textFill>
                <w14:solidFill>
                  <w14:schemeClr w14:val="tx1"/>
                </w14:solidFill>
              </w14:textFill>
            </w:rPr>
            <w:t>3.1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辐射环境质量现状调查</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34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7C9900B">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"_Toc187653468" </w:instrText>
          </w:r>
          <w:r>
            <w:fldChar w:fldCharType="separate"/>
          </w:r>
          <w:r>
            <w:rPr>
              <w:rStyle w:val="56"/>
              <w:rFonts w:ascii="Times New Roman" w:hAnsi="Times New Roman"/>
              <w:color w:val="000000" w:themeColor="text1"/>
              <w:sz w:val="24"/>
              <w:szCs w:val="24"/>
              <w14:textFill>
                <w14:solidFill>
                  <w14:schemeClr w14:val="tx1"/>
                </w14:solidFill>
              </w14:textFill>
            </w:rPr>
            <w:t>3.2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辐射环境质量现状分析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40</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AA7E950">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"_Toc187653469" </w:instrText>
          </w:r>
          <w:r>
            <w:fldChar w:fldCharType="separate"/>
          </w:r>
          <w:r>
            <w:rPr>
              <w:rStyle w:val="56"/>
              <w:rFonts w:ascii="Times New Roman" w:hAnsi="Times New Roman"/>
              <w:color w:val="000000" w:themeColor="text1"/>
              <w:kern w:val="44"/>
              <w:sz w:val="24"/>
              <w:szCs w:val="24"/>
              <w14:textFill>
                <w14:solidFill>
                  <w14:schemeClr w14:val="tx1"/>
                </w14:solidFill>
              </w14:textFill>
            </w:rPr>
            <w:t>4.</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_Toc187653469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6AE6A7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"_Toc187653470" </w:instrText>
          </w:r>
          <w:r>
            <w:fldChar w:fldCharType="separate"/>
          </w:r>
          <w:r>
            <w:rPr>
              <w:rStyle w:val="56"/>
              <w:rFonts w:ascii="Times New Roman" w:hAnsi="Times New Roman"/>
              <w:color w:val="000000" w:themeColor="text1"/>
              <w:sz w:val="24"/>
              <w:szCs w:val="24"/>
              <w14:textFill>
                <w14:solidFill>
                  <w14:schemeClr w14:val="tx1"/>
                </w14:solidFill>
              </w14:textFill>
            </w:rPr>
            <w:t>4.1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厂址特征参数</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42</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7C365CB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"_Toc187653471" </w:instrText>
          </w:r>
          <w:r>
            <w:fldChar w:fldCharType="separate"/>
          </w:r>
          <w:r>
            <w:rPr>
              <w:rStyle w:val="56"/>
              <w:rFonts w:ascii="Times New Roman" w:hAnsi="Times New Roman"/>
              <w:color w:val="000000" w:themeColor="text1"/>
              <w:sz w:val="24"/>
              <w:szCs w:val="24"/>
              <w14:textFill>
                <w14:solidFill>
                  <w14:schemeClr w14:val="tx1"/>
                </w14:solidFill>
              </w14:textFill>
            </w:rPr>
            <w:t>4.2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正常工况气载流出物辐射环境影响分析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46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C8FFFB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"_Toc187653472" </w:instrText>
          </w:r>
          <w:r>
            <w:fldChar w:fldCharType="separate"/>
          </w:r>
          <w:r>
            <w:rPr>
              <w:rStyle w:val="56"/>
              <w:rFonts w:ascii="Times New Roman" w:hAnsi="Times New Roman"/>
              <w:color w:val="000000" w:themeColor="text1"/>
              <w:sz w:val="24"/>
              <w:szCs w:val="24"/>
              <w14:textFill>
                <w14:solidFill>
                  <w14:schemeClr w14:val="tx1"/>
                </w14:solidFill>
              </w14:textFill>
            </w:rPr>
            <w:t>4.3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正常工况地表水辐射环境影响分析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B521FDE">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"_Toc187653473" </w:instrText>
          </w:r>
          <w:r>
            <w:fldChar w:fldCharType="separate"/>
          </w:r>
          <w:r>
            <w:rPr>
              <w:rStyle w:val="56"/>
              <w:rFonts w:ascii="Times New Roman" w:hAnsi="Times New Roman"/>
              <w:color w:val="000000" w:themeColor="text1"/>
              <w:sz w:val="24"/>
              <w:szCs w:val="24"/>
              <w14:textFill>
                <w14:solidFill>
                  <w14:schemeClr w14:val="tx1"/>
                </w14:solidFill>
              </w14:textFill>
            </w:rPr>
            <w:t>4.4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地下水辐射环境影响分析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89D6250">
          <w:pPr>
            <w:pStyle w:val="37"/>
            <w:tabs>
              <w:tab w:val="left" w:pos="72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"_Toc187653474" </w:instrText>
          </w:r>
          <w:r>
            <w:fldChar w:fldCharType="separate"/>
          </w:r>
          <w:r>
            <w:rPr>
              <w:rStyle w:val="56"/>
              <w:rFonts w:ascii="Times New Roman" w:hAnsi="Times New Roman"/>
              <w:color w:val="000000" w:themeColor="text1"/>
              <w:sz w:val="24"/>
              <w:szCs w:val="24"/>
              <w14:textFill>
                <w14:solidFill>
                  <w14:schemeClr w14:val="tx1"/>
                </w14:solidFill>
              </w14:textFill>
            </w:rPr>
            <w:t>4.5</w:t>
          </w:r>
          <w:r>
            <w:rPr>
              <w:rStyle w:val="56"/>
              <w:rFonts w:hint="eastAsia" w:ascii="Times New Roman" w:hAnsi="Times New Roman"/>
              <w:color w:val="000000" w:themeColor="text1"/>
              <w:sz w:val="24"/>
              <w:szCs w:val="24"/>
              <w14:textFill>
                <w14:solidFill>
                  <w14:schemeClr w14:val="tx1"/>
                </w14:solidFill>
              </w14:textFill>
            </w:rPr>
            <w:t xml:space="preserve">  </w:t>
          </w:r>
          <w:r>
            <w:rPr>
              <w:rStyle w:val="56"/>
              <w:rFonts w:ascii="宋体" w:hAnsi="宋体"/>
              <w:color w:val="000000" w:themeColor="text1"/>
              <w:sz w:val="24"/>
              <w:szCs w:val="24"/>
              <w14:textFill>
                <w14:solidFill>
                  <w14:schemeClr w14:val="tx1"/>
                </w14:solidFill>
              </w14:textFill>
            </w:rPr>
            <w:t>“三关键”分</w:t>
          </w:r>
          <w:r>
            <w:rPr>
              <w:rStyle w:val="56"/>
              <w:rFonts w:ascii="Times New Roman" w:hAnsi="Times New Roman"/>
              <w:color w:val="000000" w:themeColor="text1"/>
              <w:sz w:val="24"/>
              <w:szCs w:val="24"/>
              <w14:textFill>
                <w14:solidFill>
                  <w14:schemeClr w14:val="tx1"/>
                </w14:solidFill>
              </w14:textFill>
            </w:rPr>
            <w:t>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8D168A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"_Toc187653475" </w:instrText>
          </w:r>
          <w:r>
            <w:fldChar w:fldCharType="separate"/>
          </w:r>
          <w:r>
            <w:rPr>
              <w:rStyle w:val="56"/>
              <w:rFonts w:ascii="Times New Roman" w:hAnsi="Times New Roman"/>
              <w:color w:val="000000" w:themeColor="text1"/>
              <w:sz w:val="24"/>
              <w:szCs w:val="24"/>
              <w14:textFill>
                <w14:solidFill>
                  <w14:schemeClr w14:val="tx1"/>
                </w14:solidFill>
              </w14:textFill>
            </w:rPr>
            <w:t>4.6</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非正常工况辐射环境影响分析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4A8EDD1">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"_Toc187653476" </w:instrText>
          </w:r>
          <w:r>
            <w:fldChar w:fldCharType="separate"/>
          </w:r>
          <w:r>
            <w:rPr>
              <w:rStyle w:val="56"/>
              <w:rFonts w:ascii="Times New Roman" w:hAnsi="Times New Roman"/>
              <w:color w:val="000000" w:themeColor="text1"/>
              <w:sz w:val="24"/>
              <w:szCs w:val="24"/>
              <w14:textFill>
                <w14:solidFill>
                  <w14:schemeClr w14:val="tx1"/>
                </w14:solidFill>
              </w14:textFill>
            </w:rPr>
            <w:t>4.7</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固体废物辐射环境影响分析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FB83D4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"_Toc187653477" </w:instrText>
          </w:r>
          <w:r>
            <w:fldChar w:fldCharType="separate"/>
          </w:r>
          <w:r>
            <w:rPr>
              <w:rStyle w:val="56"/>
              <w:rFonts w:ascii="Times New Roman" w:hAnsi="Times New Roman"/>
              <w:color w:val="000000" w:themeColor="text1"/>
              <w:sz w:val="24"/>
              <w:szCs w:val="24"/>
              <w14:textFill>
                <w14:solidFill>
                  <w14:schemeClr w14:val="tx1"/>
                </w14:solidFill>
              </w14:textFill>
            </w:rPr>
            <w:t>4.8</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服务期满辐射环境影响分析</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57</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A1371D0">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"_Toc187653478" </w:instrText>
          </w:r>
          <w:r>
            <w:fldChar w:fldCharType="separate"/>
          </w:r>
          <w:r>
            <w:rPr>
              <w:rStyle w:val="56"/>
              <w:rFonts w:ascii="Times New Roman" w:hAnsi="Times New Roman"/>
              <w:color w:val="000000" w:themeColor="text1"/>
              <w:kern w:val="44"/>
              <w:sz w:val="24"/>
              <w:szCs w:val="24"/>
              <w14:textFill>
                <w14:solidFill>
                  <w14:schemeClr w14:val="tx1"/>
                </w14:solidFill>
              </w14:textFill>
            </w:rPr>
            <w:t>5.</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辐射环境管理和辐射监测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_Toc187653478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701E1DA">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"_Toc187653479" </w:instrText>
          </w:r>
          <w:r>
            <w:fldChar w:fldCharType="separate"/>
          </w:r>
          <w:r>
            <w:rPr>
              <w:rStyle w:val="56"/>
              <w:rFonts w:ascii="Times New Roman" w:hAnsi="Times New Roman"/>
              <w:color w:val="000000" w:themeColor="text1"/>
              <w:sz w:val="24"/>
              <w:szCs w:val="24"/>
              <w14:textFill>
                <w14:solidFill>
                  <w14:schemeClr w14:val="tx1"/>
                </w14:solidFill>
              </w14:textFill>
            </w:rPr>
            <w:t>5.1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辐射环境管理</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_Toc187653479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59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0E421EE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"_Toc187653480" </w:instrText>
          </w:r>
          <w:r>
            <w:fldChar w:fldCharType="separate"/>
          </w:r>
          <w:r>
            <w:rPr>
              <w:rStyle w:val="56"/>
              <w:rFonts w:ascii="Times New Roman" w:hAnsi="Times New Roman"/>
              <w:color w:val="000000" w:themeColor="text1"/>
              <w:sz w:val="24"/>
              <w:szCs w:val="24"/>
              <w14:textFill>
                <w14:solidFill>
                  <w14:schemeClr w14:val="tx1"/>
                </w14:solidFill>
              </w14:textFill>
            </w:rPr>
            <w:t>5.2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流出物监测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_Toc187653480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63</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19A80199">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"_Toc187653481" </w:instrText>
          </w:r>
          <w:r>
            <w:fldChar w:fldCharType="separate"/>
          </w:r>
          <w:r>
            <w:rPr>
              <w:rStyle w:val="56"/>
              <w:rFonts w:ascii="Times New Roman" w:hAnsi="Times New Roman"/>
              <w:color w:val="000000" w:themeColor="text1"/>
              <w:sz w:val="24"/>
              <w:szCs w:val="24"/>
              <w14:textFill>
                <w14:solidFill>
                  <w14:schemeClr w14:val="tx1"/>
                </w14:solidFill>
              </w14:textFill>
            </w:rPr>
            <w:t>5.3</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_Toc187653481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64</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5D520C38">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"_Toc187653482" </w:instrText>
          </w:r>
          <w:r>
            <w:fldChar w:fldCharType="separate"/>
          </w:r>
          <w:r>
            <w:rPr>
              <w:rStyle w:val="56"/>
              <w:rFonts w:ascii="Times New Roman" w:hAnsi="Times New Roman"/>
              <w:color w:val="000000" w:themeColor="text1"/>
              <w:sz w:val="24"/>
              <w:szCs w:val="24"/>
              <w14:textFill>
                <w14:solidFill>
                  <w14:schemeClr w14:val="tx1"/>
                </w14:solidFill>
              </w14:textFill>
            </w:rPr>
            <w:t>5.4</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固体废物监测</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_Toc187653482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2FAB9EAE">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"_Toc187653483" </w:instrText>
          </w:r>
          <w:r>
            <w:fldChar w:fldCharType="separate"/>
          </w:r>
          <w:r>
            <w:rPr>
              <w:rStyle w:val="56"/>
              <w:rFonts w:ascii="Times New Roman" w:hAnsi="Times New Roman"/>
              <w:color w:val="000000" w:themeColor="text1"/>
              <w:sz w:val="24"/>
              <w:szCs w:val="24"/>
              <w14:textFill>
                <w14:solidFill>
                  <w14:schemeClr w14:val="tx1"/>
                </w14:solidFill>
              </w14:textFill>
            </w:rPr>
            <w:t>5.5</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辐射环境保护竣工验收</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_Toc187653483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5F346FC">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"_Toc187653484" </w:instrText>
          </w:r>
          <w:r>
            <w:fldChar w:fldCharType="separate"/>
          </w:r>
          <w:r>
            <w:rPr>
              <w:rStyle w:val="56"/>
              <w:rFonts w:ascii="Times New Roman" w:hAnsi="Times New Roman"/>
              <w:color w:val="000000" w:themeColor="text1"/>
              <w:sz w:val="24"/>
              <w:szCs w:val="24"/>
              <w14:textFill>
                <w14:solidFill>
                  <w14:schemeClr w14:val="tx1"/>
                </w14:solidFill>
              </w14:textFill>
            </w:rPr>
            <w:t>5.6</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质量保证</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_Toc187653484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66</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40F72037">
          <w:pPr>
            <w:pStyle w:val="31"/>
            <w:tabs>
              <w:tab w:val="left" w:pos="480"/>
              <w:tab w:val="right" w:leader="dot" w:pos="8296"/>
            </w:tabs>
            <w:spacing w:before="0" w:after="0"/>
            <w:rPr>
              <w:rFonts w:ascii="Times New Roman" w:hAnsi="Times New Roman"/>
              <w:caps w:val="0"/>
              <w:color w:val="000000" w:themeColor="text1"/>
              <w:sz w:val="24"/>
              <w:szCs w:val="24"/>
              <w14:textFill>
                <w14:solidFill>
                  <w14:schemeClr w14:val="tx1"/>
                </w14:solidFill>
              </w14:textFill>
              <w14:ligatures w14:val="standardContextual"/>
            </w:rPr>
          </w:pPr>
          <w:r>
            <w:fldChar w:fldCharType="begin"/>
          </w:r>
          <w:r>
            <w:instrText xml:space="preserve"> HYPERLINK \l "_Toc187653485" </w:instrText>
          </w:r>
          <w:r>
            <w:fldChar w:fldCharType="separate"/>
          </w:r>
          <w:r>
            <w:rPr>
              <w:rStyle w:val="56"/>
              <w:rFonts w:ascii="Times New Roman" w:hAnsi="Times New Roman"/>
              <w:color w:val="000000" w:themeColor="text1"/>
              <w:kern w:val="44"/>
              <w:sz w:val="24"/>
              <w:szCs w:val="24"/>
              <w14:textFill>
                <w14:solidFill>
                  <w14:schemeClr w14:val="tx1"/>
                </w14:solidFill>
              </w14:textFill>
            </w:rPr>
            <w:t>6.</w:t>
          </w:r>
          <w:r>
            <w:rPr>
              <w:rFonts w:ascii="Times New Roman" w:hAnsi="Times New Roman"/>
              <w: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kern w:val="44"/>
              <w:sz w:val="24"/>
              <w:szCs w:val="24"/>
              <w14:textFill>
                <w14:solidFill>
                  <w14:schemeClr w14:val="tx1"/>
                </w14:solidFill>
              </w14:textFill>
            </w:rPr>
            <w:t>结论与建议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_Toc187653485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39BC2AF">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"_Toc187653486" </w:instrText>
          </w:r>
          <w:r>
            <w:fldChar w:fldCharType="separate"/>
          </w:r>
          <w:r>
            <w:rPr>
              <w:rStyle w:val="56"/>
              <w:rFonts w:ascii="Times New Roman" w:hAnsi="Times New Roman"/>
              <w:color w:val="000000" w:themeColor="text1"/>
              <w:sz w:val="24"/>
              <w:szCs w:val="24"/>
              <w14:textFill>
                <w14:solidFill>
                  <w14:schemeClr w14:val="tx1"/>
                </w14:solidFill>
              </w14:textFill>
            </w:rPr>
            <w:t>6.1</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结论</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_Toc187653486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68</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69889235">
          <w:pPr>
            <w:pStyle w:val="37"/>
            <w:tabs>
              <w:tab w:val="left" w:pos="960"/>
              <w:tab w:val="right" w:leader="dot" w:pos="8296"/>
            </w:tabs>
            <w:ind w:left="0" w:firstLine="400" w:firstLineChars="200"/>
            <w:rPr>
              <w:rFonts w:ascii="Times New Roman" w:hAnsi="Times New Roman"/>
              <w:smallCaps w:val="0"/>
              <w:color w:val="000000" w:themeColor="text1"/>
              <w:sz w:val="24"/>
              <w:szCs w:val="24"/>
              <w14:textFill>
                <w14:solidFill>
                  <w14:schemeClr w14:val="tx1"/>
                </w14:solidFill>
              </w14:textFill>
              <w14:ligatures w14:val="standardContextual"/>
            </w:rPr>
          </w:pPr>
          <w:r>
            <w:fldChar w:fldCharType="begin"/>
          </w:r>
          <w:r>
            <w:instrText xml:space="preserve"> HYPERLINK \l "_Toc187653487" </w:instrText>
          </w:r>
          <w:r>
            <w:fldChar w:fldCharType="separate"/>
          </w:r>
          <w:r>
            <w:rPr>
              <w:rStyle w:val="56"/>
              <w:rFonts w:ascii="Times New Roman" w:hAnsi="Times New Roman"/>
              <w:color w:val="000000" w:themeColor="text1"/>
              <w:sz w:val="24"/>
              <w:szCs w:val="24"/>
              <w14:textFill>
                <w14:solidFill>
                  <w14:schemeClr w14:val="tx1"/>
                </w14:solidFill>
              </w14:textFill>
            </w:rPr>
            <w:t>6.2</w:t>
          </w:r>
          <w:r>
            <w:rPr>
              <w:rFonts w:ascii="Times New Roman" w:hAnsi="Times New Roman"/>
              <w:smallCaps w:val="0"/>
              <w:color w:val="000000" w:themeColor="text1"/>
              <w:sz w:val="24"/>
              <w:szCs w:val="24"/>
              <w14:textFill>
                <w14:solidFill>
                  <w14:schemeClr w14:val="tx1"/>
                </w14:solidFill>
              </w14:textFill>
              <w14:ligatures w14:val="standardContextual"/>
            </w:rPr>
            <w:tab/>
          </w:r>
          <w:r>
            <w:rPr>
              <w:rStyle w:val="56"/>
              <w:rFonts w:ascii="Times New Roman" w:hAnsi="Times New Roman"/>
              <w:color w:val="000000" w:themeColor="text1"/>
              <w:sz w:val="24"/>
              <w:szCs w:val="24"/>
              <w14:textFill>
                <w14:solidFill>
                  <w14:schemeClr w14:val="tx1"/>
                </w14:solidFill>
              </w14:textFill>
            </w:rPr>
            <w:t>存在的问题和建议</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14:textFill>
                <w14:solidFill>
                  <w14:schemeClr w14:val="tx1"/>
                </w14:solidFill>
              </w14:textFill>
            </w:rPr>
            <w:fldChar w:fldCharType="begin"/>
          </w:r>
          <w:r>
            <w:rPr>
              <w:rFonts w:ascii="Times New Roman" w:hAnsi="Times New Roman"/>
              <w:color w:val="000000" w:themeColor="text1"/>
              <w:sz w:val="24"/>
              <w:szCs w:val="24"/>
              <w14:textFill>
                <w14:solidFill>
                  <w14:schemeClr w14:val="tx1"/>
                </w14:solidFill>
              </w14:textFill>
            </w:rPr>
            <w:instrText xml:space="preserve"> PAGEREF _Toc187653487 \h </w:instrText>
          </w:r>
          <w:r>
            <w:rPr>
              <w:rFonts w:ascii="Times New Roman" w:hAnsi="Times New Roman"/>
              <w:color w:val="000000" w:themeColor="text1"/>
              <w:sz w:val="24"/>
              <w:szCs w:val="24"/>
              <w14:textFill>
                <w14:solidFill>
                  <w14:schemeClr w14:val="tx1"/>
                </w14:solidFill>
              </w14:textFill>
            </w:rPr>
            <w:fldChar w:fldCharType="separate"/>
          </w:r>
          <w:r>
            <w:rPr>
              <w:rFonts w:ascii="Times New Roman" w:hAnsi="Times New Roman"/>
              <w:color w:val="000000" w:themeColor="text1"/>
              <w:sz w:val="24"/>
              <w:szCs w:val="24"/>
              <w14:textFill>
                <w14:solidFill>
                  <w14:schemeClr w14:val="tx1"/>
                </w14:solidFill>
              </w14:textFill>
            </w:rPr>
            <w:t>69</w:t>
          </w:r>
          <w:r>
            <w:rPr>
              <w:rFonts w:ascii="Times New Roman" w:hAnsi="Times New Roman"/>
              <w:color w:val="000000" w:themeColor="text1"/>
              <w:sz w:val="24"/>
              <w:szCs w:val="24"/>
              <w14:textFill>
                <w14:solidFill>
                  <w14:schemeClr w14:val="tx1"/>
                </w14:solidFill>
              </w14:textFill>
            </w:rPr>
            <w:fldChar w:fldCharType="end"/>
          </w:r>
          <w:r>
            <w:rPr>
              <w:rFonts w:ascii="Times New Roman" w:hAnsi="Times New Roman"/>
              <w:color w:val="000000" w:themeColor="text1"/>
              <w:sz w:val="24"/>
              <w:szCs w:val="24"/>
              <w14:textFill>
                <w14:solidFill>
                  <w14:schemeClr w14:val="tx1"/>
                </w14:solidFill>
              </w14:textFill>
            </w:rPr>
            <w:fldChar w:fldCharType="end"/>
          </w:r>
        </w:p>
        <w:p w14:paraId="375DE4E7">
          <w:pPr>
            <w:spacing w:after="0" w:line="360" w:lineRule="auto"/>
            <w:ind w:firstLine="480" w:firstLineChars="200"/>
            <w:rPr>
              <w:color w:val="000000" w:themeColor="text1"/>
              <w14:textFill>
                <w14:solidFill>
                  <w14:schemeClr w14:val="tx1"/>
                </w14:solidFill>
              </w14:textFill>
            </w:rPr>
          </w:pPr>
          <w:r>
            <w:rPr>
              <w:rFonts w:ascii="Times New Roman" w:hAnsi="Times New Roman" w:eastAsia="宋体" w:cs="Times New Roman"/>
              <w:caps/>
              <w:color w:val="000000" w:themeColor="text1"/>
              <w:kern w:val="2"/>
              <w:sz w:val="24"/>
              <w:szCs w:val="24"/>
              <w:lang w:val="zh-CN"/>
              <w14:textFill>
                <w14:solidFill>
                  <w14:schemeClr w14:val="tx1"/>
                </w14:solidFill>
              </w14:textFill>
            </w:rPr>
            <w:fldChar w:fldCharType="end"/>
          </w:r>
        </w:p>
      </w:sdtContent>
    </w:sdt>
    <w:p w14:paraId="04A99E6F">
      <w:pPr>
        <w:spacing w:after="0" w:line="360" w:lineRule="auto"/>
        <w:ind w:firstLine="461"/>
        <w:rPr>
          <w:rFonts w:ascii="Times New Roman" w:hAnsi="Times New Roman"/>
          <w:b/>
          <w:color w:val="000000" w:themeColor="text1"/>
          <w:spacing w:val="-2"/>
          <w:sz w:val="24"/>
          <w:szCs w:val="24"/>
          <w14:textFill>
            <w14:solidFill>
              <w14:schemeClr w14:val="tx1"/>
            </w14:solidFill>
          </w14:textFill>
        </w:rPr>
      </w:pPr>
    </w:p>
    <w:p w14:paraId="2823501B">
      <w:pPr>
        <w:tabs>
          <w:tab w:val="right" w:leader="dot" w:pos="8820"/>
        </w:tabs>
        <w:spacing w:after="0" w:line="360" w:lineRule="auto"/>
        <w:rPr>
          <w:rFonts w:ascii="Times New Roman" w:hAnsi="Times New Roman"/>
          <w:b/>
          <w:color w:val="000000" w:themeColor="text1"/>
          <w:spacing w:val="-2"/>
          <w:sz w:val="24"/>
          <w:szCs w:val="24"/>
          <w14:textFill>
            <w14:solidFill>
              <w14:schemeClr w14:val="tx1"/>
            </w14:solidFill>
          </w14:textFill>
        </w:rPr>
      </w:pPr>
      <w:r>
        <w:rPr>
          <w:rFonts w:ascii="Times New Roman" w:hAnsi="Times New Roman"/>
          <w:b/>
          <w:color w:val="000000" w:themeColor="text1"/>
          <w:spacing w:val="-2"/>
          <w:sz w:val="24"/>
          <w:szCs w:val="24"/>
          <w14:textFill>
            <w14:solidFill>
              <w14:schemeClr w14:val="tx1"/>
            </w14:solidFill>
          </w14:textFill>
        </w:rPr>
        <w:t>附图</w:t>
      </w:r>
    </w:p>
    <w:p w14:paraId="6DC4DBA5">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附图1 项目地理位置示意图</w:t>
      </w:r>
    </w:p>
    <w:p w14:paraId="342B3FDB">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附图2 项目与创大进口汽车仓储物流园总平面布置关系示意图</w:t>
      </w:r>
    </w:p>
    <w:p w14:paraId="7A3D723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附图3 项目车间平面布置示意图</w:t>
      </w:r>
    </w:p>
    <w:p w14:paraId="2253E15B">
      <w:pPr>
        <w:spacing w:after="0" w:line="360" w:lineRule="auto"/>
        <w:rPr>
          <w:rFonts w:ascii="Times New Roman" w:hAnsi="Times New Roman"/>
          <w:b/>
          <w:bCs/>
          <w:color w:val="000000" w:themeColor="text1"/>
          <w:spacing w:val="-2"/>
          <w:sz w:val="24"/>
          <w:szCs w:val="24"/>
          <w14:textFill>
            <w14:solidFill>
              <w14:schemeClr w14:val="tx1"/>
            </w14:solidFill>
          </w14:textFill>
        </w:rPr>
      </w:pPr>
      <w:r>
        <w:rPr>
          <w:rFonts w:ascii="Times New Roman" w:hAnsi="Times New Roman"/>
          <w:b/>
          <w:bCs/>
          <w:color w:val="000000" w:themeColor="text1"/>
          <w:spacing w:val="-2"/>
          <w:sz w:val="24"/>
          <w:szCs w:val="24"/>
          <w14:textFill>
            <w14:solidFill>
              <w14:schemeClr w14:val="tx1"/>
            </w14:solidFill>
          </w14:textFill>
        </w:rPr>
        <w:t>附件</w:t>
      </w:r>
    </w:p>
    <w:p w14:paraId="06F9223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附件1 原料核素浓度检测报告</w:t>
      </w:r>
    </w:p>
    <w:p w14:paraId="1EA2A719">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60F11B02">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1CA60D05">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294E44DF">
      <w:pPr>
        <w:spacing w:after="0" w:line="360" w:lineRule="auto"/>
        <w:ind w:firstLine="461"/>
        <w:rPr>
          <w:rFonts w:ascii="Times New Roman" w:hAnsi="Times New Roman"/>
          <w:color w:val="000000" w:themeColor="text1"/>
          <w:spacing w:val="-2"/>
          <w:sz w:val="24"/>
          <w:szCs w:val="24"/>
          <w14:textFill>
            <w14:solidFill>
              <w14:schemeClr w14:val="tx1"/>
            </w14:solidFill>
          </w14:textFill>
        </w:rPr>
      </w:pPr>
    </w:p>
    <w:p w14:paraId="2733C21C">
      <w:pPr>
        <w:keepNext/>
        <w:keepLines/>
        <w:widowControl w:val="0"/>
        <w:spacing w:after="0" w:line="360" w:lineRule="auto"/>
        <w:jc w:val="center"/>
        <w:outlineLvl w:val="0"/>
        <w:rPr>
          <w:rFonts w:ascii="Times New Roman" w:hAnsi="Times New Roman" w:eastAsia="宋体" w:cs="Times New Roman"/>
          <w:b/>
          <w:color w:val="000000" w:themeColor="text1"/>
          <w:spacing w:val="-2"/>
          <w:kern w:val="44"/>
          <w:sz w:val="30"/>
          <w:szCs w:val="44"/>
          <w14:textFill>
            <w14:solidFill>
              <w14:schemeClr w14:val="tx1"/>
            </w14:solidFill>
          </w14:textFill>
        </w:rPr>
        <w:sectPr>
          <w:headerReference r:id="rId10" w:type="first"/>
          <w:footerReference r:id="rId12" w:type="first"/>
          <w:headerReference r:id="rId9" w:type="even"/>
          <w:footerReference r:id="rId11" w:type="even"/>
          <w:pgSz w:w="11906" w:h="16838"/>
          <w:pgMar w:top="1418" w:right="1418" w:bottom="1418" w:left="1418" w:header="851" w:footer="737" w:gutter="0"/>
          <w:cols w:space="720" w:num="1"/>
          <w:docGrid w:linePitch="323" w:charSpace="0"/>
        </w:sectPr>
      </w:pPr>
      <w:bookmarkStart w:id="0" w:name="_Toc78822630"/>
    </w:p>
    <w:p w14:paraId="48155EE6">
      <w:pPr>
        <w:keepNext/>
        <w:keepLines/>
        <w:widowControl w:val="0"/>
        <w:spacing w:after="0" w:line="360" w:lineRule="auto"/>
        <w:jc w:val="center"/>
        <w:outlineLvl w:val="0"/>
        <w:rPr>
          <w:rFonts w:ascii="Times New Roman" w:hAnsi="Times New Roman" w:eastAsia="宋体" w:cs="Times New Roman"/>
          <w:b/>
          <w:color w:val="000000" w:themeColor="text1"/>
          <w:spacing w:val="-2"/>
          <w:kern w:val="44"/>
          <w:sz w:val="30"/>
          <w:szCs w:val="44"/>
          <w14:textFill>
            <w14:solidFill>
              <w14:schemeClr w14:val="tx1"/>
            </w14:solidFill>
          </w14:textFill>
        </w:rPr>
      </w:pPr>
      <w:bookmarkStart w:id="1" w:name="_Toc187653455"/>
      <w:r>
        <w:rPr>
          <w:rFonts w:ascii="Times New Roman" w:hAnsi="Times New Roman" w:eastAsia="宋体" w:cs="Times New Roman"/>
          <w:b/>
          <w:color w:val="000000" w:themeColor="text1"/>
          <w:spacing w:val="-2"/>
          <w:kern w:val="44"/>
          <w:sz w:val="30"/>
          <w:szCs w:val="44"/>
          <w14:textFill>
            <w14:solidFill>
              <w14:schemeClr w14:val="tx1"/>
            </w14:solidFill>
          </w14:textFill>
        </w:rPr>
        <w:t>前言</w:t>
      </w:r>
      <w:bookmarkEnd w:id="0"/>
      <w:bookmarkEnd w:id="1"/>
    </w:p>
    <w:p w14:paraId="76E67392">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p>
    <w:p w14:paraId="01EC95F7">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一、项目背景</w:t>
      </w:r>
    </w:p>
    <w:p w14:paraId="6C41C3D3">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钛原料主要用来生产钛白（二氧化钛）、金属钛（海绵钛）、含钛钢以及焊条涂料。钛白不仅是性能优异的白色颜料，而且是重要的化工原料。它广泛用于涂料、油墨、塑料、橡胶、造纸和化纤工业。钛白涂料，色彩鲜艳，色调纯正；钛白是纸张的高级填料，使纸张薄而不透明，白度高，光泽好，强度大和光滑好用。钛白用于塑料工业，是不透明的着色剂；用于橡胶工业，使白色和浅色橡胶强度高，伸展率大，耐老化和不易褪色。它也是化学纤维的最佳消光材料，使透明的化纤</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具有</w:t>
      </w:r>
      <w:r>
        <w:rPr>
          <w:rFonts w:hint="eastAsia" w:ascii="Times New Roman" w:hAnsi="Times New Roman" w:eastAsia="宋体" w:cs="Times New Roman"/>
          <w:color w:val="000000" w:themeColor="text1"/>
          <w:spacing w:val="-2"/>
          <w:sz w:val="24"/>
          <w:szCs w:val="24"/>
          <w14:textFill>
            <w14:solidFill>
              <w14:schemeClr w14:val="tx1"/>
            </w14:solidFill>
          </w14:textFill>
        </w:rPr>
        <w:t>永久性消光效果，并可提高韧性。此外，还用于搪瓷、电器、电子原料</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等</w:t>
      </w:r>
      <w:r>
        <w:rPr>
          <w:rFonts w:hint="eastAsia" w:ascii="Times New Roman" w:hAnsi="Times New Roman" w:eastAsia="宋体" w:cs="Times New Roman"/>
          <w:color w:val="000000" w:themeColor="text1"/>
          <w:spacing w:val="-2"/>
          <w:sz w:val="24"/>
          <w:szCs w:val="24"/>
          <w14:textFill>
            <w14:solidFill>
              <w14:schemeClr w14:val="tx1"/>
            </w14:solidFill>
          </w14:textFill>
        </w:rPr>
        <w:t>方面。钛精矿经冶炼成海绵钛后，再铸锭并制成工业纯钛和钛合金钛材。钛和钛合金钛材主要用于航空和宇航部门。与合金钢相比，钛合金可使飞机重量减轻40%。其他如人造卫星外壳、飞船蒙皮、火箭发动机壳体、导弹等等，钛合金都可大显身手。非宇航部门使用工业纯钛和钛合金主要在于发电站冷凝器、接触海水装置、化学装置和一些机械工程等方面，尤其是海水淡化加热器用钛是钛工业发展中划时代事件。兵工部门将钛主要用于舰船和兵器生产。</w:t>
      </w:r>
    </w:p>
    <w:p w14:paraId="32025E1B">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广西瑞腾贸易有限公司拟建的锆钛矿石分选加工项目，租用广西钦州保税区创大冷链物流公司进口汽车仓储物流园内的3号仓库</w:t>
      </w:r>
      <w:r>
        <w:rPr>
          <w:rFonts w:hint="eastAsia" w:ascii="Times New Roman" w:hAnsi="Times New Roman"/>
          <w:color w:val="000000" w:themeColor="text1"/>
          <w:spacing w:val="-2"/>
          <w:sz w:val="24"/>
          <w:szCs w:val="24"/>
          <w14:textFill>
            <w14:solidFill>
              <w14:schemeClr w14:val="tx1"/>
            </w14:solidFill>
          </w14:textFill>
        </w:rPr>
        <w:t>（中心坐标：</w:t>
      </w:r>
      <w:r>
        <w:rPr>
          <w:rFonts w:ascii="Times New Roman" w:hAnsi="Times New Roman"/>
          <w:color w:val="000000" w:themeColor="text1"/>
          <w:sz w:val="24"/>
          <w:szCs w:val="24"/>
          <w14:textFill>
            <w14:solidFill>
              <w14:schemeClr w14:val="tx1"/>
            </w14:solidFill>
          </w14:textFill>
        </w:rPr>
        <w:t>东经108.66786629°，北纬21.67253665°</w:t>
      </w:r>
      <w:r>
        <w:rPr>
          <w:rFonts w:hint="eastAsia" w:ascii="Times New Roman" w:hAnsi="Times New Roman"/>
          <w:color w:val="000000" w:themeColor="text1"/>
          <w:spacing w:val="-2"/>
          <w:sz w:val="24"/>
          <w:szCs w:val="24"/>
          <w14:textFill>
            <w14:solidFill>
              <w14:schemeClr w14:val="tx1"/>
            </w14:solidFill>
          </w14:textFill>
        </w:rPr>
        <w:t>）</w:t>
      </w:r>
      <w:r>
        <w:rPr>
          <w:rFonts w:ascii="Times New Roman" w:hAnsi="Times New Roman"/>
          <w:color w:val="000000" w:themeColor="text1"/>
          <w:spacing w:val="-2"/>
          <w:sz w:val="24"/>
          <w:szCs w:val="24"/>
          <w14:textFill>
            <w14:solidFill>
              <w14:schemeClr w14:val="tx1"/>
            </w14:solidFill>
          </w14:textFill>
        </w:rPr>
        <w:t>，利用毛矿为原料（大部分来</w:t>
      </w:r>
      <w:r>
        <w:rPr>
          <w:rFonts w:hint="eastAsia" w:ascii="Times New Roman" w:hAnsi="Times New Roman"/>
          <w:color w:val="000000" w:themeColor="text1"/>
          <w:spacing w:val="-2"/>
          <w:sz w:val="24"/>
          <w:szCs w:val="24"/>
          <w14:textFill>
            <w14:solidFill>
              <w14:schemeClr w14:val="tx1"/>
            </w14:solidFill>
          </w14:textFill>
        </w:rPr>
        <w:t>自非洲、东南亚</w:t>
      </w:r>
      <w:r>
        <w:rPr>
          <w:rFonts w:ascii="Times New Roman" w:hAnsi="Times New Roman"/>
          <w:color w:val="000000" w:themeColor="text1"/>
          <w:spacing w:val="-2"/>
          <w:sz w:val="24"/>
          <w:szCs w:val="24"/>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，采用干式磁选工艺</w:t>
      </w:r>
      <w:r>
        <w:rPr>
          <w:rFonts w:ascii="Times New Roman" w:hAnsi="Times New Roman"/>
          <w:color w:val="000000" w:themeColor="text1"/>
          <w:spacing w:val="-2"/>
          <w:sz w:val="24"/>
          <w:szCs w:val="24"/>
          <w14:textFill>
            <w14:solidFill>
              <w14:schemeClr w14:val="tx1"/>
            </w14:solidFill>
          </w14:textFill>
        </w:rPr>
        <w:t>分选</w:t>
      </w:r>
      <w:r>
        <w:rPr>
          <w:rFonts w:hint="eastAsia" w:ascii="Times New Roman" w:hAnsi="Times New Roman"/>
          <w:color w:val="000000" w:themeColor="text1"/>
          <w:spacing w:val="-2"/>
          <w:sz w:val="24"/>
          <w:szCs w:val="24"/>
          <w14:textFill>
            <w14:solidFill>
              <w14:schemeClr w14:val="tx1"/>
            </w14:solidFill>
          </w14:textFill>
        </w:rPr>
        <w:t>出</w:t>
      </w:r>
      <w:r>
        <w:rPr>
          <w:rFonts w:ascii="Times New Roman" w:hAnsi="Times New Roman"/>
          <w:color w:val="000000" w:themeColor="text1"/>
          <w:spacing w:val="-2"/>
          <w:sz w:val="24"/>
          <w:szCs w:val="24"/>
          <w14:textFill>
            <w14:solidFill>
              <w14:schemeClr w14:val="tx1"/>
            </w14:solidFill>
          </w14:textFill>
        </w:rPr>
        <w:t>钛铁精矿。</w:t>
      </w:r>
      <w:r>
        <w:rPr>
          <w:rFonts w:hint="eastAsia" w:ascii="Times New Roman" w:hAnsi="Times New Roman"/>
          <w:color w:val="000000" w:themeColor="text1"/>
          <w:spacing w:val="-2"/>
          <w:sz w:val="24"/>
          <w:szCs w:val="24"/>
          <w14:textFill>
            <w14:solidFill>
              <w14:schemeClr w14:val="tx1"/>
            </w14:solidFill>
          </w14:textFill>
        </w:rPr>
        <w:t>项目总用地面积约2500m</w:t>
      </w:r>
      <w:r>
        <w:rPr>
          <w:rFonts w:hint="eastAsia" w:ascii="Times New Roman" w:hAnsi="Times New Roman"/>
          <w:color w:val="000000" w:themeColor="text1"/>
          <w:spacing w:val="-2"/>
          <w:sz w:val="24"/>
          <w:szCs w:val="24"/>
          <w:vertAlign w:val="superscript"/>
          <w14:textFill>
            <w14:solidFill>
              <w14:schemeClr w14:val="tx1"/>
            </w14:solidFill>
          </w14:textFill>
        </w:rPr>
        <w:t>2</w:t>
      </w:r>
      <w:r>
        <w:rPr>
          <w:rFonts w:hint="eastAsia" w:ascii="Times New Roman" w:hAnsi="Times New Roman"/>
          <w:color w:val="000000" w:themeColor="text1"/>
          <w:spacing w:val="-2"/>
          <w:sz w:val="24"/>
          <w:szCs w:val="24"/>
          <w14:textFill>
            <w14:solidFill>
              <w14:schemeClr w14:val="tx1"/>
            </w14:solidFill>
          </w14:textFill>
        </w:rPr>
        <w:t>，建设2条钛铁精矿分选生产线，年产24万吨钛铁精矿。项目在已建成的车间厂房内进行生产线设备安装后便可投入生产运营，无需进行土方开挖、基础工程、主体工程等施工。</w:t>
      </w:r>
    </w:p>
    <w:p w14:paraId="1FE1044F">
      <w:pPr>
        <w:widowControl w:val="0"/>
        <w:spacing w:after="0" w:line="360" w:lineRule="auto"/>
        <w:ind w:firstLine="482"/>
        <w:jc w:val="both"/>
        <w:rPr>
          <w:rFonts w:hint="eastAsia" w:ascii="宋体" w:hAnsi="宋体" w:eastAsia="宋体" w:cs="Times New Roman"/>
          <w:color w:val="000000" w:themeColor="text1"/>
          <w:spacing w:val="-2"/>
          <w:sz w:val="24"/>
          <w:szCs w:val="24"/>
          <w14:textFill>
            <w14:solidFill>
              <w14:schemeClr w14:val="tx1"/>
            </w14:solidFill>
          </w14:textFill>
        </w:rPr>
      </w:pPr>
      <w:r>
        <w:rPr>
          <w:rFonts w:ascii="Times New Roman" w:hAnsi="Times New Roman" w:eastAsia="宋体" w:cs="Times New Roman"/>
          <w:color w:val="000000" w:themeColor="text1"/>
          <w:spacing w:val="-2"/>
          <w:sz w:val="24"/>
          <w:szCs w:val="24"/>
          <w14:textFill>
            <w14:solidFill>
              <w14:schemeClr w14:val="tx1"/>
            </w14:solidFill>
          </w14:textFill>
        </w:rPr>
        <w:t>根据《关于发布</w:t>
      </w:r>
      <w:bookmarkStart w:id="2" w:name="_Hlk186267082"/>
      <w:r>
        <w:rPr>
          <w:rFonts w:ascii="Times New Roman" w:hAnsi="Times New Roman" w:eastAsia="宋体" w:cs="Times New Roman"/>
          <w:color w:val="000000" w:themeColor="text1"/>
          <w:spacing w:val="-2"/>
          <w:sz w:val="24"/>
          <w:szCs w:val="24"/>
          <w14:textFill>
            <w14:solidFill>
              <w14:schemeClr w14:val="tx1"/>
            </w14:solidFill>
          </w14:textFill>
        </w:rPr>
        <w:t>〈</w:t>
      </w:r>
      <w:bookmarkEnd w:id="2"/>
      <w:r>
        <w:rPr>
          <w:rFonts w:ascii="Times New Roman" w:hAnsi="Times New Roman" w:eastAsia="宋体" w:cs="Times New Roman"/>
          <w:color w:val="000000" w:themeColor="text1"/>
          <w:spacing w:val="-2"/>
          <w:sz w:val="24"/>
          <w:szCs w:val="24"/>
          <w14:textFill>
            <w14:solidFill>
              <w14:schemeClr w14:val="tx1"/>
            </w14:solidFill>
          </w14:textFill>
        </w:rPr>
        <w:t>矿产资源开发利用辐射环境监督管理名录〉的公告》（公告 2020年 第54号）的规定，已纳入《矿产资源开发利用辐射环境监督管理名录》，并且原矿、中间产品、尾矿（渣）或者其他残留物中铀（钍）系单个核素含量超过1贝可/克（1Bq/g）的矿产资源开发利用项目需编制辐射环境影响评价专篇。本项目属于《矿产资源开发利用辐射环境监督管理名录》中</w:t>
      </w:r>
      <w:r>
        <w:rPr>
          <w:rFonts w:ascii="宋体" w:hAnsi="宋体" w:eastAsia="宋体" w:cs="Times New Roman"/>
          <w:color w:val="000000" w:themeColor="text1"/>
          <w:spacing w:val="-2"/>
          <w:sz w:val="24"/>
          <w:szCs w:val="24"/>
          <w14:textFill>
            <w14:solidFill>
              <w14:schemeClr w14:val="tx1"/>
            </w14:solidFill>
          </w14:textFill>
        </w:rPr>
        <w:t>的“锆及氧化锆、铌/钽、锡、铝、铅/锌、铜、铁、钒、钼、镍、锗、钛、金的开采、选矿和冶炼”</w:t>
      </w:r>
      <w:r>
        <w:rPr>
          <w:rFonts w:ascii="Times New Roman" w:hAnsi="Times New Roman" w:eastAsia="宋体" w:cs="Times New Roman"/>
          <w:color w:val="000000" w:themeColor="text1"/>
          <w:spacing w:val="-2"/>
          <w:sz w:val="24"/>
          <w:szCs w:val="24"/>
          <w14:textFill>
            <w14:solidFill>
              <w14:schemeClr w14:val="tx1"/>
            </w14:solidFill>
          </w14:textFill>
        </w:rPr>
        <w:t>行业，且原料、产品中的铀（钍）系单个核素含量超过1贝可/克（1Bq/g），所以本项目需要编制辐射环境影响评价专</w:t>
      </w:r>
      <w:r>
        <w:rPr>
          <w:rFonts w:ascii="宋体" w:hAnsi="宋体" w:eastAsia="宋体" w:cs="Times New Roman"/>
          <w:color w:val="000000" w:themeColor="text1"/>
          <w:spacing w:val="-2"/>
          <w:sz w:val="24"/>
          <w:szCs w:val="24"/>
          <w14:textFill>
            <w14:solidFill>
              <w14:schemeClr w14:val="tx1"/>
            </w14:solidFill>
          </w14:textFill>
        </w:rPr>
        <w:t>篇（以下简称“本专篇”）。</w:t>
      </w:r>
    </w:p>
    <w:p w14:paraId="166EFDA7">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bookmarkStart w:id="3" w:name="_Toc78822631"/>
    </w:p>
    <w:p w14:paraId="3B05B6ED">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二、项目特点</w:t>
      </w:r>
    </w:p>
    <w:p w14:paraId="654771F8">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1、项目毛矿大部分来自非洲、东南亚，主要为滨海矿砂。海滨砂矿矿物种类多，单体解离度高，颗粒均匀且含泥量少，不需要破碎筛分工序。</w:t>
      </w:r>
    </w:p>
    <w:p w14:paraId="00EC2910">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2、本项目进口毛矿作原料，采用磁选工艺进行分选加工生产钛铁精矿。整个筛选过程只需用电，利用钛铁精矿与其他元素物质的物理性质不同，进行物理手段分选，分选过程中无需用水及其他化学药剂等，分选后获得更高品位的钛铁精矿和锆中矿，项目不再进行进一步的锆英砂、金红石、锡、独居石等其他矿物的分选。产品钛铁精矿不进行钛精矿和铁矿的分离，副产品锆中矿作为原料出售给深度分选矿企业。</w:t>
      </w:r>
    </w:p>
    <w:p w14:paraId="7EF008DA">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3、本项目租用的生产用房位于广西钦州保税区创大冷链物流公司进口汽车仓储物流园内的3号仓库，租用3号仓库北侧部分面积约2500m</w:t>
      </w:r>
      <w:r>
        <w:rPr>
          <w:rFonts w:hint="eastAsia" w:ascii="Times New Roman" w:hAnsi="Times New Roman" w:eastAsia="宋体" w:cs="Times New Roman"/>
          <w:color w:val="000000" w:themeColor="text1"/>
          <w:spacing w:val="-2"/>
          <w:sz w:val="24"/>
          <w:szCs w:val="24"/>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4"/>
          <w14:textFill>
            <w14:solidFill>
              <w14:schemeClr w14:val="tx1"/>
            </w14:solidFill>
          </w14:textFill>
        </w:rPr>
        <w:t>，厂房内设置两个生产车间，分别为1#原料处理车间、2#分选车间。</w:t>
      </w:r>
    </w:p>
    <w:p w14:paraId="59907C52">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4、项目运营期生产的辐射排放源项主要以生产车间粉尘气载流出物、伴生放射性物料的照射影响为主。</w:t>
      </w:r>
    </w:p>
    <w:p w14:paraId="16FE352D">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 xml:space="preserve">三、环境影响评价的工作过程 </w:t>
      </w:r>
    </w:p>
    <w:p w14:paraId="314ABB97">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ascii="Times New Roman" w:hAnsi="Times New Roman" w:eastAsia="宋体" w:cs="Times New Roman"/>
          <w:color w:val="000000" w:themeColor="text1"/>
          <w:spacing w:val="-2"/>
          <w:sz w:val="24"/>
          <w:szCs w:val="24"/>
          <w14:textFill>
            <w14:solidFill>
              <w14:schemeClr w14:val="tx1"/>
            </w14:solidFill>
          </w14:textFill>
        </w:rPr>
        <w:t>广西瑞腾贸易有限公司于202</w:t>
      </w:r>
      <w:r>
        <w:rPr>
          <w:rFonts w:hint="eastAsia" w:ascii="Times New Roman" w:hAnsi="Times New Roman" w:eastAsia="宋体" w:cs="Times New Roman"/>
          <w:color w:val="000000" w:themeColor="text1"/>
          <w:spacing w:val="-2"/>
          <w:sz w:val="24"/>
          <w:szCs w:val="24"/>
          <w14:textFill>
            <w14:solidFill>
              <w14:schemeClr w14:val="tx1"/>
            </w14:solidFill>
          </w14:textFill>
        </w:rPr>
        <w:t>4</w:t>
      </w:r>
      <w:r>
        <w:rPr>
          <w:rFonts w:ascii="Times New Roman" w:hAnsi="Times New Roman" w:eastAsia="宋体" w:cs="Times New Roman"/>
          <w:color w:val="000000" w:themeColor="text1"/>
          <w:spacing w:val="-2"/>
          <w:sz w:val="24"/>
          <w:szCs w:val="24"/>
          <w14:textFill>
            <w14:solidFill>
              <w14:schemeClr w14:val="tx1"/>
            </w14:solidFill>
          </w14:textFill>
        </w:rPr>
        <w:t>年</w:t>
      </w:r>
      <w:r>
        <w:rPr>
          <w:rFonts w:hint="eastAsia" w:ascii="Times New Roman" w:hAnsi="Times New Roman" w:eastAsia="宋体" w:cs="Times New Roman"/>
          <w:color w:val="000000" w:themeColor="text1"/>
          <w:spacing w:val="-2"/>
          <w:sz w:val="24"/>
          <w:szCs w:val="24"/>
          <w14:textFill>
            <w14:solidFill>
              <w14:schemeClr w14:val="tx1"/>
            </w14:solidFill>
          </w14:textFill>
        </w:rPr>
        <w:t>9</w:t>
      </w:r>
      <w:r>
        <w:rPr>
          <w:rFonts w:ascii="Times New Roman" w:hAnsi="Times New Roman" w:eastAsia="宋体" w:cs="Times New Roman"/>
          <w:color w:val="000000" w:themeColor="text1"/>
          <w:spacing w:val="-2"/>
          <w:sz w:val="24"/>
          <w:szCs w:val="24"/>
          <w14:textFill>
            <w14:solidFill>
              <w14:schemeClr w14:val="tx1"/>
            </w14:solidFill>
          </w14:textFill>
        </w:rPr>
        <w:t>月委托广西绿港环保科技有限公司编制该项目的辐射环境影响评价专篇。接受委托后，广西绿港环保科技有限公司成立项目组，项目组人员赴现场开展环境现状调查、资料收集，并委托广西壮族自治区辐射环境监督管理站进行现场检测和样品采集。在充分了解工艺流程，研读相关技术资料的基础上，对项目运行、环境影响进行了分析、评价。在编制环境影响报告书阶段，广西瑞腾贸易有限公司按照《环境影响评价公众参与办法》要求进行了公众参与，通过项目公示方式告知当地公众可能产生的环境影响、并征求项目建设的意见和建议。没有公众或团体对项目建设提出反对意见。在此基础上，广西绿港环保科技有限公司编制完成《广西瑞腾贸易有限公司锆钛矿石分选加工项目辐射环境影响评价专篇（送审稿）》，与《广西瑞腾贸易有限公司锆钛矿石分选加工项目环境影响报告书》一并呈报生态环境主管部门审查。</w:t>
      </w:r>
    </w:p>
    <w:p w14:paraId="1B0B6B32">
      <w:pPr>
        <w:widowControl w:val="0"/>
        <w:spacing w:after="0" w:line="360" w:lineRule="auto"/>
        <w:ind w:firstLine="482"/>
        <w:jc w:val="both"/>
        <w:rPr>
          <w:rFonts w:ascii="Times New Roman" w:hAnsi="Times New Roman" w:eastAsia="宋体" w:cs="Times New Roman"/>
          <w:b/>
          <w:bCs/>
          <w:color w:val="000000" w:themeColor="text1"/>
          <w:spacing w:val="-2"/>
          <w:sz w:val="24"/>
          <w:szCs w:val="24"/>
          <w14:textFill>
            <w14:solidFill>
              <w14:schemeClr w14:val="tx1"/>
            </w14:solidFill>
          </w14:textFill>
        </w:rPr>
      </w:pPr>
      <w:r>
        <w:rPr>
          <w:rFonts w:hint="eastAsia" w:ascii="Times New Roman" w:hAnsi="Times New Roman" w:eastAsia="宋体" w:cs="Times New Roman"/>
          <w:b/>
          <w:bCs/>
          <w:color w:val="000000" w:themeColor="text1"/>
          <w:spacing w:val="-2"/>
          <w:sz w:val="24"/>
          <w:szCs w:val="24"/>
          <w14:textFill>
            <w14:solidFill>
              <w14:schemeClr w14:val="tx1"/>
            </w14:solidFill>
          </w14:textFill>
        </w:rPr>
        <w:t>四、评价结论</w:t>
      </w:r>
    </w:p>
    <w:p w14:paraId="201C20C0">
      <w:pPr>
        <w:widowControl w:val="0"/>
        <w:spacing w:after="0" w:line="360" w:lineRule="auto"/>
        <w:ind w:firstLine="482"/>
        <w:jc w:val="both"/>
        <w:rPr>
          <w:rFonts w:ascii="Times New Roman" w:hAnsi="Times New Roman" w:eastAsia="宋体" w:cs="Times New Roman"/>
          <w:color w:val="000000" w:themeColor="text1"/>
          <w:spacing w:val="-2"/>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广西瑞腾贸易有限公司拟建的锆钛矿石分选加工项目在全面落实本报告提出的各项辐射防护措施的基础上，本项目运营期的辐射影响不会明显增加当地环境的污染负荷，不会对周围敏感点造成明显影响，评价范围内公众成员、涉辐射工作人员的年有效剂量满足相关标准要求，项目在运行中严格落实管理和监测计划，从辐射环境保护角度出发，项目可行。</w:t>
      </w:r>
    </w:p>
    <w:p w14:paraId="3908CB2F">
      <w:pPr>
        <w:pStyle w:val="2"/>
        <w:rPr>
          <w:color w:val="000000" w:themeColor="text1"/>
          <w14:textFill>
            <w14:solidFill>
              <w14:schemeClr w14:val="tx1"/>
            </w14:solidFill>
          </w14:textFill>
        </w:rPr>
        <w:sectPr>
          <w:footerReference r:id="rId13" w:type="default"/>
          <w:pgSz w:w="11906" w:h="16838"/>
          <w:pgMar w:top="1418" w:right="1418" w:bottom="1418" w:left="1418" w:header="851" w:footer="737" w:gutter="0"/>
          <w:pgNumType w:start="1"/>
          <w:cols w:space="720" w:num="1"/>
          <w:docGrid w:linePitch="323" w:charSpace="0"/>
        </w:sectPr>
      </w:pPr>
    </w:p>
    <w:p w14:paraId="7FA5A021">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4" w:name="_Toc187653456"/>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概述</w:t>
      </w:r>
      <w:bookmarkEnd w:id="3"/>
      <w:bookmarkEnd w:id="4"/>
    </w:p>
    <w:p w14:paraId="0FFD0A6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 w:name="_Toc187653457"/>
      <w:bookmarkStart w:id="6" w:name="_Toc78822632"/>
      <w:r>
        <w:rPr>
          <w:rFonts w:ascii="Times New Roman" w:hAnsi="Times New Roman" w:eastAsia="黑体" w:cs="Times New Roman"/>
          <w:b/>
          <w:bCs/>
          <w:color w:val="000000" w:themeColor="text1"/>
          <w:kern w:val="2"/>
          <w:sz w:val="28"/>
          <w:szCs w:val="32"/>
          <w14:textFill>
            <w14:solidFill>
              <w14:schemeClr w14:val="tx1"/>
            </w14:solidFill>
          </w14:textFill>
        </w:rPr>
        <w:t>编制依据</w:t>
      </w:r>
      <w:bookmarkEnd w:id="5"/>
      <w:bookmarkEnd w:id="6"/>
    </w:p>
    <w:p w14:paraId="7984C0F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7" w:name="_Toc524680687"/>
      <w:bookmarkStart w:id="8" w:name="_Toc78822633"/>
      <w:bookmarkStart w:id="9" w:name="_Toc51255198"/>
      <w:r>
        <w:rPr>
          <w:rFonts w:ascii="Times New Roman" w:hAnsi="Times New Roman" w:eastAsia="黑体" w:cs="Times New Roman"/>
          <w:b/>
          <w:bCs/>
          <w:caps w:val="0"/>
          <w:color w:val="000000" w:themeColor="text1"/>
          <w:kern w:val="2"/>
          <w:sz w:val="24"/>
          <w:szCs w:val="32"/>
          <w14:textFill>
            <w14:solidFill>
              <w14:schemeClr w14:val="tx1"/>
            </w14:solidFill>
          </w14:textFill>
        </w:rPr>
        <w:t>相关法律、法规和规章制度</w:t>
      </w:r>
      <w:bookmarkEnd w:id="7"/>
      <w:bookmarkEnd w:id="8"/>
      <w:bookmarkEnd w:id="9"/>
    </w:p>
    <w:p w14:paraId="74ECDD9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0" w:name="_Toc51255199"/>
      <w:bookmarkStart w:id="11" w:name="_Toc524680688"/>
      <w:r>
        <w:rPr>
          <w:rFonts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color w:val="000000" w:themeColor="text1"/>
          <w:spacing w:val="-2"/>
          <w:sz w:val="24"/>
          <w:szCs w:val="20"/>
          <w14:textFill>
            <w14:solidFill>
              <w14:schemeClr w14:val="tx1"/>
            </w14:solidFill>
          </w14:textFill>
        </w:rPr>
        <w:t>《中华人民共和国环境保护法》（2014年4月24日修订通过，自2015年1月1日起施行）；</w:t>
      </w:r>
    </w:p>
    <w:p w14:paraId="3DFDB38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（2）《中华人民共和国环境影响评价法》（2018年12月29日修订）；</w:t>
      </w:r>
    </w:p>
    <w:p w14:paraId="48DC715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（3）《中华人民共和国放射性污染防治法》（2003年10月1日施行）；</w:t>
      </w:r>
    </w:p>
    <w:p w14:paraId="4BF5251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（4）《中华人民共和国固体废物污染环境防治法》（2020年4月29日修订）；</w:t>
      </w:r>
    </w:p>
    <w:p w14:paraId="169DDC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（5）《建设项目环境保护管理条例》（中华人民共和国国务院令第682号，2017年10月1日起修订实施）；</w:t>
      </w:r>
    </w:p>
    <w:p w14:paraId="4114498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（6）《放射性废物安全管理条例》中华人民共和国国务院令第612号，2012年3月1日起施行；</w:t>
      </w:r>
    </w:p>
    <w:p w14:paraId="42553C5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（7）《建设项目环境影响评价分类管理名录》（2021版）部令第16号（2021年11月5日修正）；</w:t>
      </w:r>
    </w:p>
    <w:p w14:paraId="5AF9E6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（8）公告 2020年 第54号《关于发布</w:t>
      </w:r>
      <w:r>
        <w:rPr>
          <w:rFonts w:ascii="Times New Roman" w:hAnsi="Times New Roman" w:eastAsia="宋体" w:cs="Times New Roman"/>
          <w:color w:val="000000" w:themeColor="text1"/>
          <w:spacing w:val="-2"/>
          <w:sz w:val="24"/>
          <w:szCs w:val="24"/>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矿产资源开发利用辐射环境监督管理名录〉的公告》, 自2021年1月1日起施行；</w:t>
      </w:r>
    </w:p>
    <w:p w14:paraId="400001C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（9）《建设项目竣工环境保护验收暂行办法》（国环规环评﹝2017﹞4号。自2017 年11 月20 日起施行；</w:t>
      </w:r>
    </w:p>
    <w:p w14:paraId="5B50CF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w:t>
      </w:r>
      <w:r>
        <w:rPr>
          <w:rFonts w:hint="eastAsia" w:ascii="Times New Roman" w:hAnsi="Times New Roman" w:eastAsia="宋体" w:cs="Times New Roman"/>
          <w:color w:val="000000" w:themeColor="text1"/>
          <w:spacing w:val="-2"/>
          <w:sz w:val="24"/>
          <w:szCs w:val="20"/>
          <w14:textFill>
            <w14:solidFill>
              <w14:schemeClr w14:val="tx1"/>
            </w14:solidFill>
          </w14:textFill>
        </w:rPr>
        <w:t>0</w:t>
      </w:r>
      <w:r>
        <w:rPr>
          <w:rFonts w:ascii="Times New Roman" w:hAnsi="Times New Roman" w:eastAsia="宋体" w:cs="Times New Roman"/>
          <w:color w:val="000000" w:themeColor="text1"/>
          <w:spacing w:val="-2"/>
          <w:sz w:val="24"/>
          <w:szCs w:val="20"/>
          <w14:textFill>
            <w14:solidFill>
              <w14:schemeClr w14:val="tx1"/>
            </w14:solidFill>
          </w14:textFill>
        </w:rPr>
        <w:t>）《关于发布〈伴生放射性矿物资源开发利用项目环境影响报告书（表）的内容和格式〉的通知》（环监﹝1994﹞080号）（参考其中关于辐射环境影响评价范围的条款）；</w:t>
      </w:r>
    </w:p>
    <w:p w14:paraId="4646F1B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（12）《矿产资源开发利用辐射环境影响评价专篇格式与内容（试行）》（2015 年1月）；</w:t>
      </w:r>
    </w:p>
    <w:p w14:paraId="2AB337F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（13）《伴生放射性矿开发利用企业环境辐射监测及信息公开办法（试行）》（国环规辐射〔2018〕1 号）。</w:t>
      </w:r>
    </w:p>
    <w:p w14:paraId="3877EE8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 w:name="_Toc78822634"/>
      <w:r>
        <w:rPr>
          <w:rFonts w:ascii="Times New Roman" w:hAnsi="Times New Roman" w:eastAsia="黑体" w:cs="Times New Roman"/>
          <w:b/>
          <w:bCs/>
          <w:caps w:val="0"/>
          <w:color w:val="000000" w:themeColor="text1"/>
          <w:kern w:val="2"/>
          <w:sz w:val="24"/>
          <w:szCs w:val="32"/>
          <w14:textFill>
            <w14:solidFill>
              <w14:schemeClr w14:val="tx1"/>
            </w14:solidFill>
          </w14:textFill>
        </w:rPr>
        <w:t>技术规范</w:t>
      </w:r>
      <w:bookmarkEnd w:id="10"/>
      <w:bookmarkEnd w:id="11"/>
      <w:r>
        <w:rPr>
          <w:rFonts w:ascii="Times New Roman" w:hAnsi="Times New Roman" w:eastAsia="黑体" w:cs="Times New Roman"/>
          <w:b/>
          <w:bCs/>
          <w:caps w:val="0"/>
          <w:color w:val="000000" w:themeColor="text1"/>
          <w:kern w:val="2"/>
          <w:sz w:val="24"/>
          <w:szCs w:val="32"/>
          <w14:textFill>
            <w14:solidFill>
              <w14:schemeClr w14:val="tx1"/>
            </w14:solidFill>
          </w14:textFill>
        </w:rPr>
        <w:t>、标准</w:t>
      </w:r>
      <w:bookmarkEnd w:id="12"/>
    </w:p>
    <w:p w14:paraId="6C078A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（1）《电离辐射防护与辐射源安全基本标准》（GB18871－2002）；</w:t>
      </w:r>
    </w:p>
    <w:p w14:paraId="7868F7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（2）《污水综合排放标准》（GB8978-1996）；</w:t>
      </w:r>
    </w:p>
    <w:p w14:paraId="6DF9D6C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（3）《地下水质量标准》（GB/T14848-2017）；</w:t>
      </w:r>
    </w:p>
    <w:p w14:paraId="24B1E6D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（4）《稀土工业污染物排放标准》（GB26451-2011）；</w:t>
      </w:r>
    </w:p>
    <w:p w14:paraId="57F094E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（5）《放射性物品安全运输规程》（GB11806-2019）；</w:t>
      </w:r>
    </w:p>
    <w:p w14:paraId="438D258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（6）《可免于辐射防护监管的物料中放射性核素活度浓度》（GB27742-2011）；</w:t>
      </w:r>
    </w:p>
    <w:p w14:paraId="18E4999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（7）《辐射环境监测技术规范》（HJ 61-2021）；</w:t>
      </w:r>
    </w:p>
    <w:p w14:paraId="14E3D8A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（8）《环境γ辐射剂量率测量技术规范》（ HJ 1157—2021）；</w:t>
      </w:r>
    </w:p>
    <w:p w14:paraId="27758E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（9）《伴生放射性物料贮存及固体废物填埋辐射环境保护技术规范（试行）》（ HJ1114-2020）</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03FBEA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（10）</w:t>
      </w:r>
      <w:r>
        <w:rPr>
          <w:rFonts w:hint="eastAsia" w:ascii="Times New Roman" w:hAnsi="Times New Roman"/>
          <w:color w:val="000000" w:themeColor="text1"/>
          <w:spacing w:val="-2"/>
          <w:sz w:val="24"/>
          <w:szCs w:val="20"/>
          <w:u w:val="single"/>
          <w14:textFill>
            <w14:solidFill>
              <w14:schemeClr w14:val="tx1"/>
            </w14:solidFill>
          </w14:textFill>
        </w:rPr>
        <w:t>《铀矿冶设施所造成的气态（载）放射性与有毒性源项的确定》（</w:t>
      </w:r>
      <w:r>
        <w:rPr>
          <w:rFonts w:ascii="Times New Roman" w:hAnsi="Times New Roman"/>
          <w:color w:val="000000" w:themeColor="text1"/>
          <w:spacing w:val="-2"/>
          <w:sz w:val="24"/>
          <w:szCs w:val="20"/>
          <w:u w:val="single"/>
          <w14:textFill>
            <w14:solidFill>
              <w14:schemeClr w14:val="tx1"/>
            </w14:solidFill>
          </w14:textFill>
        </w:rPr>
        <w:t>EJ/T 1090-1998</w:t>
      </w:r>
      <w:r>
        <w:rPr>
          <w:rFonts w:hint="eastAsia" w:ascii="Times New Roman" w:hAnsi="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w:t>
      </w:r>
    </w:p>
    <w:p w14:paraId="7253497C">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3" w:name="_Toc78822635"/>
      <w:bookmarkStart w:id="14" w:name="_Toc51255201"/>
      <w:r>
        <w:rPr>
          <w:rFonts w:ascii="Times New Roman" w:hAnsi="Times New Roman" w:eastAsia="黑体" w:cs="Times New Roman"/>
          <w:b/>
          <w:bCs/>
          <w:caps w:val="0"/>
          <w:color w:val="000000" w:themeColor="text1"/>
          <w:kern w:val="2"/>
          <w:sz w:val="24"/>
          <w:szCs w:val="32"/>
          <w14:textFill>
            <w14:solidFill>
              <w14:schemeClr w14:val="tx1"/>
            </w14:solidFill>
          </w14:textFill>
        </w:rPr>
        <w:t>其他相关文件</w:t>
      </w:r>
      <w:bookmarkEnd w:id="13"/>
      <w:bookmarkEnd w:id="14"/>
    </w:p>
    <w:p w14:paraId="003720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5" w:name="_Toc325990162"/>
      <w:bookmarkStart w:id="16" w:name="_Toc326224259"/>
      <w:bookmarkStart w:id="17" w:name="_Toc327895946"/>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《广西瑞腾贸易有限公司锆钛矿石分选加工项目环境影响报告书</w:t>
      </w:r>
      <w:bookmarkEnd w:id="15"/>
      <w:bookmarkEnd w:id="16"/>
      <w:bookmarkEnd w:id="17"/>
      <w:r>
        <w:rPr>
          <w:rFonts w:ascii="Times New Roman" w:hAnsi="Times New Roman" w:eastAsia="宋体" w:cs="Times New Roman"/>
          <w:color w:val="000000" w:themeColor="text1"/>
          <w:spacing w:val="-2"/>
          <w:sz w:val="24"/>
          <w:szCs w:val="20"/>
          <w14:textFill>
            <w14:solidFill>
              <w14:schemeClr w14:val="tx1"/>
            </w14:solidFill>
          </w14:textFill>
        </w:rPr>
        <w:t>》。</w:t>
      </w:r>
    </w:p>
    <w:p w14:paraId="5DE29064">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8" w:name="_Toc78822636"/>
      <w:bookmarkStart w:id="19" w:name="_Toc187653458"/>
      <w:r>
        <w:rPr>
          <w:rFonts w:ascii="Times New Roman" w:hAnsi="Times New Roman" w:eastAsia="黑体" w:cs="Times New Roman"/>
          <w:b/>
          <w:bCs/>
          <w:color w:val="000000" w:themeColor="text1"/>
          <w:kern w:val="2"/>
          <w:sz w:val="28"/>
          <w:szCs w:val="32"/>
          <w14:textFill>
            <w14:solidFill>
              <w14:schemeClr w14:val="tx1"/>
            </w14:solidFill>
          </w14:textFill>
        </w:rPr>
        <w:t>控制指标</w:t>
      </w:r>
      <w:bookmarkEnd w:id="18"/>
      <w:bookmarkEnd w:id="19"/>
    </w:p>
    <w:p w14:paraId="57CA340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u w:val="single"/>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u w:val="single"/>
          <w14:textFill>
            <w14:solidFill>
              <w14:schemeClr w14:val="tx1"/>
            </w14:solidFill>
          </w14:textFill>
        </w:rPr>
        <w:t>剂量限值</w:t>
      </w:r>
    </w:p>
    <w:p w14:paraId="033AE7C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本</w:t>
      </w:r>
      <w:r>
        <w:rPr>
          <w:rFonts w:ascii="Times New Roman" w:hAnsi="Times New Roman" w:eastAsia="宋体" w:cs="Times New Roman"/>
          <w:color w:val="000000" w:themeColor="text1"/>
          <w:spacing w:val="-2"/>
          <w:sz w:val="24"/>
          <w:szCs w:val="20"/>
          <w:u w:val="single"/>
          <w14:textFill>
            <w14:solidFill>
              <w14:schemeClr w14:val="tx1"/>
            </w14:solidFill>
          </w14:textFill>
        </w:rPr>
        <w:t>项目依据</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或参</w:t>
      </w:r>
      <w:r>
        <w:rPr>
          <w:rFonts w:ascii="Times New Roman" w:hAnsi="Times New Roman" w:eastAsia="宋体" w:cs="Times New Roman"/>
          <w:color w:val="000000" w:themeColor="text1"/>
          <w:spacing w:val="-2"/>
          <w:sz w:val="24"/>
          <w:szCs w:val="20"/>
          <w:u w:val="single"/>
          <w14:textFill>
            <w14:solidFill>
              <w14:schemeClr w14:val="tx1"/>
            </w14:solidFill>
          </w14:textFill>
        </w:rPr>
        <w:t>照《电离辐射防护与辐射源安全基本标准》 (GB18871-2002)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等，</w:t>
      </w:r>
      <w:r>
        <w:rPr>
          <w:rFonts w:ascii="Times New Roman" w:hAnsi="Times New Roman" w:eastAsia="宋体" w:cs="Times New Roman"/>
          <w:color w:val="000000" w:themeColor="text1"/>
          <w:spacing w:val="-2"/>
          <w:sz w:val="24"/>
          <w:szCs w:val="20"/>
          <w:u w:val="single"/>
          <w14:textFill>
            <w14:solidFill>
              <w14:schemeClr w14:val="tx1"/>
            </w14:solidFill>
          </w14:textFill>
        </w:rPr>
        <w:t>确定正常工况公众剂量约束值、非正常工况的公众剂量控制值</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气载流出物和液态流出物的放射性控制指标</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05D9B095">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ascii="Times New Roman" w:hAnsi="Times New Roman" w:eastAsia="黑体" w:cs="Times New Roman"/>
          <w:bCs/>
          <w:i w:val="0"/>
          <w:iCs w:val="0"/>
          <w:color w:val="000000" w:themeColor="text1"/>
          <w:kern w:val="2"/>
          <w:sz w:val="24"/>
          <w:u w:val="single"/>
          <w14:textFill>
            <w14:solidFill>
              <w14:schemeClr w14:val="tx1"/>
            </w14:solidFill>
          </w14:textFill>
        </w:rPr>
        <w:t>公众剂量约束值</w:t>
      </w:r>
    </w:p>
    <w:p w14:paraId="0B57F2F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bookmarkStart w:id="20" w:name="_Hlk187703862"/>
      <w:r>
        <w:rPr>
          <w:rFonts w:ascii="Times New Roman" w:hAnsi="Times New Roman" w:eastAsia="宋体" w:cs="Times New Roman"/>
          <w:color w:val="000000" w:themeColor="text1"/>
          <w:spacing w:val="-2"/>
          <w:sz w:val="24"/>
          <w:szCs w:val="20"/>
          <w:u w:val="single"/>
          <w14:textFill>
            <w14:solidFill>
              <w14:schemeClr w14:val="tx1"/>
            </w14:solidFill>
          </w14:textFill>
        </w:rPr>
        <w:t>依据《电离辐射防护与辐射源安全基本标准》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中 11.4.3.2 款规定：</w:t>
      </w:r>
      <w:r>
        <w:rPr>
          <w:rFonts w:ascii="宋体" w:hAnsi="宋体" w:eastAsia="宋体" w:cs="Times New Roman"/>
          <w:color w:val="000000" w:themeColor="text1"/>
          <w:spacing w:val="-2"/>
          <w:sz w:val="24"/>
          <w:szCs w:val="20"/>
          <w:u w:val="single"/>
          <w14:textFill>
            <w14:solidFill>
              <w14:schemeClr w14:val="tx1"/>
            </w14:solidFill>
          </w14:textFill>
        </w:rPr>
        <w:t>“剂量约束</w:t>
      </w:r>
      <w:r>
        <w:rPr>
          <w:rFonts w:ascii="Times New Roman" w:hAnsi="Times New Roman" w:eastAsia="宋体" w:cs="Times New Roman"/>
          <w:color w:val="000000" w:themeColor="text1"/>
          <w:spacing w:val="-2"/>
          <w:sz w:val="24"/>
          <w:szCs w:val="20"/>
          <w:u w:val="single"/>
          <w14:textFill>
            <w14:solidFill>
              <w14:schemeClr w14:val="tx1"/>
            </w14:solidFill>
          </w14:textFill>
        </w:rPr>
        <w:t>值通常应在公众照射剂量限值10%～30%</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即0.1mSv/a～0.30mSv/a</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的范围之内</w:t>
      </w:r>
      <w:r>
        <w:rPr>
          <w:rFonts w:ascii="宋体" w:hAnsi="宋体"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该项目企业属于伴生放射性矿资源开发利用企业，依据《电离辐射防护与辐射源安全基本标准》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GB18871-2002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、参照《铀矿冶辐射防护和辐射环境保护规定》</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5.1.2中的剂量限值：“辐射实践累计所致公众年有效剂量限值不超过1mSv”。</w:t>
      </w:r>
      <w:r>
        <w:rPr>
          <w:rFonts w:ascii="Times New Roman" w:hAnsi="Times New Roman" w:eastAsia="宋体" w:cs="Times New Roman"/>
          <w:color w:val="000000" w:themeColor="text1"/>
          <w:spacing w:val="-2"/>
          <w:sz w:val="24"/>
          <w:szCs w:val="20"/>
          <w:u w:val="single"/>
          <w14:textFill>
            <w14:solidFill>
              <w14:schemeClr w14:val="tx1"/>
            </w14:solidFill>
          </w14:textFill>
        </w:rPr>
        <w:t>确定企业周围公众成员年有效剂量管理目标值</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4810A5F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w:t>
      </w:r>
      <w:r>
        <w:rPr>
          <w:rFonts w:ascii="Times New Roman" w:hAnsi="Times New Roman" w:eastAsia="宋体" w:cs="Times New Roman"/>
          <w:color w:val="000000" w:themeColor="text1"/>
          <w:spacing w:val="-2"/>
          <w:sz w:val="24"/>
          <w:szCs w:val="20"/>
          <w:u w:val="single"/>
          <w14:textFill>
            <w14:solidFill>
              <w14:schemeClr w14:val="tx1"/>
            </w14:solidFill>
          </w14:textFill>
        </w:rPr>
        <w:t>正常工况，运行期公众照射的剂量约束值取连续5年的平均有效剂量不超过0.3 mSv/a；</w:t>
      </w:r>
    </w:p>
    <w:p w14:paraId="41BCDBA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w:t>
      </w:r>
      <w:r>
        <w:rPr>
          <w:rFonts w:ascii="Times New Roman" w:hAnsi="Times New Roman" w:eastAsia="宋体" w:cs="Times New Roman"/>
          <w:color w:val="000000" w:themeColor="text1"/>
          <w:spacing w:val="-2"/>
          <w:sz w:val="24"/>
          <w:szCs w:val="20"/>
          <w:u w:val="single"/>
          <w14:textFill>
            <w14:solidFill>
              <w14:schemeClr w14:val="tx1"/>
            </w14:solidFill>
          </w14:textFill>
        </w:rPr>
        <w:t>非正常工况，公众照射的剂量约束值可以大于0.3 mSv/a，但不得超过1mSv/a</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bookmarkEnd w:id="20"/>
    </w:p>
    <w:p w14:paraId="0543EC4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bookmarkStart w:id="21" w:name="_Hlk187703897"/>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工作人员剂量约束值</w:t>
      </w:r>
      <w:bookmarkEnd w:id="21"/>
    </w:p>
    <w:p w14:paraId="19CBA8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bookmarkStart w:id="22" w:name="_Hlk187703926"/>
      <w:r>
        <w:rPr>
          <w:rFonts w:hint="eastAsia" w:ascii="Times New Roman" w:hAnsi="Times New Roman" w:eastAsia="宋体" w:cs="Times New Roman"/>
          <w:color w:val="000000" w:themeColor="text1"/>
          <w:spacing w:val="-2"/>
          <w:sz w:val="24"/>
          <w:szCs w:val="20"/>
          <w:u w:val="single"/>
          <w14:textFill>
            <w14:solidFill>
              <w14:schemeClr w14:val="tx1"/>
            </w14:solidFill>
          </w14:textFill>
        </w:rPr>
        <w:t>工作人员所致年附加有效附加剂量：依据《电离辐射防护与辐射源安全基本标准》 （GB18871-2002）中“由审管部门决定的连续5 年的年平均有效剂量（但不可作任何追溯性平均），20mSv/a”，本项目取其四分之一即5.0mSv/a作为工作人员年有效剂量管理目标值。</w:t>
      </w:r>
      <w:bookmarkEnd w:id="22"/>
    </w:p>
    <w:p w14:paraId="350EC7E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放射性评价标准</w:t>
      </w:r>
    </w:p>
    <w:p w14:paraId="13179AC0">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辐射环境质量标准</w:t>
      </w:r>
    </w:p>
    <w:p w14:paraId="0B98633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γ</w:t>
      </w:r>
      <w:r>
        <w:rPr>
          <w:rFonts w:hint="eastAsia" w:ascii="Times New Roman" w:hAnsi="Times New Roman" w:eastAsia="宋体" w:cs="Times New Roman"/>
          <w:color w:val="000000" w:themeColor="text1"/>
          <w:spacing w:val="-2"/>
          <w:sz w:val="24"/>
          <w:szCs w:val="20"/>
          <w14:textFill>
            <w14:solidFill>
              <w14:schemeClr w14:val="tx1"/>
            </w14:solidFill>
          </w14:textFill>
        </w:rPr>
        <w:t>辐射空气吸收剂量率</w:t>
      </w:r>
    </w:p>
    <w:p w14:paraId="7022CF9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根据《中国环境天然放射性水平》（国家环境保护局，1995年）中，广西原野γ辐射空气吸收剂量率为10.7～238.7nGy/h。</w:t>
      </w:r>
    </w:p>
    <w:p w14:paraId="02824D1E">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表1.2-1 </w:t>
      </w:r>
      <w:r>
        <w:rPr>
          <w:rFonts w:ascii="Times New Roman" w:hAnsi="Times New Roman" w:eastAsia="宋体" w:cs="Times New Roman"/>
          <w:b/>
          <w:bCs/>
          <w:color w:val="000000" w:themeColor="text1"/>
          <w:spacing w:val="-2"/>
          <w:sz w:val="24"/>
          <w:szCs w:val="20"/>
          <w14:textFill>
            <w14:solidFill>
              <w14:schemeClr w14:val="tx1"/>
            </w14:solidFill>
          </w14:textFill>
        </w:rPr>
        <w:t>《中国环境天然放射性水平》中广西钦州地区环境天然放射性水平</w:t>
      </w:r>
    </w:p>
    <w:tbl>
      <w:tblPr>
        <w:tblStyle w:val="46"/>
        <w:tblW w:w="90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2127"/>
        <w:gridCol w:w="2126"/>
        <w:gridCol w:w="3645"/>
      </w:tblGrid>
      <w:tr w14:paraId="29AD4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119" w:type="dxa"/>
            <w:vAlign w:val="center"/>
          </w:tcPr>
          <w:p w14:paraId="5BD51E2F">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序号</w:t>
            </w:r>
          </w:p>
        </w:tc>
        <w:tc>
          <w:tcPr>
            <w:tcW w:w="2127" w:type="dxa"/>
            <w:vAlign w:val="center"/>
          </w:tcPr>
          <w:p w14:paraId="19F3EA50">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项目</w:t>
            </w:r>
          </w:p>
        </w:tc>
        <w:tc>
          <w:tcPr>
            <w:tcW w:w="2126" w:type="dxa"/>
            <w:vAlign w:val="center"/>
          </w:tcPr>
          <w:p w14:paraId="3D70C57F">
            <w:pPr>
              <w:adjustRightInd w:val="0"/>
              <w:snapToGrid w:val="0"/>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单位</w:t>
            </w:r>
          </w:p>
        </w:tc>
        <w:tc>
          <w:tcPr>
            <w:tcW w:w="3645" w:type="dxa"/>
            <w:vAlign w:val="center"/>
          </w:tcPr>
          <w:p w14:paraId="2A556916">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b/>
                <w:color w:val="000000" w:themeColor="text1"/>
                <w:spacing w:val="-2"/>
                <w14:textFill>
                  <w14:solidFill>
                    <w14:schemeClr w14:val="tx1"/>
                  </w14:solidFill>
                </w14:textFill>
              </w:rPr>
              <w:t>《中国环境天然放射性水平》中广西钦州地区范围值</w:t>
            </w:r>
          </w:p>
        </w:tc>
      </w:tr>
      <w:tr w14:paraId="38C54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7705CB9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w:t>
            </w:r>
          </w:p>
        </w:tc>
        <w:tc>
          <w:tcPr>
            <w:tcW w:w="2127" w:type="dxa"/>
            <w:vAlign w:val="center"/>
          </w:tcPr>
          <w:p w14:paraId="34606FB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γ辐射剂量率</w:t>
            </w:r>
          </w:p>
        </w:tc>
        <w:tc>
          <w:tcPr>
            <w:tcW w:w="2126" w:type="dxa"/>
            <w:vAlign w:val="center"/>
          </w:tcPr>
          <w:p w14:paraId="72AAB617">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μGy/h</w:t>
            </w:r>
          </w:p>
        </w:tc>
        <w:tc>
          <w:tcPr>
            <w:tcW w:w="3645" w:type="dxa"/>
            <w:vAlign w:val="center"/>
          </w:tcPr>
          <w:p w14:paraId="1A187EC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0.0229~0.1190</w:t>
            </w:r>
          </w:p>
        </w:tc>
      </w:tr>
      <w:tr w14:paraId="5A8EF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045E57C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w:t>
            </w:r>
          </w:p>
        </w:tc>
        <w:tc>
          <w:tcPr>
            <w:tcW w:w="2127" w:type="dxa"/>
            <w:vAlign w:val="center"/>
          </w:tcPr>
          <w:p w14:paraId="325B5A1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238</w:t>
            </w:r>
            <w:r>
              <w:rPr>
                <w:rFonts w:ascii="Times New Roman" w:hAnsi="Times New Roman"/>
                <w:color w:val="000000" w:themeColor="text1"/>
                <w:spacing w:val="-2"/>
                <w14:textFill>
                  <w14:solidFill>
                    <w14:schemeClr w14:val="tx1"/>
                  </w14:solidFill>
                </w14:textFill>
              </w:rPr>
              <w:t>U</w:t>
            </w:r>
          </w:p>
        </w:tc>
        <w:tc>
          <w:tcPr>
            <w:tcW w:w="2126" w:type="dxa"/>
            <w:vAlign w:val="center"/>
          </w:tcPr>
          <w:p w14:paraId="759D1A65">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270A8B4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11.0~151.0</w:t>
            </w:r>
          </w:p>
        </w:tc>
      </w:tr>
      <w:tr w14:paraId="29D4D1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39B9738B">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3</w:t>
            </w:r>
          </w:p>
        </w:tc>
        <w:tc>
          <w:tcPr>
            <w:tcW w:w="2127" w:type="dxa"/>
            <w:vAlign w:val="center"/>
          </w:tcPr>
          <w:p w14:paraId="1A925C03">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232</w:t>
            </w:r>
            <w:r>
              <w:rPr>
                <w:rFonts w:ascii="Times New Roman" w:hAnsi="Times New Roman"/>
                <w:color w:val="000000" w:themeColor="text1"/>
                <w:spacing w:val="-2"/>
                <w14:textFill>
                  <w14:solidFill>
                    <w14:schemeClr w14:val="tx1"/>
                  </w14:solidFill>
                </w14:textFill>
              </w:rPr>
              <w:t>Th</w:t>
            </w:r>
          </w:p>
        </w:tc>
        <w:tc>
          <w:tcPr>
            <w:tcW w:w="2126" w:type="dxa"/>
            <w:vAlign w:val="center"/>
          </w:tcPr>
          <w:p w14:paraId="7BE0A19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73A55C5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26.1~182.0</w:t>
            </w:r>
          </w:p>
        </w:tc>
      </w:tr>
      <w:tr w14:paraId="106FB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482392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4</w:t>
            </w:r>
          </w:p>
        </w:tc>
        <w:tc>
          <w:tcPr>
            <w:tcW w:w="2127" w:type="dxa"/>
            <w:vAlign w:val="center"/>
          </w:tcPr>
          <w:p w14:paraId="72D6B101">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土壤</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3151638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Bq/kg</w:t>
            </w:r>
          </w:p>
        </w:tc>
        <w:tc>
          <w:tcPr>
            <w:tcW w:w="3645" w:type="dxa"/>
            <w:vAlign w:val="center"/>
          </w:tcPr>
          <w:p w14:paraId="1A642F1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18.9~102.0</w:t>
            </w:r>
          </w:p>
        </w:tc>
      </w:tr>
      <w:tr w14:paraId="45C57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280C23E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5</w:t>
            </w:r>
          </w:p>
        </w:tc>
        <w:tc>
          <w:tcPr>
            <w:tcW w:w="2127" w:type="dxa"/>
            <w:vAlign w:val="center"/>
          </w:tcPr>
          <w:p w14:paraId="74CB4650">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地表水U</w:t>
            </w:r>
            <w:r>
              <w:rPr>
                <w:rFonts w:ascii="Times New Roman" w:hAnsi="Times New Roman"/>
                <w:color w:val="000000" w:themeColor="text1"/>
                <w:spacing w:val="-2"/>
                <w:vertAlign w:val="subscript"/>
                <w14:textFill>
                  <w14:solidFill>
                    <w14:schemeClr w14:val="tx1"/>
                  </w14:solidFill>
                </w14:textFill>
              </w:rPr>
              <w:t>天然</w:t>
            </w:r>
          </w:p>
        </w:tc>
        <w:tc>
          <w:tcPr>
            <w:tcW w:w="2126" w:type="dxa"/>
            <w:vAlign w:val="center"/>
          </w:tcPr>
          <w:p w14:paraId="355557A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260FC356">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0.08~0.31</w:t>
            </w:r>
          </w:p>
        </w:tc>
      </w:tr>
      <w:tr w14:paraId="4515B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43DDC8B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6</w:t>
            </w:r>
          </w:p>
        </w:tc>
        <w:tc>
          <w:tcPr>
            <w:tcW w:w="2127" w:type="dxa"/>
            <w:vAlign w:val="center"/>
          </w:tcPr>
          <w:p w14:paraId="2E6922B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地表水Th</w:t>
            </w:r>
          </w:p>
        </w:tc>
        <w:tc>
          <w:tcPr>
            <w:tcW w:w="2126" w:type="dxa"/>
            <w:vAlign w:val="center"/>
          </w:tcPr>
          <w:p w14:paraId="126690D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03CF5C54">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0.08~0.12</w:t>
            </w:r>
          </w:p>
        </w:tc>
      </w:tr>
      <w:tr w14:paraId="24945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DE51814">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7</w:t>
            </w:r>
          </w:p>
        </w:tc>
        <w:tc>
          <w:tcPr>
            <w:tcW w:w="2127" w:type="dxa"/>
            <w:vAlign w:val="center"/>
          </w:tcPr>
          <w:p w14:paraId="08D9B61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地表水</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232C8AAC">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mBq/L</w:t>
            </w:r>
          </w:p>
        </w:tc>
        <w:tc>
          <w:tcPr>
            <w:tcW w:w="3645" w:type="dxa"/>
            <w:vAlign w:val="center"/>
          </w:tcPr>
          <w:p w14:paraId="7ED09FE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1.70~6.40</w:t>
            </w:r>
          </w:p>
        </w:tc>
      </w:tr>
      <w:tr w14:paraId="1DA4C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69E18B4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8</w:t>
            </w:r>
          </w:p>
        </w:tc>
        <w:tc>
          <w:tcPr>
            <w:tcW w:w="2127" w:type="dxa"/>
            <w:vAlign w:val="center"/>
          </w:tcPr>
          <w:p w14:paraId="0CA9F207">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地下水U</w:t>
            </w:r>
            <w:r>
              <w:rPr>
                <w:rFonts w:ascii="Times New Roman" w:hAnsi="Times New Roman"/>
                <w:color w:val="000000" w:themeColor="text1"/>
                <w:spacing w:val="-2"/>
                <w:vertAlign w:val="subscript"/>
                <w14:textFill>
                  <w14:solidFill>
                    <w14:schemeClr w14:val="tx1"/>
                  </w14:solidFill>
                </w14:textFill>
              </w:rPr>
              <w:t>天然</w:t>
            </w:r>
          </w:p>
        </w:tc>
        <w:tc>
          <w:tcPr>
            <w:tcW w:w="2126" w:type="dxa"/>
            <w:vAlign w:val="center"/>
          </w:tcPr>
          <w:p w14:paraId="6EB69CFB">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6EB129F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0.02~0.83</w:t>
            </w:r>
          </w:p>
        </w:tc>
      </w:tr>
      <w:tr w14:paraId="1EDCF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54D2F27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9</w:t>
            </w:r>
          </w:p>
        </w:tc>
        <w:tc>
          <w:tcPr>
            <w:tcW w:w="2127" w:type="dxa"/>
            <w:vAlign w:val="center"/>
          </w:tcPr>
          <w:p w14:paraId="3BAD9D72">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地下水Th</w:t>
            </w:r>
          </w:p>
        </w:tc>
        <w:tc>
          <w:tcPr>
            <w:tcW w:w="2126" w:type="dxa"/>
            <w:vAlign w:val="center"/>
          </w:tcPr>
          <w:p w14:paraId="0E7DF7CF">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µg/L</w:t>
            </w:r>
          </w:p>
        </w:tc>
        <w:tc>
          <w:tcPr>
            <w:tcW w:w="3645" w:type="dxa"/>
            <w:vAlign w:val="center"/>
          </w:tcPr>
          <w:p w14:paraId="11986810">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1.10~80.3</w:t>
            </w:r>
          </w:p>
        </w:tc>
      </w:tr>
      <w:tr w14:paraId="31038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19" w:type="dxa"/>
            <w:vAlign w:val="center"/>
          </w:tcPr>
          <w:p w14:paraId="1E5EFBA8">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10</w:t>
            </w:r>
          </w:p>
        </w:tc>
        <w:tc>
          <w:tcPr>
            <w:tcW w:w="2127" w:type="dxa"/>
            <w:vAlign w:val="center"/>
          </w:tcPr>
          <w:p w14:paraId="3CE9168D">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地下水</w:t>
            </w:r>
            <w:r>
              <w:rPr>
                <w:rFonts w:ascii="Times New Roman" w:hAnsi="Times New Roman"/>
                <w:color w:val="000000" w:themeColor="text1"/>
                <w:spacing w:val="-2"/>
                <w:vertAlign w:val="superscript"/>
                <w14:textFill>
                  <w14:solidFill>
                    <w14:schemeClr w14:val="tx1"/>
                  </w14:solidFill>
                </w14:textFill>
              </w:rPr>
              <w:t>226</w:t>
            </w:r>
            <w:r>
              <w:rPr>
                <w:rFonts w:ascii="Times New Roman" w:hAnsi="Times New Roman"/>
                <w:color w:val="000000" w:themeColor="text1"/>
                <w:spacing w:val="-2"/>
                <w14:textFill>
                  <w14:solidFill>
                    <w14:schemeClr w14:val="tx1"/>
                  </w14:solidFill>
                </w14:textFill>
              </w:rPr>
              <w:t>Ra</w:t>
            </w:r>
          </w:p>
        </w:tc>
        <w:tc>
          <w:tcPr>
            <w:tcW w:w="2126" w:type="dxa"/>
            <w:vAlign w:val="center"/>
          </w:tcPr>
          <w:p w14:paraId="5512F3BE">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mBq/L</w:t>
            </w:r>
          </w:p>
        </w:tc>
        <w:tc>
          <w:tcPr>
            <w:tcW w:w="3645" w:type="dxa"/>
            <w:vAlign w:val="center"/>
          </w:tcPr>
          <w:p w14:paraId="531D95AA">
            <w:pPr>
              <w:adjustRightInd w:val="0"/>
              <w:snapToGrid w:val="0"/>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0.02~0.14</w:t>
            </w:r>
          </w:p>
        </w:tc>
      </w:tr>
    </w:tbl>
    <w:p w14:paraId="70265A83">
      <w:pPr>
        <w:spacing w:line="360" w:lineRule="auto"/>
        <w:ind w:firstLine="420" w:firstLineChars="200"/>
        <w:rPr>
          <w:rFonts w:ascii="Times New Roman" w:hAnsi="Times New Roman"/>
          <w:color w:val="000000" w:themeColor="text1"/>
          <w14:textFill>
            <w14:solidFill>
              <w14:schemeClr w14:val="tx1"/>
            </w14:solidFill>
          </w14:textFill>
        </w:rPr>
      </w:pPr>
    </w:p>
    <w:p w14:paraId="0A6B599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（2）氡浓度</w:t>
      </w:r>
    </w:p>
    <w:p w14:paraId="5357BA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氡浓度：由于《中国环境天然放射性水平》中无广西地区的室外空气中氡浓度限值，故本专篇参照《中国环境天然放射性水平》中广东广州地区室外空气中氡浓度范围值（6.8</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26.5Bq/m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）及《中国环境天然放射性水平》中全国城市空气中氡平均浓度变化范围值（3.3</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40.6 Bq/m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）控制。</w:t>
      </w:r>
    </w:p>
    <w:p w14:paraId="67990FD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流出物</w:t>
      </w:r>
      <w:r>
        <w:rPr>
          <w:rFonts w:hint="eastAsia" w:ascii="Times New Roman" w:hAnsi="Times New Roman" w:eastAsia="黑体" w:cs="Times New Roman"/>
          <w:bCs/>
          <w:i w:val="0"/>
          <w:iCs w:val="0"/>
          <w:color w:val="000000" w:themeColor="text1"/>
          <w:kern w:val="2"/>
          <w:sz w:val="24"/>
          <w14:textFill>
            <w14:solidFill>
              <w14:schemeClr w14:val="tx1"/>
            </w14:solidFill>
          </w14:textFill>
        </w:rPr>
        <w:t>排放标准</w:t>
      </w:r>
    </w:p>
    <w:p w14:paraId="7601962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（1）企业边界大气污染物浓度限值</w:t>
      </w:r>
    </w:p>
    <w:p w14:paraId="35EB2BD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目前没有该行业的气载流出物的控制标准，本专篇参照执行《稀土工业污染物排放标准》（GB26451-2011），具体标准值如下：</w:t>
      </w:r>
    </w:p>
    <w:p w14:paraId="19FDBBB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① </w:t>
      </w:r>
      <w:r>
        <w:rPr>
          <w:rFonts w:ascii="Times New Roman" w:hAnsi="Times New Roman" w:eastAsia="宋体" w:cs="Times New Roman"/>
          <w:color w:val="000000" w:themeColor="text1"/>
          <w:spacing w:val="-2"/>
          <w:sz w:val="24"/>
          <w:szCs w:val="20"/>
          <w14:textFill>
            <w14:solidFill>
              <w14:schemeClr w14:val="tx1"/>
            </w14:solidFill>
          </w14:textFill>
        </w:rPr>
        <w:t>企业边界大气污染物浓度限值，边界任何1h铀钍总量的平均浓度不超过0.0025mg/m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3617F2F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② </w:t>
      </w:r>
      <w:r>
        <w:rPr>
          <w:rFonts w:ascii="Times New Roman" w:hAnsi="Times New Roman" w:eastAsia="宋体" w:cs="Times New Roman"/>
          <w:color w:val="000000" w:themeColor="text1"/>
          <w:spacing w:val="-2"/>
          <w:sz w:val="24"/>
          <w:szCs w:val="20"/>
          <w14:textFill>
            <w14:solidFill>
              <w14:schemeClr w14:val="tx1"/>
            </w14:solidFill>
          </w14:textFill>
        </w:rPr>
        <w:t>企业大气污染物排放浓度限值，排放铀、钍粉尘废气的排气筒不超过0.1 mg/m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4FD0B52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工作场所的</w:t>
      </w:r>
      <w:r>
        <w:rPr>
          <w:rFonts w:ascii="Times New Roman" w:hAnsi="Times New Roman" w:eastAsia="宋体" w:cs="Times New Roman"/>
          <w:color w:val="000000" w:themeColor="text1"/>
          <w:spacing w:val="-2"/>
          <w:sz w:val="24"/>
          <w:szCs w:val="20"/>
          <w14:textFill>
            <w14:solidFill>
              <w14:schemeClr w14:val="tx1"/>
            </w14:solidFill>
          </w14:textFill>
        </w:rPr>
        <w:t>氡</w:t>
      </w:r>
      <w:r>
        <w:rPr>
          <w:rFonts w:hint="eastAsia" w:ascii="Times New Roman" w:hAnsi="Times New Roman" w:eastAsia="宋体" w:cs="Times New Roman"/>
          <w:color w:val="000000" w:themeColor="text1"/>
          <w:spacing w:val="-2"/>
          <w:sz w:val="24"/>
          <w:szCs w:val="20"/>
          <w14:textFill>
            <w14:solidFill>
              <w14:schemeClr w14:val="tx1"/>
            </w14:solidFill>
          </w14:textFill>
        </w:rPr>
        <w:t>浓度</w:t>
      </w:r>
    </w:p>
    <w:p w14:paraId="14C1DD8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参照《电离辐射防护与辐射源安全基本标准》（GB18871-2002）中附录H.2，工作场所中氡浓度控制浓度取500Bq</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222</w:t>
      </w:r>
      <w:r>
        <w:rPr>
          <w:rFonts w:ascii="Times New Roman" w:hAnsi="Times New Roman" w:eastAsia="宋体" w:cs="Times New Roman"/>
          <w:color w:val="000000" w:themeColor="text1"/>
          <w:spacing w:val="-2"/>
          <w:sz w:val="24"/>
          <w:szCs w:val="20"/>
          <w14:textFill>
            <w14:solidFill>
              <w14:schemeClr w14:val="tx1"/>
            </w14:solidFill>
          </w14:textFill>
        </w:rPr>
        <w:t>Rn/m</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w:t>
      </w:r>
    </w:p>
    <w:p w14:paraId="6C5C476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豁免水平标</w:t>
      </w:r>
      <w:r>
        <w:rPr>
          <w:rFonts w:ascii="Times New Roman" w:hAnsi="Times New Roman" w:eastAsia="黑体" w:cs="Times New Roman"/>
          <w:b/>
          <w:bCs/>
          <w:caps w:val="0"/>
          <w:color w:val="000000" w:themeColor="text1"/>
          <w:kern w:val="2"/>
          <w:sz w:val="24"/>
          <w:szCs w:val="32"/>
          <w14:textFill>
            <w14:solidFill>
              <w14:schemeClr w14:val="tx1"/>
            </w14:solidFill>
          </w14:textFill>
        </w:rPr>
        <w:t>准</w:t>
      </w:r>
    </w:p>
    <w:p w14:paraId="2B2C1F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 xml:space="preserve">根据《可免于辐射防护监管的物料中放射性核素活度浓度》（GB 27742-2011）中相关要求：①表 B.1 天然放射性核素免管浓度值中要求：“天然放射性核素免管浓度值为 1Bq/g”；②“6.1 天然放射性核素，6.1.1 在申报免管的活动的正当性得到确认的前提下，凡是涉及物料中天然放射性核素的活度浓度小于或等于表B.1 所列数值的活动，通常无需进行辐射防护监管。6.1.2 对于物料被掺入其照射因子较大的建材（住宅、办公室等用途）使用的情况，即使当其天然放射性活度浓度小于免管浓度时，仍然需要确保最终产品满足相关标准的要求。6.1.3 当物料中天然放射性核素的活度浓度大于表 B.1 所列数值时，应有审管部门根据剂量评估结果等因素决定，（GB 18871-2002）中规定的相关审管要求中，哪些要求应当得予满足。” </w:t>
      </w:r>
    </w:p>
    <w:p w14:paraId="56C4064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根据《关于发布</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矿产资源开发利用辐射环境监督管理名录</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的公告》（生态环境部公告 2020 年 第 54 号），涉及锆及氧化锆、铌/钽、锡、铝、铅/锌、铜、铁、钒、钼、镍、锗、钛、金的开采、选矿和冶炼生产的工业活动，原矿、中间产品、尾矿（渣）或者其他残留物中铀（钍）系单个核素含量超过 1Bq/g 的均不能够豁免。</w:t>
      </w:r>
    </w:p>
    <w:p w14:paraId="393163ED">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23" w:name="_Toc187653459"/>
      <w:bookmarkStart w:id="24" w:name="_Toc78822637"/>
      <w:r>
        <w:rPr>
          <w:rFonts w:ascii="Times New Roman" w:hAnsi="Times New Roman" w:eastAsia="黑体" w:cs="Times New Roman"/>
          <w:b/>
          <w:bCs/>
          <w:color w:val="000000" w:themeColor="text1"/>
          <w:kern w:val="2"/>
          <w:sz w:val="28"/>
          <w:szCs w:val="32"/>
          <w14:textFill>
            <w14:solidFill>
              <w14:schemeClr w14:val="tx1"/>
            </w14:solidFill>
          </w14:textFill>
        </w:rPr>
        <w:t>评价核素</w:t>
      </w:r>
      <w:bookmarkEnd w:id="23"/>
      <w:bookmarkEnd w:id="24"/>
    </w:p>
    <w:p w14:paraId="36D3534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w:t>
      </w:r>
      <w:r>
        <w:rPr>
          <w:rFonts w:ascii="Times New Roman" w:hAnsi="Times New Roman" w:eastAsia="宋体" w:cs="Times New Roman"/>
          <w:color w:val="000000" w:themeColor="text1"/>
          <w:spacing w:val="-2"/>
          <w:sz w:val="24"/>
          <w:szCs w:val="20"/>
          <w14:textFill>
            <w14:solidFill>
              <w14:schemeClr w14:val="tx1"/>
            </w14:solidFill>
          </w14:textFill>
        </w:rPr>
        <w:t>根据钛锆矿的</w:t>
      </w:r>
      <w:r>
        <w:rPr>
          <w:rFonts w:hint="eastAsia" w:ascii="Times New Roman" w:hAnsi="Times New Roman" w:eastAsia="宋体" w:cs="Times New Roman"/>
          <w:color w:val="000000" w:themeColor="text1"/>
          <w:spacing w:val="-2"/>
          <w:sz w:val="24"/>
          <w:szCs w:val="20"/>
          <w14:textFill>
            <w14:solidFill>
              <w14:schemeClr w14:val="tx1"/>
            </w14:solidFill>
          </w14:textFill>
        </w:rPr>
        <w:t>特性、</w:t>
      </w:r>
      <w:r>
        <w:rPr>
          <w:rFonts w:ascii="Times New Roman" w:hAnsi="Times New Roman" w:eastAsia="宋体" w:cs="Times New Roman"/>
          <w:color w:val="000000" w:themeColor="text1"/>
          <w:spacing w:val="-2"/>
          <w:sz w:val="24"/>
          <w:szCs w:val="20"/>
          <w14:textFill>
            <w14:solidFill>
              <w14:schemeClr w14:val="tx1"/>
            </w14:solidFill>
          </w14:textFill>
        </w:rPr>
        <w:t>生产工艺流程及排污节点，</w:t>
      </w:r>
      <w:r>
        <w:rPr>
          <w:rFonts w:hint="eastAsia" w:ascii="Times New Roman" w:hAnsi="Times New Roman" w:eastAsia="宋体" w:cs="Times New Roman"/>
          <w:color w:val="000000" w:themeColor="text1"/>
          <w:spacing w:val="-2"/>
          <w:sz w:val="24"/>
          <w:szCs w:val="20"/>
          <w14:textFill>
            <w14:solidFill>
              <w14:schemeClr w14:val="tx1"/>
            </w14:solidFill>
          </w14:textFill>
        </w:rPr>
        <w:t>确定相关</w:t>
      </w:r>
      <w:r>
        <w:rPr>
          <w:rFonts w:ascii="Times New Roman" w:hAnsi="Times New Roman" w:eastAsia="宋体" w:cs="Times New Roman"/>
          <w:color w:val="000000" w:themeColor="text1"/>
          <w:spacing w:val="-2"/>
          <w:sz w:val="24"/>
          <w:szCs w:val="20"/>
          <w14:textFill>
            <w14:solidFill>
              <w14:schemeClr w14:val="tx1"/>
            </w14:solidFill>
          </w14:textFill>
        </w:rPr>
        <w:t>介质评价的放射性核素或因子。</w:t>
      </w:r>
    </w:p>
    <w:p w14:paraId="642F0FB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（1）大气环境评价核素：U、</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226</w:t>
      </w:r>
      <w:r>
        <w:rPr>
          <w:rFonts w:ascii="Times New Roman" w:hAnsi="Times New Roman" w:eastAsia="宋体" w:cs="Times New Roman"/>
          <w:color w:val="000000" w:themeColor="text1"/>
          <w:spacing w:val="-2"/>
          <w:sz w:val="24"/>
          <w:szCs w:val="20"/>
          <w14:textFill>
            <w14:solidFill>
              <w14:schemeClr w14:val="tx1"/>
            </w14:solidFill>
          </w14:textFill>
        </w:rPr>
        <w:t>Ra、Th、氡浓度。</w:t>
      </w:r>
    </w:p>
    <w:p w14:paraId="7C7A53B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（2）气溶胶评价核素</w:t>
      </w:r>
      <w:r>
        <w:rPr>
          <w:rFonts w:hint="eastAsia" w:ascii="Times New Roman" w:hAnsi="Times New Roman" w:eastAsia="宋体" w:cs="Times New Roman"/>
          <w:color w:val="000000" w:themeColor="text1"/>
          <w:spacing w:val="-2"/>
          <w:sz w:val="24"/>
          <w:szCs w:val="20"/>
          <w14:textFill>
            <w14:solidFill>
              <w14:schemeClr w14:val="tx1"/>
            </w14:solidFill>
          </w14:textFill>
        </w:rPr>
        <w:t>或</w:t>
      </w:r>
      <w:r>
        <w:rPr>
          <w:rFonts w:ascii="Times New Roman" w:hAnsi="Times New Roman" w:eastAsia="宋体" w:cs="Times New Roman"/>
          <w:color w:val="000000" w:themeColor="text1"/>
          <w:spacing w:val="-2"/>
          <w:sz w:val="24"/>
          <w:szCs w:val="20"/>
          <w14:textFill>
            <w14:solidFill>
              <w14:schemeClr w14:val="tx1"/>
            </w14:solidFill>
          </w14:textFill>
        </w:rPr>
        <w:t>因子：总α放射性和总β放射性、</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ascii="Times New Roman" w:hAnsi="Times New Roman" w:eastAsia="宋体" w:cs="Times New Roman"/>
          <w:color w:val="000000" w:themeColor="text1"/>
          <w:spacing w:val="-2"/>
          <w:sz w:val="24"/>
          <w:szCs w:val="20"/>
          <w14:textFill>
            <w14:solidFill>
              <w14:schemeClr w14:val="tx1"/>
            </w14:solidFill>
          </w14:textFill>
        </w:rPr>
        <w:t>Po、</w:t>
      </w:r>
      <w:r>
        <w:rPr>
          <w:rFonts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ascii="Times New Roman" w:hAnsi="Times New Roman" w:eastAsia="宋体" w:cs="Times New Roman"/>
          <w:color w:val="000000" w:themeColor="text1"/>
          <w:spacing w:val="-2"/>
          <w:sz w:val="24"/>
          <w:szCs w:val="20"/>
          <w14:textFill>
            <w14:solidFill>
              <w14:schemeClr w14:val="tx1"/>
            </w14:solidFill>
          </w14:textFill>
        </w:rPr>
        <w:t>Pb</w:t>
      </w:r>
    </w:p>
    <w:p w14:paraId="7BEA7FD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）环境ɣ辐射评价因子：ɣ辐射空气吸收剂量率。</w:t>
      </w:r>
    </w:p>
    <w:p w14:paraId="6E36B4AA">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25" w:name="_Toc187653460"/>
      <w:bookmarkStart w:id="26" w:name="_Toc78822638"/>
      <w:r>
        <w:rPr>
          <w:rFonts w:ascii="Times New Roman" w:hAnsi="Times New Roman" w:eastAsia="黑体" w:cs="Times New Roman"/>
          <w:b/>
          <w:bCs/>
          <w:color w:val="000000" w:themeColor="text1"/>
          <w:kern w:val="2"/>
          <w:sz w:val="28"/>
          <w:szCs w:val="32"/>
          <w14:textFill>
            <w14:solidFill>
              <w14:schemeClr w14:val="tx1"/>
            </w14:solidFill>
          </w14:textFill>
        </w:rPr>
        <w:t>评价范围及环境保护目标</w:t>
      </w:r>
      <w:bookmarkEnd w:id="25"/>
      <w:bookmarkEnd w:id="26"/>
    </w:p>
    <w:p w14:paraId="43BDD71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27" w:name="_Toc78822639"/>
      <w:r>
        <w:rPr>
          <w:rFonts w:ascii="Times New Roman" w:hAnsi="Times New Roman" w:eastAsia="黑体" w:cs="Times New Roman"/>
          <w:b/>
          <w:bCs/>
          <w:caps w:val="0"/>
          <w:color w:val="000000" w:themeColor="text1"/>
          <w:kern w:val="2"/>
          <w:sz w:val="24"/>
          <w:szCs w:val="32"/>
          <w14:textFill>
            <w14:solidFill>
              <w14:schemeClr w14:val="tx1"/>
            </w14:solidFill>
          </w14:textFill>
        </w:rPr>
        <w:t>评价范围</w:t>
      </w:r>
      <w:bookmarkEnd w:id="27"/>
    </w:p>
    <w:p w14:paraId="64F084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《矿产资源开发利用辐射环境影响评价专篇格式与内容（ 试行）》对辐射环境影响专篇评价范围并无明确规定，参照《关于发布〈伴生放射性矿物资源开发利用项目环境影响报告书（表）的内容和格式〉的通知》（环监</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〔1994〕80号</w:t>
      </w:r>
      <w:r>
        <w:rPr>
          <w:rFonts w:ascii="Times New Roman" w:hAnsi="Times New Roman" w:eastAsia="宋体" w:cs="Times New Roman"/>
          <w:color w:val="000000" w:themeColor="text1"/>
          <w:spacing w:val="-2"/>
          <w:sz w:val="24"/>
          <w:szCs w:val="20"/>
          <w14:textFill>
            <w14:solidFill>
              <w14:schemeClr w14:val="tx1"/>
            </w14:solidFill>
          </w14:textFill>
        </w:rPr>
        <w:t>）中的规定</w:t>
      </w:r>
      <w:r>
        <w:rPr>
          <w:rFonts w:ascii="宋体" w:hAnsi="宋体"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对于矿石开采业，半径取5km，对于矿产品加工业，半径取0.5km</w:t>
      </w:r>
      <w:r>
        <w:rPr>
          <w:rFonts w:ascii="宋体" w:hAnsi="宋体"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u w:val="single"/>
          <w14:textFill>
            <w14:solidFill>
              <w14:schemeClr w14:val="tx1"/>
            </w14:solidFill>
          </w14:textFill>
        </w:rPr>
        <w:t>确定本项目辐射环境影响评价范围以厂区中心点为中心，半径为</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0.5</w:t>
      </w:r>
      <w:r>
        <w:rPr>
          <w:rFonts w:ascii="Times New Roman" w:hAnsi="Times New Roman" w:eastAsia="宋体" w:cs="Times New Roman"/>
          <w:color w:val="000000" w:themeColor="text1"/>
          <w:spacing w:val="-2"/>
          <w:sz w:val="24"/>
          <w:szCs w:val="20"/>
          <w:u w:val="single"/>
          <w14:textFill>
            <w14:solidFill>
              <w14:schemeClr w14:val="tx1"/>
            </w14:solidFill>
          </w14:textFill>
        </w:rPr>
        <w:t>km 的圆形区域。</w:t>
      </w:r>
    </w:p>
    <w:p w14:paraId="7A0542F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为进行剂量估算，以0.5km划分同心圆，再将这些同心圆划分为22.5º扇形段，以正北N向左为起始段，共划分</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16</w:t>
      </w:r>
      <w:r>
        <w:rPr>
          <w:rFonts w:ascii="Times New Roman" w:hAnsi="Times New Roman" w:eastAsia="宋体" w:cs="Times New Roman"/>
          <w:color w:val="000000" w:themeColor="text1"/>
          <w:spacing w:val="-2"/>
          <w:sz w:val="24"/>
          <w:szCs w:val="20"/>
          <w:u w:val="single"/>
          <w14:textFill>
            <w14:solidFill>
              <w14:schemeClr w14:val="tx1"/>
            </w14:solidFill>
          </w14:textFill>
        </w:rPr>
        <w:t>个子区。</w:t>
      </w:r>
      <w:r>
        <w:rPr>
          <w:rFonts w:ascii="Times New Roman" w:hAnsi="Times New Roman" w:eastAsia="宋体" w:cs="Times New Roman"/>
          <w:color w:val="000000" w:themeColor="text1"/>
          <w:spacing w:val="-2"/>
          <w:sz w:val="24"/>
          <w:szCs w:val="20"/>
          <w14:textFill>
            <w14:solidFill>
              <w14:schemeClr w14:val="tx1"/>
            </w14:solidFill>
          </w14:textFill>
        </w:rPr>
        <w:t>评价范围、评价子区示意图见图1.4-1。</w:t>
      </w:r>
    </w:p>
    <w:p w14:paraId="36E658A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28" w:name="_Toc78822640"/>
      <w:r>
        <w:rPr>
          <w:rFonts w:ascii="Times New Roman" w:hAnsi="Times New Roman" w:eastAsia="黑体" w:cs="Times New Roman"/>
          <w:b/>
          <w:bCs/>
          <w:caps w:val="0"/>
          <w:color w:val="000000" w:themeColor="text1"/>
          <w:kern w:val="2"/>
          <w:sz w:val="24"/>
          <w:szCs w:val="32"/>
          <w14:textFill>
            <w14:solidFill>
              <w14:schemeClr w14:val="tx1"/>
            </w14:solidFill>
          </w14:textFill>
        </w:rPr>
        <w:t>环境保护目标</w:t>
      </w:r>
      <w:bookmarkEnd w:id="28"/>
    </w:p>
    <w:p w14:paraId="3DE368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位于广西钦州保税区创大冷链物流公司进口汽车仓储物流园内的3号仓库内，项目评价范围内不涉及国家公园、自然保护区、世界自然遗产、重要生境、自然公园、生态保护红线；不涉及天然林、公益林、湿地等生态敏感区；不涉及饮用水水源地。</w:t>
      </w:r>
    </w:p>
    <w:p w14:paraId="6B2CEEE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根据区域周边环境保护目标的调查，项目周边以工业、物流仓储及配套的办公用地为主，辐射环境评价范围内无居住区或宿舍区，周边辐射环境保护目标相关信息见表1.4-1。</w:t>
      </w:r>
    </w:p>
    <w:p w14:paraId="020834A0">
      <w:pPr>
        <w:widowControl w:val="0"/>
        <w:spacing w:after="0" w:line="360" w:lineRule="auto"/>
        <w:jc w:val="center"/>
        <w:rPr>
          <w:rFonts w:ascii="Times New Roman" w:hAnsi="Times New Roman" w:eastAsia="宋体" w:cs="Times New Roman"/>
          <w:b/>
          <w:bCs/>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b/>
          <w:bCs/>
          <w:color w:val="000000" w:themeColor="text1"/>
          <w:spacing w:val="-2"/>
          <w:sz w:val="24"/>
          <w:szCs w:val="20"/>
          <w:u w:val="single"/>
          <w14:textFill>
            <w14:solidFill>
              <w14:schemeClr w14:val="tx1"/>
            </w14:solidFill>
          </w14:textFill>
        </w:rPr>
        <w:t>表1.4-1  辐射环境保护目标一览表</w:t>
      </w:r>
    </w:p>
    <w:tbl>
      <w:tblPr>
        <w:tblStyle w:val="46"/>
        <w:tblW w:w="905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4"/>
        <w:gridCol w:w="1509"/>
        <w:gridCol w:w="1560"/>
        <w:gridCol w:w="1417"/>
        <w:gridCol w:w="1134"/>
        <w:gridCol w:w="1134"/>
        <w:gridCol w:w="1559"/>
      </w:tblGrid>
      <w:tr w14:paraId="0815BD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744" w:type="dxa"/>
            <w:vMerge w:val="restart"/>
            <w:vAlign w:val="center"/>
          </w:tcPr>
          <w:p w14:paraId="19621706">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序号</w:t>
            </w:r>
          </w:p>
        </w:tc>
        <w:tc>
          <w:tcPr>
            <w:tcW w:w="1509" w:type="dxa"/>
            <w:vMerge w:val="restart"/>
            <w:vAlign w:val="center"/>
          </w:tcPr>
          <w:p w14:paraId="6319F1A8">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名称</w:t>
            </w:r>
          </w:p>
        </w:tc>
        <w:tc>
          <w:tcPr>
            <w:tcW w:w="2977" w:type="dxa"/>
            <w:gridSpan w:val="2"/>
            <w:vAlign w:val="center"/>
          </w:tcPr>
          <w:p w14:paraId="7558A7E0">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坐标</w:t>
            </w:r>
          </w:p>
        </w:tc>
        <w:tc>
          <w:tcPr>
            <w:tcW w:w="1134" w:type="dxa"/>
            <w:vMerge w:val="restart"/>
            <w:vAlign w:val="center"/>
          </w:tcPr>
          <w:p w14:paraId="652D2127">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hint="eastAsia" w:ascii="Times New Roman" w:hAnsi="Times New Roman"/>
                <w:b/>
                <w:bCs/>
                <w:color w:val="000000" w:themeColor="text1"/>
                <w:spacing w:val="-2"/>
                <w:u w:val="single"/>
                <w14:textFill>
                  <w14:solidFill>
                    <w14:schemeClr w14:val="tx1"/>
                  </w14:solidFill>
                </w14:textFill>
              </w:rPr>
              <w:t>所在评价子区</w:t>
            </w:r>
          </w:p>
        </w:tc>
        <w:tc>
          <w:tcPr>
            <w:tcW w:w="1134" w:type="dxa"/>
            <w:vMerge w:val="restart"/>
            <w:vAlign w:val="center"/>
          </w:tcPr>
          <w:p w14:paraId="0F5DBAD9">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相对厂界距离/m</w:t>
            </w:r>
          </w:p>
        </w:tc>
        <w:tc>
          <w:tcPr>
            <w:tcW w:w="1559" w:type="dxa"/>
            <w:vMerge w:val="restart"/>
            <w:vAlign w:val="center"/>
          </w:tcPr>
          <w:p w14:paraId="19D5DCF8">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保护目标属性及人数</w:t>
            </w:r>
          </w:p>
        </w:tc>
      </w:tr>
      <w:tr w14:paraId="2F7B31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744" w:type="dxa"/>
            <w:vMerge w:val="continue"/>
            <w:vAlign w:val="center"/>
          </w:tcPr>
          <w:p w14:paraId="2C4DE06C">
            <w:pPr>
              <w:spacing w:after="0" w:line="240" w:lineRule="auto"/>
              <w:jc w:val="center"/>
              <w:rPr>
                <w:rFonts w:ascii="Times New Roman" w:hAnsi="Times New Roman"/>
                <w:b/>
                <w:bCs/>
                <w:color w:val="000000" w:themeColor="text1"/>
                <w:spacing w:val="-2"/>
                <w:u w:val="single"/>
                <w14:textFill>
                  <w14:solidFill>
                    <w14:schemeClr w14:val="tx1"/>
                  </w14:solidFill>
                </w14:textFill>
              </w:rPr>
            </w:pPr>
          </w:p>
        </w:tc>
        <w:tc>
          <w:tcPr>
            <w:tcW w:w="1509" w:type="dxa"/>
            <w:vMerge w:val="continue"/>
            <w:vAlign w:val="center"/>
          </w:tcPr>
          <w:p w14:paraId="42A758BD">
            <w:pPr>
              <w:spacing w:after="0" w:line="240" w:lineRule="auto"/>
              <w:jc w:val="center"/>
              <w:rPr>
                <w:rFonts w:ascii="Times New Roman" w:hAnsi="Times New Roman"/>
                <w:b/>
                <w:bCs/>
                <w:color w:val="000000" w:themeColor="text1"/>
                <w:spacing w:val="-2"/>
                <w:u w:val="single"/>
                <w14:textFill>
                  <w14:solidFill>
                    <w14:schemeClr w14:val="tx1"/>
                  </w14:solidFill>
                </w14:textFill>
              </w:rPr>
            </w:pPr>
          </w:p>
        </w:tc>
        <w:tc>
          <w:tcPr>
            <w:tcW w:w="1560" w:type="dxa"/>
            <w:vAlign w:val="center"/>
          </w:tcPr>
          <w:p w14:paraId="29042BC5">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经度</w:t>
            </w:r>
          </w:p>
        </w:tc>
        <w:tc>
          <w:tcPr>
            <w:tcW w:w="1417" w:type="dxa"/>
            <w:vAlign w:val="center"/>
          </w:tcPr>
          <w:p w14:paraId="200FE7A1">
            <w:pPr>
              <w:spacing w:after="0" w:line="240" w:lineRule="auto"/>
              <w:jc w:val="center"/>
              <w:rPr>
                <w:rFonts w:ascii="Times New Roman" w:hAnsi="Times New Roman"/>
                <w:b/>
                <w:bCs/>
                <w:color w:val="000000" w:themeColor="text1"/>
                <w:spacing w:val="-2"/>
                <w:u w:val="single"/>
                <w14:textFill>
                  <w14:solidFill>
                    <w14:schemeClr w14:val="tx1"/>
                  </w14:solidFill>
                </w14:textFill>
              </w:rPr>
            </w:pPr>
            <w:r>
              <w:rPr>
                <w:rFonts w:ascii="Times New Roman" w:hAnsi="Times New Roman"/>
                <w:b/>
                <w:bCs/>
                <w:color w:val="000000" w:themeColor="text1"/>
                <w:spacing w:val="-2"/>
                <w:u w:val="single"/>
                <w14:textFill>
                  <w14:solidFill>
                    <w14:schemeClr w14:val="tx1"/>
                  </w14:solidFill>
                </w14:textFill>
              </w:rPr>
              <w:t>纬度</w:t>
            </w:r>
          </w:p>
        </w:tc>
        <w:tc>
          <w:tcPr>
            <w:tcW w:w="1134" w:type="dxa"/>
            <w:vMerge w:val="continue"/>
            <w:vAlign w:val="center"/>
          </w:tcPr>
          <w:p w14:paraId="1D35D4C5">
            <w:pPr>
              <w:spacing w:after="0" w:line="240" w:lineRule="auto"/>
              <w:rPr>
                <w:rFonts w:ascii="Times New Roman" w:hAnsi="Times New Roman"/>
                <w:b/>
                <w:bCs/>
                <w:color w:val="000000" w:themeColor="text1"/>
                <w:spacing w:val="-2"/>
                <w:u w:val="single"/>
                <w14:textFill>
                  <w14:solidFill>
                    <w14:schemeClr w14:val="tx1"/>
                  </w14:solidFill>
                </w14:textFill>
              </w:rPr>
            </w:pPr>
          </w:p>
        </w:tc>
        <w:tc>
          <w:tcPr>
            <w:tcW w:w="1134" w:type="dxa"/>
            <w:vMerge w:val="continue"/>
            <w:vAlign w:val="center"/>
          </w:tcPr>
          <w:p w14:paraId="353055C5">
            <w:pPr>
              <w:spacing w:after="0" w:line="240" w:lineRule="auto"/>
              <w:rPr>
                <w:rFonts w:ascii="Times New Roman" w:hAnsi="Times New Roman"/>
                <w:b/>
                <w:bCs/>
                <w:color w:val="000000" w:themeColor="text1"/>
                <w:spacing w:val="-2"/>
                <w:u w:val="single"/>
                <w14:textFill>
                  <w14:solidFill>
                    <w14:schemeClr w14:val="tx1"/>
                  </w14:solidFill>
                </w14:textFill>
              </w:rPr>
            </w:pPr>
          </w:p>
        </w:tc>
        <w:tc>
          <w:tcPr>
            <w:tcW w:w="1559" w:type="dxa"/>
            <w:vMerge w:val="continue"/>
            <w:vAlign w:val="center"/>
          </w:tcPr>
          <w:p w14:paraId="1A5735FE">
            <w:pPr>
              <w:spacing w:after="0" w:line="240" w:lineRule="auto"/>
              <w:rPr>
                <w:rFonts w:ascii="Times New Roman" w:hAnsi="Times New Roman"/>
                <w:b/>
                <w:bCs/>
                <w:color w:val="000000" w:themeColor="text1"/>
                <w:spacing w:val="-2"/>
                <w:u w:val="single"/>
                <w14:textFill>
                  <w14:solidFill>
                    <w14:schemeClr w14:val="tx1"/>
                  </w14:solidFill>
                </w14:textFill>
              </w:rPr>
            </w:pPr>
          </w:p>
        </w:tc>
      </w:tr>
      <w:tr w14:paraId="134F16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3298A14B">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w:t>
            </w:r>
          </w:p>
        </w:tc>
        <w:tc>
          <w:tcPr>
            <w:tcW w:w="1509" w:type="dxa"/>
            <w:vAlign w:val="center"/>
          </w:tcPr>
          <w:p w14:paraId="24707CE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创大汽车园内3号仓库南面</w:t>
            </w:r>
          </w:p>
        </w:tc>
        <w:tc>
          <w:tcPr>
            <w:tcW w:w="1560" w:type="dxa"/>
            <w:noWrap/>
            <w:vAlign w:val="center"/>
          </w:tcPr>
          <w:p w14:paraId="0A75A9A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108.66805673</w:t>
            </w:r>
          </w:p>
        </w:tc>
        <w:tc>
          <w:tcPr>
            <w:tcW w:w="1417" w:type="dxa"/>
            <w:noWrap/>
            <w:vAlign w:val="center"/>
          </w:tcPr>
          <w:p w14:paraId="5EF93FE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21.67225499</w:t>
            </w:r>
          </w:p>
        </w:tc>
        <w:tc>
          <w:tcPr>
            <w:tcW w:w="1134" w:type="dxa"/>
            <w:vAlign w:val="center"/>
          </w:tcPr>
          <w:p w14:paraId="1B16816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w:t>
            </w:r>
          </w:p>
        </w:tc>
        <w:tc>
          <w:tcPr>
            <w:tcW w:w="1134" w:type="dxa"/>
            <w:vAlign w:val="center"/>
          </w:tcPr>
          <w:p w14:paraId="496E19A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相邻</w:t>
            </w:r>
          </w:p>
        </w:tc>
        <w:tc>
          <w:tcPr>
            <w:tcW w:w="1559" w:type="dxa"/>
            <w:vAlign w:val="center"/>
          </w:tcPr>
          <w:p w14:paraId="1FDA734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办公</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05B2EB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01767A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w:t>
            </w:r>
          </w:p>
        </w:tc>
        <w:tc>
          <w:tcPr>
            <w:tcW w:w="1509" w:type="dxa"/>
            <w:vAlign w:val="center"/>
          </w:tcPr>
          <w:p w14:paraId="3958157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创大汽车园内1号仓库</w:t>
            </w:r>
          </w:p>
        </w:tc>
        <w:tc>
          <w:tcPr>
            <w:tcW w:w="1560" w:type="dxa"/>
            <w:noWrap/>
            <w:vAlign w:val="center"/>
          </w:tcPr>
          <w:p w14:paraId="033D72B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108.66558909</w:t>
            </w:r>
          </w:p>
        </w:tc>
        <w:tc>
          <w:tcPr>
            <w:tcW w:w="1417" w:type="dxa"/>
            <w:noWrap/>
            <w:vAlign w:val="center"/>
          </w:tcPr>
          <w:p w14:paraId="6766CA05">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21.67185617</w:t>
            </w:r>
          </w:p>
        </w:tc>
        <w:tc>
          <w:tcPr>
            <w:tcW w:w="1134" w:type="dxa"/>
            <w:vAlign w:val="center"/>
          </w:tcPr>
          <w:p w14:paraId="6D60FF1A">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WSW</w:t>
            </w:r>
          </w:p>
        </w:tc>
        <w:tc>
          <w:tcPr>
            <w:tcW w:w="1134" w:type="dxa"/>
            <w:vAlign w:val="center"/>
          </w:tcPr>
          <w:p w14:paraId="3D277EC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100</w:t>
            </w:r>
          </w:p>
        </w:tc>
        <w:tc>
          <w:tcPr>
            <w:tcW w:w="1559" w:type="dxa"/>
            <w:vAlign w:val="center"/>
          </w:tcPr>
          <w:p w14:paraId="2F36AB2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1</w:t>
            </w:r>
            <w:r>
              <w:rPr>
                <w:rFonts w:ascii="Times New Roman" w:hAnsi="Times New Roman"/>
                <w:color w:val="000000" w:themeColor="text1"/>
                <w:spacing w:val="-2"/>
                <w:u w:val="single"/>
                <w14:textFill>
                  <w14:solidFill>
                    <w14:schemeClr w14:val="tx1"/>
                  </w14:solidFill>
                </w14:textFill>
              </w:rPr>
              <w:t>人</w:t>
            </w:r>
          </w:p>
        </w:tc>
      </w:tr>
      <w:tr w14:paraId="6231E3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5BA76EF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3</w:t>
            </w:r>
          </w:p>
        </w:tc>
        <w:tc>
          <w:tcPr>
            <w:tcW w:w="1509" w:type="dxa"/>
            <w:vMerge w:val="restart"/>
            <w:vAlign w:val="center"/>
          </w:tcPr>
          <w:p w14:paraId="4159335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钦州港冷链保税交易中心</w:t>
            </w:r>
          </w:p>
        </w:tc>
        <w:tc>
          <w:tcPr>
            <w:tcW w:w="1560" w:type="dxa"/>
            <w:vMerge w:val="restart"/>
            <w:noWrap/>
            <w:vAlign w:val="center"/>
          </w:tcPr>
          <w:p w14:paraId="1612F46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108.66952658</w:t>
            </w:r>
          </w:p>
        </w:tc>
        <w:tc>
          <w:tcPr>
            <w:tcW w:w="1417" w:type="dxa"/>
            <w:vMerge w:val="restart"/>
            <w:noWrap/>
            <w:vAlign w:val="center"/>
          </w:tcPr>
          <w:p w14:paraId="703814C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21.67386022</w:t>
            </w:r>
          </w:p>
        </w:tc>
        <w:tc>
          <w:tcPr>
            <w:tcW w:w="1134" w:type="dxa"/>
            <w:vAlign w:val="center"/>
          </w:tcPr>
          <w:p w14:paraId="3281D09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NNE</w:t>
            </w:r>
          </w:p>
        </w:tc>
        <w:tc>
          <w:tcPr>
            <w:tcW w:w="1134" w:type="dxa"/>
            <w:vAlign w:val="center"/>
          </w:tcPr>
          <w:p w14:paraId="392BF09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140</w:t>
            </w:r>
          </w:p>
        </w:tc>
        <w:tc>
          <w:tcPr>
            <w:tcW w:w="1559" w:type="dxa"/>
            <w:vAlign w:val="center"/>
          </w:tcPr>
          <w:p w14:paraId="65BACD5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办公</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2</w:t>
            </w:r>
            <w:r>
              <w:rPr>
                <w:rFonts w:ascii="Times New Roman" w:hAnsi="Times New Roman"/>
                <w:color w:val="000000" w:themeColor="text1"/>
                <w:spacing w:val="-2"/>
                <w:u w:val="single"/>
                <w14:textFill>
                  <w14:solidFill>
                    <w14:schemeClr w14:val="tx1"/>
                  </w14:solidFill>
                </w14:textFill>
              </w:rPr>
              <w:t>人</w:t>
            </w:r>
          </w:p>
        </w:tc>
      </w:tr>
      <w:tr w14:paraId="5F4AE3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244B0332">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6CC64E68">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0EBAE34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32AE834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6BEFC64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NE</w:t>
            </w:r>
          </w:p>
        </w:tc>
        <w:tc>
          <w:tcPr>
            <w:tcW w:w="1134" w:type="dxa"/>
            <w:vAlign w:val="center"/>
          </w:tcPr>
          <w:p w14:paraId="6896C9E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75</w:t>
            </w:r>
          </w:p>
        </w:tc>
        <w:tc>
          <w:tcPr>
            <w:tcW w:w="1559" w:type="dxa"/>
            <w:vAlign w:val="center"/>
          </w:tcPr>
          <w:p w14:paraId="7BCC14E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3</w:t>
            </w:r>
            <w:r>
              <w:rPr>
                <w:rFonts w:ascii="Times New Roman" w:hAnsi="Times New Roman"/>
                <w:color w:val="000000" w:themeColor="text1"/>
                <w:spacing w:val="-2"/>
                <w:u w:val="single"/>
                <w14:textFill>
                  <w14:solidFill>
                    <w14:schemeClr w14:val="tx1"/>
                  </w14:solidFill>
                </w14:textFill>
              </w:rPr>
              <w:t>人</w:t>
            </w:r>
          </w:p>
        </w:tc>
      </w:tr>
      <w:tr w14:paraId="5AC8E3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30063E0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4</w:t>
            </w:r>
          </w:p>
        </w:tc>
        <w:tc>
          <w:tcPr>
            <w:tcW w:w="1509" w:type="dxa"/>
            <w:vMerge w:val="restart"/>
            <w:vAlign w:val="center"/>
          </w:tcPr>
          <w:p w14:paraId="7A85DBC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星火物流</w:t>
            </w:r>
          </w:p>
        </w:tc>
        <w:tc>
          <w:tcPr>
            <w:tcW w:w="1560" w:type="dxa"/>
            <w:vMerge w:val="restart"/>
            <w:noWrap/>
            <w:vAlign w:val="center"/>
          </w:tcPr>
          <w:p w14:paraId="7C4CF6D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108.66901159</w:t>
            </w:r>
          </w:p>
        </w:tc>
        <w:tc>
          <w:tcPr>
            <w:tcW w:w="1417" w:type="dxa"/>
            <w:vMerge w:val="restart"/>
            <w:noWrap/>
            <w:vAlign w:val="center"/>
          </w:tcPr>
          <w:p w14:paraId="2FA7AED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21.67043039</w:t>
            </w:r>
          </w:p>
        </w:tc>
        <w:tc>
          <w:tcPr>
            <w:tcW w:w="1134" w:type="dxa"/>
            <w:vAlign w:val="center"/>
          </w:tcPr>
          <w:p w14:paraId="4EEB424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SE</w:t>
            </w:r>
          </w:p>
        </w:tc>
        <w:tc>
          <w:tcPr>
            <w:tcW w:w="1134" w:type="dxa"/>
            <w:vAlign w:val="center"/>
          </w:tcPr>
          <w:p w14:paraId="32596A6A">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235</w:t>
            </w:r>
          </w:p>
        </w:tc>
        <w:tc>
          <w:tcPr>
            <w:tcW w:w="1559" w:type="dxa"/>
          </w:tcPr>
          <w:p w14:paraId="2B54443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4EFBEC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717A33F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78284F83">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3D7F4B34">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5774D20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37AAED2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SSE</w:t>
            </w:r>
          </w:p>
        </w:tc>
        <w:tc>
          <w:tcPr>
            <w:tcW w:w="1134" w:type="dxa"/>
            <w:vAlign w:val="center"/>
          </w:tcPr>
          <w:p w14:paraId="3357CB8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95</w:t>
            </w:r>
          </w:p>
        </w:tc>
        <w:tc>
          <w:tcPr>
            <w:tcW w:w="1559" w:type="dxa"/>
          </w:tcPr>
          <w:p w14:paraId="4A26D6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8</w:t>
            </w:r>
            <w:r>
              <w:rPr>
                <w:rFonts w:ascii="Times New Roman" w:hAnsi="Times New Roman"/>
                <w:color w:val="000000" w:themeColor="text1"/>
                <w:spacing w:val="-2"/>
                <w:u w:val="single"/>
                <w14:textFill>
                  <w14:solidFill>
                    <w14:schemeClr w14:val="tx1"/>
                  </w14:solidFill>
                </w14:textFill>
              </w:rPr>
              <w:t>人</w:t>
            </w:r>
          </w:p>
        </w:tc>
      </w:tr>
      <w:tr w14:paraId="2EC0E1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17AB587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5</w:t>
            </w:r>
          </w:p>
        </w:tc>
        <w:tc>
          <w:tcPr>
            <w:tcW w:w="1509" w:type="dxa"/>
            <w:vMerge w:val="restart"/>
            <w:vAlign w:val="center"/>
          </w:tcPr>
          <w:p w14:paraId="236D1F4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创大仓储</w:t>
            </w:r>
          </w:p>
        </w:tc>
        <w:tc>
          <w:tcPr>
            <w:tcW w:w="1560" w:type="dxa"/>
            <w:vMerge w:val="restart"/>
            <w:noWrap/>
            <w:vAlign w:val="center"/>
          </w:tcPr>
          <w:p w14:paraId="2C56998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108.66738081</w:t>
            </w:r>
          </w:p>
        </w:tc>
        <w:tc>
          <w:tcPr>
            <w:tcW w:w="1417" w:type="dxa"/>
            <w:vMerge w:val="restart"/>
            <w:noWrap/>
            <w:vAlign w:val="center"/>
          </w:tcPr>
          <w:p w14:paraId="114D8221">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21.66925386</w:t>
            </w:r>
          </w:p>
        </w:tc>
        <w:tc>
          <w:tcPr>
            <w:tcW w:w="1134" w:type="dxa"/>
            <w:vAlign w:val="center"/>
          </w:tcPr>
          <w:p w14:paraId="6585DF8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w:t>
            </w:r>
          </w:p>
        </w:tc>
        <w:tc>
          <w:tcPr>
            <w:tcW w:w="1134" w:type="dxa"/>
            <w:vAlign w:val="center"/>
          </w:tcPr>
          <w:p w14:paraId="5BDD89C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155</w:t>
            </w:r>
          </w:p>
        </w:tc>
        <w:tc>
          <w:tcPr>
            <w:tcW w:w="1559" w:type="dxa"/>
          </w:tcPr>
          <w:p w14:paraId="5CFB463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1758E1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68D67E2F">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07B3AF1D">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13519D71">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3D11AA7A">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69C5ED8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SSW</w:t>
            </w:r>
          </w:p>
        </w:tc>
        <w:tc>
          <w:tcPr>
            <w:tcW w:w="1134" w:type="dxa"/>
            <w:vAlign w:val="center"/>
          </w:tcPr>
          <w:p w14:paraId="69361A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260</w:t>
            </w:r>
          </w:p>
        </w:tc>
        <w:tc>
          <w:tcPr>
            <w:tcW w:w="1559" w:type="dxa"/>
          </w:tcPr>
          <w:p w14:paraId="5B9FAA6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4</w:t>
            </w:r>
            <w:r>
              <w:rPr>
                <w:rFonts w:ascii="Times New Roman" w:hAnsi="Times New Roman"/>
                <w:color w:val="000000" w:themeColor="text1"/>
                <w:spacing w:val="-2"/>
                <w:u w:val="single"/>
                <w14:textFill>
                  <w14:solidFill>
                    <w14:schemeClr w14:val="tx1"/>
                  </w14:solidFill>
                </w14:textFill>
              </w:rPr>
              <w:t>人</w:t>
            </w:r>
          </w:p>
        </w:tc>
      </w:tr>
      <w:tr w14:paraId="50BBE4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24D5B31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6</w:t>
            </w:r>
          </w:p>
        </w:tc>
        <w:tc>
          <w:tcPr>
            <w:tcW w:w="1509" w:type="dxa"/>
            <w:vAlign w:val="center"/>
          </w:tcPr>
          <w:p w14:paraId="35438AB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海纳新材料</w:t>
            </w:r>
          </w:p>
        </w:tc>
        <w:tc>
          <w:tcPr>
            <w:tcW w:w="1560" w:type="dxa"/>
            <w:noWrap/>
            <w:vAlign w:val="center"/>
          </w:tcPr>
          <w:p w14:paraId="7B2C50E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108.67036343</w:t>
            </w:r>
          </w:p>
        </w:tc>
        <w:tc>
          <w:tcPr>
            <w:tcW w:w="1417" w:type="dxa"/>
            <w:noWrap/>
            <w:vAlign w:val="center"/>
          </w:tcPr>
          <w:p w14:paraId="6E28E5B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21.67213534</w:t>
            </w:r>
          </w:p>
        </w:tc>
        <w:tc>
          <w:tcPr>
            <w:tcW w:w="1134" w:type="dxa"/>
            <w:vAlign w:val="center"/>
          </w:tcPr>
          <w:p w14:paraId="32018D0D">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E</w:t>
            </w:r>
          </w:p>
        </w:tc>
        <w:tc>
          <w:tcPr>
            <w:tcW w:w="1134" w:type="dxa"/>
            <w:vAlign w:val="center"/>
          </w:tcPr>
          <w:p w14:paraId="008CF109">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180</w:t>
            </w:r>
          </w:p>
        </w:tc>
        <w:tc>
          <w:tcPr>
            <w:tcW w:w="1559" w:type="dxa"/>
          </w:tcPr>
          <w:p w14:paraId="3A079A6C">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仓储</w:t>
            </w:r>
            <w:r>
              <w:rPr>
                <w:rFonts w:ascii="Times New Roman" w:hAnsi="Times New Roman"/>
                <w:color w:val="000000" w:themeColor="text1"/>
                <w:spacing w:val="-2"/>
                <w:u w:val="single"/>
                <w14:textFill>
                  <w14:solidFill>
                    <w14:schemeClr w14:val="tx1"/>
                  </w14:solidFill>
                </w14:textFill>
              </w:rPr>
              <w:t>区/</w:t>
            </w:r>
            <w:r>
              <w:rPr>
                <w:rFonts w:hint="eastAsia" w:ascii="Times New Roman" w:hAnsi="Times New Roman"/>
                <w:color w:val="000000" w:themeColor="text1"/>
                <w:spacing w:val="-2"/>
                <w:u w:val="single"/>
                <w14:textFill>
                  <w14:solidFill>
                    <w14:schemeClr w14:val="tx1"/>
                  </w14:solidFill>
                </w14:textFill>
              </w:rPr>
              <w:t>1</w:t>
            </w:r>
            <w:r>
              <w:rPr>
                <w:rFonts w:ascii="Times New Roman" w:hAnsi="Times New Roman"/>
                <w:color w:val="000000" w:themeColor="text1"/>
                <w:spacing w:val="-2"/>
                <w:u w:val="single"/>
                <w14:textFill>
                  <w14:solidFill>
                    <w14:schemeClr w14:val="tx1"/>
                  </w14:solidFill>
                </w14:textFill>
              </w:rPr>
              <w:t>人</w:t>
            </w:r>
          </w:p>
        </w:tc>
      </w:tr>
      <w:tr w14:paraId="5488E8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Align w:val="center"/>
          </w:tcPr>
          <w:p w14:paraId="390DB2A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7</w:t>
            </w:r>
          </w:p>
        </w:tc>
        <w:tc>
          <w:tcPr>
            <w:tcW w:w="1509" w:type="dxa"/>
            <w:vAlign w:val="center"/>
          </w:tcPr>
          <w:p w14:paraId="5D8ACD03">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益盐堂</w:t>
            </w:r>
          </w:p>
        </w:tc>
        <w:tc>
          <w:tcPr>
            <w:tcW w:w="1560" w:type="dxa"/>
            <w:noWrap/>
            <w:vAlign w:val="center"/>
          </w:tcPr>
          <w:p w14:paraId="30E7D5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108.67117882</w:t>
            </w:r>
          </w:p>
        </w:tc>
        <w:tc>
          <w:tcPr>
            <w:tcW w:w="1417" w:type="dxa"/>
            <w:noWrap/>
            <w:vAlign w:val="center"/>
          </w:tcPr>
          <w:p w14:paraId="49083175">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21.67511648</w:t>
            </w:r>
          </w:p>
        </w:tc>
        <w:tc>
          <w:tcPr>
            <w:tcW w:w="1134" w:type="dxa"/>
            <w:vAlign w:val="center"/>
          </w:tcPr>
          <w:p w14:paraId="5A5E2F5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NE</w:t>
            </w:r>
          </w:p>
        </w:tc>
        <w:tc>
          <w:tcPr>
            <w:tcW w:w="1134" w:type="dxa"/>
            <w:vAlign w:val="center"/>
          </w:tcPr>
          <w:p w14:paraId="6A4B14A3">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335</w:t>
            </w:r>
          </w:p>
        </w:tc>
        <w:tc>
          <w:tcPr>
            <w:tcW w:w="1559" w:type="dxa"/>
            <w:vAlign w:val="center"/>
          </w:tcPr>
          <w:p w14:paraId="5D63B0F7">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工业区/8人</w:t>
            </w:r>
          </w:p>
        </w:tc>
      </w:tr>
      <w:tr w14:paraId="70D709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restart"/>
            <w:vAlign w:val="center"/>
          </w:tcPr>
          <w:p w14:paraId="2554E1C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8</w:t>
            </w:r>
          </w:p>
        </w:tc>
        <w:tc>
          <w:tcPr>
            <w:tcW w:w="1509" w:type="dxa"/>
            <w:vMerge w:val="restart"/>
            <w:vAlign w:val="center"/>
          </w:tcPr>
          <w:p w14:paraId="44659DB4">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棉纺产业园</w:t>
            </w:r>
          </w:p>
        </w:tc>
        <w:tc>
          <w:tcPr>
            <w:tcW w:w="1560" w:type="dxa"/>
            <w:vMerge w:val="restart"/>
            <w:noWrap/>
            <w:vAlign w:val="center"/>
          </w:tcPr>
          <w:p w14:paraId="095FCE2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108.66823912</w:t>
            </w:r>
          </w:p>
        </w:tc>
        <w:tc>
          <w:tcPr>
            <w:tcW w:w="1417" w:type="dxa"/>
            <w:vMerge w:val="restart"/>
            <w:noWrap/>
            <w:vAlign w:val="center"/>
          </w:tcPr>
          <w:p w14:paraId="3B742D6B">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21.67555516</w:t>
            </w:r>
          </w:p>
        </w:tc>
        <w:tc>
          <w:tcPr>
            <w:tcW w:w="1134" w:type="dxa"/>
            <w:vAlign w:val="center"/>
          </w:tcPr>
          <w:p w14:paraId="72FF42C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w:t>
            </w:r>
          </w:p>
        </w:tc>
        <w:tc>
          <w:tcPr>
            <w:tcW w:w="1134" w:type="dxa"/>
            <w:vAlign w:val="center"/>
          </w:tcPr>
          <w:p w14:paraId="45B0BAA2">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230</w:t>
            </w:r>
          </w:p>
        </w:tc>
        <w:tc>
          <w:tcPr>
            <w:tcW w:w="1559" w:type="dxa"/>
            <w:vAlign w:val="center"/>
          </w:tcPr>
          <w:p w14:paraId="27F4AE7F">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工业区/4人</w:t>
            </w:r>
          </w:p>
        </w:tc>
      </w:tr>
      <w:tr w14:paraId="512BDB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4" w:type="dxa"/>
            <w:vMerge w:val="continue"/>
            <w:vAlign w:val="center"/>
          </w:tcPr>
          <w:p w14:paraId="2D37F1F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09" w:type="dxa"/>
            <w:vMerge w:val="continue"/>
            <w:vAlign w:val="center"/>
          </w:tcPr>
          <w:p w14:paraId="564A31D9">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560" w:type="dxa"/>
            <w:vMerge w:val="continue"/>
            <w:noWrap/>
            <w:vAlign w:val="center"/>
          </w:tcPr>
          <w:p w14:paraId="7767369C">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417" w:type="dxa"/>
            <w:vMerge w:val="continue"/>
            <w:noWrap/>
            <w:vAlign w:val="center"/>
          </w:tcPr>
          <w:p w14:paraId="4DA6E446">
            <w:pPr>
              <w:spacing w:after="0" w:line="240" w:lineRule="auto"/>
              <w:jc w:val="center"/>
              <w:rPr>
                <w:rFonts w:ascii="Times New Roman" w:hAnsi="Times New Roman"/>
                <w:color w:val="000000" w:themeColor="text1"/>
                <w:spacing w:val="-2"/>
                <w:u w:val="single"/>
                <w14:textFill>
                  <w14:solidFill>
                    <w14:schemeClr w14:val="tx1"/>
                  </w14:solidFill>
                </w14:textFill>
              </w:rPr>
            </w:pPr>
          </w:p>
        </w:tc>
        <w:tc>
          <w:tcPr>
            <w:tcW w:w="1134" w:type="dxa"/>
            <w:vAlign w:val="center"/>
          </w:tcPr>
          <w:p w14:paraId="169036F6">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NNE</w:t>
            </w:r>
          </w:p>
        </w:tc>
        <w:tc>
          <w:tcPr>
            <w:tcW w:w="1134" w:type="dxa"/>
            <w:vAlign w:val="center"/>
          </w:tcPr>
          <w:p w14:paraId="35993390">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230</w:t>
            </w:r>
          </w:p>
        </w:tc>
        <w:tc>
          <w:tcPr>
            <w:tcW w:w="1559" w:type="dxa"/>
            <w:vAlign w:val="center"/>
          </w:tcPr>
          <w:p w14:paraId="515BFDFE">
            <w:pPr>
              <w:spacing w:after="0" w:line="240" w:lineRule="auto"/>
              <w:jc w:val="center"/>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工业区/5人</w:t>
            </w:r>
          </w:p>
        </w:tc>
      </w:tr>
    </w:tbl>
    <w:p w14:paraId="12BC836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61BB33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评价范围、评价子区示意图见图1.4-1。</w:t>
      </w:r>
    </w:p>
    <w:p w14:paraId="65C13804">
      <w:pPr>
        <w:autoSpaceDE w:val="0"/>
        <w:autoSpaceDN w:val="0"/>
        <w:adjustRightInd w:val="0"/>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5467350" cy="6478270"/>
            <wp:effectExtent l="19050" t="19050" r="19050" b="17780"/>
            <wp:docPr id="8631857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5748" name="图片 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471518" cy="6483779"/>
                    </a:xfrm>
                    <a:prstGeom prst="rect">
                      <a:avLst/>
                    </a:prstGeom>
                    <a:ln>
                      <a:solidFill>
                        <a:schemeClr val="tx1"/>
                      </a:solidFill>
                    </a:ln>
                  </pic:spPr>
                </pic:pic>
              </a:graphicData>
            </a:graphic>
          </wp:inline>
        </w:drawing>
      </w:r>
    </w:p>
    <w:p w14:paraId="408EDB07">
      <w:pPr>
        <w:autoSpaceDE w:val="0"/>
        <w:autoSpaceDN w:val="0"/>
        <w:adjustRightInd w:val="0"/>
        <w:spacing w:after="0"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图1.4-1</w:t>
      </w:r>
      <w:r>
        <w:rPr>
          <w:rFonts w:hint="eastAsia"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评价范围、评价子区示意图</w:t>
      </w:r>
      <w:bookmarkStart w:id="29" w:name="_Toc77323383"/>
    </w:p>
    <w:p w14:paraId="437572C2">
      <w:pPr>
        <w:pStyle w:val="4"/>
        <w:widowControl w:val="0"/>
        <w:numPr>
          <w:ilvl w:val="1"/>
          <w:numId w:val="1"/>
        </w:numPr>
        <w:spacing w:before="0" w:line="360" w:lineRule="auto"/>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30" w:name="_Toc78822641"/>
      <w:bookmarkStart w:id="31" w:name="_Toc187653461"/>
      <w:r>
        <w:rPr>
          <w:rFonts w:ascii="Times New Roman" w:hAnsi="Times New Roman" w:eastAsia="黑体" w:cs="Times New Roman"/>
          <w:b/>
          <w:bCs/>
          <w:color w:val="000000" w:themeColor="text1"/>
          <w:kern w:val="2"/>
          <w:sz w:val="28"/>
          <w:szCs w:val="32"/>
          <w14:textFill>
            <w14:solidFill>
              <w14:schemeClr w14:val="tx1"/>
            </w14:solidFill>
          </w14:textFill>
        </w:rPr>
        <w:t>选址合理性</w:t>
      </w:r>
      <w:bookmarkEnd w:id="29"/>
      <w:bookmarkEnd w:id="30"/>
      <w:bookmarkEnd w:id="31"/>
    </w:p>
    <w:p w14:paraId="6F3496A5">
      <w:pPr>
        <w:widowControl w:val="0"/>
        <w:spacing w:after="0" w:line="360" w:lineRule="auto"/>
        <w:ind w:firstLine="472"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项目位于广西钦州保税区内，广西钦州保税港区所在场地原为海域，原地貌为浅海地貌，现状地形地貌经人工吹填砂形成，填海成陆的陆域无原有居民。目前区域地块多已平整硬化，根据</w:t>
      </w:r>
      <w:r>
        <w:rPr>
          <w:rFonts w:ascii="Times New Roman" w:hAnsi="Times New Roman"/>
          <w:color w:val="000000" w:themeColor="text1"/>
          <w:spacing w:val="-2"/>
          <w:kern w:val="24"/>
          <w:sz w:val="24"/>
          <w:szCs w:val="24"/>
          <w14:textFill>
            <w14:solidFill>
              <w14:schemeClr w14:val="tx1"/>
            </w14:solidFill>
          </w14:textFill>
        </w:rPr>
        <w:t>《广西钦州保税港区控制性详细规划》</w:t>
      </w:r>
      <w:r>
        <w:rPr>
          <w:rFonts w:hint="eastAsia" w:ascii="Times New Roman" w:hAnsi="Times New Roman"/>
          <w:color w:val="000000" w:themeColor="text1"/>
          <w:spacing w:val="-2"/>
          <w:kern w:val="24"/>
          <w:sz w:val="24"/>
          <w:szCs w:val="24"/>
          <w14:textFill>
            <w14:solidFill>
              <w14:schemeClr w14:val="tx1"/>
            </w14:solidFill>
          </w14:textFill>
        </w:rPr>
        <w:t>土地利用规划，</w:t>
      </w:r>
      <w:r>
        <w:rPr>
          <w:rFonts w:hint="eastAsia" w:ascii="Times New Roman" w:hAnsi="Times New Roman" w:eastAsia="宋体" w:cs="Times New Roman"/>
          <w:color w:val="000000" w:themeColor="text1"/>
          <w:spacing w:val="-2"/>
          <w:sz w:val="24"/>
          <w:szCs w:val="20"/>
          <w14:textFill>
            <w14:solidFill>
              <w14:schemeClr w14:val="tx1"/>
            </w14:solidFill>
          </w14:textFill>
        </w:rPr>
        <w:t>项目周边0.5km范围内用地以工业用地、物流仓储用地、港口用地为主，无居住用地及宿舍区。</w:t>
      </w:r>
      <w:r>
        <w:rPr>
          <w:rFonts w:ascii="Times New Roman" w:hAnsi="Times New Roman" w:eastAsia="宋体" w:cs="Times New Roman"/>
          <w:color w:val="000000" w:themeColor="text1"/>
          <w:spacing w:val="-2"/>
          <w:sz w:val="24"/>
          <w:szCs w:val="20"/>
          <w14:textFill>
            <w14:solidFill>
              <w14:schemeClr w14:val="tx1"/>
            </w14:solidFill>
          </w14:textFill>
        </w:rPr>
        <w:t>因此从辐射环境保护角度考虑，本项目选址合理。</w:t>
      </w:r>
    </w:p>
    <w:p w14:paraId="55CF9BBA">
      <w:pPr>
        <w:widowControl w:val="0"/>
        <w:spacing w:after="0" w:line="360" w:lineRule="auto"/>
        <w:ind w:firstLine="602" w:firstLineChars="200"/>
        <w:jc w:val="both"/>
        <w:rPr>
          <w:rFonts w:ascii="Times New Roman" w:hAnsi="Times New Roman" w:cs="Times New Roman"/>
          <w:b/>
          <w:color w:val="000000" w:themeColor="text1"/>
          <w:sz w:val="30"/>
          <w:szCs w:val="30"/>
          <w14:textFill>
            <w14:solidFill>
              <w14:schemeClr w14:val="tx1"/>
            </w14:solidFill>
          </w14:textFill>
        </w:rPr>
        <w:sectPr>
          <w:pgSz w:w="11906" w:h="16838"/>
          <w:pgMar w:top="1418" w:right="1418" w:bottom="1418" w:left="1418" w:header="851" w:footer="737" w:gutter="0"/>
          <w:cols w:space="720" w:num="1"/>
          <w:docGrid w:linePitch="323" w:charSpace="0"/>
        </w:sectPr>
      </w:pPr>
      <w:bookmarkStart w:id="32" w:name="_Toc78822642"/>
    </w:p>
    <w:p w14:paraId="1AB61FD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33" w:name="_Toc187653462"/>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放射性源项分析</w:t>
      </w:r>
      <w:bookmarkEnd w:id="32"/>
      <w:bookmarkEnd w:id="33"/>
    </w:p>
    <w:p w14:paraId="57F152E0">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34" w:name="_Toc187653463"/>
      <w:bookmarkStart w:id="35" w:name="_Toc78822643"/>
      <w:r>
        <w:rPr>
          <w:rFonts w:ascii="Times New Roman" w:hAnsi="Times New Roman" w:eastAsia="黑体" w:cs="Times New Roman"/>
          <w:b/>
          <w:bCs/>
          <w:color w:val="000000" w:themeColor="text1"/>
          <w:kern w:val="2"/>
          <w:sz w:val="28"/>
          <w:szCs w:val="32"/>
          <w14:textFill>
            <w14:solidFill>
              <w14:schemeClr w14:val="tx1"/>
            </w14:solidFill>
          </w14:textFill>
        </w:rPr>
        <w:t>工程概况</w:t>
      </w:r>
      <w:bookmarkEnd w:id="34"/>
      <w:bookmarkEnd w:id="35"/>
    </w:p>
    <w:p w14:paraId="6005434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36" w:name="_Toc78822644"/>
      <w:r>
        <w:rPr>
          <w:rFonts w:ascii="Times New Roman" w:hAnsi="Times New Roman" w:eastAsia="黑体" w:cs="Times New Roman"/>
          <w:b/>
          <w:bCs/>
          <w:caps w:val="0"/>
          <w:color w:val="000000" w:themeColor="text1"/>
          <w:kern w:val="2"/>
          <w:sz w:val="24"/>
          <w:szCs w:val="32"/>
          <w14:textFill>
            <w14:solidFill>
              <w14:schemeClr w14:val="tx1"/>
            </w14:solidFill>
          </w14:textFill>
        </w:rPr>
        <w:t>拟建项目基本情况</w:t>
      </w:r>
      <w:bookmarkEnd w:id="36"/>
    </w:p>
    <w:p w14:paraId="44F3B85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项目名称：锆钛矿石分选加工项目；</w:t>
      </w:r>
    </w:p>
    <w:p w14:paraId="54F3B38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建设单位：广西瑞腾贸易有限公司；</w:t>
      </w:r>
    </w:p>
    <w:p w14:paraId="243A23C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项目性质：新建；</w:t>
      </w:r>
    </w:p>
    <w:p w14:paraId="657C0AF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建设地点：钦州综合保税区九大街与三号路交汇处广西钦州保税区创大冷链物流公司的3号仓库内北侧；</w:t>
      </w:r>
    </w:p>
    <w:p w14:paraId="62BDBF5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建设内容：项目占地约2500m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color w:val="000000" w:themeColor="text1"/>
          <w:spacing w:val="-2"/>
          <w:sz w:val="24"/>
          <w:szCs w:val="24"/>
          <w14:textFill>
            <w14:solidFill>
              <w14:schemeClr w14:val="tx1"/>
            </w14:solidFill>
          </w14:textFill>
        </w:rPr>
        <w:t>设计建设2条产能为2万吨/月生产线，</w:t>
      </w:r>
      <w:bookmarkStart w:id="37" w:name="_Hlk187217776"/>
      <w:r>
        <w:rPr>
          <w:rFonts w:ascii="Times New Roman" w:hAnsi="Times New Roman"/>
          <w:color w:val="000000" w:themeColor="text1"/>
          <w:spacing w:val="-2"/>
          <w:sz w:val="24"/>
          <w:szCs w:val="24"/>
          <w:u w:val="single"/>
          <w14:textFill>
            <w14:solidFill>
              <w14:schemeClr w14:val="tx1"/>
            </w14:solidFill>
          </w14:textFill>
        </w:rPr>
        <w:t>设计</w:t>
      </w:r>
      <w:bookmarkStart w:id="38" w:name="OLE_LINK21"/>
      <w:r>
        <w:rPr>
          <w:rFonts w:ascii="Times New Roman" w:hAnsi="Times New Roman"/>
          <w:color w:val="000000" w:themeColor="text1"/>
          <w:spacing w:val="-2"/>
          <w:sz w:val="24"/>
          <w:szCs w:val="24"/>
          <w:u w:val="single"/>
          <w14:textFill>
            <w14:solidFill>
              <w14:schemeClr w14:val="tx1"/>
            </w14:solidFill>
          </w14:textFill>
        </w:rPr>
        <w:t>产能为</w:t>
      </w:r>
      <w:r>
        <w:rPr>
          <w:rFonts w:hint="eastAsia" w:ascii="Times New Roman" w:hAnsi="Times New Roman"/>
          <w:color w:val="000000" w:themeColor="text1"/>
          <w:spacing w:val="-2"/>
          <w:sz w:val="24"/>
          <w:szCs w:val="24"/>
          <w:u w:val="single"/>
          <w14:textFill>
            <w14:solidFill>
              <w14:schemeClr w14:val="tx1"/>
            </w14:solidFill>
          </w14:textFill>
        </w:rPr>
        <w:t>年分选加工</w:t>
      </w:r>
      <w:r>
        <w:rPr>
          <w:rFonts w:ascii="Times New Roman" w:hAnsi="Times New Roman"/>
          <w:color w:val="000000" w:themeColor="text1"/>
          <w:spacing w:val="-2"/>
          <w:sz w:val="24"/>
          <w:szCs w:val="24"/>
          <w:u w:val="single"/>
          <w14:textFill>
            <w14:solidFill>
              <w14:schemeClr w14:val="tx1"/>
            </w14:solidFill>
          </w14:textFill>
        </w:rPr>
        <w:t>24万吨</w:t>
      </w:r>
      <w:r>
        <w:rPr>
          <w:rFonts w:hint="eastAsia" w:ascii="Times New Roman" w:hAnsi="Times New Roman"/>
          <w:color w:val="000000" w:themeColor="text1"/>
          <w:spacing w:val="-2"/>
          <w:sz w:val="24"/>
          <w:szCs w:val="24"/>
          <w:u w:val="single"/>
          <w14:textFill>
            <w14:solidFill>
              <w14:schemeClr w14:val="tx1"/>
            </w14:solidFill>
          </w14:textFill>
        </w:rPr>
        <w:t>锆钛矿石</w:t>
      </w:r>
      <w:r>
        <w:rPr>
          <w:rFonts w:ascii="Times New Roman" w:hAnsi="Times New Roman"/>
          <w:color w:val="000000" w:themeColor="text1"/>
          <w:spacing w:val="-2"/>
          <w:sz w:val="24"/>
          <w:szCs w:val="24"/>
          <w14:textFill>
            <w14:solidFill>
              <w14:schemeClr w14:val="tx1"/>
            </w14:solidFill>
          </w14:textFill>
        </w:rPr>
        <w:t>。</w:t>
      </w:r>
      <w:bookmarkEnd w:id="37"/>
      <w:bookmarkEnd w:id="38"/>
    </w:p>
    <w:p w14:paraId="246207A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占地面积：占地面积为2500m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5FCC81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项目投资：本项目总投资300万元，</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其中环保投资57万元；</w:t>
      </w:r>
    </w:p>
    <w:p w14:paraId="438F66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劳动定员及工作制度：运营期劳动定员</w:t>
      </w:r>
      <w:r>
        <w:rPr>
          <w:rFonts w:hint="eastAsia" w:ascii="Times New Roman" w:hAnsi="Times New Roman" w:eastAsia="宋体" w:cs="Times New Roman"/>
          <w:color w:val="000000" w:themeColor="text1"/>
          <w:spacing w:val="-2"/>
          <w:sz w:val="24"/>
          <w:szCs w:val="20"/>
          <w14:textFill>
            <w14:solidFill>
              <w14:schemeClr w14:val="tx1"/>
            </w14:solidFill>
          </w14:textFill>
        </w:rPr>
        <w:t>10</w:t>
      </w:r>
      <w:r>
        <w:rPr>
          <w:rFonts w:ascii="Times New Roman" w:hAnsi="Times New Roman" w:eastAsia="宋体" w:cs="Times New Roman"/>
          <w:color w:val="000000" w:themeColor="text1"/>
          <w:spacing w:val="-2"/>
          <w:sz w:val="24"/>
          <w:szCs w:val="20"/>
          <w14:textFill>
            <w14:solidFill>
              <w14:schemeClr w14:val="tx1"/>
            </w14:solidFill>
          </w14:textFill>
        </w:rPr>
        <w:t>人，</w:t>
      </w:r>
      <w:bookmarkStart w:id="39" w:name="_Hlk186626453"/>
      <w:r>
        <w:rPr>
          <w:rFonts w:ascii="Times New Roman" w:hAnsi="Times New Roman" w:eastAsia="宋体" w:cs="Times New Roman"/>
          <w:color w:val="000000" w:themeColor="text1"/>
          <w:spacing w:val="-2"/>
          <w:sz w:val="24"/>
          <w:szCs w:val="20"/>
          <w14:textFill>
            <w14:solidFill>
              <w14:schemeClr w14:val="tx1"/>
            </w14:solidFill>
          </w14:textFill>
        </w:rPr>
        <w:t>年生产3</w:t>
      </w:r>
      <w:r>
        <w:rPr>
          <w:rFonts w:hint="eastAsia" w:ascii="Times New Roman" w:hAnsi="Times New Roman" w:eastAsia="宋体" w:cs="Times New Roman"/>
          <w:color w:val="000000" w:themeColor="text1"/>
          <w:spacing w:val="-2"/>
          <w:sz w:val="24"/>
          <w:szCs w:val="20"/>
          <w14:textFill>
            <w14:solidFill>
              <w14:schemeClr w14:val="tx1"/>
            </w14:solidFill>
          </w14:textFill>
        </w:rPr>
        <w:t>00</w:t>
      </w:r>
      <w:r>
        <w:rPr>
          <w:rFonts w:ascii="Times New Roman" w:hAnsi="Times New Roman" w:eastAsia="宋体" w:cs="Times New Roman"/>
          <w:color w:val="000000" w:themeColor="text1"/>
          <w:spacing w:val="-2"/>
          <w:sz w:val="24"/>
          <w:szCs w:val="20"/>
          <w14:textFill>
            <w14:solidFill>
              <w14:schemeClr w14:val="tx1"/>
            </w14:solidFill>
          </w14:textFill>
        </w:rPr>
        <w:t>天，每天</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班，每班8小时。</w:t>
      </w:r>
      <w:bookmarkEnd w:id="39"/>
    </w:p>
    <w:p w14:paraId="6F4921E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40" w:name="_Toc78822645"/>
      <w:r>
        <w:rPr>
          <w:rFonts w:ascii="Times New Roman" w:hAnsi="Times New Roman" w:eastAsia="黑体" w:cs="Times New Roman"/>
          <w:b/>
          <w:bCs/>
          <w:caps w:val="0"/>
          <w:color w:val="000000" w:themeColor="text1"/>
          <w:kern w:val="2"/>
          <w:sz w:val="24"/>
          <w:szCs w:val="32"/>
          <w14:textFill>
            <w14:solidFill>
              <w14:schemeClr w14:val="tx1"/>
            </w14:solidFill>
          </w14:textFill>
        </w:rPr>
        <w:t>可能产生放射性污染的建设子项</w:t>
      </w:r>
      <w:bookmarkEnd w:id="40"/>
    </w:p>
    <w:p w14:paraId="63A6B08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本项目进口毛矿作原料，采用磁选工艺进行分选加工生产钛铁精矿。</w:t>
      </w:r>
      <w:r>
        <w:rPr>
          <w:rFonts w:hint="eastAsia" w:ascii="Times New Roman" w:hAnsi="Times New Roman" w:eastAsia="宋体" w:cs="Times New Roman"/>
          <w:color w:val="000000" w:themeColor="text1"/>
          <w:spacing w:val="-2"/>
          <w:sz w:val="24"/>
          <w:szCs w:val="20"/>
          <w14:textFill>
            <w14:solidFill>
              <w14:schemeClr w14:val="tx1"/>
            </w14:solidFill>
          </w14:textFill>
        </w:rPr>
        <w:t>分离全过程均涉及含放射性核素物料，因此，本项目生产设施均有可能产生放射性污染。</w:t>
      </w:r>
    </w:p>
    <w:p w14:paraId="0CCFE10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项目工程组成</w:t>
      </w:r>
      <w:r>
        <w:rPr>
          <w:rFonts w:hint="eastAsia" w:ascii="Times New Roman" w:hAnsi="Times New Roman"/>
          <w:color w:val="000000" w:themeColor="text1"/>
          <w:spacing w:val="-2"/>
          <w:sz w:val="24"/>
          <w:szCs w:val="24"/>
          <w14:textFill>
            <w14:solidFill>
              <w14:schemeClr w14:val="tx1"/>
            </w14:solidFill>
          </w14:textFill>
        </w:rPr>
        <w:t>包括主体工程、储运工程、公辅工程、环保工程等</w:t>
      </w:r>
      <w:r>
        <w:rPr>
          <w:rFonts w:ascii="Times New Roman" w:hAnsi="Times New Roman" w:eastAsia="宋体" w:cs="Times New Roman"/>
          <w:color w:val="000000" w:themeColor="text1"/>
          <w:spacing w:val="-2"/>
          <w:sz w:val="24"/>
          <w:szCs w:val="20"/>
          <w14:textFill>
            <w14:solidFill>
              <w14:schemeClr w14:val="tx1"/>
            </w14:solidFill>
          </w14:textFill>
        </w:rPr>
        <w:t>组成。项目具体建设内容详见表2.1-1。</w:t>
      </w:r>
    </w:p>
    <w:p w14:paraId="1DF867D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项目建设内容情况表</w:t>
      </w:r>
    </w:p>
    <w:tbl>
      <w:tblPr>
        <w:tblStyle w:val="46"/>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4"/>
        <w:gridCol w:w="1489"/>
        <w:gridCol w:w="6186"/>
      </w:tblGrid>
      <w:tr w14:paraId="59D14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74" w:type="dxa"/>
            <w:vAlign w:val="center"/>
          </w:tcPr>
          <w:p w14:paraId="5DB37F16">
            <w:pPr>
              <w:spacing w:after="0" w:line="240" w:lineRule="auto"/>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类别</w:t>
            </w:r>
          </w:p>
        </w:tc>
        <w:tc>
          <w:tcPr>
            <w:tcW w:w="1489" w:type="dxa"/>
            <w:vAlign w:val="center"/>
          </w:tcPr>
          <w:p w14:paraId="4A1F57BE">
            <w:pPr>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工序或车间</w:t>
            </w:r>
          </w:p>
        </w:tc>
        <w:tc>
          <w:tcPr>
            <w:tcW w:w="6186" w:type="dxa"/>
            <w:vAlign w:val="center"/>
          </w:tcPr>
          <w:p w14:paraId="2F75EB51">
            <w:pPr>
              <w:spacing w:after="0" w:line="240" w:lineRule="auto"/>
              <w:jc w:val="center"/>
              <w:rPr>
                <w:rFonts w:ascii="Times New Roman" w:hAnsi="Times New Roman"/>
                <w:b/>
                <w:bCs/>
                <w:color w:val="000000" w:themeColor="text1"/>
                <w:spacing w:val="-2"/>
                <w14:textFill>
                  <w14:solidFill>
                    <w14:schemeClr w14:val="tx1"/>
                  </w14:solidFill>
                </w14:textFill>
              </w:rPr>
            </w:pPr>
            <w:r>
              <w:rPr>
                <w:rFonts w:ascii="Times New Roman" w:hAnsi="Times New Roman"/>
                <w:b/>
                <w:bCs/>
                <w:color w:val="000000" w:themeColor="text1"/>
                <w:spacing w:val="-2"/>
                <w14:textFill>
                  <w14:solidFill>
                    <w14:schemeClr w14:val="tx1"/>
                  </w14:solidFill>
                </w14:textFill>
              </w:rPr>
              <w:t>建设内容</w:t>
            </w:r>
          </w:p>
        </w:tc>
      </w:tr>
      <w:tr w14:paraId="7E6EEC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D91681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主体工程</w:t>
            </w:r>
          </w:p>
        </w:tc>
        <w:tc>
          <w:tcPr>
            <w:tcW w:w="1489" w:type="dxa"/>
            <w:vAlign w:val="center"/>
          </w:tcPr>
          <w:p w14:paraId="5E53E205">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1#原料处理车间</w:t>
            </w:r>
          </w:p>
        </w:tc>
        <w:tc>
          <w:tcPr>
            <w:tcW w:w="6186" w:type="dxa"/>
            <w:vAlign w:val="center"/>
          </w:tcPr>
          <w:p w14:paraId="5312D094">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1#</w:t>
            </w:r>
            <w:r>
              <w:rPr>
                <w:rFonts w:ascii="Times New Roman" w:hAnsi="Times New Roman"/>
                <w:color w:val="000000" w:themeColor="text1"/>
                <w:spacing w:val="-2"/>
                <w14:textFill>
                  <w14:solidFill>
                    <w14:schemeClr w14:val="tx1"/>
                  </w14:solidFill>
                </w14:textFill>
              </w:rPr>
              <w:t>原料处理车间位于</w:t>
            </w:r>
            <w:r>
              <w:rPr>
                <w:rFonts w:hint="eastAsia" w:ascii="Times New Roman" w:hAnsi="Times New Roman"/>
                <w:color w:val="000000" w:themeColor="text1"/>
                <w:spacing w:val="-2"/>
                <w14:textFill>
                  <w14:solidFill>
                    <w14:schemeClr w14:val="tx1"/>
                  </w14:solidFill>
                </w14:textFill>
              </w:rPr>
              <w:t>租用的</w:t>
            </w:r>
            <w:r>
              <w:rPr>
                <w:rFonts w:ascii="Times New Roman" w:hAnsi="Times New Roman"/>
                <w:color w:val="000000" w:themeColor="text1"/>
                <w:spacing w:val="-2"/>
                <w14:textFill>
                  <w14:solidFill>
                    <w14:schemeClr w14:val="tx1"/>
                  </w14:solidFill>
                </w14:textFill>
              </w:rPr>
              <w:t>创大3号仓库内西北侧，车间内尺寸长×宽×高为54.61m×21.6m×9m，车间内使用面积1179.58m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，结构形式采用砖混结构，钢结构顶棚，地面为混凝土硬化地面，四周封闭。</w:t>
            </w:r>
          </w:p>
          <w:p w14:paraId="13D893C9">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车间内设置原料烘干生产线1条，主要设备有烘干机、皮带输送机等，设备基础为钢筋混凝土结构；原料堆放区2处、干原料堆放区1处。</w:t>
            </w:r>
          </w:p>
          <w:p w14:paraId="76AA4D93">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功能分区位于车间南北两侧，车间中央为通道。该原料处理车间主要是进行湿原料的烘干。</w:t>
            </w:r>
          </w:p>
        </w:tc>
      </w:tr>
      <w:tr w14:paraId="14CA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0664F71">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7002493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2#分选车间</w:t>
            </w:r>
          </w:p>
        </w:tc>
        <w:tc>
          <w:tcPr>
            <w:tcW w:w="6186" w:type="dxa"/>
            <w:vAlign w:val="center"/>
          </w:tcPr>
          <w:p w14:paraId="22C082EE">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2#分选</w:t>
            </w:r>
            <w:r>
              <w:rPr>
                <w:rFonts w:ascii="Times New Roman" w:hAnsi="Times New Roman"/>
                <w:color w:val="000000" w:themeColor="text1"/>
                <w:spacing w:val="-2"/>
                <w14:textFill>
                  <w14:solidFill>
                    <w14:schemeClr w14:val="tx1"/>
                  </w14:solidFill>
                </w14:textFill>
              </w:rPr>
              <w:t>车间位</w:t>
            </w:r>
            <w:r>
              <w:rPr>
                <w:rFonts w:hint="eastAsia" w:ascii="Times New Roman" w:hAnsi="Times New Roman"/>
                <w:color w:val="000000" w:themeColor="text1"/>
                <w:spacing w:val="-2"/>
                <w14:textFill>
                  <w14:solidFill>
                    <w14:schemeClr w14:val="tx1"/>
                  </w14:solidFill>
                </w14:textFill>
              </w:rPr>
              <w:t>租用的</w:t>
            </w:r>
            <w:r>
              <w:rPr>
                <w:rFonts w:ascii="Times New Roman" w:hAnsi="Times New Roman"/>
                <w:color w:val="000000" w:themeColor="text1"/>
                <w:spacing w:val="-2"/>
                <w14:textFill>
                  <w14:solidFill>
                    <w14:schemeClr w14:val="tx1"/>
                  </w14:solidFill>
                </w14:textFill>
              </w:rPr>
              <w:t>于创大3号仓库内东北侧，车间内尺寸长×宽×高为54.6×21.6m×9m，车间内使用面积1179.36m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，结构形式采用砖混结构，钢结构顶棚，地面为混凝土硬化地面，四周封闭。</w:t>
            </w:r>
          </w:p>
          <w:p w14:paraId="4E6B9730">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车间内设置钛精矿磁选生产线2条，主要设备有磁选机、皮带输送机等，设备基础为钢筋混凝土结构；</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堆放区2处、精矿堆放区2处。</w:t>
            </w:r>
          </w:p>
          <w:p w14:paraId="1093E52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功能分区位于车间南北两侧，车间中央为通道。该分选车间主要是将烘干后的毛矿进行分选。</w:t>
            </w:r>
          </w:p>
        </w:tc>
      </w:tr>
      <w:tr w14:paraId="20A85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46CF914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储运工程</w:t>
            </w:r>
          </w:p>
        </w:tc>
        <w:tc>
          <w:tcPr>
            <w:tcW w:w="1489" w:type="dxa"/>
            <w:vAlign w:val="center"/>
          </w:tcPr>
          <w:p w14:paraId="24047FF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原料堆放区</w:t>
            </w:r>
          </w:p>
        </w:tc>
        <w:tc>
          <w:tcPr>
            <w:tcW w:w="6186" w:type="dxa"/>
            <w:vAlign w:val="center"/>
          </w:tcPr>
          <w:p w14:paraId="5BAD4120">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项目于1#原料处理车间西侧大门附近设置2处原料堆放区，每个原料堆放区的面积约181.44m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，用于堆放进厂的湿</w:t>
            </w:r>
            <w:r>
              <w:rPr>
                <w:rFonts w:hint="eastAsia" w:ascii="Times New Roman" w:hAnsi="Times New Roman"/>
                <w:color w:val="000000" w:themeColor="text1"/>
                <w:spacing w:val="-2"/>
                <w14:textFill>
                  <w14:solidFill>
                    <w14:schemeClr w14:val="tx1"/>
                  </w14:solidFill>
                </w14:textFill>
              </w:rPr>
              <w:t>度较大的</w:t>
            </w:r>
            <w:r>
              <w:rPr>
                <w:rFonts w:ascii="Times New Roman" w:hAnsi="Times New Roman"/>
                <w:color w:val="000000" w:themeColor="text1"/>
                <w:spacing w:val="-2"/>
                <w14:textFill>
                  <w14:solidFill>
                    <w14:schemeClr w14:val="tx1"/>
                  </w14:solidFill>
                </w14:textFill>
              </w:rPr>
              <w:t>毛矿。</w:t>
            </w:r>
          </w:p>
        </w:tc>
      </w:tr>
      <w:tr w14:paraId="667ED2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7609F2DC">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76B6D86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干原料堆放区</w:t>
            </w:r>
          </w:p>
        </w:tc>
        <w:tc>
          <w:tcPr>
            <w:tcW w:w="6186" w:type="dxa"/>
            <w:vAlign w:val="center"/>
          </w:tcPr>
          <w:p w14:paraId="5F98082F">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项目于1#原料处理车间东南部，烘干生产线南侧设置1处干原料堆放区，面积约181.44m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，用于堆放烘干后的毛矿，待</w:t>
            </w:r>
            <w:r>
              <w:rPr>
                <w:rFonts w:hint="eastAsia" w:ascii="Times New Roman" w:hAnsi="Times New Roman"/>
                <w:color w:val="000000" w:themeColor="text1"/>
                <w:spacing w:val="-2"/>
                <w14:textFill>
                  <w14:solidFill>
                    <w14:schemeClr w14:val="tx1"/>
                  </w14:solidFill>
                </w14:textFill>
              </w:rPr>
              <w:t>装载机</w:t>
            </w:r>
            <w:r>
              <w:rPr>
                <w:rFonts w:ascii="Times New Roman" w:hAnsi="Times New Roman"/>
                <w:color w:val="000000" w:themeColor="text1"/>
                <w:spacing w:val="-2"/>
                <w14:textFill>
                  <w14:solidFill>
                    <w14:schemeClr w14:val="tx1"/>
                  </w14:solidFill>
                </w14:textFill>
              </w:rPr>
              <w:t>运送到2#分选车间进行分选。</w:t>
            </w:r>
          </w:p>
        </w:tc>
      </w:tr>
      <w:tr w14:paraId="2486A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A5135A1">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088326F3">
            <w:pPr>
              <w:spacing w:after="0" w:line="240" w:lineRule="auto"/>
              <w:jc w:val="center"/>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放区</w:t>
            </w:r>
          </w:p>
        </w:tc>
        <w:tc>
          <w:tcPr>
            <w:tcW w:w="6186" w:type="dxa"/>
            <w:vAlign w:val="center"/>
          </w:tcPr>
          <w:p w14:paraId="2A79FA5E">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项目于2#分选车间西部，分选生产线西侧设置2处</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堆放区，每个</w:t>
            </w:r>
            <w:r>
              <w:rPr>
                <w:rFonts w:hint="eastAsia" w:ascii="Times New Roman" w:hAnsi="Times New Roman"/>
                <w:color w:val="000000" w:themeColor="text1"/>
                <w:spacing w:val="-2"/>
                <w14:textFill>
                  <w14:solidFill>
                    <w14:schemeClr w14:val="tx1"/>
                  </w14:solidFill>
                </w14:textFill>
              </w:rPr>
              <w:t>锆中矿</w:t>
            </w:r>
            <w:r>
              <w:rPr>
                <w:rFonts w:ascii="Times New Roman" w:hAnsi="Times New Roman"/>
                <w:color w:val="000000" w:themeColor="text1"/>
                <w:spacing w:val="-2"/>
                <w14:textFill>
                  <w14:solidFill>
                    <w14:schemeClr w14:val="tx1"/>
                  </w14:solidFill>
                </w14:textFill>
              </w:rPr>
              <w:t>堆放区的面积约100.80m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，用于堆放毛矿分选后产生的</w:t>
            </w:r>
            <w:r>
              <w:rPr>
                <w:rFonts w:hint="eastAsia" w:ascii="Times New Roman" w:hAnsi="Times New Roman"/>
                <w:color w:val="000000" w:themeColor="text1"/>
                <w:spacing w:val="-2"/>
                <w14:textFill>
                  <w14:solidFill>
                    <w14:schemeClr w14:val="tx1"/>
                  </w14:solidFill>
                </w14:textFill>
              </w:rPr>
              <w:t>副产品锆中矿</w:t>
            </w:r>
            <w:r>
              <w:rPr>
                <w:rFonts w:ascii="Times New Roman" w:hAnsi="Times New Roman"/>
                <w:color w:val="000000" w:themeColor="text1"/>
                <w:spacing w:val="-2"/>
                <w14:textFill>
                  <w14:solidFill>
                    <w14:schemeClr w14:val="tx1"/>
                  </w14:solidFill>
                </w14:textFill>
              </w:rPr>
              <w:t>。</w:t>
            </w:r>
          </w:p>
        </w:tc>
      </w:tr>
      <w:tr w14:paraId="1D6FE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C3DCD16">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49F1B5E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精矿堆放区</w:t>
            </w:r>
          </w:p>
        </w:tc>
        <w:tc>
          <w:tcPr>
            <w:tcW w:w="6186" w:type="dxa"/>
            <w:vAlign w:val="center"/>
          </w:tcPr>
          <w:p w14:paraId="58DC7B3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项目于2#分选车间东部，分选生产线东侧靠近东侧车间大门附近设置2处精矿堆放区，每个精矿堆放区的面积约120.96m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，用于堆放毛矿分选后产生的钛精矿，待外售。</w:t>
            </w:r>
          </w:p>
        </w:tc>
      </w:tr>
      <w:tr w14:paraId="5127B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95B3C36">
            <w:pPr>
              <w:spacing w:after="0" w:line="240" w:lineRule="auto"/>
              <w:jc w:val="center"/>
              <w:rPr>
                <w:rFonts w:ascii="Times New Roman" w:hAnsi="Times New Roman"/>
                <w:color w:val="000000" w:themeColor="text1"/>
                <w:spacing w:val="-2"/>
                <w14:textFill>
                  <w14:solidFill>
                    <w14:schemeClr w14:val="tx1"/>
                  </w14:solidFill>
                </w14:textFill>
              </w:rPr>
            </w:pPr>
          </w:p>
        </w:tc>
        <w:tc>
          <w:tcPr>
            <w:tcW w:w="1489" w:type="dxa"/>
            <w:vAlign w:val="center"/>
          </w:tcPr>
          <w:p w14:paraId="6C21CB3E">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生物质燃料</w:t>
            </w:r>
          </w:p>
          <w:p w14:paraId="677EEB6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堆放区</w:t>
            </w:r>
          </w:p>
        </w:tc>
        <w:tc>
          <w:tcPr>
            <w:tcW w:w="6186" w:type="dxa"/>
            <w:vAlign w:val="center"/>
          </w:tcPr>
          <w:p w14:paraId="0B18CAC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项目生物质燃料堆放于烘干</w:t>
            </w:r>
            <w:r>
              <w:rPr>
                <w:rFonts w:hint="eastAsia" w:ascii="Times New Roman" w:hAnsi="Times New Roman"/>
                <w:color w:val="000000" w:themeColor="text1"/>
                <w:spacing w:val="-2"/>
                <w14:textFill>
                  <w14:solidFill>
                    <w14:schemeClr w14:val="tx1"/>
                  </w14:solidFill>
                </w14:textFill>
              </w:rPr>
              <w:t>机西</w:t>
            </w:r>
            <w:r>
              <w:rPr>
                <w:rFonts w:ascii="Times New Roman" w:hAnsi="Times New Roman"/>
                <w:color w:val="000000" w:themeColor="text1"/>
                <w:spacing w:val="-2"/>
                <w14:textFill>
                  <w14:solidFill>
                    <w14:schemeClr w14:val="tx1"/>
                  </w14:solidFill>
                </w14:textFill>
              </w:rPr>
              <w:t>南侧，约50m</w:t>
            </w:r>
            <w:r>
              <w:rPr>
                <w:rFonts w:ascii="Times New Roman" w:hAnsi="Times New Roman"/>
                <w:color w:val="000000" w:themeColor="text1"/>
                <w:spacing w:val="-2"/>
                <w:vertAlign w:val="superscript"/>
                <w14:textFill>
                  <w14:solidFill>
                    <w14:schemeClr w14:val="tx1"/>
                  </w14:solidFill>
                </w14:textFill>
              </w:rPr>
              <w:t>2</w:t>
            </w:r>
            <w:r>
              <w:rPr>
                <w:rFonts w:ascii="Times New Roman" w:hAnsi="Times New Roman"/>
                <w:color w:val="000000" w:themeColor="text1"/>
                <w:spacing w:val="-2"/>
                <w14:textFill>
                  <w14:solidFill>
                    <w14:schemeClr w14:val="tx1"/>
                  </w14:solidFill>
                </w14:textFill>
              </w:rPr>
              <w:t>。</w:t>
            </w:r>
          </w:p>
        </w:tc>
      </w:tr>
      <w:tr w14:paraId="1DBCA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7C61ADE4">
            <w:pPr>
              <w:spacing w:after="0" w:line="240" w:lineRule="auto"/>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公辅工程</w:t>
            </w:r>
          </w:p>
        </w:tc>
        <w:tc>
          <w:tcPr>
            <w:tcW w:w="1489" w:type="dxa"/>
            <w:vAlign w:val="center"/>
          </w:tcPr>
          <w:p w14:paraId="4A58FD83">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供电</w:t>
            </w:r>
          </w:p>
        </w:tc>
        <w:tc>
          <w:tcPr>
            <w:tcW w:w="6186" w:type="dxa"/>
            <w:vAlign w:val="center"/>
          </w:tcPr>
          <w:p w14:paraId="530263D4">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由园区供电电网供应，供电能力可满足本项目用电。</w:t>
            </w:r>
          </w:p>
        </w:tc>
      </w:tr>
      <w:tr w14:paraId="35283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8B94E1D">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27F6A02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给排水</w:t>
            </w:r>
          </w:p>
        </w:tc>
        <w:tc>
          <w:tcPr>
            <w:tcW w:w="6186" w:type="dxa"/>
            <w:vAlign w:val="center"/>
          </w:tcPr>
          <w:p w14:paraId="3B69D38D">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污水：</w:t>
            </w:r>
            <w:r>
              <w:rPr>
                <w:rFonts w:ascii="Times New Roman" w:hAnsi="Times New Roman"/>
                <w:color w:val="000000" w:themeColor="text1"/>
                <w:spacing w:val="-2"/>
                <w14:textFill>
                  <w14:solidFill>
                    <w14:schemeClr w14:val="tx1"/>
                  </w14:solidFill>
                </w14:textFill>
              </w:rPr>
              <w:t>由园区市政管网提供，主要是工作人员厕所用水，生活污水经化粪池处理后排入市政污水管网。</w:t>
            </w:r>
          </w:p>
          <w:p w14:paraId="65E59F9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14:textFill>
                  <w14:solidFill>
                    <w14:schemeClr w14:val="tx1"/>
                  </w14:solidFill>
                </w14:textFill>
              </w:rPr>
              <w:t>雨水：</w:t>
            </w:r>
            <w:r>
              <w:rPr>
                <w:rFonts w:ascii="Times New Roman" w:hAnsi="Times New Roman"/>
                <w:color w:val="000000" w:themeColor="text1"/>
                <w:spacing w:val="-2"/>
                <w14:textFill>
                  <w14:solidFill>
                    <w14:schemeClr w14:val="tx1"/>
                  </w14:solidFill>
                </w14:textFill>
              </w:rPr>
              <w:t>项目租用已建成的仓库进行布置生产，项目生产线及物料堆放用地均布置在车间内，无新增室外建筑物。</w:t>
            </w:r>
            <w:r>
              <w:rPr>
                <w:rFonts w:ascii="Times New Roman" w:hAnsi="Times New Roman"/>
                <w:color w:val="000000" w:themeColor="text1"/>
                <w:spacing w:val="-2"/>
                <w:u w:val="single"/>
                <w14:textFill>
                  <w14:solidFill>
                    <w14:schemeClr w14:val="tx1"/>
                  </w14:solidFill>
                </w14:textFill>
              </w:rPr>
              <w:t>项目涉及的雨水主要为车间顶棚雨水</w:t>
            </w:r>
            <w:r>
              <w:rPr>
                <w:rFonts w:hint="eastAsia" w:ascii="Times New Roman" w:hAnsi="Times New Roman"/>
                <w:color w:val="000000" w:themeColor="text1"/>
                <w:spacing w:val="-2"/>
                <w:u w:val="single"/>
                <w14:textFill>
                  <w14:solidFill>
                    <w14:schemeClr w14:val="tx1"/>
                  </w14:solidFill>
                </w14:textFill>
              </w:rPr>
              <w:t>及车间进出口附近地面初期雨水</w:t>
            </w:r>
            <w:r>
              <w:rPr>
                <w:rFonts w:ascii="Times New Roman" w:hAnsi="Times New Roman"/>
                <w:color w:val="000000" w:themeColor="text1"/>
                <w:spacing w:val="-2"/>
                <w:u w:val="single"/>
                <w14:textFill>
                  <w14:solidFill>
                    <w14:schemeClr w14:val="tx1"/>
                  </w14:solidFill>
                </w14:textFill>
              </w:rPr>
              <w:t>，</w:t>
            </w:r>
            <w:r>
              <w:rPr>
                <w:rFonts w:hint="eastAsia" w:ascii="Times New Roman" w:hAnsi="Times New Roman"/>
                <w:color w:val="000000" w:themeColor="text1"/>
                <w:spacing w:val="-2"/>
                <w:u w:val="single"/>
                <w14:textFill>
                  <w14:solidFill>
                    <w14:schemeClr w14:val="tx1"/>
                  </w14:solidFill>
                </w14:textFill>
              </w:rPr>
              <w:t>在创大进口汽车仓储物流园东大门附近设置一个150m</w:t>
            </w:r>
            <w:r>
              <w:rPr>
                <w:rFonts w:hint="eastAsia" w:ascii="Times New Roman" w:hAnsi="Times New Roman"/>
                <w:color w:val="000000" w:themeColor="text1"/>
                <w:spacing w:val="-2"/>
                <w:u w:val="single"/>
                <w:vertAlign w:val="superscript"/>
                <w14:textFill>
                  <w14:solidFill>
                    <w14:schemeClr w14:val="tx1"/>
                  </w14:solidFill>
                </w14:textFill>
              </w:rPr>
              <w:t>3</w:t>
            </w:r>
            <w:r>
              <w:rPr>
                <w:rFonts w:hint="eastAsia" w:ascii="Times New Roman" w:hAnsi="Times New Roman"/>
                <w:color w:val="000000" w:themeColor="text1"/>
                <w:spacing w:val="-2"/>
                <w:u w:val="single"/>
                <w14:textFill>
                  <w14:solidFill>
                    <w14:schemeClr w14:val="tx1"/>
                  </w14:solidFill>
                </w14:textFill>
              </w:rPr>
              <w:t>的初期雨水池进行收集，收集后的初期雨水经沉淀后回用于项目水雾喷淋降尘系统使用。</w:t>
            </w:r>
          </w:p>
        </w:tc>
      </w:tr>
      <w:tr w14:paraId="37A81D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62A2F50B">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209F8F3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供热</w:t>
            </w:r>
          </w:p>
        </w:tc>
        <w:tc>
          <w:tcPr>
            <w:tcW w:w="6186" w:type="dxa"/>
            <w:vAlign w:val="center"/>
          </w:tcPr>
          <w:p w14:paraId="24464A96">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项目配置1台</w:t>
            </w:r>
            <w:r>
              <w:rPr>
                <w:rFonts w:hint="eastAsia" w:ascii="Times New Roman" w:hAnsi="Times New Roman"/>
                <w:color w:val="000000" w:themeColor="text1"/>
                <w:spacing w:val="-2"/>
                <w14:textFill>
                  <w14:solidFill>
                    <w14:schemeClr w14:val="tx1"/>
                  </w14:solidFill>
                </w14:textFill>
              </w:rPr>
              <w:t>燃生物质</w:t>
            </w:r>
            <w:r>
              <w:rPr>
                <w:rFonts w:ascii="Times New Roman" w:hAnsi="Times New Roman"/>
                <w:color w:val="000000" w:themeColor="text1"/>
                <w:spacing w:val="-2"/>
                <w14:textFill>
                  <w14:solidFill>
                    <w14:schemeClr w14:val="tx1"/>
                  </w14:solidFill>
                </w14:textFill>
              </w:rPr>
              <w:t>烘干炉，用于烘干</w:t>
            </w:r>
            <w:r>
              <w:rPr>
                <w:rFonts w:hint="eastAsia" w:ascii="Times New Roman" w:hAnsi="Times New Roman"/>
                <w:color w:val="000000" w:themeColor="text1"/>
                <w:spacing w:val="-2"/>
                <w14:textFill>
                  <w14:solidFill>
                    <w14:schemeClr w14:val="tx1"/>
                  </w14:solidFill>
                </w14:textFill>
              </w:rPr>
              <w:t>原料</w:t>
            </w:r>
            <w:r>
              <w:rPr>
                <w:rFonts w:ascii="Times New Roman" w:hAnsi="Times New Roman"/>
                <w:color w:val="000000" w:themeColor="text1"/>
                <w:spacing w:val="-2"/>
                <w14:textFill>
                  <w14:solidFill>
                    <w14:schemeClr w14:val="tx1"/>
                  </w14:solidFill>
                </w14:textFill>
              </w:rPr>
              <w:t>毛矿。</w:t>
            </w:r>
          </w:p>
        </w:tc>
      </w:tr>
      <w:tr w14:paraId="3AD29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479016B6">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7DC41E41">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消防</w:t>
            </w:r>
          </w:p>
        </w:tc>
        <w:tc>
          <w:tcPr>
            <w:tcW w:w="6186" w:type="dxa"/>
            <w:vAlign w:val="center"/>
          </w:tcPr>
          <w:p w14:paraId="67C9912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项目室外消防设施依托</w:t>
            </w:r>
            <w:bookmarkStart w:id="41" w:name="OLE_LINK13"/>
            <w:r>
              <w:rPr>
                <w:rFonts w:ascii="Times New Roman" w:hAnsi="Times New Roman"/>
                <w:color w:val="000000" w:themeColor="text1"/>
                <w:spacing w:val="-2"/>
                <w14:textFill>
                  <w14:solidFill>
                    <w14:schemeClr w14:val="tx1"/>
                  </w14:solidFill>
                </w14:textFill>
              </w:rPr>
              <w:t>创大进口汽车仓储物流园</w:t>
            </w:r>
            <w:bookmarkEnd w:id="41"/>
            <w:r>
              <w:rPr>
                <w:rFonts w:ascii="Times New Roman" w:hAnsi="Times New Roman"/>
                <w:color w:val="000000" w:themeColor="text1"/>
                <w:spacing w:val="-2"/>
                <w14:textFill>
                  <w14:solidFill>
                    <w14:schemeClr w14:val="tx1"/>
                  </w14:solidFill>
                </w14:textFill>
              </w:rPr>
              <w:t>内的消防设施。</w:t>
            </w:r>
          </w:p>
        </w:tc>
      </w:tr>
      <w:tr w14:paraId="122EB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restart"/>
            <w:vAlign w:val="center"/>
          </w:tcPr>
          <w:p w14:paraId="3C8F39F0">
            <w:pPr>
              <w:spacing w:after="0" w:line="240" w:lineRule="auto"/>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环保工程</w:t>
            </w:r>
          </w:p>
        </w:tc>
        <w:tc>
          <w:tcPr>
            <w:tcW w:w="1489" w:type="dxa"/>
            <w:vMerge w:val="restart"/>
            <w:vAlign w:val="center"/>
          </w:tcPr>
          <w:p w14:paraId="5DAE87F9">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废气处理措施</w:t>
            </w:r>
          </w:p>
        </w:tc>
        <w:tc>
          <w:tcPr>
            <w:tcW w:w="6186" w:type="dxa"/>
            <w:vAlign w:val="center"/>
          </w:tcPr>
          <w:p w14:paraId="0BA348DB">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毛矿烘干炉烟气经布袋除尘器处理，粉尘去除率达99%，烟气经1</w:t>
            </w:r>
            <w:r>
              <w:rPr>
                <w:rFonts w:hint="eastAsia" w:ascii="Times New Roman" w:hAnsi="Times New Roman"/>
                <w:color w:val="000000" w:themeColor="text1"/>
                <w:spacing w:val="-2"/>
                <w14:textFill>
                  <w14:solidFill>
                    <w14:schemeClr w14:val="tx1"/>
                  </w14:solidFill>
                </w14:textFill>
              </w:rPr>
              <w:t>9</w:t>
            </w:r>
            <w:r>
              <w:rPr>
                <w:rFonts w:ascii="Times New Roman" w:hAnsi="Times New Roman"/>
                <w:color w:val="000000" w:themeColor="text1"/>
                <w:spacing w:val="-2"/>
                <w14:textFill>
                  <w14:solidFill>
                    <w14:schemeClr w14:val="tx1"/>
                  </w14:solidFill>
                </w14:textFill>
              </w:rPr>
              <w:t>m高排气筒DA001排放。</w:t>
            </w:r>
          </w:p>
        </w:tc>
      </w:tr>
      <w:tr w14:paraId="54825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4D07703">
            <w:pPr>
              <w:spacing w:after="0" w:line="240" w:lineRule="auto"/>
              <w:rPr>
                <w:rFonts w:ascii="Times New Roman" w:hAnsi="Times New Roman"/>
                <w:color w:val="000000" w:themeColor="text1"/>
                <w:spacing w:val="-2"/>
                <w14:textFill>
                  <w14:solidFill>
                    <w14:schemeClr w14:val="tx1"/>
                  </w14:solidFill>
                </w14:textFill>
              </w:rPr>
            </w:pPr>
          </w:p>
        </w:tc>
        <w:tc>
          <w:tcPr>
            <w:tcW w:w="1489" w:type="dxa"/>
            <w:vMerge w:val="continue"/>
            <w:vAlign w:val="center"/>
          </w:tcPr>
          <w:p w14:paraId="6C726B01">
            <w:pPr>
              <w:spacing w:after="0" w:line="240" w:lineRule="auto"/>
              <w:jc w:val="center"/>
              <w:rPr>
                <w:rFonts w:ascii="Times New Roman" w:hAnsi="Times New Roman"/>
                <w:color w:val="000000" w:themeColor="text1"/>
                <w:spacing w:val="-2"/>
                <w14:textFill>
                  <w14:solidFill>
                    <w14:schemeClr w14:val="tx1"/>
                  </w14:solidFill>
                </w14:textFill>
              </w:rPr>
            </w:pPr>
          </w:p>
        </w:tc>
        <w:tc>
          <w:tcPr>
            <w:tcW w:w="6186" w:type="dxa"/>
            <w:vAlign w:val="center"/>
          </w:tcPr>
          <w:p w14:paraId="7C7FF90D">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1#生产</w:t>
            </w:r>
            <w:r>
              <w:rPr>
                <w:rFonts w:ascii="Times New Roman" w:hAnsi="Times New Roman"/>
                <w:color w:val="000000" w:themeColor="text1"/>
                <w:spacing w:val="-2"/>
                <w:u w:val="single"/>
                <w14:textFill>
                  <w14:solidFill>
                    <w14:schemeClr w14:val="tx1"/>
                  </w14:solidFill>
                </w14:textFill>
              </w:rPr>
              <w:t>车间</w:t>
            </w:r>
            <w:r>
              <w:rPr>
                <w:rFonts w:hint="eastAsia" w:ascii="Times New Roman" w:hAnsi="Times New Roman"/>
                <w:color w:val="000000" w:themeColor="text1"/>
                <w:spacing w:val="-2"/>
                <w:u w:val="single"/>
                <w14:textFill>
                  <w14:solidFill>
                    <w14:schemeClr w14:val="tx1"/>
                  </w14:solidFill>
                </w14:textFill>
              </w:rPr>
              <w:t>、2#生产车间设备进出料</w:t>
            </w:r>
            <w:r>
              <w:rPr>
                <w:rFonts w:ascii="Times New Roman" w:hAnsi="Times New Roman"/>
                <w:color w:val="000000" w:themeColor="text1"/>
                <w:spacing w:val="-2"/>
                <w:u w:val="single"/>
                <w14:textFill>
                  <w14:solidFill>
                    <w14:schemeClr w14:val="tx1"/>
                  </w14:solidFill>
                </w14:textFill>
              </w:rPr>
              <w:t>粉尘排放口</w:t>
            </w:r>
            <w:r>
              <w:rPr>
                <w:rFonts w:hint="eastAsia" w:ascii="Times New Roman" w:hAnsi="Times New Roman"/>
                <w:color w:val="000000" w:themeColor="text1"/>
                <w:spacing w:val="-2"/>
                <w:u w:val="single"/>
                <w14:textFill>
                  <w14:solidFill>
                    <w14:schemeClr w14:val="tx1"/>
                  </w14:solidFill>
                </w14:textFill>
              </w:rPr>
              <w:t>均</w:t>
            </w:r>
            <w:r>
              <w:rPr>
                <w:rFonts w:ascii="Times New Roman" w:hAnsi="Times New Roman"/>
                <w:color w:val="000000" w:themeColor="text1"/>
                <w:spacing w:val="-2"/>
                <w:u w:val="single"/>
                <w14:textFill>
                  <w14:solidFill>
                    <w14:schemeClr w14:val="tx1"/>
                  </w14:solidFill>
                </w14:textFill>
              </w:rPr>
              <w:t>安装集气罩进行收集，收集后的粉尘</w:t>
            </w:r>
            <w:r>
              <w:rPr>
                <w:rFonts w:hint="eastAsia" w:ascii="Times New Roman" w:hAnsi="Times New Roman"/>
                <w:color w:val="000000" w:themeColor="text1"/>
                <w:spacing w:val="-2"/>
                <w:u w:val="single"/>
                <w14:textFill>
                  <w14:solidFill>
                    <w14:schemeClr w14:val="tx1"/>
                  </w14:solidFill>
                </w14:textFill>
              </w:rPr>
              <w:t>分别</w:t>
            </w:r>
            <w:r>
              <w:rPr>
                <w:rFonts w:ascii="Times New Roman" w:hAnsi="Times New Roman"/>
                <w:color w:val="000000" w:themeColor="text1"/>
                <w:spacing w:val="-2"/>
                <w:u w:val="single"/>
                <w14:textFill>
                  <w14:solidFill>
                    <w14:schemeClr w14:val="tx1"/>
                  </w14:solidFill>
                </w14:textFill>
              </w:rPr>
              <w:t>经</w:t>
            </w:r>
            <w:r>
              <w:rPr>
                <w:rFonts w:hint="eastAsia" w:ascii="Times New Roman" w:hAnsi="Times New Roman"/>
                <w:color w:val="000000" w:themeColor="text1"/>
                <w:spacing w:val="-2"/>
                <w:u w:val="single"/>
                <w14:textFill>
                  <w14:solidFill>
                    <w14:schemeClr w14:val="tx1"/>
                  </w14:solidFill>
                </w14:textFill>
              </w:rPr>
              <w:t>过2套袋式</w:t>
            </w:r>
            <w:r>
              <w:rPr>
                <w:rFonts w:ascii="Times New Roman" w:hAnsi="Times New Roman"/>
                <w:color w:val="000000" w:themeColor="text1"/>
                <w:spacing w:val="-2"/>
                <w:u w:val="single"/>
                <w14:textFill>
                  <w14:solidFill>
                    <w14:schemeClr w14:val="tx1"/>
                  </w14:solidFill>
                </w14:textFill>
              </w:rPr>
              <w:t>除尘</w:t>
            </w:r>
            <w:r>
              <w:rPr>
                <w:rFonts w:hint="eastAsia" w:ascii="Times New Roman" w:hAnsi="Times New Roman"/>
                <w:color w:val="000000" w:themeColor="text1"/>
                <w:spacing w:val="-2"/>
                <w:u w:val="single"/>
                <w14:textFill>
                  <w14:solidFill>
                    <w14:schemeClr w14:val="tx1"/>
                  </w14:solidFill>
                </w14:textFill>
              </w:rPr>
              <w:t>系统</w:t>
            </w:r>
            <w:r>
              <w:rPr>
                <w:rFonts w:ascii="Times New Roman" w:hAnsi="Times New Roman"/>
                <w:color w:val="000000" w:themeColor="text1"/>
                <w:spacing w:val="-2"/>
                <w:u w:val="single"/>
                <w14:textFill>
                  <w14:solidFill>
                    <w14:schemeClr w14:val="tx1"/>
                  </w14:solidFill>
                </w14:textFill>
              </w:rPr>
              <w:t>处理，粉尘去除率达99%，除尘尾气经</w:t>
            </w:r>
            <w:r>
              <w:rPr>
                <w:rFonts w:hint="eastAsia" w:ascii="Times New Roman" w:hAnsi="Times New Roman"/>
                <w:color w:val="000000" w:themeColor="text1"/>
                <w:spacing w:val="-2"/>
                <w:u w:val="single"/>
                <w14:textFill>
                  <w14:solidFill>
                    <w14:schemeClr w14:val="tx1"/>
                  </w14:solidFill>
                </w14:textFill>
              </w:rPr>
              <w:t>2根19</w:t>
            </w:r>
            <w:r>
              <w:rPr>
                <w:rFonts w:ascii="Times New Roman" w:hAnsi="Times New Roman"/>
                <w:color w:val="000000" w:themeColor="text1"/>
                <w:spacing w:val="-2"/>
                <w:u w:val="single"/>
                <w14:textFill>
                  <w14:solidFill>
                    <w14:schemeClr w14:val="tx1"/>
                  </w14:solidFill>
                </w14:textFill>
              </w:rPr>
              <w:t>m高排气筒DA002</w:t>
            </w:r>
            <w:r>
              <w:rPr>
                <w:rFonts w:hint="eastAsia" w:ascii="Times New Roman" w:hAnsi="Times New Roman"/>
                <w:color w:val="000000" w:themeColor="text1"/>
                <w:spacing w:val="-2"/>
                <w:u w:val="single"/>
                <w14:textFill>
                  <w14:solidFill>
                    <w14:schemeClr w14:val="tx1"/>
                  </w14:solidFill>
                </w14:textFill>
              </w:rPr>
              <w:t>、DA003</w:t>
            </w:r>
            <w:r>
              <w:rPr>
                <w:rFonts w:ascii="Times New Roman" w:hAnsi="Times New Roman"/>
                <w:color w:val="000000" w:themeColor="text1"/>
                <w:spacing w:val="-2"/>
                <w:u w:val="single"/>
                <w14:textFill>
                  <w14:solidFill>
                    <w14:schemeClr w14:val="tx1"/>
                  </w14:solidFill>
                </w14:textFill>
              </w:rPr>
              <w:t>排放。</w:t>
            </w:r>
          </w:p>
        </w:tc>
      </w:tr>
      <w:tr w14:paraId="14ECB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555CEA25">
            <w:pPr>
              <w:spacing w:after="0" w:line="240" w:lineRule="auto"/>
              <w:rPr>
                <w:rFonts w:ascii="Times New Roman" w:hAnsi="Times New Roman"/>
                <w:color w:val="000000" w:themeColor="text1"/>
                <w:spacing w:val="-2"/>
                <w14:textFill>
                  <w14:solidFill>
                    <w14:schemeClr w14:val="tx1"/>
                  </w14:solidFill>
                </w14:textFill>
              </w:rPr>
            </w:pPr>
          </w:p>
        </w:tc>
        <w:tc>
          <w:tcPr>
            <w:tcW w:w="1489" w:type="dxa"/>
            <w:vMerge w:val="continue"/>
            <w:vAlign w:val="center"/>
          </w:tcPr>
          <w:p w14:paraId="688F6F98">
            <w:pPr>
              <w:spacing w:after="0" w:line="240" w:lineRule="auto"/>
              <w:jc w:val="center"/>
              <w:rPr>
                <w:rFonts w:ascii="Times New Roman" w:hAnsi="Times New Roman"/>
                <w:color w:val="000000" w:themeColor="text1"/>
                <w:spacing w:val="-2"/>
                <w14:textFill>
                  <w14:solidFill>
                    <w14:schemeClr w14:val="tx1"/>
                  </w14:solidFill>
                </w14:textFill>
              </w:rPr>
            </w:pPr>
          </w:p>
        </w:tc>
        <w:tc>
          <w:tcPr>
            <w:tcW w:w="6186" w:type="dxa"/>
            <w:vAlign w:val="center"/>
          </w:tcPr>
          <w:p w14:paraId="22D3A852">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毛矿进厂卸车、铲车转运至烘干、铲车转运至磁选、铲车产品移堆等铲车装卸区域安装水雾喷淋系统降尘；</w:t>
            </w:r>
          </w:p>
          <w:p w14:paraId="2CED13A7">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在磁选机组两侧安装水雾喷淋系统除尘；</w:t>
            </w:r>
          </w:p>
          <w:p w14:paraId="61B91879">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在车间出入口处安装水雾喷淋系统除尘。</w:t>
            </w:r>
          </w:p>
        </w:tc>
      </w:tr>
      <w:tr w14:paraId="061C4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26B4E50F">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04C42D72">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废水处理措施</w:t>
            </w:r>
          </w:p>
        </w:tc>
        <w:tc>
          <w:tcPr>
            <w:tcW w:w="6186" w:type="dxa"/>
            <w:vAlign w:val="center"/>
          </w:tcPr>
          <w:p w14:paraId="75101C58">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生活污水经化粪池处理后经园区纳污管网排入大榄坪污水处理厂处理。</w:t>
            </w:r>
          </w:p>
        </w:tc>
      </w:tr>
      <w:tr w14:paraId="6D640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4" w:type="dxa"/>
            <w:vMerge w:val="continue"/>
            <w:vAlign w:val="center"/>
          </w:tcPr>
          <w:p w14:paraId="0545E0FC">
            <w:pPr>
              <w:spacing w:after="0" w:line="240" w:lineRule="auto"/>
              <w:rPr>
                <w:rFonts w:ascii="Times New Roman" w:hAnsi="Times New Roman"/>
                <w:color w:val="000000" w:themeColor="text1"/>
                <w:spacing w:val="-2"/>
                <w14:textFill>
                  <w14:solidFill>
                    <w14:schemeClr w14:val="tx1"/>
                  </w14:solidFill>
                </w14:textFill>
              </w:rPr>
            </w:pPr>
          </w:p>
        </w:tc>
        <w:tc>
          <w:tcPr>
            <w:tcW w:w="1489" w:type="dxa"/>
            <w:vAlign w:val="center"/>
          </w:tcPr>
          <w:p w14:paraId="64D4D60C">
            <w:pPr>
              <w:spacing w:after="0" w:line="240" w:lineRule="auto"/>
              <w:jc w:val="center"/>
              <w:rPr>
                <w:rFonts w:ascii="Times New Roman" w:hAnsi="Times New Roman"/>
                <w:color w:val="000000" w:themeColor="text1"/>
                <w:spacing w:val="-2"/>
                <w14:textFill>
                  <w14:solidFill>
                    <w14:schemeClr w14:val="tx1"/>
                  </w14:solidFill>
                </w14:textFill>
              </w:rPr>
            </w:pPr>
            <w:r>
              <w:rPr>
                <w:rFonts w:ascii="Times New Roman" w:hAnsi="Times New Roman"/>
                <w:color w:val="000000" w:themeColor="text1"/>
                <w:spacing w:val="-2"/>
                <w14:textFill>
                  <w14:solidFill>
                    <w14:schemeClr w14:val="tx1"/>
                  </w14:solidFill>
                </w14:textFill>
              </w:rPr>
              <w:t>固体废物措施</w:t>
            </w:r>
          </w:p>
        </w:tc>
        <w:tc>
          <w:tcPr>
            <w:tcW w:w="6186" w:type="dxa"/>
            <w:vAlign w:val="center"/>
          </w:tcPr>
          <w:p w14:paraId="3453CE00">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烘干炉炉渣</w:t>
            </w:r>
            <w:r>
              <w:rPr>
                <w:rFonts w:hint="eastAsia" w:ascii="Times New Roman" w:hAnsi="Times New Roman"/>
                <w:color w:val="000000" w:themeColor="text1"/>
                <w:spacing w:val="-2"/>
                <w:u w:val="single"/>
                <w14:textFill>
                  <w14:solidFill>
                    <w14:schemeClr w14:val="tx1"/>
                  </w14:solidFill>
                </w14:textFill>
              </w:rPr>
              <w:t>外售给有机肥原料生产企业</w:t>
            </w:r>
            <w:r>
              <w:rPr>
                <w:rFonts w:ascii="Times New Roman" w:hAnsi="Times New Roman"/>
                <w:color w:val="000000" w:themeColor="text1"/>
                <w:spacing w:val="-2"/>
                <w:u w:val="single"/>
                <w14:textFill>
                  <w14:solidFill>
                    <w14:schemeClr w14:val="tx1"/>
                  </w14:solidFill>
                </w14:textFill>
              </w:rPr>
              <w:t>；</w:t>
            </w:r>
          </w:p>
          <w:p w14:paraId="0E12953E">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烘干炉除尘器收集的粉尘</w:t>
            </w:r>
            <w:r>
              <w:rPr>
                <w:rFonts w:hint="eastAsia" w:ascii="Times New Roman" w:hAnsi="Times New Roman"/>
                <w:color w:val="000000" w:themeColor="text1"/>
                <w:spacing w:val="-2"/>
                <w:u w:val="single"/>
                <w14:textFill>
                  <w14:solidFill>
                    <w14:schemeClr w14:val="tx1"/>
                  </w14:solidFill>
                </w14:textFill>
              </w:rPr>
              <w:t>与</w:t>
            </w:r>
            <w:r>
              <w:rPr>
                <w:rFonts w:ascii="Times New Roman" w:hAnsi="Times New Roman"/>
                <w:color w:val="000000" w:themeColor="text1"/>
                <w:spacing w:val="-2"/>
                <w:u w:val="single"/>
                <w14:textFill>
                  <w14:solidFill>
                    <w14:schemeClr w14:val="tx1"/>
                  </w14:solidFill>
                </w14:textFill>
              </w:rPr>
              <w:t>生产车间除尘器收集的含矿粉尘掺入</w:t>
            </w:r>
            <w:r>
              <w:rPr>
                <w:rFonts w:hint="eastAsia" w:ascii="Times New Roman" w:hAnsi="Times New Roman"/>
                <w:color w:val="000000" w:themeColor="text1"/>
                <w:spacing w:val="-2"/>
                <w:u w:val="single"/>
                <w14:textFill>
                  <w14:solidFill>
                    <w14:schemeClr w14:val="tx1"/>
                  </w14:solidFill>
                </w14:textFill>
              </w:rPr>
              <w:t>锆中矿</w:t>
            </w:r>
            <w:r>
              <w:rPr>
                <w:rFonts w:ascii="Times New Roman" w:hAnsi="Times New Roman"/>
                <w:color w:val="000000" w:themeColor="text1"/>
                <w:spacing w:val="-2"/>
                <w:u w:val="single"/>
                <w14:textFill>
                  <w14:solidFill>
                    <w14:schemeClr w14:val="tx1"/>
                  </w14:solidFill>
                </w14:textFill>
              </w:rPr>
              <w:t>堆放区临时存放，外售给深度分选加工企业综合利用；</w:t>
            </w:r>
          </w:p>
          <w:p w14:paraId="79F42AAF">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生产车间地面沉降的含矿粉尘</w:t>
            </w:r>
            <w:r>
              <w:rPr>
                <w:rFonts w:hint="eastAsia" w:ascii="Times New Roman" w:hAnsi="Times New Roman"/>
                <w:color w:val="000000" w:themeColor="text1"/>
                <w:spacing w:val="-2"/>
                <w:u w:val="single"/>
                <w14:textFill>
                  <w14:solidFill>
                    <w14:schemeClr w14:val="tx1"/>
                  </w14:solidFill>
                </w14:textFill>
              </w:rPr>
              <w:t>收集后放置到原料堆放区，作为原料重新投入到生产线进行分选</w:t>
            </w:r>
            <w:r>
              <w:rPr>
                <w:rFonts w:ascii="Times New Roman" w:hAnsi="Times New Roman"/>
                <w:color w:val="000000" w:themeColor="text1"/>
                <w:spacing w:val="-2"/>
                <w:u w:val="single"/>
                <w14:textFill>
                  <w14:solidFill>
                    <w14:schemeClr w14:val="tx1"/>
                  </w14:solidFill>
                </w14:textFill>
              </w:rPr>
              <w:t>；</w:t>
            </w:r>
          </w:p>
          <w:p w14:paraId="27168080">
            <w:pPr>
              <w:spacing w:after="0" w:line="240" w:lineRule="auto"/>
              <w:ind w:firstLine="412" w:firstLineChars="200"/>
              <w:rPr>
                <w:rFonts w:ascii="Times New Roman" w:hAnsi="Times New Roman"/>
                <w:color w:val="000000" w:themeColor="text1"/>
                <w:spacing w:val="-2"/>
                <w:u w:val="single"/>
                <w14:textFill>
                  <w14:solidFill>
                    <w14:schemeClr w14:val="tx1"/>
                  </w14:solidFill>
                </w14:textFill>
              </w:rPr>
            </w:pPr>
            <w:r>
              <w:rPr>
                <w:rFonts w:ascii="Times New Roman" w:hAnsi="Times New Roman"/>
                <w:color w:val="000000" w:themeColor="text1"/>
                <w:spacing w:val="-2"/>
                <w:u w:val="single"/>
                <w14:textFill>
                  <w14:solidFill>
                    <w14:schemeClr w14:val="tx1"/>
                  </w14:solidFill>
                </w14:textFill>
              </w:rPr>
              <w:t>生活垃圾交由环卫部门处理；</w:t>
            </w:r>
          </w:p>
          <w:p w14:paraId="15976E02">
            <w:pPr>
              <w:spacing w:after="0" w:line="240" w:lineRule="auto"/>
              <w:ind w:firstLine="412" w:firstLineChars="200"/>
              <w:rPr>
                <w:rFonts w:ascii="Times New Roman" w:hAnsi="Times New Roman"/>
                <w:color w:val="000000" w:themeColor="text1"/>
                <w:spacing w:val="-2"/>
                <w14:textFill>
                  <w14:solidFill>
                    <w14:schemeClr w14:val="tx1"/>
                  </w14:solidFill>
                </w14:textFill>
              </w:rPr>
            </w:pPr>
            <w:r>
              <w:rPr>
                <w:rFonts w:hint="eastAsia" w:ascii="Times New Roman" w:hAnsi="Times New Roman"/>
                <w:color w:val="000000" w:themeColor="text1"/>
                <w:spacing w:val="-2"/>
                <w:u w:val="single"/>
                <w14:textFill>
                  <w14:solidFill>
                    <w14:schemeClr w14:val="tx1"/>
                  </w14:solidFill>
                </w14:textFill>
              </w:rPr>
              <w:t>除尘器废除尘袋暂存于专用贮存场地，定期外售综合利用或处置。</w:t>
            </w:r>
          </w:p>
        </w:tc>
      </w:tr>
    </w:tbl>
    <w:p w14:paraId="323054C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42" w:name="_Toc78822646"/>
    </w:p>
    <w:p w14:paraId="033207E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工程平面布置及放射性气态、液态流出物排放位置</w:t>
      </w:r>
      <w:bookmarkEnd w:id="42"/>
    </w:p>
    <w:p w14:paraId="3166E59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本项目租用广西钦州保税区创大冷链物流公司进口汽车仓储物流园内的3号仓库进行生产，本项目生产线及原料、产品等物料的存放均设置在室内，无新增室外建筑物，项目的总平面布局均在3号仓库内。</w:t>
      </w:r>
      <w:r>
        <w:rPr>
          <w:rFonts w:hint="eastAsia" w:ascii="Times New Roman" w:hAnsi="Times New Roman"/>
          <w:color w:val="000000" w:themeColor="text1"/>
          <w:sz w:val="24"/>
          <w:szCs w:val="24"/>
          <w:u w:val="single"/>
          <w14:textFill>
            <w14:solidFill>
              <w14:schemeClr w14:val="tx1"/>
            </w14:solidFill>
          </w14:textFill>
        </w:rPr>
        <w:t>本项目的厂界保守以项目租用的3号仓库用地边界作为项目的厂界进行控制。</w:t>
      </w:r>
    </w:p>
    <w:p w14:paraId="5381B6A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生产用地较小，厂房内仅布置与生产相关的设施设备，不设置生活区、办公区等，厂房的供电、给排水、消防等设施均依托园区现有的公辅设施。项目厂房内布局按照工艺流程顺捷的原则，充分利用厂房内的地形条件，减少物料的反向运输；在满足安全防护距离要求的情况下，达到流程顺、距离短、减少分散布置、达到节能降耗的目的。</w:t>
      </w:r>
      <w:r>
        <w:rPr>
          <w:rFonts w:ascii="Times New Roman" w:hAnsi="Times New Roman"/>
          <w:color w:val="000000" w:themeColor="text1"/>
          <w:sz w:val="24"/>
          <w:szCs w:val="24"/>
          <w:u w:val="single"/>
          <w14:textFill>
            <w14:solidFill>
              <w14:schemeClr w14:val="tx1"/>
            </w14:solidFill>
          </w14:textFill>
        </w:rPr>
        <w:t>根据项目厂房平面布局，项目厂房为矩形，厂房内分为2个车间，项目原料</w:t>
      </w:r>
      <w:r>
        <w:rPr>
          <w:rFonts w:hint="eastAsia" w:ascii="Times New Roman" w:hAnsi="Times New Roman"/>
          <w:color w:val="000000" w:themeColor="text1"/>
          <w:sz w:val="24"/>
          <w:szCs w:val="24"/>
          <w:u w:val="single"/>
          <w14:textFill>
            <w14:solidFill>
              <w14:schemeClr w14:val="tx1"/>
            </w14:solidFill>
          </w14:textFill>
        </w:rPr>
        <w:t>采用集装箱运输，运输车由创大物流园南门进入，在项目</w:t>
      </w:r>
      <w:r>
        <w:rPr>
          <w:rFonts w:ascii="Times New Roman" w:hAnsi="Times New Roman"/>
          <w:color w:val="000000" w:themeColor="text1"/>
          <w:sz w:val="24"/>
          <w:szCs w:val="24"/>
          <w:u w:val="single"/>
          <w14:textFill>
            <w14:solidFill>
              <w14:schemeClr w14:val="tx1"/>
            </w14:solidFill>
          </w14:textFill>
        </w:rPr>
        <w:t>厂房西大门</w:t>
      </w:r>
      <w:r>
        <w:rPr>
          <w:rFonts w:hint="eastAsia" w:ascii="Times New Roman" w:hAnsi="Times New Roman"/>
          <w:color w:val="000000" w:themeColor="text1"/>
          <w:sz w:val="24"/>
          <w:szCs w:val="24"/>
          <w:u w:val="single"/>
          <w14:textFill>
            <w14:solidFill>
              <w14:schemeClr w14:val="tx1"/>
            </w14:solidFill>
          </w14:textFill>
        </w:rPr>
        <w:t>整箱拖入</w:t>
      </w:r>
      <w:r>
        <w:rPr>
          <w:rFonts w:ascii="Times New Roman" w:hAnsi="Times New Roman"/>
          <w:color w:val="000000" w:themeColor="text1"/>
          <w:sz w:val="24"/>
          <w:szCs w:val="24"/>
          <w:u w:val="single"/>
          <w14:textFill>
            <w14:solidFill>
              <w14:schemeClr w14:val="tx1"/>
            </w14:solidFill>
          </w14:textFill>
        </w:rPr>
        <w:t>1#原料处理车间</w:t>
      </w:r>
      <w:r>
        <w:rPr>
          <w:rFonts w:hint="eastAsia" w:ascii="Times New Roman" w:hAnsi="Times New Roman"/>
          <w:color w:val="000000" w:themeColor="text1"/>
          <w:sz w:val="24"/>
          <w:szCs w:val="24"/>
          <w:u w:val="single"/>
          <w14:textFill>
            <w14:solidFill>
              <w14:schemeClr w14:val="tx1"/>
            </w14:solidFill>
          </w14:textFill>
        </w:rPr>
        <w:t>内拆箱卸货</w:t>
      </w:r>
      <w:r>
        <w:rPr>
          <w:rFonts w:ascii="Times New Roman" w:hAnsi="Times New Roman"/>
          <w:color w:val="000000" w:themeColor="text1"/>
          <w:sz w:val="24"/>
          <w:szCs w:val="24"/>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项目生产车间内按照生产流程物料</w:t>
      </w:r>
      <w:r>
        <w:rPr>
          <w:rFonts w:ascii="Times New Roman" w:hAnsi="Times New Roman"/>
          <w:color w:val="000000" w:themeColor="text1"/>
          <w:sz w:val="24"/>
          <w:szCs w:val="24"/>
          <w:u w:val="single"/>
          <w14:textFill>
            <w14:solidFill>
              <w14:schemeClr w14:val="tx1"/>
            </w14:solidFill>
          </w14:textFill>
        </w:rPr>
        <w:t>依次</w:t>
      </w:r>
      <w:r>
        <w:rPr>
          <w:rFonts w:hint="eastAsia" w:ascii="Times New Roman" w:hAnsi="Times New Roman"/>
          <w:color w:val="000000" w:themeColor="text1"/>
          <w:sz w:val="24"/>
          <w:szCs w:val="24"/>
          <w:u w:val="single"/>
          <w14:textFill>
            <w14:solidFill>
              <w14:schemeClr w14:val="tx1"/>
            </w14:solidFill>
          </w14:textFill>
        </w:rPr>
        <w:t>从</w:t>
      </w:r>
      <w:r>
        <w:rPr>
          <w:rFonts w:ascii="Times New Roman" w:hAnsi="Times New Roman"/>
          <w:color w:val="000000" w:themeColor="text1"/>
          <w:sz w:val="24"/>
          <w:szCs w:val="24"/>
          <w:u w:val="single"/>
          <w14:textFill>
            <w14:solidFill>
              <w14:schemeClr w14:val="tx1"/>
            </w14:solidFill>
          </w14:textFill>
        </w:rPr>
        <w:t>1#原料处理车间</w:t>
      </w:r>
      <w:r>
        <w:rPr>
          <w:rFonts w:hint="eastAsia" w:ascii="Times New Roman" w:hAnsi="Times New Roman"/>
          <w:color w:val="000000" w:themeColor="text1"/>
          <w:sz w:val="24"/>
          <w:szCs w:val="24"/>
          <w:u w:val="single"/>
          <w14:textFill>
            <w14:solidFill>
              <w14:schemeClr w14:val="tx1"/>
            </w14:solidFill>
          </w14:textFill>
        </w:rPr>
        <w:t>，到</w:t>
      </w:r>
      <w:r>
        <w:rPr>
          <w:rFonts w:ascii="Times New Roman" w:hAnsi="Times New Roman"/>
          <w:color w:val="000000" w:themeColor="text1"/>
          <w:sz w:val="24"/>
          <w:szCs w:val="24"/>
          <w:u w:val="single"/>
          <w14:textFill>
            <w14:solidFill>
              <w14:schemeClr w14:val="tx1"/>
            </w14:solidFill>
          </w14:textFill>
        </w:rPr>
        <w:t>2#分选车间，毛矿经过磁选后</w:t>
      </w:r>
      <w:r>
        <w:rPr>
          <w:rFonts w:hint="eastAsia" w:ascii="Times New Roman" w:hAnsi="Times New Roman"/>
          <w:color w:val="000000" w:themeColor="text1"/>
          <w:sz w:val="24"/>
          <w:szCs w:val="24"/>
          <w:u w:val="single"/>
          <w14:textFill>
            <w14:solidFill>
              <w14:schemeClr w14:val="tx1"/>
            </w14:solidFill>
          </w14:textFill>
        </w:rPr>
        <w:t>产生的产品及副产品</w:t>
      </w:r>
      <w:r>
        <w:rPr>
          <w:rFonts w:ascii="Times New Roman" w:hAnsi="Times New Roman"/>
          <w:color w:val="000000" w:themeColor="text1"/>
          <w:sz w:val="24"/>
          <w:szCs w:val="24"/>
          <w:u w:val="single"/>
          <w14:textFill>
            <w14:solidFill>
              <w14:schemeClr w14:val="tx1"/>
            </w14:solidFill>
          </w14:textFill>
        </w:rPr>
        <w:t>暂存在2#分选车间的</w:t>
      </w:r>
      <w:r>
        <w:rPr>
          <w:rFonts w:hint="eastAsia" w:ascii="Times New Roman" w:hAnsi="Times New Roman"/>
          <w:color w:val="000000" w:themeColor="text1"/>
          <w:sz w:val="24"/>
          <w:szCs w:val="24"/>
          <w:u w:val="single"/>
          <w14:textFill>
            <w14:solidFill>
              <w14:schemeClr w14:val="tx1"/>
            </w14:solidFill>
          </w14:textFill>
        </w:rPr>
        <w:t>精矿堆场及中矿堆场</w:t>
      </w:r>
      <w:r>
        <w:rPr>
          <w:rFonts w:ascii="Times New Roman" w:hAnsi="Times New Roman"/>
          <w:color w:val="000000" w:themeColor="text1"/>
          <w:sz w:val="24"/>
          <w:szCs w:val="24"/>
          <w:u w:val="single"/>
          <w14:textFill>
            <w14:solidFill>
              <w14:schemeClr w14:val="tx1"/>
            </w14:solidFill>
          </w14:textFill>
        </w:rPr>
        <w:t>待售，</w:t>
      </w:r>
      <w:r>
        <w:rPr>
          <w:rFonts w:hint="eastAsia" w:ascii="Times New Roman" w:hAnsi="Times New Roman"/>
          <w:color w:val="000000" w:themeColor="text1"/>
          <w:sz w:val="24"/>
          <w:szCs w:val="24"/>
          <w:u w:val="single"/>
          <w14:textFill>
            <w14:solidFill>
              <w14:schemeClr w14:val="tx1"/>
            </w14:solidFill>
          </w14:textFill>
        </w:rPr>
        <w:t>产品由小型货车在</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内进行装车后，覆盖篷布从</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东大门运出，运输车由创大物流园东门发往产品购买企业。</w:t>
      </w:r>
      <w:r>
        <w:rPr>
          <w:rFonts w:ascii="Times New Roman" w:hAnsi="Times New Roman"/>
          <w:color w:val="000000" w:themeColor="text1"/>
          <w:sz w:val="24"/>
          <w:szCs w:val="24"/>
          <w:u w:val="single"/>
          <w14:textFill>
            <w14:solidFill>
              <w14:schemeClr w14:val="tx1"/>
            </w14:solidFill>
          </w14:textFill>
        </w:rPr>
        <w:t>项目总平面</w:t>
      </w:r>
      <w:r>
        <w:rPr>
          <w:rFonts w:hint="eastAsia" w:ascii="Times New Roman" w:hAnsi="Times New Roman"/>
          <w:color w:val="000000" w:themeColor="text1"/>
          <w:sz w:val="24"/>
          <w:szCs w:val="24"/>
          <w:u w:val="single"/>
          <w14:textFill>
            <w14:solidFill>
              <w14:schemeClr w14:val="tx1"/>
            </w14:solidFill>
          </w14:textFill>
        </w:rPr>
        <w:t>根据项目生产、物流路径进行布局，</w:t>
      </w:r>
      <w:r>
        <w:rPr>
          <w:rFonts w:ascii="Times New Roman" w:hAnsi="Times New Roman"/>
          <w:color w:val="000000" w:themeColor="text1"/>
          <w:sz w:val="24"/>
          <w:szCs w:val="24"/>
          <w:u w:val="single"/>
          <w14:textFill>
            <w14:solidFill>
              <w14:schemeClr w14:val="tx1"/>
            </w14:solidFill>
          </w14:textFill>
        </w:rPr>
        <w:t>布局紧凑合理。</w:t>
      </w:r>
    </w:p>
    <w:p w14:paraId="324A1B3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w:t>
      </w:r>
      <w:r>
        <w:rPr>
          <w:rFonts w:ascii="Times New Roman" w:hAnsi="Times New Roman"/>
          <w:color w:val="000000" w:themeColor="text1"/>
          <w:spacing w:val="-2"/>
          <w:sz w:val="24"/>
          <w:szCs w:val="24"/>
          <w14:textFill>
            <w14:solidFill>
              <w14:schemeClr w14:val="tx1"/>
            </w14:solidFill>
          </w14:textFill>
        </w:rPr>
        <w:t>采用干式磁选工艺对原料进行分选加工，原料毛矿无需进行清洗，生产过程中无需用水，</w:t>
      </w:r>
      <w:r>
        <w:rPr>
          <w:rFonts w:hint="eastAsia" w:ascii="Times New Roman" w:hAnsi="Times New Roman"/>
          <w:color w:val="000000" w:themeColor="text1"/>
          <w:spacing w:val="-2"/>
          <w:sz w:val="24"/>
          <w:szCs w:val="24"/>
          <w14:textFill>
            <w14:solidFill>
              <w14:schemeClr w14:val="tx1"/>
            </w14:solidFill>
          </w14:textFill>
        </w:rPr>
        <w:t>不产生生产废水，项目不产生辐射液态流出物。</w:t>
      </w:r>
    </w:p>
    <w:p w14:paraId="6003A77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项目气载流出物主要是烘干炉烟气、生产车间装卸、选矿过程中含放射性核素衰变排出γ辐射、含有氡及氡子体的放射性废气及含铀、钍粉尘。</w:t>
      </w:r>
    </w:p>
    <w:p w14:paraId="073C2B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项目工程平面布置及放射性气态</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排放</w:t>
      </w:r>
      <w:r>
        <w:rPr>
          <w:rFonts w:ascii="Times New Roman" w:hAnsi="Times New Roman" w:eastAsia="宋体" w:cs="Times New Roman"/>
          <w:color w:val="000000" w:themeColor="text1"/>
          <w:spacing w:val="-2"/>
          <w:sz w:val="24"/>
          <w:szCs w:val="20"/>
          <w:u w:val="single"/>
          <w14:textFill>
            <w14:solidFill>
              <w14:schemeClr w14:val="tx1"/>
            </w14:solidFill>
          </w14:textFill>
        </w:rPr>
        <w:t>位置见图2.1-1。</w:t>
      </w:r>
    </w:p>
    <w:p w14:paraId="32242FD5">
      <w:pPr>
        <w:autoSpaceDE w:val="0"/>
        <w:autoSpaceDN w:val="0"/>
        <w:adjustRightInd w:val="0"/>
        <w:spacing w:after="0"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drawing>
          <wp:inline distT="0" distB="0" distL="0" distR="0">
            <wp:extent cx="5274310" cy="6127115"/>
            <wp:effectExtent l="19050" t="19050" r="21590" b="26035"/>
            <wp:docPr id="16976582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58212" name="图片 6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127115"/>
                    </a:xfrm>
                    <a:prstGeom prst="rect">
                      <a:avLst/>
                    </a:prstGeom>
                    <a:ln>
                      <a:solidFill>
                        <a:schemeClr val="tx1"/>
                      </a:solidFill>
                    </a:ln>
                  </pic:spPr>
                </pic:pic>
              </a:graphicData>
            </a:graphic>
          </wp:inline>
        </w:drawing>
      </w:r>
    </w:p>
    <w:p w14:paraId="314BCDE1">
      <w:pPr>
        <w:autoSpaceDE w:val="0"/>
        <w:autoSpaceDN w:val="0"/>
        <w:adjustRightInd w:val="0"/>
        <w:spacing w:after="0" w:line="360" w:lineRule="auto"/>
        <w:jc w:val="center"/>
        <w:rPr>
          <w:rFonts w:ascii="Times New Roman" w:hAnsi="Times New Roman" w:cs="Times New Roman"/>
          <w:b/>
          <w:bCs/>
          <w:color w:val="000000" w:themeColor="text1"/>
          <w:sz w:val="24"/>
          <w:szCs w:val="24"/>
          <w:u w:val="single"/>
          <w14:textFill>
            <w14:solidFill>
              <w14:schemeClr w14:val="tx1"/>
            </w14:solidFill>
          </w14:textFill>
        </w:rPr>
      </w:pPr>
      <w:r>
        <w:rPr>
          <w:rFonts w:ascii="Times New Roman" w:hAnsi="Times New Roman" w:cs="Times New Roman"/>
          <w:b/>
          <w:bCs/>
          <w:color w:val="000000" w:themeColor="text1"/>
          <w:sz w:val="24"/>
          <w:szCs w:val="24"/>
          <w:u w:val="single"/>
          <w14:textFill>
            <w14:solidFill>
              <w14:schemeClr w14:val="tx1"/>
            </w14:solidFill>
          </w14:textFill>
        </w:rPr>
        <w:t>图2.1-1  工程平面布置及放射性气态、液态流出物排放位置图</w:t>
      </w:r>
    </w:p>
    <w:p w14:paraId="4425FFDD">
      <w:pPr>
        <w:widowControl w:val="0"/>
        <w:spacing w:after="0" w:line="360" w:lineRule="auto"/>
        <w:ind w:firstLine="420" w:firstLineChars="200"/>
        <w:jc w:val="both"/>
        <w:rPr>
          <w:color w:val="000000" w:themeColor="text1"/>
          <w14:textFill>
            <w14:solidFill>
              <w14:schemeClr w14:val="tx1"/>
            </w14:solidFill>
          </w14:textFill>
        </w:rPr>
      </w:pPr>
    </w:p>
    <w:p w14:paraId="00D593E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43" w:name="_Toc78822647"/>
      <w:r>
        <w:rPr>
          <w:rFonts w:ascii="Times New Roman" w:hAnsi="Times New Roman" w:eastAsia="黑体" w:cs="Times New Roman"/>
          <w:b/>
          <w:bCs/>
          <w:caps w:val="0"/>
          <w:color w:val="000000" w:themeColor="text1"/>
          <w:kern w:val="2"/>
          <w:sz w:val="24"/>
          <w:szCs w:val="32"/>
          <w14:textFill>
            <w14:solidFill>
              <w14:schemeClr w14:val="tx1"/>
            </w14:solidFill>
          </w14:textFill>
        </w:rPr>
        <w:t>放射性核素在工艺流程的走向</w:t>
      </w:r>
      <w:bookmarkEnd w:id="43"/>
    </w:p>
    <w:p w14:paraId="1C98F8B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本项目采用</w:t>
      </w:r>
      <w:r>
        <w:rPr>
          <w:rFonts w:hint="eastAsia" w:ascii="Times New Roman" w:hAnsi="Times New Roman" w:eastAsia="宋体" w:cs="Times New Roman"/>
          <w:color w:val="000000" w:themeColor="text1"/>
          <w:spacing w:val="-2"/>
          <w:sz w:val="24"/>
          <w:szCs w:val="20"/>
          <w14:textFill>
            <w14:solidFill>
              <w14:schemeClr w14:val="tx1"/>
            </w14:solidFill>
          </w14:textFill>
        </w:rPr>
        <w:t>干式</w:t>
      </w:r>
      <w:r>
        <w:rPr>
          <w:rFonts w:ascii="Times New Roman" w:hAnsi="Times New Roman" w:eastAsia="宋体" w:cs="Times New Roman"/>
          <w:color w:val="000000" w:themeColor="text1"/>
          <w:spacing w:val="-2"/>
          <w:sz w:val="24"/>
          <w:szCs w:val="20"/>
          <w14:textFill>
            <w14:solidFill>
              <w14:schemeClr w14:val="tx1"/>
            </w14:solidFill>
          </w14:textFill>
        </w:rPr>
        <w:t>磁选工艺，将钛铁矿毛矿进行加工筛选，分选出品位更高的钛铁精矿。毛矿含水率较高，不适宜直接进行磁选，毛矿进行磁选前需要进行</w:t>
      </w:r>
      <w:r>
        <w:rPr>
          <w:rFonts w:hint="eastAsia" w:ascii="Times New Roman" w:hAnsi="Times New Roman" w:eastAsia="宋体" w:cs="Times New Roman"/>
          <w:color w:val="000000" w:themeColor="text1"/>
          <w:spacing w:val="-2"/>
          <w:sz w:val="24"/>
          <w:szCs w:val="20"/>
          <w14:textFill>
            <w14:solidFill>
              <w14:schemeClr w14:val="tx1"/>
            </w14:solidFill>
          </w14:textFill>
        </w:rPr>
        <w:t>毛矿</w:t>
      </w:r>
      <w:r>
        <w:rPr>
          <w:rFonts w:ascii="Times New Roman" w:hAnsi="Times New Roman" w:eastAsia="宋体" w:cs="Times New Roman"/>
          <w:color w:val="000000" w:themeColor="text1"/>
          <w:spacing w:val="-2"/>
          <w:sz w:val="24"/>
          <w:szCs w:val="20"/>
          <w14:textFill>
            <w14:solidFill>
              <w14:schemeClr w14:val="tx1"/>
            </w14:solidFill>
          </w14:textFill>
        </w:rPr>
        <w:t>烘干，烘干后的毛矿进行干式磁选，在整个磁选过程中</w:t>
      </w:r>
      <w:r>
        <w:rPr>
          <w:rFonts w:hint="eastAsia" w:ascii="Times New Roman" w:hAnsi="Times New Roman" w:eastAsia="宋体" w:cs="Times New Roman"/>
          <w:color w:val="000000" w:themeColor="text1"/>
          <w:spacing w:val="-2"/>
          <w:sz w:val="24"/>
          <w:szCs w:val="20"/>
          <w14:textFill>
            <w14:solidFill>
              <w14:schemeClr w14:val="tx1"/>
            </w14:solidFill>
          </w14:textFill>
        </w:rPr>
        <w:t>仅</w:t>
      </w:r>
      <w:r>
        <w:rPr>
          <w:rFonts w:ascii="Times New Roman" w:hAnsi="Times New Roman" w:eastAsia="宋体" w:cs="Times New Roman"/>
          <w:color w:val="000000" w:themeColor="text1"/>
          <w:spacing w:val="-2"/>
          <w:sz w:val="24"/>
          <w:szCs w:val="20"/>
          <w14:textFill>
            <w14:solidFill>
              <w14:schemeClr w14:val="tx1"/>
            </w14:solidFill>
          </w14:textFill>
        </w:rPr>
        <w:t>需用电，通过物理手段进行分选，无需用水及其他化学药剂等。</w:t>
      </w:r>
      <w:bookmarkStart w:id="44" w:name="OLE_LINK2"/>
      <w:r>
        <w:rPr>
          <w:rFonts w:ascii="Times New Roman" w:hAnsi="Times New Roman" w:eastAsia="宋体" w:cs="Times New Roman"/>
          <w:color w:val="000000" w:themeColor="text1"/>
          <w:spacing w:val="-2"/>
          <w:sz w:val="24"/>
          <w:szCs w:val="20"/>
          <w14:textFill>
            <w14:solidFill>
              <w14:schemeClr w14:val="tx1"/>
            </w14:solidFill>
          </w14:textFill>
        </w:rPr>
        <w:t>项目毛矿分选后得到钛铁精矿和</w:t>
      </w:r>
      <w:bookmarkEnd w:id="44"/>
      <w:r>
        <w:rPr>
          <w:rFonts w:ascii="Times New Roman" w:hAnsi="Times New Roman" w:eastAsia="宋体" w:cs="Times New Roman"/>
          <w:color w:val="000000" w:themeColor="text1"/>
          <w:spacing w:val="-2"/>
          <w:sz w:val="24"/>
          <w:szCs w:val="20"/>
          <w14:textFill>
            <w14:solidFill>
              <w14:schemeClr w14:val="tx1"/>
            </w14:solidFill>
          </w14:textFill>
        </w:rPr>
        <w:t>锆中矿，项目不再进行进一步的锆英砂、金红石、锡、独居石等其他矿物的分选，</w:t>
      </w:r>
      <w:r>
        <w:rPr>
          <w:rFonts w:hint="eastAsia" w:ascii="Times New Roman" w:hAnsi="Times New Roman" w:eastAsia="宋体" w:cs="Times New Roman"/>
          <w:color w:val="000000" w:themeColor="text1"/>
          <w:spacing w:val="-2"/>
          <w:sz w:val="24"/>
          <w:szCs w:val="20"/>
          <w14:textFill>
            <w14:solidFill>
              <w14:schemeClr w14:val="tx1"/>
            </w14:solidFill>
          </w14:textFill>
        </w:rPr>
        <w:t>锆中矿</w:t>
      </w:r>
      <w:r>
        <w:rPr>
          <w:rFonts w:ascii="Times New Roman" w:hAnsi="Times New Roman" w:eastAsia="宋体" w:cs="Times New Roman"/>
          <w:color w:val="000000" w:themeColor="text1"/>
          <w:spacing w:val="-2"/>
          <w:sz w:val="24"/>
          <w:szCs w:val="20"/>
          <w14:textFill>
            <w14:solidFill>
              <w14:schemeClr w14:val="tx1"/>
            </w14:solidFill>
          </w14:textFill>
        </w:rPr>
        <w:t>等作为深度分选矿企业的原料出售。本项目分选加工后的产品为钛铁精矿，产品的钛、铁的品位较毛矿均有提高，项目不进行钛和铁的分离。</w:t>
      </w:r>
    </w:p>
    <w:p w14:paraId="338A437F">
      <w:pPr>
        <w:widowControl w:val="0"/>
        <w:spacing w:after="0" w:line="360" w:lineRule="auto"/>
        <w:ind w:firstLine="474"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磁选工艺原理：</w:t>
      </w:r>
      <w:r>
        <w:rPr>
          <w:rFonts w:ascii="Times New Roman" w:hAnsi="Times New Roman" w:eastAsia="宋体" w:cs="Times New Roman"/>
          <w:color w:val="000000" w:themeColor="text1"/>
          <w:spacing w:val="-2"/>
          <w:sz w:val="24"/>
          <w:szCs w:val="20"/>
          <w14:textFill>
            <w14:solidFill>
              <w14:schemeClr w14:val="tx1"/>
            </w14:solidFill>
          </w14:textFill>
        </w:rPr>
        <w:t>利用各种矿物的不同导磁性，调节磁选机磁场的强弱，从而实现强导磁矿物、弱导磁矿物和非导磁矿物的分选。主要利用精矿的物理性质不同（主要是导电性及磁性）而进行分选，比如钛铁精矿具有导电性和有磁性，通过矿物质的磁性，分选出不同品位的钛铁精矿。具体生产工艺流程如下。</w:t>
      </w:r>
    </w:p>
    <w:p w14:paraId="5A4C3B43">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1、原料入库</w:t>
      </w:r>
    </w:p>
    <w:p w14:paraId="0673296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项目原料主要是国外进口毛矿，以非洲的海滨砂矿为主，毛矿粒度比较均匀，厂区内不再破碎；毛矿在国外已经初步清洗，已经将泥沙等冲洗掉，含泥沙量不多，无需对毛矿清洗。原料毛矿进厂后，临时存放于原料堆放区，经过烘干降低毛矿的含水率后，便可直接进行分选。</w:t>
      </w:r>
    </w:p>
    <w:p w14:paraId="398A4C8C">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原料毛矿由国外订货，原料毛矿采用集装箱运输，根据市场情况每批订货约20到30柜，每集装箱约26.5吨毛矿。满负荷生产情况下，按每天到厂一批30柜毛矿估算，每天到厂加工的毛矿约795吨左右，年订货到厂的毛矿估算238500吨，满负荷状态下项目年加工毛矿约240000吨。装有原料的集装箱运输到场后，集装箱由拖车将集装箱整箱拖入1#原料处理车间内，毛矿集装箱进入车间后放置在2个原料堆场的中间过道，关闭车间大门进行拆箱卸货。根据过道南北两侧的原料堆场的堆放情况，选择堆垛较小一侧的原料堆场进行拆箱卸货，集装箱内的原料毛矿由铲车卸货到原料堆放区内。集装箱装卸完毕后，再开启车间大门将空箱运走，继续进行下一个集装箱的卸货操作。毛矿卸柜的过程中产生卸柜扬尘（G2），整个拆箱装卸过程均在1#原料处理车间内进行。原料运输车辆行驶进厂产生运输扬尘（G13）。在车间出入口及拆箱区域设置水雾喷淋降尘设施。</w:t>
      </w:r>
    </w:p>
    <w:p w14:paraId="09A778DF">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2、烘干</w:t>
      </w:r>
    </w:p>
    <w:p w14:paraId="78D4A69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原料毛矿湿度不适合直接进行磁选，在磁选前需对毛矿进行干燥处理，以提高磁选工序的分选效率。毛矿由原料堆放区，使用车间内的小型装载车，铲至烘干机进料漏斗，通过输送带送入烘干机进行干燥。毛矿烘干至磁选标准后堆存于1#原料处理车间的干原料堆放区，待装载车转运至2#分选车间。用于磁选的毛矿含水率一般控制在约2.5%以下，项目原料堆场均设置在1#原料处理车间内，不设置室外露天晒场，原料毛矿不受较大或遇到连续阴雨天气影响，降低烘干炉能耗。</w:t>
      </w:r>
    </w:p>
    <w:p w14:paraId="1B0B922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0"/>
          <w:u w:val="single"/>
          <w14:textFill>
            <w14:solidFill>
              <w14:schemeClr w14:val="tx1"/>
            </w14:solidFill>
          </w14:textFill>
        </w:rPr>
        <w:t>待烘干的毛矿由铲车在原料堆放区转运至烘干机处，产生物料转运扬尘（G3），毛矿在烘干机进料漏斗上方卸下，产生烘干机上料扬尘（G4）。毛矿进入烘干机后，由烘干炉过来的干燥热烟气与毛矿在料筒滚动翻转过程中充分接触进行烘干，毛矿的水分与烘干烟气一并排放（G1），烘干后的干毛矿在烘干机出料口输送出来，出料产生落料扬尘（G5）。烘干后的毛矿落在出料口下方临时堆放后，再由铲车将烘干后的毛矿转运至干原料堆放区，转运过程中产生装卸扬尘（G6）。</w:t>
      </w:r>
    </w:p>
    <w:p w14:paraId="1108468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0"/>
          <w14:textFill>
            <w14:solidFill>
              <w14:schemeClr w14:val="tx1"/>
            </w14:solidFill>
          </w14:textFill>
        </w:rPr>
        <w:t>项目烘干</w:t>
      </w:r>
      <w:r>
        <w:rPr>
          <w:rFonts w:hint="eastAsia" w:ascii="Times New Roman" w:hAnsi="Times New Roman"/>
          <w:color w:val="000000" w:themeColor="text1"/>
          <w:spacing w:val="-2"/>
          <w:sz w:val="24"/>
          <w:szCs w:val="20"/>
          <w14:textFill>
            <w14:solidFill>
              <w14:schemeClr w14:val="tx1"/>
            </w14:solidFill>
          </w14:textFill>
        </w:rPr>
        <w:t>机</w:t>
      </w:r>
      <w:r>
        <w:rPr>
          <w:rFonts w:ascii="Times New Roman" w:hAnsi="Times New Roman"/>
          <w:color w:val="000000" w:themeColor="text1"/>
          <w:spacing w:val="-2"/>
          <w:sz w:val="24"/>
          <w:szCs w:val="20"/>
          <w14:textFill>
            <w14:solidFill>
              <w14:schemeClr w14:val="tx1"/>
            </w14:solidFill>
          </w14:textFill>
        </w:rPr>
        <w:t>配套一台生物质燃料烘干炉，燃料为</w:t>
      </w:r>
      <w:r>
        <w:rPr>
          <w:rFonts w:hint="eastAsia" w:ascii="Times New Roman" w:hAnsi="Times New Roman"/>
          <w:color w:val="000000" w:themeColor="text1"/>
          <w:spacing w:val="-2"/>
          <w:sz w:val="24"/>
          <w:szCs w:val="24"/>
          <w14:textFill>
            <w14:solidFill>
              <w14:schemeClr w14:val="tx1"/>
            </w14:solidFill>
          </w14:textFill>
        </w:rPr>
        <w:t>成型</w:t>
      </w:r>
      <w:r>
        <w:rPr>
          <w:rFonts w:ascii="Times New Roman" w:hAnsi="Times New Roman"/>
          <w:color w:val="000000" w:themeColor="text1"/>
          <w:spacing w:val="-2"/>
          <w:sz w:val="24"/>
          <w:szCs w:val="20"/>
          <w14:textFill>
            <w14:solidFill>
              <w14:schemeClr w14:val="tx1"/>
            </w14:solidFill>
          </w14:textFill>
        </w:rPr>
        <w:t>生物质颗粒，烘干工艺采用</w:t>
      </w:r>
      <w:r>
        <w:rPr>
          <w:rFonts w:hint="eastAsia" w:ascii="Times New Roman" w:hAnsi="Times New Roman"/>
          <w:color w:val="000000" w:themeColor="text1"/>
          <w:spacing w:val="-2"/>
          <w:sz w:val="24"/>
          <w:szCs w:val="20"/>
          <w:u w:val="single"/>
          <w14:textFill>
            <w14:solidFill>
              <w14:schemeClr w14:val="tx1"/>
            </w14:solidFill>
          </w14:textFill>
        </w:rPr>
        <w:t>直接</w:t>
      </w:r>
      <w:r>
        <w:rPr>
          <w:rFonts w:ascii="Times New Roman" w:hAnsi="Times New Roman"/>
          <w:color w:val="000000" w:themeColor="text1"/>
          <w:spacing w:val="-2"/>
          <w:sz w:val="24"/>
          <w:szCs w:val="20"/>
          <w14:textFill>
            <w14:solidFill>
              <w14:schemeClr w14:val="tx1"/>
            </w14:solidFill>
          </w14:textFill>
        </w:rPr>
        <w:t>烘干。烘干炉的燃烧烟气采用脉冲袋式除尘器进行处理</w:t>
      </w:r>
      <w:r>
        <w:rPr>
          <w:rFonts w:hint="eastAsia" w:ascii="Times New Roman" w:hAnsi="Times New Roman"/>
          <w:color w:val="000000" w:themeColor="text1"/>
          <w:spacing w:val="-2"/>
          <w:sz w:val="24"/>
          <w:szCs w:val="20"/>
          <w14:textFill>
            <w14:solidFill>
              <w14:schemeClr w14:val="tx1"/>
            </w14:solidFill>
          </w14:textFill>
        </w:rPr>
        <w:t>，处理后通过19m排气筒（DA001）排放</w:t>
      </w:r>
      <w:r>
        <w:rPr>
          <w:rFonts w:ascii="Times New Roman" w:hAnsi="Times New Roman"/>
          <w:color w:val="000000" w:themeColor="text1"/>
          <w:spacing w:val="-2"/>
          <w:sz w:val="24"/>
          <w:szCs w:val="20"/>
          <w14:textFill>
            <w14:solidFill>
              <w14:schemeClr w14:val="tx1"/>
            </w14:solidFill>
          </w14:textFill>
        </w:rPr>
        <w:t>。原料处理车间内的烘干机进、出料口</w:t>
      </w:r>
      <w:r>
        <w:rPr>
          <w:rFonts w:hint="eastAsia" w:ascii="Times New Roman" w:hAnsi="Times New Roman"/>
          <w:color w:val="000000" w:themeColor="text1"/>
          <w:spacing w:val="-2"/>
          <w:sz w:val="24"/>
          <w:szCs w:val="20"/>
          <w14:textFill>
            <w14:solidFill>
              <w14:schemeClr w14:val="tx1"/>
            </w14:solidFill>
          </w14:textFill>
        </w:rPr>
        <w:t>处</w:t>
      </w:r>
      <w:r>
        <w:rPr>
          <w:rFonts w:ascii="Times New Roman" w:hAnsi="Times New Roman"/>
          <w:color w:val="000000" w:themeColor="text1"/>
          <w:spacing w:val="-2"/>
          <w:sz w:val="24"/>
          <w:szCs w:val="20"/>
          <w14:textFill>
            <w14:solidFill>
              <w14:schemeClr w14:val="tx1"/>
            </w14:solidFill>
          </w14:textFill>
        </w:rPr>
        <w:t>配套集尘罩，对烘干机</w:t>
      </w:r>
      <w:r>
        <w:rPr>
          <w:rFonts w:hint="eastAsia" w:ascii="Times New Roman" w:hAnsi="Times New Roman"/>
          <w:color w:val="000000" w:themeColor="text1"/>
          <w:spacing w:val="-2"/>
          <w:sz w:val="24"/>
          <w:szCs w:val="20"/>
          <w14:textFill>
            <w14:solidFill>
              <w14:schemeClr w14:val="tx1"/>
            </w14:solidFill>
          </w14:textFill>
        </w:rPr>
        <w:t>进、出</w:t>
      </w:r>
      <w:r>
        <w:rPr>
          <w:rFonts w:ascii="Times New Roman" w:hAnsi="Times New Roman"/>
          <w:color w:val="000000" w:themeColor="text1"/>
          <w:spacing w:val="-2"/>
          <w:sz w:val="24"/>
          <w:szCs w:val="20"/>
          <w14:textFill>
            <w14:solidFill>
              <w14:schemeClr w14:val="tx1"/>
            </w14:solidFill>
          </w14:textFill>
        </w:rPr>
        <w:t>料口处产生的矿砂粉尘进行收集，收集后的粉尘采用袋式除尘器进行处理</w:t>
      </w:r>
      <w:r>
        <w:rPr>
          <w:rFonts w:hint="eastAsia" w:ascii="Times New Roman" w:hAnsi="Times New Roman"/>
          <w:color w:val="000000" w:themeColor="text1"/>
          <w:spacing w:val="-2"/>
          <w:sz w:val="24"/>
          <w:szCs w:val="20"/>
          <w14:textFill>
            <w14:solidFill>
              <w14:schemeClr w14:val="tx1"/>
            </w14:solidFill>
          </w14:textFill>
        </w:rPr>
        <w:t>，处理后通过19m排气筒（DA002）排放</w:t>
      </w:r>
      <w:r>
        <w:rPr>
          <w:rFonts w:ascii="Times New Roman" w:hAnsi="Times New Roman"/>
          <w:color w:val="000000" w:themeColor="text1"/>
          <w:spacing w:val="-2"/>
          <w:sz w:val="24"/>
          <w:szCs w:val="20"/>
          <w14:textFill>
            <w14:solidFill>
              <w14:schemeClr w14:val="tx1"/>
            </w14:solidFill>
          </w14:textFill>
        </w:rPr>
        <w:t>。</w:t>
      </w:r>
    </w:p>
    <w:p w14:paraId="05856D5A">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3、磁选</w:t>
      </w:r>
    </w:p>
    <w:p w14:paraId="6AC0C8C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0"/>
          <w14:textFill>
            <w14:solidFill>
              <w14:schemeClr w14:val="tx1"/>
            </w14:solidFill>
          </w14:textFill>
        </w:rPr>
        <w:t>磁选是</w:t>
      </w:r>
      <w:r>
        <w:rPr>
          <w:rFonts w:ascii="Times New Roman" w:hAnsi="Times New Roman"/>
          <w:color w:val="000000" w:themeColor="text1"/>
          <w:spacing w:val="-2"/>
          <w:sz w:val="24"/>
          <w:szCs w:val="20"/>
          <w14:textFill>
            <w14:solidFill>
              <w14:schemeClr w14:val="tx1"/>
            </w14:solidFill>
          </w14:textFill>
        </w:rPr>
        <w:t>根据不同矿种磁性不同的原理，通过调节磁选机磁场强度，将矿种分离。本项目配套</w:t>
      </w:r>
      <w:r>
        <w:rPr>
          <w:rFonts w:hint="eastAsia" w:ascii="Times New Roman" w:hAnsi="Times New Roman"/>
          <w:color w:val="000000" w:themeColor="text1"/>
          <w:spacing w:val="-2"/>
          <w:sz w:val="24"/>
          <w:szCs w:val="20"/>
          <w14:textFill>
            <w14:solidFill>
              <w14:schemeClr w14:val="tx1"/>
            </w14:solidFill>
          </w14:textFill>
        </w:rPr>
        <w:t>2</w:t>
      </w:r>
      <w:r>
        <w:rPr>
          <w:rFonts w:ascii="Times New Roman" w:hAnsi="Times New Roman"/>
          <w:color w:val="000000" w:themeColor="text1"/>
          <w:spacing w:val="-2"/>
          <w:sz w:val="24"/>
          <w:szCs w:val="20"/>
          <w14:textFill>
            <w14:solidFill>
              <w14:schemeClr w14:val="tx1"/>
            </w14:solidFill>
          </w14:textFill>
        </w:rPr>
        <w:t>条磁选生产线，每条磁选生产线配置10台磁选机</w:t>
      </w:r>
      <w:r>
        <w:rPr>
          <w:rFonts w:hint="eastAsia" w:ascii="Times New Roman" w:hAnsi="Times New Roman"/>
          <w:color w:val="000000" w:themeColor="text1"/>
          <w:spacing w:val="-2"/>
          <w:sz w:val="24"/>
          <w:szCs w:val="20"/>
          <w:u w:val="single"/>
          <w14:textFill>
            <w14:solidFill>
              <w14:schemeClr w14:val="tx1"/>
            </w14:solidFill>
          </w14:textFill>
        </w:rPr>
        <w:t>组成磁选机组</w:t>
      </w:r>
      <w:r>
        <w:rPr>
          <w:rFonts w:ascii="Times New Roman" w:hAnsi="Times New Roman"/>
          <w:color w:val="000000" w:themeColor="text1"/>
          <w:spacing w:val="-2"/>
          <w:sz w:val="24"/>
          <w:szCs w:val="20"/>
          <w14:textFill>
            <w14:solidFill>
              <w14:schemeClr w14:val="tx1"/>
            </w14:solidFill>
          </w14:textFill>
        </w:rPr>
        <w:t>，</w:t>
      </w:r>
      <w:r>
        <w:rPr>
          <w:rFonts w:hint="eastAsia" w:ascii="Times New Roman" w:hAnsi="Times New Roman"/>
          <w:color w:val="000000" w:themeColor="text1"/>
          <w:spacing w:val="-2"/>
          <w:sz w:val="24"/>
          <w:szCs w:val="24"/>
          <w14:textFill>
            <w14:solidFill>
              <w14:schemeClr w14:val="tx1"/>
            </w14:solidFill>
          </w14:textFill>
        </w:rPr>
        <w:t>项目钛铁精矿磁选工艺是利用钛、铁与其他矿物磁导率的不同，使毛矿通过一个磁场，由于不同矿物对磁场的反应不同，磁导率高的钛、铁等矿物被磁盘吸起，再失磁落入精矿堆，磁导率低的不被吸起的矿物，留在物料皮带中最后进入中矿堆。</w:t>
      </w:r>
      <w:r>
        <w:rPr>
          <w:rFonts w:ascii="Times New Roman" w:hAnsi="Times New Roman"/>
          <w:color w:val="000000" w:themeColor="text1"/>
          <w:sz w:val="24"/>
          <w:szCs w:val="24"/>
          <w14:textFill>
            <w14:solidFill>
              <w14:schemeClr w14:val="tx1"/>
            </w14:solidFill>
          </w14:textFill>
        </w:rPr>
        <w:t>铁矿的适用磁选磁场强度范围为800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1500高斯，钛矿的适用磁选磁场强度范围为7000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17000高斯</w:t>
      </w:r>
      <w:r>
        <w:rPr>
          <w:rFonts w:hint="eastAsia" w:ascii="Times New Roman" w:hAnsi="Times New Roman"/>
          <w:color w:val="000000" w:themeColor="text1"/>
          <w:sz w:val="24"/>
          <w:szCs w:val="24"/>
          <w14:textFill>
            <w14:solidFill>
              <w14:schemeClr w14:val="tx1"/>
            </w14:solidFill>
          </w14:textFill>
        </w:rPr>
        <w:t>，项目不细分钛精矿、铁矿的单独分选，产品为钛铁混合的精矿，因此项目磁选采用</w:t>
      </w:r>
      <w:r>
        <w:rPr>
          <w:rFonts w:ascii="Times New Roman" w:hAnsi="Times New Roman"/>
          <w:color w:val="000000" w:themeColor="text1"/>
          <w:sz w:val="24"/>
          <w:szCs w:val="24"/>
          <w14:textFill>
            <w14:solidFill>
              <w14:schemeClr w14:val="tx1"/>
            </w14:solidFill>
          </w14:textFill>
        </w:rPr>
        <w:t>7000</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17000高斯</w:t>
      </w:r>
      <w:r>
        <w:rPr>
          <w:rFonts w:hint="eastAsia" w:ascii="Times New Roman" w:hAnsi="Times New Roman"/>
          <w:color w:val="000000" w:themeColor="text1"/>
          <w:sz w:val="24"/>
          <w:szCs w:val="24"/>
          <w14:textFill>
            <w14:solidFill>
              <w14:schemeClr w14:val="tx1"/>
            </w14:solidFill>
          </w14:textFill>
        </w:rPr>
        <w:t>的磁场强度进行磁选。毛矿经过磁选后得到</w:t>
      </w:r>
      <w:r>
        <w:rPr>
          <w:rFonts w:ascii="Times New Roman" w:hAnsi="Times New Roman"/>
          <w:color w:val="000000" w:themeColor="text1"/>
          <w:sz w:val="24"/>
          <w:szCs w:val="24"/>
          <w14:textFill>
            <w14:solidFill>
              <w14:schemeClr w14:val="tx1"/>
            </w14:solidFill>
          </w14:textFill>
        </w:rPr>
        <w:t>品位更高的钛铁精矿产品，存放于</w:t>
      </w:r>
      <w:r>
        <w:rPr>
          <w:rFonts w:ascii="Times New Roman" w:hAnsi="Times New Roman"/>
          <w:color w:val="000000" w:themeColor="text1"/>
          <w:spacing w:val="-2"/>
          <w:sz w:val="24"/>
          <w:szCs w:val="24"/>
          <w14:textFill>
            <w14:solidFill>
              <w14:schemeClr w14:val="tx1"/>
            </w14:solidFill>
          </w14:textFill>
        </w:rPr>
        <w:t>2#分选车间内的精矿堆放区</w:t>
      </w: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磁选后</w:t>
      </w:r>
      <w:r>
        <w:rPr>
          <w:rFonts w:ascii="Times New Roman" w:hAnsi="Times New Roman"/>
          <w:color w:val="000000" w:themeColor="text1"/>
          <w:sz w:val="24"/>
          <w:szCs w:val="24"/>
          <w14:textFill>
            <w14:solidFill>
              <w14:schemeClr w14:val="tx1"/>
            </w14:solidFill>
          </w14:textFill>
        </w:rPr>
        <w:t>的</w:t>
      </w:r>
      <w:r>
        <w:rPr>
          <w:rFonts w:hint="eastAsia" w:ascii="Times New Roman" w:hAnsi="Times New Roman"/>
          <w:color w:val="000000" w:themeColor="text1"/>
          <w:sz w:val="24"/>
          <w:szCs w:val="24"/>
          <w14:textFill>
            <w14:solidFill>
              <w14:schemeClr w14:val="tx1"/>
            </w14:solidFill>
          </w14:textFill>
        </w:rPr>
        <w:t>副产品</w:t>
      </w:r>
      <w:r>
        <w:rPr>
          <w:rFonts w:ascii="Times New Roman" w:hAnsi="Times New Roman"/>
          <w:color w:val="000000" w:themeColor="text1"/>
          <w:sz w:val="24"/>
          <w:szCs w:val="24"/>
          <w14:textFill>
            <w14:solidFill>
              <w14:schemeClr w14:val="tx1"/>
            </w14:solidFill>
          </w14:textFill>
        </w:rPr>
        <w:t>锆中矿存放于</w:t>
      </w:r>
      <w:r>
        <w:rPr>
          <w:rFonts w:ascii="Times New Roman" w:hAnsi="Times New Roman"/>
          <w:color w:val="000000" w:themeColor="text1"/>
          <w:spacing w:val="-2"/>
          <w:sz w:val="24"/>
          <w:szCs w:val="24"/>
          <w14:textFill>
            <w14:solidFill>
              <w14:schemeClr w14:val="tx1"/>
            </w14:solidFill>
          </w14:textFill>
        </w:rPr>
        <w:t>2#分选车间内的</w:t>
      </w:r>
      <w:r>
        <w:rPr>
          <w:rFonts w:hint="eastAsia" w:ascii="Times New Roman" w:hAnsi="Times New Roman"/>
          <w:color w:val="000000" w:themeColor="text1"/>
          <w:spacing w:val="-2"/>
          <w:sz w:val="24"/>
          <w:szCs w:val="24"/>
          <w14:textFill>
            <w14:solidFill>
              <w14:schemeClr w14:val="tx1"/>
            </w14:solidFill>
          </w14:textFill>
        </w:rPr>
        <w:t>锆中矿</w:t>
      </w:r>
      <w:r>
        <w:rPr>
          <w:rFonts w:ascii="Times New Roman" w:hAnsi="Times New Roman"/>
          <w:color w:val="000000" w:themeColor="text1"/>
          <w:spacing w:val="-2"/>
          <w:sz w:val="24"/>
          <w:szCs w:val="24"/>
          <w14:textFill>
            <w14:solidFill>
              <w14:schemeClr w14:val="tx1"/>
            </w14:solidFill>
          </w14:textFill>
        </w:rPr>
        <w:t>堆放区，</w:t>
      </w:r>
      <w:r>
        <w:rPr>
          <w:rFonts w:hint="eastAsia" w:ascii="Times New Roman" w:hAnsi="Times New Roman"/>
          <w:color w:val="000000" w:themeColor="text1"/>
          <w:spacing w:val="-2"/>
          <w:sz w:val="24"/>
          <w:szCs w:val="24"/>
          <w14:textFill>
            <w14:solidFill>
              <w14:schemeClr w14:val="tx1"/>
            </w14:solidFill>
          </w14:textFill>
        </w:rPr>
        <w:t>作为原料出售给</w:t>
      </w:r>
      <w:r>
        <w:rPr>
          <w:rFonts w:ascii="Times New Roman" w:hAnsi="Times New Roman"/>
          <w:color w:val="000000" w:themeColor="text1"/>
          <w:sz w:val="24"/>
          <w:szCs w:val="24"/>
          <w14:textFill>
            <w14:solidFill>
              <w14:schemeClr w14:val="tx1"/>
            </w14:solidFill>
          </w14:textFill>
        </w:rPr>
        <w:t>深度分选矿企业</w:t>
      </w:r>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6B644598">
      <w:pPr>
        <w:widowControl w:val="0"/>
        <w:spacing w:after="0" w:line="360" w:lineRule="auto"/>
        <w:ind w:firstLine="472" w:firstLineChars="200"/>
        <w:jc w:val="both"/>
        <w:rPr>
          <w:rFonts w:ascii="Times New Roman" w:hAnsi="Times New Roman"/>
          <w:color w:val="000000" w:themeColor="text1"/>
          <w:spacing w:val="-2"/>
          <w:sz w:val="24"/>
          <w:szCs w:val="24"/>
          <w14:textFill>
            <w14:solidFill>
              <w14:schemeClr w14:val="tx1"/>
            </w14:solidFill>
          </w14:textFill>
        </w:rPr>
      </w:pPr>
      <w:r>
        <w:rPr>
          <w:rFonts w:hint="eastAsia" w:ascii="Times New Roman" w:hAnsi="Times New Roman"/>
          <w:color w:val="000000" w:themeColor="text1"/>
          <w:spacing w:val="-2"/>
          <w:sz w:val="24"/>
          <w:szCs w:val="20"/>
          <w:u w:val="single"/>
          <w14:textFill>
            <w14:solidFill>
              <w14:schemeClr w14:val="tx1"/>
            </w14:solidFill>
          </w14:textFill>
        </w:rPr>
        <w:t>烘干的毛矿由铲车在干原料堆放区转运至磁选机组处，产生物料转运扬尘（G7），干毛矿在磁选机组进料漏斗上方卸下，产生磁选机上料扬尘（G8）。干毛矿进入磁选机后，进行钛铁精矿和锆中矿的分选，分选过程产生磁选落料扬尘（G9），干毛矿经过磁选机分选后，钛铁精矿和锆中矿分别在不同的出料口出料，出料产生落料扬尘（G10）。钛铁精矿和锆中矿落在精矿出料口和中矿出料口下方临时堆放后，再由铲车将产品转运至对应的精矿堆放区和中矿堆放区，转运过程中产生装卸扬尘（G11）。</w:t>
      </w:r>
    </w:p>
    <w:p w14:paraId="00E40F4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分选车间</w:t>
      </w:r>
      <w:r>
        <w:rPr>
          <w:rFonts w:ascii="Times New Roman" w:hAnsi="Times New Roman"/>
          <w:color w:val="000000" w:themeColor="text1"/>
          <w:spacing w:val="-2"/>
          <w:sz w:val="24"/>
          <w:szCs w:val="20"/>
          <w14:textFill>
            <w14:solidFill>
              <w14:schemeClr w14:val="tx1"/>
            </w14:solidFill>
          </w14:textFill>
        </w:rPr>
        <w:t>内的磁选生产线进、出料口</w:t>
      </w:r>
      <w:r>
        <w:rPr>
          <w:rFonts w:hint="eastAsia" w:ascii="Times New Roman" w:hAnsi="Times New Roman"/>
          <w:color w:val="000000" w:themeColor="text1"/>
          <w:spacing w:val="-2"/>
          <w:sz w:val="24"/>
          <w:szCs w:val="20"/>
          <w14:textFill>
            <w14:solidFill>
              <w14:schemeClr w14:val="tx1"/>
            </w14:solidFill>
          </w14:textFill>
        </w:rPr>
        <w:t>处</w:t>
      </w:r>
      <w:r>
        <w:rPr>
          <w:rFonts w:ascii="Times New Roman" w:hAnsi="Times New Roman"/>
          <w:color w:val="000000" w:themeColor="text1"/>
          <w:spacing w:val="-2"/>
          <w:sz w:val="24"/>
          <w:szCs w:val="20"/>
          <w14:textFill>
            <w14:solidFill>
              <w14:schemeClr w14:val="tx1"/>
            </w14:solidFill>
          </w14:textFill>
        </w:rPr>
        <w:t>配套集尘罩，对磁选工序</w:t>
      </w:r>
      <w:r>
        <w:rPr>
          <w:rFonts w:hint="eastAsia" w:ascii="Times New Roman" w:hAnsi="Times New Roman"/>
          <w:color w:val="000000" w:themeColor="text1"/>
          <w:spacing w:val="-2"/>
          <w:sz w:val="24"/>
          <w:szCs w:val="20"/>
          <w14:textFill>
            <w14:solidFill>
              <w14:schemeClr w14:val="tx1"/>
            </w14:solidFill>
          </w14:textFill>
        </w:rPr>
        <w:t>进、出</w:t>
      </w:r>
      <w:r>
        <w:rPr>
          <w:rFonts w:ascii="Times New Roman" w:hAnsi="Times New Roman"/>
          <w:color w:val="000000" w:themeColor="text1"/>
          <w:spacing w:val="-2"/>
          <w:sz w:val="24"/>
          <w:szCs w:val="20"/>
          <w14:textFill>
            <w14:solidFill>
              <w14:schemeClr w14:val="tx1"/>
            </w14:solidFill>
          </w14:textFill>
        </w:rPr>
        <w:t>料口处产生的矿砂粉尘进行收集，收集后的粉尘采用脉冲袋式除尘器进行处理</w:t>
      </w:r>
      <w:r>
        <w:rPr>
          <w:rFonts w:hint="eastAsia" w:ascii="Times New Roman" w:hAnsi="Times New Roman"/>
          <w:color w:val="000000" w:themeColor="text1"/>
          <w:spacing w:val="-2"/>
          <w:sz w:val="24"/>
          <w:szCs w:val="20"/>
          <w14:textFill>
            <w14:solidFill>
              <w14:schemeClr w14:val="tx1"/>
            </w14:solidFill>
          </w14:textFill>
        </w:rPr>
        <w:t>，处理后的尾气通过19m排气筒（DA003）排放</w:t>
      </w:r>
      <w:r>
        <w:rPr>
          <w:rFonts w:ascii="Times New Roman" w:hAnsi="Times New Roman"/>
          <w:color w:val="000000" w:themeColor="text1"/>
          <w:spacing w:val="-2"/>
          <w:sz w:val="24"/>
          <w:szCs w:val="20"/>
          <w14:textFill>
            <w14:solidFill>
              <w14:schemeClr w14:val="tx1"/>
            </w14:solidFill>
          </w14:textFill>
        </w:rPr>
        <w:t>。</w:t>
      </w:r>
      <w:r>
        <w:rPr>
          <w:rFonts w:hint="eastAsia" w:ascii="Times New Roman" w:hAnsi="Times New Roman"/>
          <w:color w:val="000000" w:themeColor="text1"/>
          <w:spacing w:val="-2"/>
          <w:sz w:val="24"/>
          <w:szCs w:val="20"/>
          <w:u w:val="single"/>
          <w14:textFill>
            <w14:solidFill>
              <w14:schemeClr w14:val="tx1"/>
            </w14:solidFill>
          </w14:textFill>
        </w:rPr>
        <w:t>在磁选机组进料料斗两侧以及磁选机组两侧设置水雾喷淋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；在精矿堆放区和中矿堆放区装卸区域设置水雾喷淋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r>
        <w:rPr>
          <w:rFonts w:ascii="Times New Roman" w:hAnsi="Times New Roman"/>
          <w:color w:val="000000" w:themeColor="text1"/>
          <w:spacing w:val="-2"/>
          <w:sz w:val="24"/>
          <w:szCs w:val="20"/>
          <w14:textFill>
            <w14:solidFill>
              <w14:schemeClr w14:val="tx1"/>
            </w14:solidFill>
          </w14:textFill>
        </w:rPr>
        <w:t>除尘器收集到的含矿粉尘，与车间地面沉降的含矿粉尘，一并混入</w:t>
      </w:r>
      <w:r>
        <w:rPr>
          <w:rFonts w:hint="eastAsia" w:ascii="Times New Roman" w:hAnsi="Times New Roman"/>
          <w:color w:val="000000" w:themeColor="text1"/>
          <w:spacing w:val="-2"/>
          <w:sz w:val="24"/>
          <w:szCs w:val="20"/>
          <w14:textFill>
            <w14:solidFill>
              <w14:schemeClr w14:val="tx1"/>
            </w14:solidFill>
          </w14:textFill>
        </w:rPr>
        <w:t>锆中矿堆放区</w:t>
      </w:r>
      <w:r>
        <w:rPr>
          <w:rFonts w:ascii="Times New Roman" w:hAnsi="Times New Roman"/>
          <w:color w:val="000000" w:themeColor="text1"/>
          <w:spacing w:val="-2"/>
          <w:sz w:val="24"/>
          <w:szCs w:val="20"/>
          <w14:textFill>
            <w14:solidFill>
              <w14:schemeClr w14:val="tx1"/>
            </w14:solidFill>
          </w14:textFill>
        </w:rPr>
        <w:t>进行</w:t>
      </w:r>
      <w:r>
        <w:rPr>
          <w:rFonts w:hint="eastAsia" w:ascii="Times New Roman" w:hAnsi="Times New Roman"/>
          <w:color w:val="000000" w:themeColor="text1"/>
          <w:spacing w:val="-2"/>
          <w:sz w:val="24"/>
          <w:szCs w:val="20"/>
          <w14:textFill>
            <w14:solidFill>
              <w14:schemeClr w14:val="tx1"/>
            </w14:solidFill>
          </w14:textFill>
        </w:rPr>
        <w:t>堆存待</w:t>
      </w:r>
      <w:r>
        <w:rPr>
          <w:rFonts w:ascii="Times New Roman" w:hAnsi="Times New Roman"/>
          <w:color w:val="000000" w:themeColor="text1"/>
          <w:spacing w:val="-2"/>
          <w:sz w:val="24"/>
          <w:szCs w:val="20"/>
          <w14:textFill>
            <w14:solidFill>
              <w14:schemeClr w14:val="tx1"/>
            </w14:solidFill>
          </w14:textFill>
        </w:rPr>
        <w:t>出售。</w:t>
      </w:r>
    </w:p>
    <w:p w14:paraId="482BEAF8">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4、产品出库</w:t>
      </w:r>
    </w:p>
    <w:p w14:paraId="57E1F87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不设置独立的产品车间，项目的毛矿经过干燥、磁选等工序后，主要产品钛铁精矿存放在分选车间的精矿堆放区，副产品锆中矿存放于锆中矿堆放区。产品和副产品均不露天堆放，待装载车进厂后，将产品及副产品装车外售</w:t>
      </w:r>
      <w:r>
        <w:rPr>
          <w:rFonts w:ascii="Times New Roman" w:hAnsi="Times New Roman" w:eastAsia="宋体" w:cs="Times New Roman"/>
          <w:color w:val="000000" w:themeColor="text1"/>
          <w:spacing w:val="-2"/>
          <w:sz w:val="24"/>
          <w:szCs w:val="20"/>
          <w14:textFill>
            <w14:solidFill>
              <w14:schemeClr w14:val="tx1"/>
            </w14:solidFill>
          </w14:textFill>
        </w:rPr>
        <w:t>。</w:t>
      </w:r>
    </w:p>
    <w:p w14:paraId="54D7A7C5">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项目精矿和中矿等产品装车位于</w:t>
      </w:r>
      <w:r>
        <w:rPr>
          <w:rFonts w:ascii="Times New Roman" w:hAnsi="Times New Roman"/>
          <w:color w:val="000000" w:themeColor="text1"/>
          <w:sz w:val="24"/>
          <w:szCs w:val="24"/>
          <w:u w:val="single"/>
          <w14:textFill>
            <w14:solidFill>
              <w14:schemeClr w14:val="tx1"/>
            </w14:solidFill>
          </w14:textFill>
        </w:rPr>
        <w:t>2#分选车间</w:t>
      </w:r>
      <w:r>
        <w:rPr>
          <w:rFonts w:hint="eastAsia" w:ascii="Times New Roman" w:hAnsi="Times New Roman"/>
          <w:color w:val="000000" w:themeColor="text1"/>
          <w:sz w:val="24"/>
          <w:szCs w:val="24"/>
          <w:u w:val="single"/>
          <w14:textFill>
            <w14:solidFill>
              <w14:schemeClr w14:val="tx1"/>
            </w14:solidFill>
          </w14:textFill>
        </w:rPr>
        <w:t>内，采用小型货车进行运输，小型货车进入2#</w:t>
      </w:r>
      <w:r>
        <w:rPr>
          <w:rFonts w:ascii="Times New Roman" w:hAnsi="Times New Roman"/>
          <w:color w:val="000000" w:themeColor="text1"/>
          <w:sz w:val="24"/>
          <w:szCs w:val="24"/>
          <w:u w:val="single"/>
          <w14:textFill>
            <w14:solidFill>
              <w14:schemeClr w14:val="tx1"/>
            </w14:solidFill>
          </w14:textFill>
        </w:rPr>
        <w:t>分选</w:t>
      </w:r>
      <w:r>
        <w:rPr>
          <w:rFonts w:hint="eastAsia" w:ascii="Times New Roman" w:hAnsi="Times New Roman"/>
          <w:color w:val="000000" w:themeColor="text1"/>
          <w:sz w:val="24"/>
          <w:szCs w:val="24"/>
          <w:u w:val="single"/>
          <w14:textFill>
            <w14:solidFill>
              <w14:schemeClr w14:val="tx1"/>
            </w14:solidFill>
          </w14:textFill>
        </w:rPr>
        <w:t>车间中间过道后，关闭车间大门进行产品装车，装车完成后再打开车间大门运输出厂。项目精矿和中矿在装车过程中产生装卸扬尘（G12），装车完成后，覆盖篷布运输出厂。产品运输车辆行驶出厂产生运输扬尘（G14）。</w:t>
      </w:r>
      <w:r>
        <w:rPr>
          <w:rFonts w:hint="eastAsia" w:ascii="Times New Roman" w:hAnsi="Times New Roman"/>
          <w:color w:val="000000" w:themeColor="text1"/>
          <w:spacing w:val="-2"/>
          <w:sz w:val="24"/>
          <w:szCs w:val="20"/>
          <w:u w:val="single"/>
          <w14:textFill>
            <w14:solidFill>
              <w14:schemeClr w14:val="tx1"/>
            </w14:solidFill>
          </w14:textFill>
        </w:rPr>
        <w:t>在产品装卸区域设置水雾喷淋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r>
        <w:rPr>
          <w:rFonts w:hint="eastAsia" w:ascii="Times New Roman" w:hAnsi="Times New Roman"/>
          <w:color w:val="000000" w:themeColor="text1"/>
          <w:sz w:val="24"/>
          <w:szCs w:val="24"/>
          <w:u w:val="single"/>
          <w14:textFill>
            <w14:solidFill>
              <w14:schemeClr w14:val="tx1"/>
            </w14:solidFill>
          </w14:textFill>
        </w:rPr>
        <w:t>在车间出入口</w:t>
      </w:r>
      <w:r>
        <w:rPr>
          <w:rFonts w:hint="eastAsia" w:ascii="Times New Roman" w:hAnsi="Times New Roman"/>
          <w:color w:val="000000" w:themeColor="text1"/>
          <w:spacing w:val="-2"/>
          <w:sz w:val="24"/>
          <w:szCs w:val="20"/>
          <w:u w:val="single"/>
          <w14:textFill>
            <w14:solidFill>
              <w14:schemeClr w14:val="tx1"/>
            </w14:solidFill>
          </w14:textFill>
        </w:rPr>
        <w:t>设置水雾喷淋</w:t>
      </w:r>
      <w:r>
        <w:rPr>
          <w:rFonts w:hint="eastAsia" w:ascii="Times New Roman" w:hAnsi="Times New Roman"/>
          <w:color w:val="000000" w:themeColor="text1"/>
          <w:sz w:val="24"/>
          <w:szCs w:val="24"/>
          <w:u w:val="single"/>
          <w14:textFill>
            <w14:solidFill>
              <w14:schemeClr w14:val="tx1"/>
            </w14:solidFill>
          </w14:textFill>
        </w:rPr>
        <w:t>设施</w:t>
      </w:r>
      <w:r>
        <w:rPr>
          <w:rFonts w:hint="eastAsia" w:ascii="Times New Roman" w:hAnsi="Times New Roman"/>
          <w:color w:val="000000" w:themeColor="text1"/>
          <w:spacing w:val="-2"/>
          <w:sz w:val="24"/>
          <w:szCs w:val="20"/>
          <w:u w:val="single"/>
          <w14:textFill>
            <w14:solidFill>
              <w14:schemeClr w14:val="tx1"/>
            </w14:solidFill>
          </w14:textFill>
        </w:rPr>
        <w:t>。</w:t>
      </w:r>
    </w:p>
    <w:p w14:paraId="59E1C67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项目</w:t>
      </w:r>
      <w:r>
        <w:rPr>
          <w:rFonts w:hint="eastAsia" w:ascii="Times New Roman" w:hAnsi="Times New Roman" w:eastAsia="宋体" w:cs="Times New Roman"/>
          <w:color w:val="000000" w:themeColor="text1"/>
          <w:spacing w:val="-2"/>
          <w:sz w:val="24"/>
          <w:szCs w:val="20"/>
          <w14:textFill>
            <w14:solidFill>
              <w14:schemeClr w14:val="tx1"/>
            </w14:solidFill>
          </w14:textFill>
        </w:rPr>
        <w:t>放射性核素在工艺流程的走向图见图</w:t>
      </w:r>
      <w:r>
        <w:rPr>
          <w:rFonts w:ascii="Times New Roman" w:hAnsi="Times New Roman" w:eastAsia="宋体" w:cs="Times New Roman"/>
          <w:color w:val="000000" w:themeColor="text1"/>
          <w:spacing w:val="-2"/>
          <w:sz w:val="24"/>
          <w:szCs w:val="20"/>
          <w14:textFill>
            <w14:solidFill>
              <w14:schemeClr w14:val="tx1"/>
            </w14:solidFill>
          </w14:textFill>
        </w:rPr>
        <w:t>2.2-1。</w:t>
      </w:r>
    </w:p>
    <w:p w14:paraId="50A3F60A">
      <w:pPr>
        <w:spacing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mc:AlternateContent>
          <mc:Choice Requires="wpc">
            <w:drawing>
              <wp:inline distT="0" distB="0" distL="0" distR="0">
                <wp:extent cx="5380355" cy="8282305"/>
                <wp:effectExtent l="0" t="0" r="0" b="23495"/>
                <wp:docPr id="1263295820"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4919130" name="矩形 11"/>
                        <wps:cNvSpPr>
                          <a:spLocks noChangeArrowheads="1"/>
                        </wps:cNvSpPr>
                        <wps:spPr bwMode="auto">
                          <a:xfrm>
                            <a:off x="2029460" y="492369"/>
                            <a:ext cx="958215" cy="291465"/>
                          </a:xfrm>
                          <a:prstGeom prst="rect">
                            <a:avLst/>
                          </a:prstGeom>
                          <a:solidFill>
                            <a:srgbClr val="FFFFFF"/>
                          </a:solidFill>
                          <a:ln w="9525" cmpd="sng">
                            <a:solidFill>
                              <a:srgbClr val="000000"/>
                            </a:solidFill>
                            <a:miter lim="800000"/>
                          </a:ln>
                          <a:effectLst/>
                        </wps:spPr>
                        <wps:txbx>
                          <w:txbxContent>
                            <w:p w14:paraId="21093389">
                              <w:pPr>
                                <w:spacing w:after="0" w:line="240" w:lineRule="auto"/>
                                <w:jc w:val="center"/>
                              </w:pPr>
                              <w:r>
                                <w:rPr>
                                  <w:rFonts w:hint="eastAsia"/>
                                </w:rPr>
                                <w:t>湿毛矿堆场</w:t>
                              </w:r>
                            </w:p>
                          </w:txbxContent>
                        </wps:txbx>
                        <wps:bodyPr rot="0" vert="horz" wrap="square" lIns="91440" tIns="45720" rIns="91440" bIns="45720" anchor="t" anchorCtr="0" upright="1">
                          <a:noAutofit/>
                        </wps:bodyPr>
                      </wps:wsp>
                      <wps:wsp>
                        <wps:cNvPr id="2082960523" name="矩形 12"/>
                        <wps:cNvSpPr>
                          <a:spLocks noChangeArrowheads="1"/>
                        </wps:cNvSpPr>
                        <wps:spPr bwMode="auto">
                          <a:xfrm>
                            <a:off x="2032635" y="1999859"/>
                            <a:ext cx="953135" cy="292735"/>
                          </a:xfrm>
                          <a:prstGeom prst="rect">
                            <a:avLst/>
                          </a:prstGeom>
                          <a:solidFill>
                            <a:srgbClr val="FFFFFF"/>
                          </a:solidFill>
                          <a:ln w="25400" cmpd="sng">
                            <a:solidFill>
                              <a:srgbClr val="000000"/>
                            </a:solidFill>
                            <a:miter lim="800000"/>
                          </a:ln>
                          <a:effectLst/>
                        </wps:spPr>
                        <wps:txbx>
                          <w:txbxContent>
                            <w:p w14:paraId="2E79E929">
                              <w:pPr>
                                <w:spacing w:after="0" w:line="240" w:lineRule="auto"/>
                                <w:jc w:val="center"/>
                              </w:pPr>
                              <w:r>
                                <w:rPr>
                                  <w:rFonts w:hint="eastAsia"/>
                                </w:rPr>
                                <w:t>烘干机</w:t>
                              </w:r>
                            </w:p>
                          </w:txbxContent>
                        </wps:txbx>
                        <wps:bodyPr rot="0" vert="horz" wrap="square" lIns="91440" tIns="45720" rIns="91440" bIns="45720" anchor="t" anchorCtr="0" upright="1">
                          <a:noAutofit/>
                        </wps:bodyPr>
                      </wps:wsp>
                      <wps:wsp>
                        <wps:cNvPr id="2107093181" name="矩形 13"/>
                        <wps:cNvSpPr>
                          <a:spLocks noChangeArrowheads="1"/>
                        </wps:cNvSpPr>
                        <wps:spPr bwMode="auto">
                          <a:xfrm>
                            <a:off x="2028190" y="3490839"/>
                            <a:ext cx="952500" cy="292100"/>
                          </a:xfrm>
                          <a:prstGeom prst="rect">
                            <a:avLst/>
                          </a:prstGeom>
                          <a:solidFill>
                            <a:srgbClr val="FFFFFF"/>
                          </a:solidFill>
                          <a:ln w="9525" cmpd="sng">
                            <a:solidFill>
                              <a:srgbClr val="000000"/>
                            </a:solidFill>
                            <a:miter lim="800000"/>
                          </a:ln>
                          <a:effectLst/>
                        </wps:spPr>
                        <wps:txbx>
                          <w:txbxContent>
                            <w:p w14:paraId="17C83D40">
                              <w:pPr>
                                <w:spacing w:after="0" w:line="240" w:lineRule="auto"/>
                                <w:jc w:val="center"/>
                              </w:pPr>
                              <w:r>
                                <w:rPr>
                                  <w:rFonts w:hint="eastAsia"/>
                                </w:rPr>
                                <w:t>干毛矿堆场</w:t>
                              </w:r>
                            </w:p>
                          </w:txbxContent>
                        </wps:txbx>
                        <wps:bodyPr rot="0" vert="horz" wrap="square" lIns="91440" tIns="45720" rIns="91440" bIns="45720" anchor="t" anchorCtr="0" upright="1">
                          <a:noAutofit/>
                        </wps:bodyPr>
                      </wps:wsp>
                      <wps:wsp>
                        <wps:cNvPr id="1479854067" name="矩形 14"/>
                        <wps:cNvSpPr>
                          <a:spLocks noChangeArrowheads="1"/>
                        </wps:cNvSpPr>
                        <wps:spPr bwMode="auto">
                          <a:xfrm>
                            <a:off x="2031365" y="5548874"/>
                            <a:ext cx="951865" cy="291465"/>
                          </a:xfrm>
                          <a:prstGeom prst="rect">
                            <a:avLst/>
                          </a:prstGeom>
                          <a:solidFill>
                            <a:srgbClr val="FFFFFF"/>
                          </a:solidFill>
                          <a:ln w="9525" cmpd="sng">
                            <a:solidFill>
                              <a:srgbClr val="000000"/>
                            </a:solidFill>
                            <a:miter lim="800000"/>
                          </a:ln>
                          <a:effectLst/>
                        </wps:spPr>
                        <wps:txbx>
                          <w:txbxContent>
                            <w:p w14:paraId="44B5414C">
                              <w:pPr>
                                <w:spacing w:after="0" w:line="240" w:lineRule="auto"/>
                                <w:jc w:val="center"/>
                              </w:pPr>
                              <w:r>
                                <w:rPr>
                                  <w:rFonts w:hint="eastAsia"/>
                                </w:rPr>
                                <w:t>磁选机出料</w:t>
                              </w:r>
                            </w:p>
                          </w:txbxContent>
                        </wps:txbx>
                        <wps:bodyPr rot="0" vert="horz" wrap="square" lIns="91440" tIns="45720" rIns="91440" bIns="45720" anchor="t" anchorCtr="0" upright="1">
                          <a:noAutofit/>
                        </wps:bodyPr>
                      </wps:wsp>
                      <wps:wsp>
                        <wps:cNvPr id="291573268" name="矩形 15"/>
                        <wps:cNvSpPr>
                          <a:spLocks noChangeArrowheads="1"/>
                        </wps:cNvSpPr>
                        <wps:spPr bwMode="auto">
                          <a:xfrm>
                            <a:off x="1038225" y="6862689"/>
                            <a:ext cx="950595" cy="290830"/>
                          </a:xfrm>
                          <a:prstGeom prst="rect">
                            <a:avLst/>
                          </a:prstGeom>
                          <a:solidFill>
                            <a:srgbClr val="FFFFFF"/>
                          </a:solidFill>
                          <a:ln w="9525" cmpd="sng">
                            <a:solidFill>
                              <a:srgbClr val="000000"/>
                            </a:solidFill>
                            <a:miter lim="800000"/>
                          </a:ln>
                          <a:effectLst/>
                        </wps:spPr>
                        <wps:txbx>
                          <w:txbxContent>
                            <w:p w14:paraId="4B72E00A">
                              <w:pPr>
                                <w:spacing w:after="0" w:line="240" w:lineRule="auto"/>
                                <w:jc w:val="center"/>
                              </w:pPr>
                              <w:r>
                                <w:rPr>
                                  <w:rFonts w:hint="eastAsia"/>
                                </w:rPr>
                                <w:t>精矿堆场</w:t>
                              </w:r>
                            </w:p>
                          </w:txbxContent>
                        </wps:txbx>
                        <wps:bodyPr rot="0" vert="horz" wrap="square" lIns="91440" tIns="45720" rIns="91440" bIns="45720" anchor="t" anchorCtr="0" upright="1">
                          <a:noAutofit/>
                        </wps:bodyPr>
                      </wps:wsp>
                      <wps:wsp>
                        <wps:cNvPr id="1891936697" name="矩形 16"/>
                        <wps:cNvSpPr>
                          <a:spLocks noChangeArrowheads="1"/>
                        </wps:cNvSpPr>
                        <wps:spPr bwMode="auto">
                          <a:xfrm>
                            <a:off x="2957830" y="6863959"/>
                            <a:ext cx="952500" cy="292100"/>
                          </a:xfrm>
                          <a:prstGeom prst="rect">
                            <a:avLst/>
                          </a:prstGeom>
                          <a:solidFill>
                            <a:srgbClr val="FFFFFF"/>
                          </a:solidFill>
                          <a:ln w="9525" cmpd="sng">
                            <a:solidFill>
                              <a:srgbClr val="000000"/>
                            </a:solidFill>
                            <a:miter lim="800000"/>
                          </a:ln>
                          <a:effectLst/>
                        </wps:spPr>
                        <wps:txbx>
                          <w:txbxContent>
                            <w:p w14:paraId="3D79247E">
                              <w:pPr>
                                <w:spacing w:after="0" w:line="240" w:lineRule="auto"/>
                                <w:jc w:val="center"/>
                              </w:pPr>
                              <w:r>
                                <w:rPr>
                                  <w:rFonts w:hint="eastAsia"/>
                                </w:rPr>
                                <w:t>锆中矿堆场</w:t>
                              </w:r>
                            </w:p>
                          </w:txbxContent>
                        </wps:txbx>
                        <wps:bodyPr rot="0" vert="horz" wrap="square" lIns="91440" tIns="45720" rIns="91440" bIns="45720" anchor="t" anchorCtr="0" upright="1">
                          <a:noAutofit/>
                        </wps:bodyPr>
                      </wps:wsp>
                      <wps:wsp>
                        <wps:cNvPr id="1616903571" name="矩形 17"/>
                        <wps:cNvSpPr>
                          <a:spLocks noChangeArrowheads="1"/>
                        </wps:cNvSpPr>
                        <wps:spPr bwMode="auto">
                          <a:xfrm>
                            <a:off x="2042795" y="8003149"/>
                            <a:ext cx="941070" cy="280035"/>
                          </a:xfrm>
                          <a:prstGeom prst="rect">
                            <a:avLst/>
                          </a:prstGeom>
                          <a:solidFill>
                            <a:srgbClr val="FFFFFF"/>
                          </a:solidFill>
                          <a:ln w="9525" cmpd="sng">
                            <a:solidFill>
                              <a:srgbClr val="000000"/>
                            </a:solidFill>
                            <a:miter lim="800000"/>
                          </a:ln>
                          <a:effectLst/>
                        </wps:spPr>
                        <wps:txbx>
                          <w:txbxContent>
                            <w:p w14:paraId="38896974">
                              <w:pPr>
                                <w:spacing w:after="0" w:line="240" w:lineRule="auto"/>
                                <w:jc w:val="center"/>
                              </w:pPr>
                              <w:r>
                                <w:rPr>
                                  <w:rFonts w:hint="eastAsia"/>
                                </w:rPr>
                                <w:t>产品外运</w:t>
                              </w:r>
                            </w:p>
                          </w:txbxContent>
                        </wps:txbx>
                        <wps:bodyPr rot="0" vert="horz" wrap="square" lIns="91440" tIns="45720" rIns="91440" bIns="45720" anchor="t" anchorCtr="0" upright="1">
                          <a:noAutofit/>
                        </wps:bodyPr>
                      </wps:wsp>
                      <wps:wsp>
                        <wps:cNvPr id="830901864" name="自选图形 25"/>
                        <wps:cNvCnPr>
                          <a:cxnSpLocks noChangeShapeType="1"/>
                        </wps:cNvCnPr>
                        <wps:spPr bwMode="auto">
                          <a:xfrm rot="5400000">
                            <a:off x="1770380" y="5588879"/>
                            <a:ext cx="485775" cy="988695"/>
                          </a:xfrm>
                          <a:prstGeom prst="bentConnector3">
                            <a:avLst>
                              <a:gd name="adj1" fmla="val 50065"/>
                            </a:avLst>
                          </a:prstGeom>
                          <a:noFill/>
                          <a:ln w="9525" cmpd="sng">
                            <a:solidFill>
                              <a:srgbClr val="000000"/>
                            </a:solidFill>
                            <a:miter lim="800000"/>
                            <a:tailEnd type="arrow" w="med" len="med"/>
                          </a:ln>
                          <a:effectLst/>
                        </wps:spPr>
                        <wps:bodyPr/>
                      </wps:wsp>
                      <wps:wsp>
                        <wps:cNvPr id="139914193" name="自选图形 26"/>
                        <wps:cNvCnPr>
                          <a:cxnSpLocks noChangeShapeType="1"/>
                        </wps:cNvCnPr>
                        <wps:spPr bwMode="auto">
                          <a:xfrm rot="5400000" flipV="1">
                            <a:off x="2726055" y="5621899"/>
                            <a:ext cx="485775" cy="922655"/>
                          </a:xfrm>
                          <a:prstGeom prst="bentConnector3">
                            <a:avLst>
                              <a:gd name="adj1" fmla="val 50065"/>
                            </a:avLst>
                          </a:prstGeom>
                          <a:noFill/>
                          <a:ln w="9525" cmpd="sng">
                            <a:solidFill>
                              <a:srgbClr val="000000"/>
                            </a:solidFill>
                            <a:miter lim="800000"/>
                            <a:tailEnd type="arrow" w="med" len="med"/>
                          </a:ln>
                          <a:effectLst/>
                        </wps:spPr>
                        <wps:bodyPr/>
                      </wps:wsp>
                      <wps:wsp>
                        <wps:cNvPr id="862895811" name="自选图形 28"/>
                        <wps:cNvCnPr>
                          <a:cxnSpLocks noChangeShapeType="1"/>
                        </wps:cNvCnPr>
                        <wps:spPr bwMode="auto">
                          <a:xfrm rot="16200000" flipH="1">
                            <a:off x="1815465" y="6851576"/>
                            <a:ext cx="394970" cy="998855"/>
                          </a:xfrm>
                          <a:prstGeom prst="bentConnector3">
                            <a:avLst>
                              <a:gd name="adj1" fmla="val 50000"/>
                            </a:avLst>
                          </a:prstGeom>
                          <a:noFill/>
                          <a:ln w="9525" cmpd="sng">
                            <a:solidFill>
                              <a:srgbClr val="000000"/>
                            </a:solidFill>
                            <a:miter lim="800000"/>
                            <a:tailEnd type="arrow" w="med" len="med"/>
                          </a:ln>
                          <a:effectLst/>
                        </wps:spPr>
                        <wps:bodyPr/>
                      </wps:wsp>
                      <wps:wsp>
                        <wps:cNvPr id="1656012138" name="自选图形 29"/>
                        <wps:cNvCnPr>
                          <a:cxnSpLocks noChangeShapeType="1"/>
                        </wps:cNvCnPr>
                        <wps:spPr bwMode="auto">
                          <a:xfrm rot="5400000">
                            <a:off x="2777173" y="6891582"/>
                            <a:ext cx="392430" cy="921385"/>
                          </a:xfrm>
                          <a:prstGeom prst="bentConnector3">
                            <a:avLst>
                              <a:gd name="adj1" fmla="val 49919"/>
                            </a:avLst>
                          </a:prstGeom>
                          <a:noFill/>
                          <a:ln w="9525" cmpd="sng">
                            <a:solidFill>
                              <a:srgbClr val="000000"/>
                            </a:solidFill>
                            <a:miter lim="800000"/>
                            <a:tailEnd type="arrow" w="med" len="med"/>
                          </a:ln>
                          <a:effectLst/>
                        </wps:spPr>
                        <wps:bodyPr/>
                      </wps:wsp>
                      <wps:wsp>
                        <wps:cNvPr id="680259496" name="矩形 33"/>
                        <wps:cNvSpPr>
                          <a:spLocks noChangeArrowheads="1"/>
                        </wps:cNvSpPr>
                        <wps:spPr bwMode="auto">
                          <a:xfrm>
                            <a:off x="1001395" y="5821924"/>
                            <a:ext cx="1071880" cy="292735"/>
                          </a:xfrm>
                          <a:prstGeom prst="rect">
                            <a:avLst/>
                          </a:prstGeom>
                          <a:noFill/>
                          <a:ln>
                            <a:noFill/>
                          </a:ln>
                          <a:effectLst/>
                        </wps:spPr>
                        <wps:txbx>
                          <w:txbxContent>
                            <w:p w14:paraId="1D97E308">
                              <w:pPr>
                                <w:spacing w:after="0" w:line="240" w:lineRule="auto"/>
                                <w:jc w:val="center"/>
                              </w:pPr>
                              <w:r>
                                <w:rPr>
                                  <w:rFonts w:hint="eastAsia"/>
                                </w:rPr>
                                <w:t>钛铁精矿</w:t>
                              </w:r>
                            </w:p>
                          </w:txbxContent>
                        </wps:txbx>
                        <wps:bodyPr rot="0" vert="horz" wrap="square" lIns="91440" tIns="45720" rIns="91440" bIns="45720" anchor="t" anchorCtr="0" upright="1">
                          <a:noAutofit/>
                        </wps:bodyPr>
                      </wps:wsp>
                      <wps:wsp>
                        <wps:cNvPr id="1327074170" name="矩形 34"/>
                        <wps:cNvSpPr>
                          <a:spLocks noChangeArrowheads="1"/>
                        </wps:cNvSpPr>
                        <wps:spPr bwMode="auto">
                          <a:xfrm>
                            <a:off x="2895600" y="5816844"/>
                            <a:ext cx="1068070" cy="292735"/>
                          </a:xfrm>
                          <a:prstGeom prst="rect">
                            <a:avLst/>
                          </a:prstGeom>
                          <a:noFill/>
                          <a:ln>
                            <a:noFill/>
                          </a:ln>
                          <a:effectLst/>
                        </wps:spPr>
                        <wps:txbx>
                          <w:txbxContent>
                            <w:p w14:paraId="3F6E58DF">
                              <w:pPr>
                                <w:spacing w:after="0" w:line="240" w:lineRule="auto"/>
                                <w:jc w:val="center"/>
                              </w:pPr>
                              <w:r>
                                <w:rPr>
                                  <w:rFonts w:hint="eastAsia"/>
                                </w:rPr>
                                <w:t>锆中矿</w:t>
                              </w:r>
                            </w:p>
                          </w:txbxContent>
                        </wps:txbx>
                        <wps:bodyPr rot="0" vert="horz" wrap="square" lIns="91440" tIns="45720" rIns="91440" bIns="45720" anchor="t" anchorCtr="0" upright="1">
                          <a:noAutofit/>
                        </wps:bodyPr>
                      </wps:wsp>
                      <wps:wsp>
                        <wps:cNvPr id="1142690372" name="自选图形 40"/>
                        <wps:cNvCnPr>
                          <a:cxnSpLocks noChangeShapeType="1"/>
                        </wps:cNvCnPr>
                        <wps:spPr bwMode="auto">
                          <a:xfrm flipV="1">
                            <a:off x="3783965" y="6123549"/>
                            <a:ext cx="345440" cy="212090"/>
                          </a:xfrm>
                          <a:prstGeom prst="curvedConnector3">
                            <a:avLst>
                              <a:gd name="adj1" fmla="val 50184"/>
                            </a:avLst>
                          </a:prstGeom>
                          <a:noFill/>
                          <a:ln w="9525" cmpd="sng">
                            <a:solidFill>
                              <a:srgbClr val="000000"/>
                            </a:solidFill>
                            <a:prstDash val="dash"/>
                            <a:miter lim="800000"/>
                            <a:tailEnd type="arrow" w="med" len="med"/>
                          </a:ln>
                          <a:effectLst/>
                        </wps:spPr>
                        <wps:bodyPr/>
                      </wps:wsp>
                      <wps:wsp>
                        <wps:cNvPr id="701968307" name="自选图形 42"/>
                        <wps:cNvCnPr>
                          <a:cxnSpLocks noChangeShapeType="1"/>
                        </wps:cNvCnPr>
                        <wps:spPr bwMode="auto">
                          <a:xfrm flipV="1">
                            <a:off x="2990215" y="55533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325661161" name="矩形 43"/>
                        <wps:cNvSpPr>
                          <a:spLocks noChangeArrowheads="1"/>
                        </wps:cNvSpPr>
                        <wps:spPr bwMode="auto">
                          <a:xfrm>
                            <a:off x="3733800" y="5879709"/>
                            <a:ext cx="1549400" cy="346075"/>
                          </a:xfrm>
                          <a:prstGeom prst="rect">
                            <a:avLst/>
                          </a:prstGeom>
                          <a:noFill/>
                          <a:ln>
                            <a:noFill/>
                          </a:ln>
                          <a:effectLst/>
                        </wps:spPr>
                        <wps:txbx>
                          <w:txbxContent>
                            <w:p w14:paraId="456A4BF9">
                              <w:pPr>
                                <w:spacing w:after="0" w:line="240" w:lineRule="auto"/>
                                <w:jc w:val="center"/>
                              </w:pPr>
                              <w:r>
                                <w:rPr>
                                  <w:rFonts w:hint="eastAsia"/>
                                </w:rPr>
                                <w:t>放射性粉尘、氡、γ</w:t>
                              </w:r>
                            </w:p>
                          </w:txbxContent>
                        </wps:txbx>
                        <wps:bodyPr rot="0" vert="horz" wrap="square" lIns="91440" tIns="45720" rIns="91440" bIns="45720" anchor="t" anchorCtr="0" upright="1">
                          <a:noAutofit/>
                        </wps:bodyPr>
                      </wps:wsp>
                      <wps:wsp>
                        <wps:cNvPr id="1325565908" name="自选图形 50"/>
                        <wps:cNvCnPr>
                          <a:cxnSpLocks noChangeShapeType="1"/>
                        </wps:cNvCnPr>
                        <wps:spPr bwMode="auto">
                          <a:xfrm flipV="1">
                            <a:off x="2991485" y="8041249"/>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s:wsp>
                        <wps:cNvPr id="1711399824" name="矩形 51"/>
                        <wps:cNvSpPr>
                          <a:spLocks noChangeArrowheads="1"/>
                        </wps:cNvSpPr>
                        <wps:spPr bwMode="auto">
                          <a:xfrm>
                            <a:off x="3319145" y="7932029"/>
                            <a:ext cx="1462404" cy="322580"/>
                          </a:xfrm>
                          <a:prstGeom prst="rect">
                            <a:avLst/>
                          </a:prstGeom>
                          <a:noFill/>
                          <a:ln>
                            <a:noFill/>
                          </a:ln>
                          <a:effectLst/>
                        </wps:spPr>
                        <wps:txbx>
                          <w:txbxContent>
                            <w:p w14:paraId="5AE336FE">
                              <w:pPr>
                                <w:spacing w:after="0" w:line="240" w:lineRule="auto"/>
                                <w:jc w:val="center"/>
                              </w:pPr>
                              <w:r>
                                <w:rPr>
                                  <w:rFonts w:hint="eastAsia"/>
                                </w:rPr>
                                <w:t>放射性粉尘、氡、γ尘</w:t>
                              </w:r>
                            </w:p>
                          </w:txbxContent>
                        </wps:txbx>
                        <wps:bodyPr rot="0" vert="horz" wrap="square" lIns="91440" tIns="45720" rIns="91440" bIns="45720" anchor="t" anchorCtr="0" upright="1">
                          <a:noAutofit/>
                        </wps:bodyPr>
                      </wps:wsp>
                      <wps:wsp>
                        <wps:cNvPr id="37487250" name="矩形 15"/>
                        <wps:cNvSpPr>
                          <a:spLocks noChangeArrowheads="1"/>
                        </wps:cNvSpPr>
                        <wps:spPr bwMode="auto">
                          <a:xfrm>
                            <a:off x="2037080" y="7548489"/>
                            <a:ext cx="950595" cy="290830"/>
                          </a:xfrm>
                          <a:prstGeom prst="rect">
                            <a:avLst/>
                          </a:prstGeom>
                          <a:solidFill>
                            <a:srgbClr val="FFFFFF"/>
                          </a:solidFill>
                          <a:ln w="9525" cmpd="sng">
                            <a:solidFill>
                              <a:srgbClr val="000000"/>
                            </a:solidFill>
                            <a:miter lim="800000"/>
                          </a:ln>
                          <a:effectLst/>
                        </wps:spPr>
                        <wps:txbx>
                          <w:txbxContent>
                            <w:p w14:paraId="6F9E1D11">
                              <w:pPr>
                                <w:spacing w:after="0" w:line="240" w:lineRule="auto"/>
                                <w:jc w:val="center"/>
                              </w:pPr>
                              <w:r>
                                <w:rPr>
                                  <w:rFonts w:hint="eastAsia"/>
                                </w:rPr>
                                <w:t>产品装车</w:t>
                              </w:r>
                            </w:p>
                          </w:txbxContent>
                        </wps:txbx>
                        <wps:bodyPr rot="0" vert="horz" wrap="square" lIns="91440" tIns="45720" rIns="91440" bIns="45720" anchor="t" anchorCtr="0" upright="1">
                          <a:noAutofit/>
                        </wps:bodyPr>
                      </wps:wsp>
                      <wps:wsp>
                        <wps:cNvPr id="1097340768" name="矩形 15"/>
                        <wps:cNvSpPr>
                          <a:spLocks noChangeArrowheads="1"/>
                        </wps:cNvSpPr>
                        <wps:spPr bwMode="auto">
                          <a:xfrm>
                            <a:off x="1043305" y="6326114"/>
                            <a:ext cx="950595" cy="290830"/>
                          </a:xfrm>
                          <a:prstGeom prst="rect">
                            <a:avLst/>
                          </a:prstGeom>
                          <a:solidFill>
                            <a:srgbClr val="FFFFFF"/>
                          </a:solidFill>
                          <a:ln w="9525" cmpd="sng">
                            <a:solidFill>
                              <a:srgbClr val="000000"/>
                            </a:solidFill>
                            <a:miter lim="800000"/>
                          </a:ln>
                          <a:effectLst/>
                        </wps:spPr>
                        <wps:txbx>
                          <w:txbxContent>
                            <w:p w14:paraId="40283B36">
                              <w:pPr>
                                <w:spacing w:after="0" w:line="240" w:lineRule="auto"/>
                                <w:jc w:val="center"/>
                              </w:pPr>
                              <w:r>
                                <w:rPr>
                                  <w:rFonts w:hint="eastAsia"/>
                                </w:rPr>
                                <w:t>精矿移堆</w:t>
                              </w:r>
                            </w:p>
                          </w:txbxContent>
                        </wps:txbx>
                        <wps:bodyPr rot="0" vert="horz" wrap="square" lIns="91440" tIns="45720" rIns="91440" bIns="45720" anchor="t" anchorCtr="0" upright="1">
                          <a:noAutofit/>
                        </wps:bodyPr>
                      </wps:wsp>
                      <wps:wsp>
                        <wps:cNvPr id="292496862" name="矩形 15"/>
                        <wps:cNvSpPr>
                          <a:spLocks noChangeArrowheads="1"/>
                        </wps:cNvSpPr>
                        <wps:spPr bwMode="auto">
                          <a:xfrm>
                            <a:off x="2954655" y="6326114"/>
                            <a:ext cx="950595" cy="290830"/>
                          </a:xfrm>
                          <a:prstGeom prst="rect">
                            <a:avLst/>
                          </a:prstGeom>
                          <a:solidFill>
                            <a:srgbClr val="FFFFFF"/>
                          </a:solidFill>
                          <a:ln w="9525" cmpd="sng">
                            <a:solidFill>
                              <a:srgbClr val="000000"/>
                            </a:solidFill>
                            <a:miter lim="800000"/>
                          </a:ln>
                          <a:effectLst/>
                        </wps:spPr>
                        <wps:txbx>
                          <w:txbxContent>
                            <w:p w14:paraId="22EAB99B">
                              <w:pPr>
                                <w:spacing w:after="0" w:line="240" w:lineRule="auto"/>
                                <w:jc w:val="center"/>
                              </w:pPr>
                              <w:r>
                                <w:rPr>
                                  <w:rFonts w:hint="eastAsia"/>
                                </w:rPr>
                                <w:t>中矿移堆</w:t>
                              </w:r>
                            </w:p>
                          </w:txbxContent>
                        </wps:txbx>
                        <wps:bodyPr rot="0" vert="horz" wrap="square" lIns="91440" tIns="45720" rIns="91440" bIns="45720" anchor="t" anchorCtr="0" upright="1">
                          <a:noAutofit/>
                        </wps:bodyPr>
                      </wps:wsp>
                      <wps:wsp>
                        <wps:cNvPr id="718560808" name="直接箭头连接符 718560808"/>
                        <wps:cNvCnPr/>
                        <wps:spPr>
                          <a:xfrm flipH="1">
                            <a:off x="1513840" y="6616944"/>
                            <a:ext cx="508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214133109" name="直接箭头连接符 1214133109"/>
                        <wps:cNvCnPr/>
                        <wps:spPr>
                          <a:xfrm>
                            <a:off x="3430270" y="6616944"/>
                            <a:ext cx="3810" cy="24701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82232059" name="矩形 14"/>
                        <wps:cNvSpPr>
                          <a:spLocks noChangeArrowheads="1"/>
                        </wps:cNvSpPr>
                        <wps:spPr bwMode="auto">
                          <a:xfrm>
                            <a:off x="2027555" y="5011664"/>
                            <a:ext cx="951865" cy="291465"/>
                          </a:xfrm>
                          <a:prstGeom prst="rect">
                            <a:avLst/>
                          </a:prstGeom>
                          <a:solidFill>
                            <a:srgbClr val="FFFFFF"/>
                          </a:solidFill>
                          <a:ln w="25400" cmpd="sng">
                            <a:solidFill>
                              <a:srgbClr val="000000"/>
                            </a:solidFill>
                            <a:miter lim="800000"/>
                          </a:ln>
                          <a:effectLst/>
                        </wps:spPr>
                        <wps:txbx>
                          <w:txbxContent>
                            <w:p w14:paraId="08CD649E">
                              <w:pPr>
                                <w:spacing w:after="0" w:line="240" w:lineRule="auto"/>
                                <w:jc w:val="center"/>
                              </w:pPr>
                              <w:r>
                                <w:rPr>
                                  <w:rFonts w:hint="eastAsia"/>
                                </w:rPr>
                                <w:t>磁选</w:t>
                              </w:r>
                            </w:p>
                          </w:txbxContent>
                        </wps:txbx>
                        <wps:bodyPr rot="0" vert="horz" wrap="square" lIns="91440" tIns="45720" rIns="91440" bIns="45720" anchor="t" anchorCtr="0" upright="1">
                          <a:noAutofit/>
                        </wps:bodyPr>
                      </wps:wsp>
                      <wps:wsp>
                        <wps:cNvPr id="96674874" name="矩形 14"/>
                        <wps:cNvSpPr>
                          <a:spLocks noChangeArrowheads="1"/>
                        </wps:cNvSpPr>
                        <wps:spPr bwMode="auto">
                          <a:xfrm>
                            <a:off x="2027555" y="4510014"/>
                            <a:ext cx="951865" cy="291465"/>
                          </a:xfrm>
                          <a:prstGeom prst="rect">
                            <a:avLst/>
                          </a:prstGeom>
                          <a:solidFill>
                            <a:srgbClr val="FFFFFF"/>
                          </a:solidFill>
                          <a:ln w="9525" cmpd="sng">
                            <a:solidFill>
                              <a:srgbClr val="000000"/>
                            </a:solidFill>
                            <a:miter lim="800000"/>
                          </a:ln>
                          <a:effectLst/>
                        </wps:spPr>
                        <wps:txbx>
                          <w:txbxContent>
                            <w:p w14:paraId="0563AB0F">
                              <w:pPr>
                                <w:spacing w:after="0" w:line="240" w:lineRule="auto"/>
                                <w:jc w:val="center"/>
                              </w:pPr>
                              <w:r>
                                <w:rPr>
                                  <w:rFonts w:hint="eastAsia"/>
                                </w:rPr>
                                <w:t>磁选机上料</w:t>
                              </w:r>
                            </w:p>
                          </w:txbxContent>
                        </wps:txbx>
                        <wps:bodyPr rot="0" vert="horz" wrap="square" lIns="91440" tIns="45720" rIns="91440" bIns="45720" anchor="t" anchorCtr="0" upright="1">
                          <a:noAutofit/>
                        </wps:bodyPr>
                      </wps:wsp>
                      <wps:wsp>
                        <wps:cNvPr id="343987447" name="矩形 14"/>
                        <wps:cNvSpPr>
                          <a:spLocks noChangeArrowheads="1"/>
                        </wps:cNvSpPr>
                        <wps:spPr bwMode="auto">
                          <a:xfrm>
                            <a:off x="2027555" y="3995664"/>
                            <a:ext cx="951865" cy="291465"/>
                          </a:xfrm>
                          <a:prstGeom prst="rect">
                            <a:avLst/>
                          </a:prstGeom>
                          <a:solidFill>
                            <a:srgbClr val="FFFFFF"/>
                          </a:solidFill>
                          <a:ln w="9525" cmpd="sng">
                            <a:solidFill>
                              <a:srgbClr val="000000"/>
                            </a:solidFill>
                            <a:miter lim="800000"/>
                          </a:ln>
                          <a:effectLst/>
                        </wps:spPr>
                        <wps:txbx>
                          <w:txbxContent>
                            <w:p w14:paraId="0EDF0DB1">
                              <w:pPr>
                                <w:spacing w:after="0" w:line="240" w:lineRule="auto"/>
                                <w:jc w:val="center"/>
                              </w:pPr>
                              <w:r>
                                <w:rPr>
                                  <w:rFonts w:hint="eastAsia"/>
                                </w:rPr>
                                <w:t>铲车转运</w:t>
                              </w:r>
                            </w:p>
                          </w:txbxContent>
                        </wps:txbx>
                        <wps:bodyPr rot="0" vert="horz" wrap="square" lIns="91440" tIns="45720" rIns="91440" bIns="45720" anchor="t" anchorCtr="0" upright="1">
                          <a:noAutofit/>
                        </wps:bodyPr>
                      </wps:wsp>
                      <wps:wsp>
                        <wps:cNvPr id="136933471" name="矩形 14"/>
                        <wps:cNvSpPr>
                          <a:spLocks noChangeArrowheads="1"/>
                        </wps:cNvSpPr>
                        <wps:spPr bwMode="auto">
                          <a:xfrm>
                            <a:off x="2033905" y="3030464"/>
                            <a:ext cx="951865" cy="291465"/>
                          </a:xfrm>
                          <a:prstGeom prst="rect">
                            <a:avLst/>
                          </a:prstGeom>
                          <a:solidFill>
                            <a:srgbClr val="FFFFFF"/>
                          </a:solidFill>
                          <a:ln w="9525" cmpd="sng">
                            <a:solidFill>
                              <a:srgbClr val="000000"/>
                            </a:solidFill>
                            <a:miter lim="800000"/>
                          </a:ln>
                          <a:effectLst/>
                        </wps:spPr>
                        <wps:txbx>
                          <w:txbxContent>
                            <w:p w14:paraId="5A5ACE47">
                              <w:pPr>
                                <w:spacing w:after="0" w:line="240" w:lineRule="auto"/>
                                <w:jc w:val="center"/>
                              </w:pPr>
                              <w:r>
                                <w:rPr>
                                  <w:rFonts w:hint="eastAsia"/>
                                </w:rPr>
                                <w:t>干毛矿移堆</w:t>
                              </w:r>
                            </w:p>
                          </w:txbxContent>
                        </wps:txbx>
                        <wps:bodyPr rot="0" vert="horz" wrap="square" lIns="91440" tIns="45720" rIns="91440" bIns="45720" anchor="t" anchorCtr="0" upright="1">
                          <a:noAutofit/>
                        </wps:bodyPr>
                      </wps:wsp>
                      <wps:wsp>
                        <wps:cNvPr id="453078952" name="矩形 14"/>
                        <wps:cNvSpPr>
                          <a:spLocks noChangeArrowheads="1"/>
                        </wps:cNvSpPr>
                        <wps:spPr bwMode="auto">
                          <a:xfrm>
                            <a:off x="2033905" y="2528814"/>
                            <a:ext cx="951865" cy="291465"/>
                          </a:xfrm>
                          <a:prstGeom prst="rect">
                            <a:avLst/>
                          </a:prstGeom>
                          <a:solidFill>
                            <a:srgbClr val="FFFFFF"/>
                          </a:solidFill>
                          <a:ln w="9525" cmpd="sng">
                            <a:solidFill>
                              <a:srgbClr val="000000"/>
                            </a:solidFill>
                            <a:miter lim="800000"/>
                          </a:ln>
                          <a:effectLst/>
                        </wps:spPr>
                        <wps:txbx>
                          <w:txbxContent>
                            <w:p w14:paraId="2077332B">
                              <w:pPr>
                                <w:spacing w:after="0" w:line="240" w:lineRule="auto"/>
                                <w:jc w:val="center"/>
                              </w:pPr>
                              <w:r>
                                <w:rPr>
                                  <w:rFonts w:hint="eastAsia"/>
                                </w:rPr>
                                <w:t>烘干机出料</w:t>
                              </w:r>
                            </w:p>
                          </w:txbxContent>
                        </wps:txbx>
                        <wps:bodyPr rot="0" vert="horz" wrap="square" lIns="91440" tIns="45720" rIns="91440" bIns="45720" anchor="t" anchorCtr="0" upright="1">
                          <a:noAutofit/>
                        </wps:bodyPr>
                      </wps:wsp>
                      <wps:wsp>
                        <wps:cNvPr id="1501515740" name="矩形 1501515740"/>
                        <wps:cNvSpPr>
                          <a:spLocks noChangeArrowheads="1"/>
                        </wps:cNvSpPr>
                        <wps:spPr bwMode="auto">
                          <a:xfrm>
                            <a:off x="2027555" y="1493764"/>
                            <a:ext cx="951865" cy="291465"/>
                          </a:xfrm>
                          <a:prstGeom prst="rect">
                            <a:avLst/>
                          </a:prstGeom>
                          <a:solidFill>
                            <a:srgbClr val="FFFFFF"/>
                          </a:solidFill>
                          <a:ln w="9525" cmpd="sng">
                            <a:solidFill>
                              <a:srgbClr val="000000"/>
                            </a:solidFill>
                            <a:miter lim="800000"/>
                          </a:ln>
                          <a:effectLst/>
                        </wps:spPr>
                        <wps:txbx>
                          <w:txbxContent>
                            <w:p w14:paraId="5492E350">
                              <w:pPr>
                                <w:spacing w:after="0" w:line="240" w:lineRule="auto"/>
                                <w:jc w:val="center"/>
                              </w:pPr>
                              <w:r>
                                <w:rPr>
                                  <w:rFonts w:hint="eastAsia"/>
                                </w:rPr>
                                <w:t>烘干机上料</w:t>
                              </w:r>
                            </w:p>
                          </w:txbxContent>
                        </wps:txbx>
                        <wps:bodyPr rot="0" vert="horz" wrap="square" lIns="91440" tIns="45720" rIns="91440" bIns="45720" anchor="t" anchorCtr="0" upright="1">
                          <a:noAutofit/>
                        </wps:bodyPr>
                      </wps:wsp>
                      <wps:wsp>
                        <wps:cNvPr id="260665966" name="矩形 14"/>
                        <wps:cNvSpPr>
                          <a:spLocks noChangeArrowheads="1"/>
                        </wps:cNvSpPr>
                        <wps:spPr bwMode="auto">
                          <a:xfrm>
                            <a:off x="205105" y="2001764"/>
                            <a:ext cx="951865" cy="291465"/>
                          </a:xfrm>
                          <a:prstGeom prst="rect">
                            <a:avLst/>
                          </a:prstGeom>
                          <a:solidFill>
                            <a:srgbClr val="FFFFFF"/>
                          </a:solidFill>
                          <a:ln w="9525" cmpd="sng">
                            <a:solidFill>
                              <a:srgbClr val="000000"/>
                            </a:solidFill>
                            <a:miter lim="800000"/>
                          </a:ln>
                          <a:effectLst/>
                        </wps:spPr>
                        <wps:txbx>
                          <w:txbxContent>
                            <w:p w14:paraId="59BBFEE4">
                              <w:pPr>
                                <w:spacing w:after="0" w:line="240" w:lineRule="auto"/>
                                <w:jc w:val="center"/>
                              </w:pPr>
                              <w:r>
                                <w:rPr>
                                  <w:rFonts w:hint="eastAsia"/>
                                </w:rPr>
                                <w:t>烘干炉</w:t>
                              </w:r>
                            </w:p>
                          </w:txbxContent>
                        </wps:txbx>
                        <wps:bodyPr rot="0" vert="horz" wrap="square" lIns="91440" tIns="45720" rIns="91440" bIns="45720" anchor="t" anchorCtr="0" upright="1">
                          <a:noAutofit/>
                        </wps:bodyPr>
                      </wps:wsp>
                      <wps:wsp>
                        <wps:cNvPr id="1598623358" name="矩形 1598623358"/>
                        <wps:cNvSpPr>
                          <a:spLocks noChangeArrowheads="1"/>
                        </wps:cNvSpPr>
                        <wps:spPr bwMode="auto">
                          <a:xfrm>
                            <a:off x="2027555" y="39614"/>
                            <a:ext cx="951865" cy="291465"/>
                          </a:xfrm>
                          <a:prstGeom prst="rect">
                            <a:avLst/>
                          </a:prstGeom>
                          <a:solidFill>
                            <a:srgbClr val="FFFFFF"/>
                          </a:solidFill>
                          <a:ln w="9525" cmpd="sng">
                            <a:solidFill>
                              <a:srgbClr val="000000"/>
                            </a:solidFill>
                            <a:miter lim="800000"/>
                          </a:ln>
                          <a:effectLst/>
                        </wps:spPr>
                        <wps:txbx>
                          <w:txbxContent>
                            <w:p w14:paraId="368EB852">
                              <w:pPr>
                                <w:spacing w:after="0" w:line="240" w:lineRule="auto"/>
                                <w:jc w:val="center"/>
                              </w:pPr>
                              <w:r>
                                <w:rPr>
                                  <w:rFonts w:hint="eastAsia"/>
                                </w:rPr>
                                <w:t>拆箱卸料</w:t>
                              </w:r>
                            </w:p>
                          </w:txbxContent>
                        </wps:txbx>
                        <wps:bodyPr rot="0" vert="horz" wrap="square" lIns="91440" tIns="45720" rIns="91440" bIns="45720" anchor="t" anchorCtr="0" upright="1">
                          <a:noAutofit/>
                        </wps:bodyPr>
                      </wps:wsp>
                      <wps:wsp>
                        <wps:cNvPr id="1204398356" name="矩形 14"/>
                        <wps:cNvSpPr>
                          <a:spLocks noChangeArrowheads="1"/>
                        </wps:cNvSpPr>
                        <wps:spPr bwMode="auto">
                          <a:xfrm>
                            <a:off x="2027555" y="985764"/>
                            <a:ext cx="951865" cy="291465"/>
                          </a:xfrm>
                          <a:prstGeom prst="rect">
                            <a:avLst/>
                          </a:prstGeom>
                          <a:solidFill>
                            <a:srgbClr val="FFFFFF"/>
                          </a:solidFill>
                          <a:ln w="9525" cmpd="sng">
                            <a:solidFill>
                              <a:srgbClr val="000000"/>
                            </a:solidFill>
                            <a:miter lim="800000"/>
                          </a:ln>
                          <a:effectLst/>
                        </wps:spPr>
                        <wps:txbx>
                          <w:txbxContent>
                            <w:p w14:paraId="28EC51D8">
                              <w:pPr>
                                <w:spacing w:after="0" w:line="240" w:lineRule="auto"/>
                                <w:jc w:val="center"/>
                              </w:pPr>
                              <w:r>
                                <w:rPr>
                                  <w:rFonts w:hint="eastAsia"/>
                                </w:rPr>
                                <w:t>铲车转运</w:t>
                              </w:r>
                            </w:p>
                          </w:txbxContent>
                        </wps:txbx>
                        <wps:bodyPr rot="0" vert="horz" wrap="square" lIns="91440" tIns="45720" rIns="91440" bIns="45720" anchor="t" anchorCtr="0" upright="1">
                          <a:noAutofit/>
                        </wps:bodyPr>
                      </wps:wsp>
                      <wps:wsp>
                        <wps:cNvPr id="1280979667" name="直接箭头连接符 1280979667"/>
                        <wps:cNvCnPr/>
                        <wps:spPr>
                          <a:xfrm>
                            <a:off x="2503805" y="5303129"/>
                            <a:ext cx="3810" cy="24574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617949656" name="直接箭头连接符 1617949656"/>
                        <wps:cNvCnPr/>
                        <wps:spPr>
                          <a:xfrm>
                            <a:off x="2503805" y="4801479"/>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94540019" name="直接箭头连接符 1194540019"/>
                        <wps:cNvCnPr/>
                        <wps:spPr>
                          <a:xfrm>
                            <a:off x="2503805" y="4287129"/>
                            <a:ext cx="0" cy="2228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61189641" name="直接箭头连接符 961189641"/>
                        <wps:cNvCnPr/>
                        <wps:spPr>
                          <a:xfrm flipH="1">
                            <a:off x="2503805" y="3782939"/>
                            <a:ext cx="635" cy="21272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153647718" name="直接箭头连接符 1153647718"/>
                        <wps:cNvCnPr/>
                        <wps:spPr>
                          <a:xfrm flipH="1">
                            <a:off x="2504440" y="3321929"/>
                            <a:ext cx="5715" cy="16891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100689743" name="直接箭头连接符 2100689743"/>
                        <wps:cNvCnPr/>
                        <wps:spPr>
                          <a:xfrm>
                            <a:off x="2510155" y="2820279"/>
                            <a:ext cx="0" cy="2101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66259848" name="直接箭头连接符 266259848"/>
                        <wps:cNvCnPr/>
                        <wps:spPr>
                          <a:xfrm>
                            <a:off x="2509520" y="2292594"/>
                            <a:ext cx="635" cy="23622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84897141" name="直接箭头连接符 184897141"/>
                        <wps:cNvCnPr/>
                        <wps:spPr>
                          <a:xfrm>
                            <a:off x="2503805" y="1785229"/>
                            <a:ext cx="5715" cy="2146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981383471" name="直接箭头连接符 981383471"/>
                        <wps:cNvCnPr/>
                        <wps:spPr>
                          <a:xfrm>
                            <a:off x="2503805" y="1277229"/>
                            <a:ext cx="0" cy="21653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701578842" name="直接箭头连接符 1701578842"/>
                        <wps:cNvCnPr/>
                        <wps:spPr>
                          <a:xfrm flipH="1">
                            <a:off x="2503805" y="783834"/>
                            <a:ext cx="5080" cy="2019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080762008" name="直接箭头连接符 1080762008"/>
                        <wps:cNvCnPr/>
                        <wps:spPr>
                          <a:xfrm>
                            <a:off x="2503805" y="331079"/>
                            <a:ext cx="5080" cy="16129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564203823" name="直接箭头连接符 1564203823"/>
                        <wps:cNvCnPr/>
                        <wps:spPr>
                          <a:xfrm flipV="1">
                            <a:off x="1156970" y="2146544"/>
                            <a:ext cx="875665" cy="1270"/>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wps:wsp>
                        <wps:cNvPr id="744920657" name="直接箭头连接符 744920657"/>
                        <wps:cNvCnPr/>
                        <wps:spPr>
                          <a:xfrm>
                            <a:off x="2512695" y="7839319"/>
                            <a:ext cx="635" cy="16383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08217463" name="直接箭头连接符 1308217463"/>
                        <wps:cNvCnPr/>
                        <wps:spPr>
                          <a:xfrm>
                            <a:off x="1169670" y="185664"/>
                            <a:ext cx="857885" cy="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414089961" name="矩形 14"/>
                        <wps:cNvSpPr>
                          <a:spLocks noChangeArrowheads="1"/>
                        </wps:cNvSpPr>
                        <wps:spPr bwMode="auto">
                          <a:xfrm>
                            <a:off x="217805" y="39614"/>
                            <a:ext cx="951865" cy="291465"/>
                          </a:xfrm>
                          <a:prstGeom prst="rect">
                            <a:avLst/>
                          </a:prstGeom>
                          <a:solidFill>
                            <a:srgbClr val="FFFFFF"/>
                          </a:solidFill>
                          <a:ln w="9525" cmpd="sng">
                            <a:solidFill>
                              <a:srgbClr val="000000"/>
                            </a:solidFill>
                            <a:miter lim="800000"/>
                          </a:ln>
                          <a:effectLst/>
                        </wps:spPr>
                        <wps:txbx>
                          <w:txbxContent>
                            <w:p w14:paraId="384B8397">
                              <w:pPr>
                                <w:spacing w:after="0" w:line="240" w:lineRule="auto"/>
                                <w:jc w:val="center"/>
                              </w:pPr>
                              <w:r>
                                <w:rPr>
                                  <w:rFonts w:hint="eastAsia"/>
                                </w:rPr>
                                <w:t>原料进场</w:t>
                              </w:r>
                            </w:p>
                          </w:txbxContent>
                        </wps:txbx>
                        <wps:bodyPr rot="0" vert="horz" wrap="square" lIns="91440" tIns="45720" rIns="91440" bIns="45720" anchor="t" anchorCtr="0" upright="1">
                          <a:noAutofit/>
                        </wps:bodyPr>
                      </wps:wsp>
                      <wps:wsp>
                        <wps:cNvPr id="1801051482" name="矩形 34"/>
                        <wps:cNvSpPr>
                          <a:spLocks noChangeArrowheads="1"/>
                        </wps:cNvSpPr>
                        <wps:spPr bwMode="auto">
                          <a:xfrm>
                            <a:off x="141605" y="2617714"/>
                            <a:ext cx="1068070" cy="292735"/>
                          </a:xfrm>
                          <a:prstGeom prst="rect">
                            <a:avLst/>
                          </a:prstGeom>
                          <a:noFill/>
                          <a:ln>
                            <a:noFill/>
                          </a:ln>
                          <a:effectLst/>
                        </wps:spPr>
                        <wps:txbx>
                          <w:txbxContent>
                            <w:p w14:paraId="68226E1F">
                              <w:pPr>
                                <w:spacing w:after="0" w:line="240" w:lineRule="auto"/>
                                <w:jc w:val="center"/>
                              </w:pPr>
                              <w:r>
                                <w:rPr>
                                  <w:rFonts w:hint="eastAsia"/>
                                </w:rPr>
                                <w:t>生物质燃料</w:t>
                              </w:r>
                            </w:p>
                          </w:txbxContent>
                        </wps:txbx>
                        <wps:bodyPr rot="0" vert="horz" wrap="square" lIns="91440" tIns="45720" rIns="91440" bIns="45720" anchor="t" anchorCtr="0" upright="1">
                          <a:noAutofit/>
                        </wps:bodyPr>
                      </wps:wsp>
                      <wps:wsp>
                        <wps:cNvPr id="1210789733" name="直接箭头连接符 1210789733"/>
                        <wps:cNvCnPr/>
                        <wps:spPr>
                          <a:xfrm flipV="1">
                            <a:off x="675640" y="2293229"/>
                            <a:ext cx="5715" cy="32448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374455651" name="矩形 38"/>
                        <wps:cNvSpPr>
                          <a:spLocks noChangeArrowheads="1"/>
                        </wps:cNvSpPr>
                        <wps:spPr bwMode="auto">
                          <a:xfrm>
                            <a:off x="1195705" y="1843014"/>
                            <a:ext cx="716280" cy="291465"/>
                          </a:xfrm>
                          <a:prstGeom prst="rect">
                            <a:avLst/>
                          </a:prstGeom>
                          <a:noFill/>
                          <a:ln>
                            <a:noFill/>
                          </a:ln>
                          <a:effectLst/>
                        </wps:spPr>
                        <wps:txbx>
                          <w:txbxContent>
                            <w:p w14:paraId="4E9A5D88">
                              <w:pPr>
                                <w:spacing w:after="0" w:line="240" w:lineRule="auto"/>
                                <w:jc w:val="center"/>
                              </w:pPr>
                              <w:r>
                                <w:rPr>
                                  <w:rFonts w:hint="eastAsia"/>
                                </w:rPr>
                                <w:t>干燥烟气</w:t>
                              </w:r>
                            </w:p>
                          </w:txbxContent>
                        </wps:txbx>
                        <wps:bodyPr rot="0" vert="horz" wrap="square" lIns="91440" tIns="45720" rIns="91440" bIns="45720" anchor="t" anchorCtr="0" upright="1">
                          <a:noAutofit/>
                        </wps:bodyPr>
                      </wps:wsp>
                      <wps:wsp>
                        <wps:cNvPr id="1012637223" name="矩形 51"/>
                        <wps:cNvSpPr>
                          <a:spLocks noChangeArrowheads="1"/>
                        </wps:cNvSpPr>
                        <wps:spPr bwMode="auto">
                          <a:xfrm>
                            <a:off x="3284854" y="7507214"/>
                            <a:ext cx="1496695" cy="318770"/>
                          </a:xfrm>
                          <a:prstGeom prst="rect">
                            <a:avLst/>
                          </a:prstGeom>
                          <a:noFill/>
                          <a:ln>
                            <a:noFill/>
                          </a:ln>
                          <a:effectLst/>
                        </wps:spPr>
                        <wps:txbx>
                          <w:txbxContent>
                            <w:p w14:paraId="77A6C0F5">
                              <w:pPr>
                                <w:spacing w:after="0" w:line="240" w:lineRule="auto"/>
                                <w:jc w:val="center"/>
                              </w:pPr>
                              <w:r>
                                <w:rPr>
                                  <w:rFonts w:hint="eastAsia"/>
                                </w:rPr>
                                <w:t>放射性粉尘、氡、γ</w:t>
                              </w:r>
                            </w:p>
                          </w:txbxContent>
                        </wps:txbx>
                        <wps:bodyPr rot="0" vert="horz" wrap="square" lIns="91440" tIns="45720" rIns="91440" bIns="45720" anchor="t" anchorCtr="0" upright="1">
                          <a:noAutofit/>
                        </wps:bodyPr>
                      </wps:wsp>
                      <wps:wsp>
                        <wps:cNvPr id="1683504836" name="矩形 43"/>
                        <wps:cNvSpPr>
                          <a:spLocks noChangeArrowheads="1"/>
                        </wps:cNvSpPr>
                        <wps:spPr bwMode="auto">
                          <a:xfrm>
                            <a:off x="3348355" y="5418064"/>
                            <a:ext cx="1509394" cy="388620"/>
                          </a:xfrm>
                          <a:prstGeom prst="rect">
                            <a:avLst/>
                          </a:prstGeom>
                          <a:noFill/>
                          <a:ln>
                            <a:noFill/>
                          </a:ln>
                          <a:effectLst/>
                        </wps:spPr>
                        <wps:txbx>
                          <w:txbxContent>
                            <w:p w14:paraId="2B42DAB2">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297371425" name="自选图形 42"/>
                        <wps:cNvCnPr>
                          <a:cxnSpLocks noChangeShapeType="1"/>
                        </wps:cNvCnPr>
                        <wps:spPr bwMode="auto">
                          <a:xfrm flipV="1">
                            <a:off x="2980055" y="50072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520993247" name="矩形 43"/>
                        <wps:cNvSpPr>
                          <a:spLocks noChangeArrowheads="1"/>
                        </wps:cNvSpPr>
                        <wps:spPr bwMode="auto">
                          <a:xfrm>
                            <a:off x="3338194" y="4871964"/>
                            <a:ext cx="1500505" cy="401320"/>
                          </a:xfrm>
                          <a:prstGeom prst="rect">
                            <a:avLst/>
                          </a:prstGeom>
                          <a:noFill/>
                          <a:ln>
                            <a:noFill/>
                          </a:ln>
                          <a:effectLst/>
                        </wps:spPr>
                        <wps:txbx>
                          <w:txbxContent>
                            <w:p w14:paraId="4ACCCCB4">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71873877" name="自选图形 42"/>
                        <wps:cNvCnPr>
                          <a:cxnSpLocks noChangeShapeType="1"/>
                        </wps:cNvCnPr>
                        <wps:spPr bwMode="auto">
                          <a:xfrm flipV="1">
                            <a:off x="2999105" y="45436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07643545" name="矩形 43"/>
                        <wps:cNvSpPr>
                          <a:spLocks noChangeArrowheads="1"/>
                        </wps:cNvSpPr>
                        <wps:spPr bwMode="auto">
                          <a:xfrm>
                            <a:off x="3357245" y="4408414"/>
                            <a:ext cx="1500504" cy="393065"/>
                          </a:xfrm>
                          <a:prstGeom prst="rect">
                            <a:avLst/>
                          </a:prstGeom>
                          <a:noFill/>
                          <a:ln>
                            <a:noFill/>
                          </a:ln>
                          <a:effectLst/>
                        </wps:spPr>
                        <wps:txbx>
                          <w:txbxContent>
                            <w:p w14:paraId="0538C5BC">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862590407" name="自选图形 42"/>
                        <wps:cNvCnPr>
                          <a:cxnSpLocks noChangeShapeType="1"/>
                        </wps:cNvCnPr>
                        <wps:spPr bwMode="auto">
                          <a:xfrm flipV="1">
                            <a:off x="2992755" y="40229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41682601" name="矩形 41682601"/>
                        <wps:cNvSpPr>
                          <a:spLocks noChangeArrowheads="1"/>
                        </wps:cNvSpPr>
                        <wps:spPr bwMode="auto">
                          <a:xfrm>
                            <a:off x="3350895" y="3887714"/>
                            <a:ext cx="1506854" cy="399415"/>
                          </a:xfrm>
                          <a:prstGeom prst="rect">
                            <a:avLst/>
                          </a:prstGeom>
                          <a:noFill/>
                          <a:ln>
                            <a:noFill/>
                          </a:ln>
                          <a:effectLst/>
                        </wps:spPr>
                        <wps:txbx>
                          <w:txbxContent>
                            <w:p w14:paraId="0A7432D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992957017" name="自选图形 42"/>
                        <wps:cNvCnPr>
                          <a:cxnSpLocks noChangeShapeType="1"/>
                        </wps:cNvCnPr>
                        <wps:spPr bwMode="auto">
                          <a:xfrm flipV="1">
                            <a:off x="2999105" y="30641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273714032" name="矩形 43"/>
                        <wps:cNvSpPr>
                          <a:spLocks noChangeArrowheads="1"/>
                        </wps:cNvSpPr>
                        <wps:spPr bwMode="auto">
                          <a:xfrm>
                            <a:off x="3357245" y="2928864"/>
                            <a:ext cx="1500504" cy="344170"/>
                          </a:xfrm>
                          <a:prstGeom prst="rect">
                            <a:avLst/>
                          </a:prstGeom>
                          <a:noFill/>
                          <a:ln>
                            <a:noFill/>
                          </a:ln>
                          <a:effectLst/>
                        </wps:spPr>
                        <wps:txbx>
                          <w:txbxContent>
                            <w:p w14:paraId="6A51D94F">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64850484" name="自选图形 42"/>
                        <wps:cNvCnPr>
                          <a:cxnSpLocks noChangeShapeType="1"/>
                        </wps:cNvCnPr>
                        <wps:spPr bwMode="auto">
                          <a:xfrm flipV="1">
                            <a:off x="2992755" y="25497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641173509" name="矩形 43"/>
                        <wps:cNvSpPr>
                          <a:spLocks noChangeArrowheads="1"/>
                        </wps:cNvSpPr>
                        <wps:spPr bwMode="auto">
                          <a:xfrm>
                            <a:off x="3350895" y="2414514"/>
                            <a:ext cx="1506854" cy="405765"/>
                          </a:xfrm>
                          <a:prstGeom prst="rect">
                            <a:avLst/>
                          </a:prstGeom>
                          <a:noFill/>
                          <a:ln>
                            <a:noFill/>
                          </a:ln>
                          <a:effectLst/>
                        </wps:spPr>
                        <wps:txbx>
                          <w:txbxContent>
                            <w:p w14:paraId="6EB42E25">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32302741" name="自选图形 42"/>
                        <wps:cNvCnPr>
                          <a:cxnSpLocks noChangeShapeType="1"/>
                        </wps:cNvCnPr>
                        <wps:spPr bwMode="auto">
                          <a:xfrm flipV="1">
                            <a:off x="2986405" y="203541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1731286" name="矩形 43"/>
                        <wps:cNvSpPr>
                          <a:spLocks noChangeArrowheads="1"/>
                        </wps:cNvSpPr>
                        <wps:spPr bwMode="auto">
                          <a:xfrm>
                            <a:off x="3344544" y="1900164"/>
                            <a:ext cx="1532255" cy="410845"/>
                          </a:xfrm>
                          <a:prstGeom prst="rect">
                            <a:avLst/>
                          </a:prstGeom>
                          <a:noFill/>
                          <a:ln>
                            <a:noFill/>
                          </a:ln>
                          <a:effectLst/>
                        </wps:spPr>
                        <wps:txbx>
                          <w:txbxContent>
                            <w:p w14:paraId="70579DB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714855782" name="自选图形 42"/>
                        <wps:cNvCnPr>
                          <a:cxnSpLocks noChangeShapeType="1"/>
                        </wps:cNvCnPr>
                        <wps:spPr bwMode="auto">
                          <a:xfrm flipV="1">
                            <a:off x="2986405" y="15337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1888210881" name="矩形 43"/>
                        <wps:cNvSpPr>
                          <a:spLocks noChangeArrowheads="1"/>
                        </wps:cNvSpPr>
                        <wps:spPr bwMode="auto">
                          <a:xfrm>
                            <a:off x="3344545" y="1398514"/>
                            <a:ext cx="1494154" cy="398145"/>
                          </a:xfrm>
                          <a:prstGeom prst="rect">
                            <a:avLst/>
                          </a:prstGeom>
                          <a:noFill/>
                          <a:ln>
                            <a:noFill/>
                          </a:ln>
                          <a:effectLst/>
                        </wps:spPr>
                        <wps:txbx>
                          <w:txbxContent>
                            <w:p w14:paraId="754B6294">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829192959" name="自选图形 42"/>
                        <wps:cNvCnPr>
                          <a:cxnSpLocks noChangeShapeType="1"/>
                        </wps:cNvCnPr>
                        <wps:spPr bwMode="auto">
                          <a:xfrm flipV="1">
                            <a:off x="2986405" y="10384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99765742" name="矩形 43"/>
                        <wps:cNvSpPr>
                          <a:spLocks noChangeArrowheads="1"/>
                        </wps:cNvSpPr>
                        <wps:spPr bwMode="auto">
                          <a:xfrm>
                            <a:off x="3344544" y="903214"/>
                            <a:ext cx="1513205" cy="374015"/>
                          </a:xfrm>
                          <a:prstGeom prst="rect">
                            <a:avLst/>
                          </a:prstGeom>
                          <a:noFill/>
                          <a:ln>
                            <a:noFill/>
                          </a:ln>
                          <a:effectLst/>
                        </wps:spPr>
                        <wps:txbx>
                          <w:txbxContent>
                            <w:p w14:paraId="090F7670">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170563068" name="自选图形 42"/>
                        <wps:cNvCnPr>
                          <a:cxnSpLocks noChangeShapeType="1"/>
                        </wps:cNvCnPr>
                        <wps:spPr bwMode="auto">
                          <a:xfrm flipV="1">
                            <a:off x="2999105" y="85969"/>
                            <a:ext cx="396240" cy="125095"/>
                          </a:xfrm>
                          <a:prstGeom prst="curvedConnector3">
                            <a:avLst>
                              <a:gd name="adj1" fmla="val 50160"/>
                            </a:avLst>
                          </a:prstGeom>
                          <a:noFill/>
                          <a:ln w="9525" cmpd="sng">
                            <a:solidFill>
                              <a:srgbClr val="000000"/>
                            </a:solidFill>
                            <a:prstDash val="dash"/>
                            <a:miter lim="800000"/>
                            <a:tailEnd type="arrow" w="med" len="med"/>
                          </a:ln>
                          <a:effectLst/>
                        </wps:spPr>
                        <wps:bodyPr/>
                      </wps:wsp>
                      <wps:wsp>
                        <wps:cNvPr id="274502790" name="矩形 43"/>
                        <wps:cNvSpPr>
                          <a:spLocks noChangeArrowheads="1"/>
                        </wps:cNvSpPr>
                        <wps:spPr bwMode="auto">
                          <a:xfrm>
                            <a:off x="3357245" y="36439"/>
                            <a:ext cx="1404620" cy="340995"/>
                          </a:xfrm>
                          <a:prstGeom prst="rect">
                            <a:avLst/>
                          </a:prstGeom>
                          <a:noFill/>
                          <a:ln>
                            <a:noFill/>
                          </a:ln>
                          <a:effectLst/>
                        </wps:spPr>
                        <wps:txbx>
                          <w:txbxContent>
                            <w:p w14:paraId="64BB02B7">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311946803" name="自选图形 42"/>
                        <wps:cNvCnPr>
                          <a:cxnSpLocks noChangeShapeType="1"/>
                        </wps:cNvCnPr>
                        <wps:spPr bwMode="auto">
                          <a:xfrm>
                            <a:off x="909955" y="359019"/>
                            <a:ext cx="333375" cy="309245"/>
                          </a:xfrm>
                          <a:prstGeom prst="curvedConnector2">
                            <a:avLst/>
                          </a:prstGeom>
                          <a:noFill/>
                          <a:ln w="9525" cmpd="sng">
                            <a:solidFill>
                              <a:srgbClr val="000000"/>
                            </a:solidFill>
                            <a:prstDash val="dash"/>
                            <a:miter lim="800000"/>
                            <a:tailEnd type="arrow" w="med" len="med"/>
                          </a:ln>
                          <a:effectLst/>
                        </wps:spPr>
                        <wps:bodyPr/>
                      </wps:wsp>
                      <wps:wsp>
                        <wps:cNvPr id="283631051" name="矩形 43"/>
                        <wps:cNvSpPr>
                          <a:spLocks noChangeArrowheads="1"/>
                        </wps:cNvSpPr>
                        <wps:spPr bwMode="auto">
                          <a:xfrm>
                            <a:off x="428625" y="668264"/>
                            <a:ext cx="1504950" cy="317500"/>
                          </a:xfrm>
                          <a:prstGeom prst="rect">
                            <a:avLst/>
                          </a:prstGeom>
                          <a:noFill/>
                          <a:ln>
                            <a:noFill/>
                          </a:ln>
                          <a:effectLst/>
                        </wps:spPr>
                        <wps:txbx>
                          <w:txbxContent>
                            <w:p w14:paraId="1ADCDF66">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2142893405" name="自选图形 42"/>
                        <wps:cNvCnPr>
                          <a:cxnSpLocks noChangeShapeType="1"/>
                        </wps:cNvCnPr>
                        <wps:spPr bwMode="auto">
                          <a:xfrm rot="10800000">
                            <a:off x="567055" y="6269599"/>
                            <a:ext cx="476250" cy="201930"/>
                          </a:xfrm>
                          <a:prstGeom prst="curvedConnector3">
                            <a:avLst>
                              <a:gd name="adj1" fmla="val 49867"/>
                            </a:avLst>
                          </a:prstGeom>
                          <a:noFill/>
                          <a:ln w="9525" cmpd="sng">
                            <a:solidFill>
                              <a:srgbClr val="000000"/>
                            </a:solidFill>
                            <a:prstDash val="dash"/>
                            <a:miter lim="800000"/>
                            <a:tailEnd type="arrow" w="med" len="med"/>
                          </a:ln>
                          <a:effectLst/>
                        </wps:spPr>
                        <wps:bodyPr/>
                      </wps:wsp>
                      <wps:wsp>
                        <wps:cNvPr id="573549865" name="矩形 43"/>
                        <wps:cNvSpPr>
                          <a:spLocks noChangeArrowheads="1"/>
                        </wps:cNvSpPr>
                        <wps:spPr bwMode="auto">
                          <a:xfrm>
                            <a:off x="74930" y="5940034"/>
                            <a:ext cx="1477645" cy="343535"/>
                          </a:xfrm>
                          <a:prstGeom prst="rect">
                            <a:avLst/>
                          </a:prstGeom>
                          <a:noFill/>
                          <a:ln>
                            <a:noFill/>
                          </a:ln>
                          <a:effectLst/>
                        </wps:spPr>
                        <wps:txbx>
                          <w:txbxContent>
                            <w:p w14:paraId="28AA2913">
                              <w:pPr>
                                <w:spacing w:after="0" w:line="240" w:lineRule="auto"/>
                              </w:pPr>
                              <w:r>
                                <w:rPr>
                                  <w:rFonts w:hint="eastAsia"/>
                                </w:rPr>
                                <w:t>放射性粉尘、氡、γ</w:t>
                              </w:r>
                            </w:p>
                          </w:txbxContent>
                        </wps:txbx>
                        <wps:bodyPr rot="0" vert="horz" wrap="square" lIns="91440" tIns="45720" rIns="91440" bIns="45720" anchor="t" anchorCtr="0" upright="1">
                          <a:noAutofit/>
                        </wps:bodyPr>
                      </wps:wsp>
                      <wps:wsp>
                        <wps:cNvPr id="44800907" name="自选图形 50"/>
                        <wps:cNvCnPr>
                          <a:cxnSpLocks noChangeShapeType="1"/>
                        </wps:cNvCnPr>
                        <wps:spPr bwMode="auto">
                          <a:xfrm flipV="1">
                            <a:off x="2992755" y="7634214"/>
                            <a:ext cx="337820" cy="87630"/>
                          </a:xfrm>
                          <a:prstGeom prst="curvedConnector3">
                            <a:avLst>
                              <a:gd name="adj1" fmla="val 50188"/>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652.15pt;width:423.65pt;" coordsize="5380355,8282305" editas="canvas"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">
                <o:lock v:ext="edit" aspectratio="f"/>
                <v:shape id="画布 16" o:spid="_x0000_s1026" style="position:absolute;left:0;top:0;height:8282305;width:538035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">
                  <v:fill on="f" focussize="0,0"/>
                  <v:stroke on="f"/>
                  <v:imagedata o:title=""/>
                  <o:lock v:ext="edit" aspectratio="t"/>
                </v:shape>
                <v:rect id="矩形 11" o:spid="_x0000_s1026" o:spt="1" style="position:absolute;left:2029460;top:492369;height:291465;width:95821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3wPlAlQCAACm&#10;BAAADgAAAAAAAAABACAAAAAkAQAAZHJzL2Uyb0RvYy54bWxQSwUGAAAAAAYABgBZAQAA6gUAAAAA&#10;">
                  <v:fill on="t" focussize="0,0"/>
                  <v:stroke color="#000000" miterlimit="8" joinstyle="miter"/>
                  <v:imagedata o:title=""/>
                  <o:lock v:ext="edit" aspectratio="f"/>
                  <v:textbox>
                    <w:txbxContent>
                      <w:p w14:paraId="21093389">
                        <w:pPr>
                          <w:spacing w:after="0" w:line="240" w:lineRule="auto"/>
                          <w:jc w:val="center"/>
                        </w:pPr>
                        <w:r>
                          <w:rPr>
                            <w:rFonts w:hint="eastAsia"/>
                          </w:rPr>
                          <w:t>湿毛矿堆场</w:t>
                        </w:r>
                      </w:p>
                    </w:txbxContent>
                  </v:textbox>
                </v:rect>
                <v:rect id="矩形 12" o:spid="_x0000_s1026" o:spt="1" style="position:absolute;left:2032635;top:1999859;height:292735;width:953135;" fillcolor="#FFFFFF" filled="t" stroked="t" coordsize="21600,21600" o:gfxdata="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x9z3fWAAAABgEA&#10;AA8AAAAAAAAAAQAgAAAAIgAAAGRycy9kb3ducmV2LnhtbFBLAQIUABQAAAAIAIdO4kAVgTBnVQIA&#10;AKkEAAAOAAAAAAAAAAEAIAAAACUBAABkcnMvZTJvRG9jLnhtbFBLBQYAAAAABgAGAFkBAADsBQAA&#10;AAA=&#10;">
                  <v:fill on="t" focussize="0,0"/>
                  <v:stroke weight="2pt" color="#000000" miterlimit="8" joinstyle="miter"/>
                  <v:imagedata o:title=""/>
                  <o:lock v:ext="edit" aspectratio="f"/>
                  <v:textbox>
                    <w:txbxContent>
                      <w:p w14:paraId="2E79E929">
                        <w:pPr>
                          <w:spacing w:after="0" w:line="240" w:lineRule="auto"/>
                          <w:jc w:val="center"/>
                        </w:pPr>
                        <w:r>
                          <w:rPr>
                            <w:rFonts w:hint="eastAsia"/>
                          </w:rPr>
                          <w:t>烘干机</w:t>
                        </w:r>
                      </w:p>
                    </w:txbxContent>
                  </v:textbox>
                </v:rect>
                <v:rect id="矩形 13" o:spid="_x0000_s1026" o:spt="1" style="position:absolute;left:2028190;top:3490839;height:292100;width:95250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IYHS4lVAgAA&#10;qAQAAA4AAAAAAAAAAQAgAAAAJAEAAGRycy9lMm9Eb2MueG1sUEsFBgAAAAAGAAYAWQEAAOsFAAAA&#10;AA==&#10;">
                  <v:fill on="t" focussize="0,0"/>
                  <v:stroke color="#000000" miterlimit="8" joinstyle="miter"/>
                  <v:imagedata o:title=""/>
                  <o:lock v:ext="edit" aspectratio="f"/>
                  <v:textbox>
                    <w:txbxContent>
                      <w:p w14:paraId="17C83D40">
                        <w:pPr>
                          <w:spacing w:after="0" w:line="240" w:lineRule="auto"/>
                          <w:jc w:val="center"/>
                        </w:pPr>
                        <w:r>
                          <w:rPr>
                            <w:rFonts w:hint="eastAsia"/>
                          </w:rPr>
                          <w:t>干毛矿堆场</w:t>
                        </w:r>
                      </w:p>
                    </w:txbxContent>
                  </v:textbox>
                </v:rect>
                <v:rect id="矩形 14" o:spid="_x0000_s1026" o:spt="1" style="position:absolute;left:2031365;top:554887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LR/VAZVAgAA&#10;qAQAAA4AAAAAAAAAAQAgAAAAJAEAAGRycy9lMm9Eb2MueG1sUEsFBgAAAAAGAAYAWQEAAOsFAAAA&#10;AA==&#10;">
                  <v:fill on="t" focussize="0,0"/>
                  <v:stroke color="#000000" miterlimit="8" joinstyle="miter"/>
                  <v:imagedata o:title=""/>
                  <o:lock v:ext="edit" aspectratio="f"/>
                  <v:textbox>
                    <w:txbxContent>
                      <w:p w14:paraId="44B5414C">
                        <w:pPr>
                          <w:spacing w:after="0" w:line="240" w:lineRule="auto"/>
                          <w:jc w:val="center"/>
                        </w:pPr>
                        <w:r>
                          <w:rPr>
                            <w:rFonts w:hint="eastAsia"/>
                          </w:rPr>
                          <w:t>磁选机出料</w:t>
                        </w:r>
                      </w:p>
                    </w:txbxContent>
                  </v:textbox>
                </v:rect>
                <v:rect id="矩形 15" o:spid="_x0000_s1026" o:spt="1" style="position:absolute;left:1038225;top:6862689;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6dMvrVAAAABgEA&#10;AA8AAAAAAAAAAQAgAAAAIgAAAGRycy9kb3ducmV2LnhtbFBLAQIUABQAAAAIAIdO4kCI9YI9VgIA&#10;AKcEAAAOAAAAAAAAAAEAIAAAACQBAABkcnMvZTJvRG9jLnhtbFBLBQYAAAAABgAGAFkBAADsBQAA&#10;AAA=&#10;">
                  <v:fill on="t" focussize="0,0"/>
                  <v:stroke color="#000000" miterlimit="8" joinstyle="miter"/>
                  <v:imagedata o:title=""/>
                  <o:lock v:ext="edit" aspectratio="f"/>
                  <v:textbox>
                    <w:txbxContent>
                      <w:p w14:paraId="4B72E00A">
                        <w:pPr>
                          <w:spacing w:after="0" w:line="240" w:lineRule="auto"/>
                          <w:jc w:val="center"/>
                        </w:pPr>
                        <w:r>
                          <w:rPr>
                            <w:rFonts w:hint="eastAsia"/>
                          </w:rPr>
                          <w:t>精矿堆场</w:t>
                        </w:r>
                      </w:p>
                    </w:txbxContent>
                  </v:textbox>
                </v:rect>
                <v:rect id="矩形 16" o:spid="_x0000_s1026" o:spt="1" style="position:absolute;left:2957830;top:6863959;height:292100;width:95250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0y+tUAAAAGAQAA&#10;DwAAAAAAAAABACAAAAAiAAAAZHJzL2Rvd25yZXYueG1sUEsBAhQAFAAAAAgAh07iQKWjXXNVAgAA&#10;qAQAAA4AAAAAAAAAAQAgAAAAJAEAAGRycy9lMm9Eb2MueG1sUEsFBgAAAAAGAAYAWQEAAOsFAAAA&#10;AA==&#10;">
                  <v:fill on="t" focussize="0,0"/>
                  <v:stroke color="#000000" miterlimit="8" joinstyle="miter"/>
                  <v:imagedata o:title=""/>
                  <o:lock v:ext="edit" aspectratio="f"/>
                  <v:textbox>
                    <w:txbxContent>
                      <w:p w14:paraId="3D79247E">
                        <w:pPr>
                          <w:spacing w:after="0" w:line="240" w:lineRule="auto"/>
                          <w:jc w:val="center"/>
                        </w:pPr>
                        <w:r>
                          <w:rPr>
                            <w:rFonts w:hint="eastAsia"/>
                          </w:rPr>
                          <w:t>锆中矿堆场</w:t>
                        </w:r>
                      </w:p>
                    </w:txbxContent>
                  </v:textbox>
                </v:rect>
                <v:rect id="矩形 17" o:spid="_x0000_s1026" o:spt="1" style="position:absolute;left:2042795;top:8003149;height:280035;width:941070;"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j3e2sFcC&#10;AACoBAAADgAAAAAAAAABACAAAAAkAQAAZHJzL2Uyb0RvYy54bWxQSwUGAAAAAAYABgBZAQAA7QUA&#10;AAAA&#10;">
                  <v:fill on="t" focussize="0,0"/>
                  <v:stroke color="#000000" miterlimit="8" joinstyle="miter"/>
                  <v:imagedata o:title=""/>
                  <o:lock v:ext="edit" aspectratio="f"/>
                  <v:textbox>
                    <w:txbxContent>
                      <w:p w14:paraId="38896974">
                        <w:pPr>
                          <w:spacing w:after="0" w:line="240" w:lineRule="auto"/>
                          <w:jc w:val="center"/>
                        </w:pPr>
                        <w:r>
                          <w:rPr>
                            <w:rFonts w:hint="eastAsia"/>
                          </w:rPr>
                          <w:t>产品外运</w:t>
                        </w:r>
                      </w:p>
                    </w:txbxContent>
                  </v:textbox>
                </v:rect>
                <v:shape id="自选图形 25" o:spid="_x0000_s1026" o:spt="34" type="#_x0000_t34" style="position:absolute;left:1770380;top:5588879;height:988695;width:485775;rotation:5898240f;" filled="f" stroked="t" coordsize="21600,21600" o:gfxdata="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6ksc1QAAAAYBAAAPAAAAAAAA&#10;AAEAIAAAACIAAABkcnMvZG93bnJldi54bWxQSwECFAAUAAAACACHTuJA6wyZXU4CAABWBAAADgAA&#10;AAAAAAABACAAAAAkAQAAZHJzL2Uyb0RvYy54bWxQSwUGAAAAAAYABgBZAQAA5AUAAAAA&#10;" adj="10814">
                  <v:fill on="f" focussize="0,0"/>
                  <v:stroke color="#000000" miterlimit="8" joinstyle="miter" endarrow="open"/>
                  <v:imagedata o:title=""/>
                  <o:lock v:ext="edit" aspectratio="f"/>
                </v:shape>
                <v:shape id="自选图形 26" o:spid="_x0000_s1026" o:spt="34" type="#_x0000_t34" style="position:absolute;left:2726055;top:5621899;flip:y;height:922655;width:485775;rotation:-5898240f;" filled="f" stroked="t" coordsize="21600,21600" o:gfxdata="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4SuOR1gAAAAYBAAAP&#10;AAAAAAAAAAEAIAAAACIAAABkcnMvZG93bnJldi54bWxQSwECFAAUAAAACACHTuJA4CsdT1MCAABg&#10;BAAADgAAAAAAAAABACAAAAAlAQAAZHJzL2Uyb0RvYy54bWxQSwUGAAAAAAYABgBZAQAA6gUAAAAA&#10;" adj="10814">
                  <v:fill on="f" focussize="0,0"/>
                  <v:stroke color="#000000" miterlimit="8" joinstyle="miter" endarrow="open"/>
                  <v:imagedata o:title=""/>
                  <o:lock v:ext="edit" aspectratio="f"/>
                </v:shape>
                <v:shape id="自选图形 28" o:spid="_x0000_s1026" o:spt="34" type="#_x0000_t34" style="position:absolute;left:1815465;top:6851576;flip:x;height:998855;width:394970;rotation:5898240f;" filled="f" stroked="t" coordsize="21600,21600" o:gfxdata="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j8TLdIAAAAGAQAADwAA&#10;AAAAAAABACAAAAAiAAAAZHJzL2Rvd25yZXYueG1sUEsBAhQAFAAAAAgAh07iQKSByaFVAgAAYQQA&#10;AA4AAAAAAAAAAQAgAAAAIQEAAGRycy9lMm9Eb2MueG1sUEsFBgAAAAAGAAYAWQEAAOgFAAAAAA==&#10;" adj="10800">
                  <v:fill on="f" focussize="0,0"/>
                  <v:stroke color="#000000" miterlimit="8" joinstyle="miter" endarrow="open"/>
                  <v:imagedata o:title=""/>
                  <o:lock v:ext="edit" aspectratio="f"/>
                </v:shape>
                <v:shape id="自选图形 29" o:spid="_x0000_s1026" o:spt="34" type="#_x0000_t34" style="position:absolute;left:2777173;top:6891582;height:921385;width:392430;rotation:5898240f;" filled="f" stroked="t" coordsize="21600,21600" o:gfxdata="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sA2x+1QAAAAYBAAAPAAAA&#10;AAAAAAEAIAAAACIAAABkcnMvZG93bnJldi54bWxQSwECFAAUAAAACACHTuJAudz6yVECAABXBAAA&#10;DgAAAAAAAAABACAAAAAkAQAAZHJzL2Uyb0RvYy54bWxQSwUGAAAAAAYABgBZAQAA5wUAAAAA&#10;" adj="10783">
                  <v:fill on="f" focussize="0,0"/>
                  <v:stroke color="#000000" miterlimit="8" joinstyle="miter" endarrow="open"/>
                  <v:imagedata o:title=""/>
                  <o:lock v:ext="edit" aspectratio="f"/>
                </v:shape>
                <v:rect id="矩形 33" o:spid="_x0000_s1026" o:spt="1" style="position:absolute;left:1001395;top:5821924;height:292735;width:107188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zeE4MCUCAAArBAAADgAAAAAAAAABACAAAAAmAQAAZHJzL2Uyb0RvYy54bWxQSwUGAAAAAAYA&#10;BgBZAQAAvQUAAAAA&#10;">
                  <v:fill on="f" focussize="0,0"/>
                  <v:stroke on="f"/>
                  <v:imagedata o:title=""/>
                  <o:lock v:ext="edit" aspectratio="f"/>
                  <v:textbox>
                    <w:txbxContent>
                      <w:p w14:paraId="1D97E308">
                        <w:pPr>
                          <w:spacing w:after="0" w:line="240" w:lineRule="auto"/>
                          <w:jc w:val="center"/>
                        </w:pPr>
                        <w:r>
                          <w:rPr>
                            <w:rFonts w:hint="eastAsia"/>
                          </w:rPr>
                          <w:t>钛铁精矿</w:t>
                        </w:r>
                      </w:p>
                    </w:txbxContent>
                  </v:textbox>
                </v:rect>
                <v:rect id="矩形 34" o:spid="_x0000_s1026" o:spt="1" style="position:absolute;left:2895600;top:5816844;height:292735;width:106807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F2+FEcmAgAALAQAAA4AAAAAAAAAAQAgAAAAJgEAAGRycy9lMm9Eb2MueG1sUEsFBgAAAAAG&#10;AAYAWQEAAL4FAAAAAA==&#10;">
                  <v:fill on="f" focussize="0,0"/>
                  <v:stroke on="f"/>
                  <v:imagedata o:title=""/>
                  <o:lock v:ext="edit" aspectratio="f"/>
                  <v:textbox>
                    <w:txbxContent>
                      <w:p w14:paraId="3F6E58DF">
                        <w:pPr>
                          <w:spacing w:after="0" w:line="240" w:lineRule="auto"/>
                          <w:jc w:val="center"/>
                        </w:pPr>
                        <w:r>
                          <w:rPr>
                            <w:rFonts w:hint="eastAsia"/>
                          </w:rPr>
                          <w:t>锆中矿</w:t>
                        </w:r>
                      </w:p>
                    </w:txbxContent>
                  </v:textbox>
                </v:rect>
                <v:shape id="自选图形 40" o:spid="_x0000_s1026" o:spt="38" type="#_x0000_t38" style="position:absolute;left:3783965;top:6123549;flip:y;height:212090;width:345440;" filled="f" stroked="t" coordsize="21600,21600" o:gfxdata="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NMpv0gAA&#10;AAYBAAAPAAAAAAAAAAEAIAAAACIAAABkcnMvZG93bnJldi54bWxQSwECFAAUAAAACACHTuJAZlv/&#10;Sl0CAABtBAAADgAAAAAAAAABACAAAAAhAQAAZHJzL2Uyb0RvYy54bWxQSwUGAAAAAAYABgBZAQAA&#10;8AUAAAAA&#10;" adj="10840">
                  <v:fill on="f" focussize="0,0"/>
                  <v:stroke color="#000000" miterlimit="8" joinstyle="miter" dashstyle="dash" endarrow="open"/>
                  <v:imagedata o:title=""/>
                  <o:lock v:ext="edit" aspectratio="f"/>
                </v:shape>
                <v:shape id="自选图形 42" o:spid="_x0000_s1026" o:spt="38" type="#_x0000_t38" style="position:absolute;left:2990215;top:55533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cGfbn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733800;top:5879709;height:346075;width:154940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GfBtMMmAgAALAQAAA4AAAAAAAAAAQAgAAAAJgEAAGRycy9lMm9Eb2MueG1sUEsFBgAAAAAG&#10;AAYAWQEAAL4FAAAAAA==&#10;">
                  <v:fill on="f" focussize="0,0"/>
                  <v:stroke on="f"/>
                  <v:imagedata o:title=""/>
                  <o:lock v:ext="edit" aspectratio="f"/>
                  <v:textbox>
                    <w:txbxContent>
                      <w:p w14:paraId="456A4BF9">
                        <w:pPr>
                          <w:spacing w:after="0" w:line="240" w:lineRule="auto"/>
                          <w:jc w:val="center"/>
                        </w:pPr>
                        <w:r>
                          <w:rPr>
                            <w:rFonts w:hint="eastAsia"/>
                          </w:rPr>
                          <w:t>放射性粉尘、氡、γ</w:t>
                        </w:r>
                      </w:p>
                    </w:txbxContent>
                  </v:textbox>
                </v:rect>
                <v:shape id="自选图形 50" o:spid="_x0000_s1026" o:spt="38" type="#_x0000_t38" style="position:absolute;left:2991485;top:8041249;flip:y;height:87630;width:337820;" filled="f" stroked="t" coordsize="21600,21600" o:gfxdata="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aHW&#10;htcAAAAGAQAADwAAAAAAAAABACAAAAAiAAAAZHJzL2Rvd25yZXYueG1sUEsBAhQAFAAAAAgAh07i&#10;QNg8Y6BcAgAAbAQAAA4AAAAAAAAAAQAgAAAAJgEAAGRycy9lMm9Eb2MueG1sUEsFBgAAAAAGAAYA&#10;WQEAAPQFAAAAAA==&#10;" adj="10841">
                  <v:fill on="f" focussize="0,0"/>
                  <v:stroke color="#000000" miterlimit="8" joinstyle="miter" dashstyle="dash" endarrow="open"/>
                  <v:imagedata o:title=""/>
                  <o:lock v:ext="edit" aspectratio="f"/>
                </v:shape>
                <v:rect id="矩形 51" o:spid="_x0000_s1026" o:spt="1" style="position:absolute;left:3319145;top:7932029;height:322580;width:14624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UzCkFJwIAACwEAAAOAAAAAAAAAAEAIAAAACYBAABkcnMvZTJvRG9jLnhtbFBLBQYAAAAA&#10;BgAGAFkBAAC/BQAAAAA=&#10;">
                  <v:fill on="f" focussize="0,0"/>
                  <v:stroke on="f"/>
                  <v:imagedata o:title=""/>
                  <o:lock v:ext="edit" aspectratio="f"/>
                  <v:textbox>
                    <w:txbxContent>
                      <w:p w14:paraId="5AE336FE">
                        <w:pPr>
                          <w:spacing w:after="0" w:line="240" w:lineRule="auto"/>
                          <w:jc w:val="center"/>
                        </w:pPr>
                        <w:r>
                          <w:rPr>
                            <w:rFonts w:hint="eastAsia"/>
                          </w:rPr>
                          <w:t>放射性粉尘、氡、γ尘</w:t>
                        </w:r>
                      </w:p>
                    </w:txbxContent>
                  </v:textbox>
                </v:rect>
                <v:rect id="矩形 15" o:spid="_x0000_s1026" o:spt="1" style="position:absolute;left:2037080;top:7548489;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H5Q541cC&#10;AACmBAAADgAAAAAAAAABACAAAAAkAQAAZHJzL2Uyb0RvYy54bWxQSwUGAAAAAAYABgBZAQAA7QUA&#10;AAAA&#10;">
                  <v:fill on="t" focussize="0,0"/>
                  <v:stroke color="#000000" miterlimit="8" joinstyle="miter"/>
                  <v:imagedata o:title=""/>
                  <o:lock v:ext="edit" aspectratio="f"/>
                  <v:textbox>
                    <w:txbxContent>
                      <w:p w14:paraId="6F9E1D11">
                        <w:pPr>
                          <w:spacing w:after="0" w:line="240" w:lineRule="auto"/>
                          <w:jc w:val="center"/>
                        </w:pPr>
                        <w:r>
                          <w:rPr>
                            <w:rFonts w:hint="eastAsia"/>
                          </w:rPr>
                          <w:t>产品装车</w:t>
                        </w:r>
                      </w:p>
                    </w:txbxContent>
                  </v:textbox>
                </v:rect>
                <v:rect id="矩形 15" o:spid="_x0000_s1026" o:spt="1" style="position:absolute;left:1043305;top:6326114;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nTL61QAAAAYB&#10;AAAPAAAAAAAAAAEAIAAAACIAAABkcnMvZG93bnJldi54bWxQSwECFAAUAAAACACHTuJA4qZYYVcC&#10;AACoBAAADgAAAAAAAAABACAAAAAkAQAAZHJzL2Uyb0RvYy54bWxQSwUGAAAAAAYABgBZAQAA7QUA&#10;AAAA&#10;">
                  <v:fill on="t" focussize="0,0"/>
                  <v:stroke color="#000000" miterlimit="8" joinstyle="miter"/>
                  <v:imagedata o:title=""/>
                  <o:lock v:ext="edit" aspectratio="f"/>
                  <v:textbox>
                    <w:txbxContent>
                      <w:p w14:paraId="40283B36">
                        <w:pPr>
                          <w:spacing w:after="0" w:line="240" w:lineRule="auto"/>
                          <w:jc w:val="center"/>
                        </w:pPr>
                        <w:r>
                          <w:rPr>
                            <w:rFonts w:hint="eastAsia"/>
                          </w:rPr>
                          <w:t>精矿移堆</w:t>
                        </w:r>
                      </w:p>
                    </w:txbxContent>
                  </v:textbox>
                </v:rect>
                <v:rect id="矩形 15" o:spid="_x0000_s1026" o:spt="1" style="position:absolute;left:2954655;top:6326114;height:290830;width:95059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6dMvrVAAAABgEA&#10;AA8AAAAAAAAAAQAgAAAAIgAAAGRycy9kb3ducmV2LnhtbFBLAQIUABQAAAAIAIdO4kClOQlUVgIA&#10;AKcEAAAOAAAAAAAAAAEAIAAAACQBAABkcnMvZTJvRG9jLnhtbFBLBQYAAAAABgAGAFkBAADsBQAA&#10;AAA=&#10;">
                  <v:fill on="t" focussize="0,0"/>
                  <v:stroke color="#000000" miterlimit="8" joinstyle="miter"/>
                  <v:imagedata o:title=""/>
                  <o:lock v:ext="edit" aspectratio="f"/>
                  <v:textbox>
                    <w:txbxContent>
                      <w:p w14:paraId="22EAB99B">
                        <w:pPr>
                          <w:spacing w:after="0" w:line="240" w:lineRule="auto"/>
                          <w:jc w:val="center"/>
                        </w:pPr>
                        <w:r>
                          <w:rPr>
                            <w:rFonts w:hint="eastAsia"/>
                          </w:rPr>
                          <w:t>中矿移堆</w:t>
                        </w:r>
                      </w:p>
                    </w:txbxContent>
                  </v:textbox>
                </v:rect>
                <v:shape id="_x0000_s1026" o:spid="_x0000_s1026" o:spt="32" type="#_x0000_t32" style="position:absolute;left:1513840;top:6616944;flip:x;height:245745;width:5080;"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e40&#10;MNgAAAAGAQAADwAAAAAAAAABACAAAAAiAAAAZHJzL2Rvd25yZXYueG1sUEsBAhQAFAAAAAgAh07i&#10;QKdG/ZoiAgAABwQAAA4AAAAAAAAAAQAgAAAAJwEAAGRycy9lMm9Eb2MueG1sUEsFBgAAAAAGAAYA&#10;WQEAALsFAAAAAA==&#10;">
                  <v:fill on="f" focussize="0,0"/>
                  <v:stroke weight="1pt" color="#000000 [3213]" miterlimit="8" joinstyle="miter" endarrow="open"/>
                  <v:imagedata o:title=""/>
                  <o:lock v:ext="edit" aspectratio="f"/>
                </v:shape>
                <v:shape id="_x0000_s1026" o:spid="_x0000_s1026" o:spt="32" type="#_x0000_t32" style="position:absolute;left:3430270;top:6616944;height:247015;width:381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lPel9QAAAAGAQAADwAA&#10;AAAAAAABACAAAAAiAAAAZHJzL2Rvd25yZXYueG1sUEsBAhQAFAAAAAgAh07iQNTjqdwaAgAA/wMA&#10;AA4AAAAAAAAAAQAgAAAAIwEAAGRycy9lMm9Eb2MueG1sUEsFBgAAAAAGAAYAWQEAAK8FAAAAAA==&#10;">
                  <v:fill on="f" focussize="0,0"/>
                  <v:stroke weight="1pt" color="#000000 [3213]" miterlimit="8" joinstyle="miter" endarrow="open"/>
                  <v:imagedata o:title=""/>
                  <o:lock v:ext="edit" aspectratio="f"/>
                </v:shape>
                <v:rect id="矩形 14" o:spid="_x0000_s1026" o:spt="1" style="position:absolute;left:2027555;top:5011664;height:291465;width:951865;" fillcolor="#FFFFFF" filled="t" stroked="t" coordsize="21600,21600" o:gfxdata="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8fc931gAAAAYB&#10;AAAPAAAAAAAAAAEAIAAAACIAAABkcnMvZG93bnJldi54bWxQSwECFAAUAAAACACHTuJAEY4QZlYC&#10;AACpBAAADgAAAAAAAAABACAAAAAlAQAAZHJzL2Uyb0RvYy54bWxQSwUGAAAAAAYABgBZAQAA7QUA&#10;AAAA&#10;">
                  <v:fill on="t" focussize="0,0"/>
                  <v:stroke weight="2pt" color="#000000" miterlimit="8" joinstyle="miter"/>
                  <v:imagedata o:title=""/>
                  <o:lock v:ext="edit" aspectratio="f"/>
                  <v:textbox>
                    <w:txbxContent>
                      <w:p w14:paraId="08CD649E">
                        <w:pPr>
                          <w:spacing w:after="0" w:line="240" w:lineRule="auto"/>
                          <w:jc w:val="center"/>
                        </w:pPr>
                        <w:r>
                          <w:rPr>
                            <w:rFonts w:hint="eastAsia"/>
                          </w:rPr>
                          <w:t>磁选</w:t>
                        </w:r>
                      </w:p>
                    </w:txbxContent>
                  </v:textbox>
                </v:rect>
                <v:rect id="矩形 14" o:spid="_x0000_s1026" o:spt="1" style="position:absolute;left:2027555;top:45100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p0y+tUAAAAGAQAADwAA&#10;AAAAAAABACAAAAAiAAAAZHJzL2Rvd25yZXYueG1sUEsBAhQAFAAAAAgAh07iQDplkzVSAgAApgQA&#10;AA4AAAAAAAAAAQAgAAAAJAEAAGRycy9lMm9Eb2MueG1sUEsFBgAAAAAGAAYAWQEAAOgFAAAAAA==&#10;">
                  <v:fill on="t" focussize="0,0"/>
                  <v:stroke color="#000000" miterlimit="8" joinstyle="miter"/>
                  <v:imagedata o:title=""/>
                  <o:lock v:ext="edit" aspectratio="f"/>
                  <v:textbox>
                    <w:txbxContent>
                      <w:p w14:paraId="0563AB0F">
                        <w:pPr>
                          <w:spacing w:after="0" w:line="240" w:lineRule="auto"/>
                          <w:jc w:val="center"/>
                        </w:pPr>
                        <w:r>
                          <w:rPr>
                            <w:rFonts w:hint="eastAsia"/>
                          </w:rPr>
                          <w:t>磁选机上料</w:t>
                        </w:r>
                      </w:p>
                    </w:txbxContent>
                  </v:textbox>
                </v:rect>
                <v:rect id="矩形 14" o:spid="_x0000_s1026" o:spt="1" style="position:absolute;left:2027555;top:39956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xGaWr1QCAACn&#10;BAAADgAAAAAAAAABACAAAAAkAQAAZHJzL2Uyb0RvYy54bWxQSwUGAAAAAAYABgBZAQAA6gUAAAAA&#10;">
                  <v:fill on="t" focussize="0,0"/>
                  <v:stroke color="#000000" miterlimit="8" joinstyle="miter"/>
                  <v:imagedata o:title=""/>
                  <o:lock v:ext="edit" aspectratio="f"/>
                  <v:textbox>
                    <w:txbxContent>
                      <w:p w14:paraId="0EDF0DB1">
                        <w:pPr>
                          <w:spacing w:after="0" w:line="240" w:lineRule="auto"/>
                          <w:jc w:val="center"/>
                        </w:pPr>
                        <w:r>
                          <w:rPr>
                            <w:rFonts w:hint="eastAsia"/>
                          </w:rPr>
                          <w:t>铲车转运</w:t>
                        </w:r>
                      </w:p>
                    </w:txbxContent>
                  </v:textbox>
                </v:rect>
                <v:rect id="矩形 14" o:spid="_x0000_s1026" o:spt="1" style="position:absolute;left:2033905;top:30304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8rGRTVQCAACn&#10;BAAADgAAAAAAAAABACAAAAAkAQAAZHJzL2Uyb0RvYy54bWxQSwUGAAAAAAYABgBZAQAA6gUAAAAA&#10;">
                  <v:fill on="t" focussize="0,0"/>
                  <v:stroke color="#000000" miterlimit="8" joinstyle="miter"/>
                  <v:imagedata o:title=""/>
                  <o:lock v:ext="edit" aspectratio="f"/>
                  <v:textbox>
                    <w:txbxContent>
                      <w:p w14:paraId="5A5ACE47">
                        <w:pPr>
                          <w:spacing w:after="0" w:line="240" w:lineRule="auto"/>
                          <w:jc w:val="center"/>
                        </w:pPr>
                        <w:r>
                          <w:rPr>
                            <w:rFonts w:hint="eastAsia"/>
                          </w:rPr>
                          <w:t>干毛矿移堆</w:t>
                        </w:r>
                      </w:p>
                    </w:txbxContent>
                  </v:textbox>
                </v:rect>
                <v:rect id="矩形 14" o:spid="_x0000_s1026" o:spt="1" style="position:absolute;left:2033905;top:25288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p0y+tUAAAAGAQAADwAA&#10;AAAAAAABACAAAAAiAAAAZHJzL2Rvd25yZXYueG1sUEsBAhQAFAAAAAgAh07iQMJV72BSAgAApwQA&#10;AA4AAAAAAAAAAQAgAAAAJAEAAGRycy9lMm9Eb2MueG1sUEsFBgAAAAAGAAYAWQEAAOgFAAAAAA==&#10;">
                  <v:fill on="t" focussize="0,0"/>
                  <v:stroke color="#000000" miterlimit="8" joinstyle="miter"/>
                  <v:imagedata o:title=""/>
                  <o:lock v:ext="edit" aspectratio="f"/>
                  <v:textbox>
                    <w:txbxContent>
                      <w:p w14:paraId="2077332B">
                        <w:pPr>
                          <w:spacing w:after="0" w:line="240" w:lineRule="auto"/>
                          <w:jc w:val="center"/>
                        </w:pPr>
                        <w:r>
                          <w:rPr>
                            <w:rFonts w:hint="eastAsia"/>
                          </w:rPr>
                          <w:t>烘干机出料</w:t>
                        </w:r>
                      </w:p>
                    </w:txbxContent>
                  </v:textbox>
                </v:rect>
                <v:rect id="_x0000_s1026" o:spid="_x0000_s1026" o:spt="1" style="position:absolute;left:2027555;top:1493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6dMvrVAAAABgEAAA8A&#10;AAAAAAAAAQAgAAAAIgAAAGRycy9kb3ducmV2LnhtbFBLAQIUABQAAAAIAIdO4kD0B6jjUwIAALAE&#10;AAAOAAAAAAAAAAEAIAAAACQBAABkcnMvZTJvRG9jLnhtbFBLBQYAAAAABgAGAFkBAADpBQAAAAA=&#10;">
                  <v:fill on="t" focussize="0,0"/>
                  <v:stroke color="#000000" miterlimit="8" joinstyle="miter"/>
                  <v:imagedata o:title=""/>
                  <o:lock v:ext="edit" aspectratio="f"/>
                  <v:textbox>
                    <w:txbxContent>
                      <w:p w14:paraId="5492E350">
                        <w:pPr>
                          <w:spacing w:after="0" w:line="240" w:lineRule="auto"/>
                          <w:jc w:val="center"/>
                        </w:pPr>
                        <w:r>
                          <w:rPr>
                            <w:rFonts w:hint="eastAsia"/>
                          </w:rPr>
                          <w:t>烘干机上料</w:t>
                        </w:r>
                      </w:p>
                    </w:txbxContent>
                  </v:textbox>
                </v:rect>
                <v:rect id="矩形 14" o:spid="_x0000_s1026" o:spt="1" style="position:absolute;left:205105;top:2001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p0y+tUAAAAGAQAADwAAAAAA&#10;AAABACAAAAAiAAAAZHJzL2Rvd25yZXYueG1sUEsBAhQAFAAAAAgAh07iQIQSQ+FPAgAApgQAAA4A&#10;AAAAAAAAAQAgAAAAJAEAAGRycy9lMm9Eb2MueG1sUEsFBgAAAAAGAAYAWQEAAOUFAAAAAA==&#10;">
                  <v:fill on="t" focussize="0,0"/>
                  <v:stroke color="#000000" miterlimit="8" joinstyle="miter"/>
                  <v:imagedata o:title=""/>
                  <o:lock v:ext="edit" aspectratio="f"/>
                  <v:textbox>
                    <w:txbxContent>
                      <w:p w14:paraId="59BBFEE4">
                        <w:pPr>
                          <w:spacing w:after="0" w:line="240" w:lineRule="auto"/>
                          <w:jc w:val="center"/>
                        </w:pPr>
                        <w:r>
                          <w:rPr>
                            <w:rFonts w:hint="eastAsia"/>
                          </w:rPr>
                          <w:t>烘干炉</w:t>
                        </w:r>
                      </w:p>
                    </w:txbxContent>
                  </v:textbox>
                </v:rect>
                <v:rect id="_x0000_s1026" o:spid="_x0000_s1026" o:spt="1" style="position:absolute;left:2027555;top:396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6dMvrVAAAABgEAAA8A&#10;AAAAAAAAAQAgAAAAIgAAAGRycy9kb3ducmV2LnhtbFBLAQIUABQAAAAIAIdO4kBeBL7eUwIAAK4E&#10;AAAOAAAAAAAAAAEAIAAAACQBAABkcnMvZTJvRG9jLnhtbFBLBQYAAAAABgAGAFkBAADpBQAAAAA=&#10;">
                  <v:fill on="t" focussize="0,0"/>
                  <v:stroke color="#000000" miterlimit="8" joinstyle="miter"/>
                  <v:imagedata o:title=""/>
                  <o:lock v:ext="edit" aspectratio="f"/>
                  <v:textbox>
                    <w:txbxContent>
                      <w:p w14:paraId="368EB852">
                        <w:pPr>
                          <w:spacing w:after="0" w:line="240" w:lineRule="auto"/>
                          <w:jc w:val="center"/>
                        </w:pPr>
                        <w:r>
                          <w:rPr>
                            <w:rFonts w:hint="eastAsia"/>
                          </w:rPr>
                          <w:t>拆箱卸料</w:t>
                        </w:r>
                      </w:p>
                    </w:txbxContent>
                  </v:textbox>
                </v:rect>
                <v:rect id="矩形 14" o:spid="_x0000_s1026" o:spt="1" style="position:absolute;left:2027555;top:98576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enTL61QAAAAYBAAAP&#10;AAAAAAAAAAEAIAAAACIAAABkcnMvZG93bnJldi54bWxQSwECFAAUAAAACACHTuJA7s9k0FQCAACn&#10;BAAADgAAAAAAAAABACAAAAAkAQAAZHJzL2Uyb0RvYy54bWxQSwUGAAAAAAYABgBZAQAA6gUAAAAA&#10;">
                  <v:fill on="t" focussize="0,0"/>
                  <v:stroke color="#000000" miterlimit="8" joinstyle="miter"/>
                  <v:imagedata o:title=""/>
                  <o:lock v:ext="edit" aspectratio="f"/>
                  <v:textbox>
                    <w:txbxContent>
                      <w:p w14:paraId="28EC51D8">
                        <w:pPr>
                          <w:spacing w:after="0" w:line="240" w:lineRule="auto"/>
                          <w:jc w:val="center"/>
                        </w:pPr>
                        <w:r>
                          <w:rPr>
                            <w:rFonts w:hint="eastAsia"/>
                          </w:rPr>
                          <w:t>铲车转运</w:t>
                        </w:r>
                      </w:p>
                    </w:txbxContent>
                  </v:textbox>
                </v:rect>
                <v:shape id="_x0000_s1026" o:spid="_x0000_s1026" o:spt="32" type="#_x0000_t32" style="position:absolute;left:2503805;top:5303129;height:245745;width:381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U96X1AAAAAYBAAAP&#10;AAAAAAAAAAEAIAAAACIAAABkcnMvZG93bnJldi54bWxQSwECFAAUAAAACACHTuJAjGanYhwCAAD/&#10;AwAADgAAAAAAAAABACAAAAAjAQAAZHJzL2Uyb0RvYy54bWxQSwUGAAAAAAYABgBZAQAAsQUAAAAA&#10;">
                  <v:fill on="f" focussize="0,0"/>
                  <v:stroke weight="1pt" color="#000000 [3213]" miterlimit="8" joinstyle="miter" endarrow="open"/>
                  <v:imagedata o:title=""/>
                  <o:lock v:ext="edit" aspectratio="f"/>
                </v:shape>
                <v:shape id="_x0000_s1026" o:spid="_x0000_s1026" o:spt="32" type="#_x0000_t32" style="position:absolute;left:2503805;top:4801479;height:2101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96X1AAAAAYBAAAPAAAA&#10;AAAAAAEAIAAAACIAAABkcnMvZG93bnJldi54bWxQSwECFAAUAAAACACHTuJAm1lCuxkCAAD8AwAA&#10;DgAAAAAAAAABACAAAAAjAQAAZHJzL2Uyb0RvYy54bWxQSwUGAAAAAAYABgBZAQAArgUAAAAA&#10;">
                  <v:fill on="f" focussize="0,0"/>
                  <v:stroke weight="1pt" color="#000000 [3213]" miterlimit="8" joinstyle="miter" endarrow="open"/>
                  <v:imagedata o:title=""/>
                  <o:lock v:ext="edit" aspectratio="f"/>
                </v:shape>
                <v:shape id="_x0000_s1026" o:spid="_x0000_s1026" o:spt="32" type="#_x0000_t32" style="position:absolute;left:2503805;top:4287129;height:2228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96X1AAAAAYBAAAPAAAA&#10;AAAAAAEAIAAAACIAAABkcnMvZG93bnJldi54bWxQSwECFAAUAAAACACHTuJAu6pR/xkCAAD8AwAA&#10;DgAAAAAAAAABACAAAAAjAQAAZHJzL2Uyb0RvYy54bWxQSwUGAAAAAAYABgBZAQAArgUAAAAA&#10;">
                  <v:fill on="f" focussize="0,0"/>
                  <v:stroke weight="1pt" color="#000000 [3213]" miterlimit="8" joinstyle="miter" endarrow="open"/>
                  <v:imagedata o:title=""/>
                  <o:lock v:ext="edit" aspectratio="f"/>
                </v:shape>
                <v:shape id="_x0000_s1026" o:spid="_x0000_s1026" o:spt="32" type="#_x0000_t32" style="position:absolute;left:2503805;top:3782939;flip:x;height:212725;width:63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e40&#10;MNgAAAAGAQAADwAAAAAAAAABACAAAAAiAAAAZHJzL2Rvd25yZXYueG1sUEsBAhQAFAAAAAgAh07i&#10;QGwwoK8iAgAABgQAAA4AAAAAAAAAAQAgAAAAJwEAAGRycy9lMm9Eb2MueG1sUEsFBgAAAAAGAAYA&#10;WQEAALsFAAAAAA==&#10;">
                  <v:fill on="f" focussize="0,0"/>
                  <v:stroke weight="1pt" color="#000000 [3213]" miterlimit="8" joinstyle="miter" endarrow="open"/>
                  <v:imagedata o:title=""/>
                  <o:lock v:ext="edit" aspectratio="f"/>
                </v:shape>
                <v:shape id="_x0000_s1026" o:spid="_x0000_s1026" o:spt="32" type="#_x0000_t32" style="position:absolute;left:2504440;top:3321929;flip:x;height:168910;width:571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e40MNgAAAAGAQAADwAAAAAAAAABACAAAAAiAAAAZHJzL2Rvd25yZXYueG1sUEsBAhQAFAAAAAgA&#10;h07iQIpkFjUlAgAACQQAAA4AAAAAAAAAAQAgAAAAJwEAAGRycy9lMm9Eb2MueG1sUEsFBgAAAAAG&#10;AAYAWQEAAL4FAAAAAA==&#10;">
                  <v:fill on="f" focussize="0,0"/>
                  <v:stroke weight="1pt" color="#000000 [3213]" miterlimit="8" joinstyle="miter" endarrow="open"/>
                  <v:imagedata o:title=""/>
                  <o:lock v:ext="edit" aspectratio="f"/>
                </v:shape>
                <v:shape id="_x0000_s1026" o:spid="_x0000_s1026" o:spt="32" type="#_x0000_t32" style="position:absolute;left:2510155;top:2820279;height:21018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U96X1AAAAAYBAAAPAAAAAAAA&#10;AAEAIAAAACIAAABkcnMvZG93bnJldi54bWxQSwECFAAUAAAACACHTuJA1KlZGxYCAAD8AwAADgAA&#10;AAAAAAABACAAAAAjAQAAZHJzL2Uyb0RvYy54bWxQSwUGAAAAAAYABgBZAQAAqwUAAAAA&#10;">
                  <v:fill on="f" focussize="0,0"/>
                  <v:stroke weight="1pt" color="#000000 [3213]" miterlimit="8" joinstyle="miter" endarrow="open"/>
                  <v:imagedata o:title=""/>
                  <o:lock v:ext="edit" aspectratio="f"/>
                </v:shape>
                <v:shape id="_x0000_s1026" o:spid="_x0000_s1026" o:spt="32" type="#_x0000_t32" style="position:absolute;left:2509520;top:2292594;height:236220;width:63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5T3pfUAAAABgEAAA8AAAAA&#10;AAAAAQAgAAAAIgAAAGRycy9kb3ducmV2LnhtbFBLAQIUABQAAAAIAIdO4kD2iXLhGAIAAPwDAAAO&#10;AAAAAAAAAAEAIAAAACMBAABkcnMvZTJvRG9jLnhtbFBLBQYAAAAABgAGAFkBAACtBQAAAAA=&#10;">
                  <v:fill on="f" focussize="0,0"/>
                  <v:stroke weight="1pt" color="#000000 [3213]" miterlimit="8" joinstyle="miter" endarrow="open"/>
                  <v:imagedata o:title=""/>
                  <o:lock v:ext="edit" aspectratio="f"/>
                </v:shape>
                <v:shape id="_x0000_s1026" o:spid="_x0000_s1026" o:spt="32" type="#_x0000_t32" style="position:absolute;left:2503805;top:1785229;height:214630;width:571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Pel9QAAAAGAQAA&#10;DwAAAAAAAAABACAAAAAiAAAAZHJzL2Rvd25yZXYueG1sUEsBAhQAFAAAAAgAh07iQCJphWIdAgAA&#10;/QMAAA4AAAAAAAAAAQAgAAAAIwEAAGRycy9lMm9Eb2MueG1sUEsFBgAAAAAGAAYAWQEAALIFAAAA&#10;AA==&#10;">
                  <v:fill on="f" focussize="0,0"/>
                  <v:stroke weight="1pt" color="#000000 [3213]" miterlimit="8" joinstyle="miter" endarrow="open"/>
                  <v:imagedata o:title=""/>
                  <o:lock v:ext="edit" aspectratio="f"/>
                </v:shape>
                <v:shape id="_x0000_s1026" o:spid="_x0000_s1026" o:spt="32" type="#_x0000_t32" style="position:absolute;left:2503805;top:1277229;height:216535;width: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lPel9QAAAAGAQAADwAAAAAA&#10;AAABACAAAAAiAAAAZHJzL2Rvd25yZXYueG1sUEsBAhQAFAAAAAgAh07iQDr3ZRkXAgAA+gMAAA4A&#10;AAAAAAAAAQAgAAAAIwEAAGRycy9lMm9Eb2MueG1sUEsFBgAAAAAGAAYAWQEAAKwFAAAAAA==&#10;">
                  <v:fill on="f" focussize="0,0"/>
                  <v:stroke weight="1pt" color="#000000 [3213]" miterlimit="8" joinstyle="miter" endarrow="open"/>
                  <v:imagedata o:title=""/>
                  <o:lock v:ext="edit" aspectratio="f"/>
                </v:shape>
                <v:shape id="_x0000_s1026" o:spid="_x0000_s1026" o:spt="32" type="#_x0000_t32" style="position:absolute;left:2503805;top:783834;flip:x;height:201930;width:5080;"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Xu&#10;NDDYAAAABgEAAA8AAAAAAAAAAQAgAAAAIgAAAGRycy9kb3ducmV2LnhtbFBLAQIUABQAAAAIAIdO&#10;4kDHevJxIwIAAAgEAAAOAAAAAAAAAAEAIAAAACcBAABkcnMvZTJvRG9jLnhtbFBLBQYAAAAABgAG&#10;AFkBAAC8BQAAAAA=&#10;">
                  <v:fill on="f" focussize="0,0"/>
                  <v:stroke weight="1pt" color="#000000 [3213]" miterlimit="8" joinstyle="miter" endarrow="open"/>
                  <v:imagedata o:title=""/>
                  <o:lock v:ext="edit" aspectratio="f"/>
                </v:shape>
                <v:shape id="_x0000_s1026" o:spid="_x0000_s1026" o:spt="32" type="#_x0000_t32" style="position:absolute;left:2503805;top:331079;height:161290;width:5080;"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5T3pfUAAAABgEAAA8A&#10;AAAAAAAAAQAgAAAAIgAAAGRycy9kb3ducmV2LnhtbFBLAQIUABQAAAAIAIdO4kD9Z76qGwIAAP4D&#10;AAAOAAAAAAAAAAEAIAAAACMBAABkcnMvZTJvRG9jLnhtbFBLBQYAAAAABgAGAFkBAACwBQAAAAA=&#10;">
                  <v:fill on="f" focussize="0,0"/>
                  <v:stroke weight="1pt" color="#000000 [3213]" miterlimit="8" joinstyle="miter" endarrow="open"/>
                  <v:imagedata o:title=""/>
                  <o:lock v:ext="edit" aspectratio="f"/>
                </v:shape>
                <v:shape id="_x0000_s1026" o:spid="_x0000_s1026" o:spt="32" type="#_x0000_t32" style="position:absolute;left:1156970;top:2146544;flip:y;height:1270;width:875665;" filled="f" stroked="t" coordsize="21600,21600" o:gfxdata="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wOmgvWAAAA&#10;BgEAAA8AAAAAAAAAAQAgAAAAIgAAAGRycy9kb3ducmV2LnhtbFBLAQIUABQAAAAIAIdO4kC3McVR&#10;HwIAAAgEAAAOAAAAAAAAAAEAIAAAACUBAABkcnMvZTJvRG9jLnhtbFBLBQYAAAAABgAGAFkBAAC2&#10;BQAAAAA=&#10;">
                  <v:fill on="f" focussize="0,0"/>
                  <v:stroke weight="1pt" color="#000000 [3213]" miterlimit="8" joinstyle="miter" dashstyle="dash" endarrow="open"/>
                  <v:imagedata o:title=""/>
                  <o:lock v:ext="edit" aspectratio="f"/>
                </v:shape>
                <v:shape id="_x0000_s1026" o:spid="_x0000_s1026" o:spt="32" type="#_x0000_t32" style="position:absolute;left:2512695;top:7839319;height:163830;width:63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5T3pfUAAAABgEAAA8A&#10;AAAAAAAAAQAgAAAAIgAAAGRycy9kb3ducmV2LnhtbFBLAQIUABQAAAAIAIdO4kDcU/jCGwIAAPwD&#10;AAAOAAAAAAAAAAEAIAAAACMBAABkcnMvZTJvRG9jLnhtbFBLBQYAAAAABgAGAFkBAACwBQAAAAA=&#10;">
                  <v:fill on="f" focussize="0,0"/>
                  <v:stroke weight="1pt" color="#000000 [3213]" miterlimit="8" joinstyle="miter" endarrow="open"/>
                  <v:imagedata o:title=""/>
                  <o:lock v:ext="edit" aspectratio="f"/>
                </v:shape>
                <v:shape id="_x0000_s1026" o:spid="_x0000_s1026" o:spt="32" type="#_x0000_t32" style="position:absolute;left:1169670;top:185664;height:0;width:857885;" filled="f" stroked="t" coordsize="21600,21600" o:gfxdata="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5T3pfUAAAABgEAAA8AAAAA&#10;AAAAAQAgAAAAIgAAAGRycy9kb3ducmV2LnhtbFBLAQIUABQAAAAIAIdO4kAn0CJTGAIAAPsDAAAO&#10;AAAAAAAAAAEAIAAAACMBAABkcnMvZTJvRG9jLnhtbFBLBQYAAAAABgAGAFkBAACtBQAAAAA=&#10;">
                  <v:fill on="f" focussize="0,0"/>
                  <v:stroke weight="1pt" color="#000000 [3213]" miterlimit="8" joinstyle="miter" endarrow="open"/>
                  <v:imagedata o:title=""/>
                  <o:lock v:ext="edit" aspectratio="f"/>
                </v:shape>
                <v:rect id="矩形 14" o:spid="_x0000_s1026" o:spt="1" style="position:absolute;left:217805;top:39614;height:291465;width:951865;" fillcolor="#FFFFFF" filled="t" stroked="t" coordsize="21600,21600" o:gfxdata="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enTL61QAAAAYBAAAPAAAA&#10;AAAAAAEAIAAAACIAAABkcnMvZG93bnJldi54bWxQSwECFAAUAAAACACHTuJAx6OlLVECAAClBAAA&#10;DgAAAAAAAAABACAAAAAkAQAAZHJzL2Uyb0RvYy54bWxQSwUGAAAAAAYABgBZAQAA5wUAAAAA&#10;">
                  <v:fill on="t" focussize="0,0"/>
                  <v:stroke color="#000000" miterlimit="8" joinstyle="miter"/>
                  <v:imagedata o:title=""/>
                  <o:lock v:ext="edit" aspectratio="f"/>
                  <v:textbox>
                    <w:txbxContent>
                      <w:p w14:paraId="384B8397">
                        <w:pPr>
                          <w:spacing w:after="0" w:line="240" w:lineRule="auto"/>
                          <w:jc w:val="center"/>
                        </w:pPr>
                        <w:r>
                          <w:rPr>
                            <w:rFonts w:hint="eastAsia"/>
                          </w:rPr>
                          <w:t>原料进场</w:t>
                        </w:r>
                      </w:p>
                    </w:txbxContent>
                  </v:textbox>
                </v:rect>
                <v:rect id="矩形 34" o:spid="_x0000_s1026" o:spt="1" style="position:absolute;left:141605;top:2617714;height:292735;width:106807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DuFRvXJAIAACsEAAAOAAAAAAAAAAEAIAAAACYBAABkcnMvZTJvRG9jLnhtbFBLBQYAAAAABgAG&#10;AFkBAAC8BQAAAAA=&#10;">
                  <v:fill on="f" focussize="0,0"/>
                  <v:stroke on="f"/>
                  <v:imagedata o:title=""/>
                  <o:lock v:ext="edit" aspectratio="f"/>
                  <v:textbox>
                    <w:txbxContent>
                      <w:p w14:paraId="68226E1F">
                        <w:pPr>
                          <w:spacing w:after="0" w:line="240" w:lineRule="auto"/>
                          <w:jc w:val="center"/>
                        </w:pPr>
                        <w:r>
                          <w:rPr>
                            <w:rFonts w:hint="eastAsia"/>
                          </w:rPr>
                          <w:t>生物质燃料</w:t>
                        </w:r>
                      </w:p>
                    </w:txbxContent>
                  </v:textbox>
                </v:rect>
                <v:shape id="_x0000_s1026" o:spid="_x0000_s1026" o:spt="32" type="#_x0000_t32" style="position:absolute;left:675640;top:2293229;flip:y;height:324485;width:5715;" filled="f" stroked="t" coordsize="21600,21600" o:gfxdata="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17jQw&#10;2AAAAAYBAAAPAAAAAAAAAAEAIAAAACIAAABkcnMvZG93bnJldi54bWxQSwECFAAUAAAACACHTuJA&#10;JJhayCECAAAIBAAADgAAAAAAAAABACAAAAAnAQAAZHJzL2Uyb0RvYy54bWxQSwUGAAAAAAYABgBZ&#10;AQAAugUAAAAA&#10;">
                  <v:fill on="f" focussize="0,0"/>
                  <v:stroke weight="1pt" color="#000000 [3213]" miterlimit="8" joinstyle="miter" endarrow="open"/>
                  <v:imagedata o:title=""/>
                  <o:lock v:ext="edit" aspectratio="f"/>
                </v:shape>
                <v:rect id="矩形 38" o:spid="_x0000_s1026" o:spt="1" style="position:absolute;left:1195705;top:1843014;height:291465;width:71628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BjC3OjJAIAACsEAAAOAAAAAAAAAAEAIAAAACYBAABkcnMvZTJvRG9jLnhtbFBLBQYAAAAABgAG&#10;AFkBAAC8BQAAAAA=&#10;">
                  <v:fill on="f" focussize="0,0"/>
                  <v:stroke on="f"/>
                  <v:imagedata o:title=""/>
                  <o:lock v:ext="edit" aspectratio="f"/>
                  <v:textbox>
                    <w:txbxContent>
                      <w:p w14:paraId="4E9A5D88">
                        <w:pPr>
                          <w:spacing w:after="0" w:line="240" w:lineRule="auto"/>
                          <w:jc w:val="center"/>
                        </w:pPr>
                        <w:r>
                          <w:rPr>
                            <w:rFonts w:hint="eastAsia"/>
                          </w:rPr>
                          <w:t>干燥烟气</w:t>
                        </w:r>
                      </w:p>
                    </w:txbxContent>
                  </v:textbox>
                </v:rect>
                <v:rect id="矩形 51" o:spid="_x0000_s1026" o:spt="1" style="position:absolute;left:3284854;top:7507214;height:318770;width:149669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sekR1wAAAAYBAAAPAAAAAAAAAAEAIAAAACIAAABkcnMvZG93bnJldi54bWxQSwECFAAUAAAA&#10;CACHTuJArAvelygCAAAsBAAADgAAAAAAAAABACAAAAAmAQAAZHJzL2Uyb0RvYy54bWxQSwUGAAAA&#10;AAYABgBZAQAAwAUAAAAA&#10;">
                  <v:fill on="f" focussize="0,0"/>
                  <v:stroke on="f"/>
                  <v:imagedata o:title=""/>
                  <o:lock v:ext="edit" aspectratio="f"/>
                  <v:textbox>
                    <w:txbxContent>
                      <w:p w14:paraId="77A6C0F5">
                        <w:pPr>
                          <w:spacing w:after="0" w:line="240" w:lineRule="auto"/>
                          <w:jc w:val="center"/>
                        </w:pPr>
                        <w:r>
                          <w:rPr>
                            <w:rFonts w:hint="eastAsia"/>
                          </w:rPr>
                          <w:t>放射性粉尘、氡、γ</w:t>
                        </w:r>
                      </w:p>
                    </w:txbxContent>
                  </v:textbox>
                </v:rect>
                <v:rect id="矩形 43" o:spid="_x0000_s1026" o:spt="1" style="position:absolute;left:3348355;top:5418064;height:388620;width:150939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0psFaJwIAACwEAAAOAAAAAAAAAAEAIAAAACYBAABkcnMvZTJvRG9jLnhtbFBLBQYAAAAA&#10;BgAGAFkBAAC/BQAAAAA=&#10;">
                  <v:fill on="f" focussize="0,0"/>
                  <v:stroke on="f"/>
                  <v:imagedata o:title=""/>
                  <o:lock v:ext="edit" aspectratio="f"/>
                  <v:textbox>
                    <w:txbxContent>
                      <w:p w14:paraId="2B42DAB2">
                        <w:pPr>
                          <w:spacing w:after="0" w:line="240" w:lineRule="auto"/>
                        </w:pPr>
                        <w:r>
                          <w:rPr>
                            <w:rFonts w:hint="eastAsia"/>
                          </w:rPr>
                          <w:t>放射性粉尘、氡、γ</w:t>
                        </w:r>
                      </w:p>
                    </w:txbxContent>
                  </v:textbox>
                </v:rect>
                <v:shape id="自选图形 42" o:spid="_x0000_s1026" o:spt="38" type="#_x0000_t38" style="position:absolute;left:2980055;top:50072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Te&#10;dNgAAAAGAQAADwAAAAAAAAABACAAAAAiAAAAZHJzL2Rvd25yZXYueG1sUEsBAhQAFAAAAAgAh07i&#10;QHpB6TZbAgAAbAQAAA4AAAAAAAAAAQAgAAAAJwEAAGRycy9lMm9Eb2MueG1sUEsFBgAAAAAGAAYA&#10;WQEAAPQFAAAAAA==&#10;" adj="10835">
                  <v:fill on="f" focussize="0,0"/>
                  <v:stroke color="#000000" miterlimit="8" joinstyle="miter" dashstyle="dash" endarrow="open"/>
                  <v:imagedata o:title=""/>
                  <o:lock v:ext="edit" aspectratio="f"/>
                </v:shape>
                <v:rect id="矩形 43" o:spid="_x0000_s1026" o:spt="1" style="position:absolute;left:3338194;top:4871964;height:401320;width:150050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Gx6RHXAAAABgEAAA8AAAAAAAAAAQAgAAAAIgAAAGRycy9kb3ducmV2LnhtbFBLAQIUABQAAAAI&#10;AIdO4kA2MqlyJwIAACsEAAAOAAAAAAAAAAEAIAAAACYBAABkcnMvZTJvRG9jLnhtbFBLBQYAAAAA&#10;BgAGAFkBAAC/BQAAAAA=&#10;">
                  <v:fill on="f" focussize="0,0"/>
                  <v:stroke on="f"/>
                  <v:imagedata o:title=""/>
                  <o:lock v:ext="edit" aspectratio="f"/>
                  <v:textbox>
                    <w:txbxContent>
                      <w:p w14:paraId="4ACCCCB4">
                        <w:pPr>
                          <w:spacing w:after="0" w:line="240" w:lineRule="auto"/>
                        </w:pPr>
                        <w:r>
                          <w:rPr>
                            <w:rFonts w:hint="eastAsia"/>
                          </w:rPr>
                          <w:t>放射性粉尘、氡、γ</w:t>
                        </w:r>
                      </w:p>
                    </w:txbxContent>
                  </v:textbox>
                </v:rect>
                <v:shape id="自选图形 42" o:spid="_x0000_s1026" o:spt="38" type="#_x0000_t38" style="position:absolute;left:2999105;top:45436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CasQzK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7245;top:4408414;height:393065;width:15005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0a66OCUCAAArBAAADgAAAAAAAAABACAAAAAmAQAAZHJzL2Uyb0RvYy54bWxQSwUGAAAAAAYA&#10;BgBZAQAAvQUAAAAA&#10;">
                  <v:fill on="f" focussize="0,0"/>
                  <v:stroke on="f"/>
                  <v:imagedata o:title=""/>
                  <o:lock v:ext="edit" aspectratio="f"/>
                  <v:textbox>
                    <w:txbxContent>
                      <w:p w14:paraId="0538C5BC">
                        <w:pPr>
                          <w:spacing w:after="0" w:line="240" w:lineRule="auto"/>
                        </w:pPr>
                        <w:r>
                          <w:rPr>
                            <w:rFonts w:hint="eastAsia"/>
                          </w:rPr>
                          <w:t>放射性粉尘、氡、γ</w:t>
                        </w:r>
                      </w:p>
                    </w:txbxContent>
                  </v:textbox>
                </v:rect>
                <v:shape id="自选图形 42" o:spid="_x0000_s1026" o:spt="38" type="#_x0000_t38" style="position:absolute;left:2992755;top:40229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Ca7iHiXAIAAGwEAAAOAAAAAAAAAAEAIAAAACcBAABkcnMvZTJvRG9jLnhtbFBLBQYAAAAABgAG&#10;AFkBAAD1BQAAAAA=&#10;" adj="10835">
                  <v:fill on="f" focussize="0,0"/>
                  <v:stroke color="#000000" miterlimit="8" joinstyle="miter" dashstyle="dash" endarrow="open"/>
                  <v:imagedata o:title=""/>
                  <o:lock v:ext="edit" aspectratio="f"/>
                </v:shape>
                <v:rect id="_x0000_s1026" o:spid="_x0000_s1026" o:spt="1" style="position:absolute;left:3350895;top:3887714;height:399415;width:15068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8pTkfyUCAAAwBAAADgAAAAAAAAABACAAAAAmAQAAZHJzL2Uyb0RvYy54bWxQSwUGAAAAAAYA&#10;BgBZAQAAvQUAAAAA&#10;">
                  <v:fill on="f" focussize="0,0"/>
                  <v:stroke on="f"/>
                  <v:imagedata o:title=""/>
                  <o:lock v:ext="edit" aspectratio="f"/>
                  <v:textbox>
                    <w:txbxContent>
                      <w:p w14:paraId="0A7432D6">
                        <w:pPr>
                          <w:spacing w:after="0" w:line="240" w:lineRule="auto"/>
                        </w:pPr>
                        <w:r>
                          <w:rPr>
                            <w:rFonts w:hint="eastAsia"/>
                          </w:rPr>
                          <w:t>放射性粉尘、氡、γ</w:t>
                        </w:r>
                      </w:p>
                    </w:txbxContent>
                  </v:textbox>
                </v:rect>
                <v:shape id="自选图形 42" o:spid="_x0000_s1026" o:spt="38" type="#_x0000_t38" style="position:absolute;left:2999105;top:30641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IXOP5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7245;top:2928864;height:344170;width:150050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gmJf1SUCAAArBAAADgAAAAAAAAABACAAAAAmAQAAZHJzL2Uyb0RvYy54bWxQSwUGAAAAAAYA&#10;BgBZAQAAvQUAAAAA&#10;">
                  <v:fill on="f" focussize="0,0"/>
                  <v:stroke on="f"/>
                  <v:imagedata o:title=""/>
                  <o:lock v:ext="edit" aspectratio="f"/>
                  <v:textbox>
                    <w:txbxContent>
                      <w:p w14:paraId="6A51D94F">
                        <w:pPr>
                          <w:spacing w:after="0" w:line="240" w:lineRule="auto"/>
                        </w:pPr>
                        <w:r>
                          <w:rPr>
                            <w:rFonts w:hint="eastAsia"/>
                          </w:rPr>
                          <w:t>放射性粉尘、氡、γ</w:t>
                        </w:r>
                      </w:p>
                    </w:txbxContent>
                  </v:textbox>
                </v:rect>
                <v:shape id="自选图形 42" o:spid="_x0000_s1026" o:spt="38" type="#_x0000_t38" style="position:absolute;left:2992755;top:25497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BJPdQV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50895;top:2414514;height:405765;width:15068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LL3/f0mAgAALAQAAA4AAAAAAAAAAQAgAAAAJgEAAGRycy9lMm9Eb2MueG1sUEsFBgAAAAAG&#10;AAYAWQEAAL4FAAAAAA==&#10;">
                  <v:fill on="f" focussize="0,0"/>
                  <v:stroke on="f"/>
                  <v:imagedata o:title=""/>
                  <o:lock v:ext="edit" aspectratio="f"/>
                  <v:textbox>
                    <w:txbxContent>
                      <w:p w14:paraId="6EB42E25">
                        <w:pPr>
                          <w:spacing w:after="0" w:line="240" w:lineRule="auto"/>
                        </w:pPr>
                        <w:r>
                          <w:rPr>
                            <w:rFonts w:hint="eastAsia"/>
                          </w:rPr>
                          <w:t>放射性粉尘、氡、γ</w:t>
                        </w:r>
                      </w:p>
                    </w:txbxContent>
                  </v:textbox>
                </v:rect>
                <v:shape id="自选图形 42" o:spid="_x0000_s1026" o:spt="38" type="#_x0000_t38" style="position:absolute;left:2986405;top:203541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JN50&#10;2AAAAAYBAAAPAAAAAAAAAAEAIAAAACIAAABkcnMvZG93bnJldi54bWxQSwECFAAUAAAACACHTuJA&#10;XMzMrVoCAABr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344544;top:1900164;height:410845;width:153225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sekR1wAAAAYBAAAPAAAAAAAAAAEAIAAAACIAAABkcnMvZG93bnJldi54bWxQSwECFAAUAAAACACH&#10;TuJA8stQjCUCAAAqBAAADgAAAAAAAAABACAAAAAmAQAAZHJzL2Uyb0RvYy54bWxQSwUGAAAAAAYA&#10;BgBZAQAAvQUAAAAA&#10;">
                  <v:fill on="f" focussize="0,0"/>
                  <v:stroke on="f"/>
                  <v:imagedata o:title=""/>
                  <o:lock v:ext="edit" aspectratio="f"/>
                  <v:textbox>
                    <w:txbxContent>
                      <w:p w14:paraId="70579DB6">
                        <w:pPr>
                          <w:spacing w:after="0" w:line="240" w:lineRule="auto"/>
                        </w:pPr>
                        <w:r>
                          <w:rPr>
                            <w:rFonts w:hint="eastAsia"/>
                          </w:rPr>
                          <w:t>放射性粉尘、氡、γ</w:t>
                        </w:r>
                      </w:p>
                    </w:txbxContent>
                  </v:textbox>
                </v:rect>
                <v:shape id="自选图形 42" o:spid="_x0000_s1026" o:spt="38" type="#_x0000_t38" style="position:absolute;left:2986405;top:15337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sk&#10;3nTYAAAABgEAAA8AAAAAAAAAAQAgAAAAIgAAAGRycy9kb3ducmV2LnhtbFBLAQIUABQAAAAIAIdO&#10;4kDeq66WXAIAAGwEAAAOAAAAAAAAAAEAIAAAACcBAABkcnMvZTJvRG9jLnhtbFBLBQYAAAAABgAG&#10;AFkBAAD1BQAAAAA=&#10;" adj="10835">
                  <v:fill on="f" focussize="0,0"/>
                  <v:stroke color="#000000" miterlimit="8" joinstyle="miter" dashstyle="dash" endarrow="open"/>
                  <v:imagedata o:title=""/>
                  <o:lock v:ext="edit" aspectratio="f"/>
                </v:shape>
                <v:rect id="矩形 43" o:spid="_x0000_s1026" o:spt="1" style="position:absolute;left:3344545;top:1398514;height:398145;width:1494154;"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bHp&#10;EdcAAAAGAQAADwAAAAAAAAABACAAAAAiAAAAZHJzL2Rvd25yZXYueG1sUEsBAhQAFAAAAAgAh07i&#10;QM/AWUEjAgAALAQAAA4AAAAAAAAAAQAgAAAAJgEAAGRycy9lMm9Eb2MueG1sUEsFBgAAAAAGAAYA&#10;WQEAALsFAAAAAA==&#10;">
                  <v:fill on="f" focussize="0,0"/>
                  <v:stroke on="f"/>
                  <v:imagedata o:title=""/>
                  <o:lock v:ext="edit" aspectratio="f"/>
                  <v:textbox>
                    <w:txbxContent>
                      <w:p w14:paraId="754B6294">
                        <w:pPr>
                          <w:spacing w:after="0" w:line="240" w:lineRule="auto"/>
                        </w:pPr>
                        <w:r>
                          <w:rPr>
                            <w:rFonts w:hint="eastAsia"/>
                          </w:rPr>
                          <w:t>放射性粉尘、氡、γ</w:t>
                        </w:r>
                      </w:p>
                    </w:txbxContent>
                  </v:textbox>
                </v:rect>
                <v:shape id="自选图形 42" o:spid="_x0000_s1026" o:spt="38" type="#_x0000_t38" style="position:absolute;left:2986405;top:10384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JN50&#10;2AAAAAYBAAAPAAAAAAAAAAEAIAAAACIAAABkcnMvZG93bnJldi54bWxQSwECFAAUAAAACACHTuJA&#10;girODVoCAABsBAAADgAAAAAAAAABACAAAAAnAQAAZHJzL2Uyb0RvYy54bWxQSwUGAAAAAAYABgBZ&#10;AQAA8wUAAAAA&#10;" adj="10835">
                  <v:fill on="f" focussize="0,0"/>
                  <v:stroke color="#000000" miterlimit="8" joinstyle="miter" dashstyle="dash" endarrow="open"/>
                  <v:imagedata o:title=""/>
                  <o:lock v:ext="edit" aspectratio="f"/>
                </v:shape>
                <v:rect id="矩形 43" o:spid="_x0000_s1026" o:spt="1" style="position:absolute;left:3344544;top:903214;height:374015;width:151320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C4NyWqJAIAACkEAAAOAAAAAAAAAAEAIAAAACYBAABkcnMvZTJvRG9jLnhtbFBLBQYAAAAABgAG&#10;AFkBAAC8BQAAAAA=&#10;">
                  <v:fill on="f" focussize="0,0"/>
                  <v:stroke on="f"/>
                  <v:imagedata o:title=""/>
                  <o:lock v:ext="edit" aspectratio="f"/>
                  <v:textbox>
                    <w:txbxContent>
                      <w:p w14:paraId="090F7670">
                        <w:pPr>
                          <w:spacing w:after="0" w:line="240" w:lineRule="auto"/>
                        </w:pPr>
                        <w:r>
                          <w:rPr>
                            <w:rFonts w:hint="eastAsia"/>
                          </w:rPr>
                          <w:t>放射性粉尘、氡、γ</w:t>
                        </w:r>
                      </w:p>
                    </w:txbxContent>
                  </v:textbox>
                </v:rect>
                <v:shape id="自选图形 42" o:spid="_x0000_s1026" o:spt="38" type="#_x0000_t38" style="position:absolute;left:2999105;top:85969;flip:y;height:125095;width:396240;" filled="f" stroked="t" coordsize="21600,21600" o:gfxdata="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sk3nTY&#10;AAAABgEAAA8AAAAAAAAAAQAgAAAAIgAAAGRycy9kb3ducmV2LnhtbFBLAQIUABQAAAAIAIdO4kCD&#10;8BM+WQIAAGoEAAAOAAAAAAAAAAEAIAAAACcBAABkcnMvZTJvRG9jLnhtbFBLBQYAAAAABgAGAFkB&#10;AADyBQAAAAA=&#10;" adj="10835">
                  <v:fill on="f" focussize="0,0"/>
                  <v:stroke color="#000000" miterlimit="8" joinstyle="miter" dashstyle="dash" endarrow="open"/>
                  <v:imagedata o:title=""/>
                  <o:lock v:ext="edit" aspectratio="f"/>
                </v:shape>
                <v:rect id="矩形 43" o:spid="_x0000_s1026" o:spt="1" style="position:absolute;left:3357245;top:36439;height:340995;width:140462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sekR&#10;1wAAAAYBAAAPAAAAAAAAAAEAIAAAACIAAABkcnMvZG93bnJldi54bWxQSwECFAAUAAAACACHTuJA&#10;M7wW/iICAAApBAAADgAAAAAAAAABACAAAAAmAQAAZHJzL2Uyb0RvYy54bWxQSwUGAAAAAAYABgBZ&#10;AQAAugUAAAAA&#10;">
                  <v:fill on="f" focussize="0,0"/>
                  <v:stroke on="f"/>
                  <v:imagedata o:title=""/>
                  <o:lock v:ext="edit" aspectratio="f"/>
                  <v:textbox>
                    <w:txbxContent>
                      <w:p w14:paraId="64BB02B7">
                        <w:pPr>
                          <w:spacing w:after="0" w:line="240" w:lineRule="auto"/>
                        </w:pPr>
                        <w:r>
                          <w:rPr>
                            <w:rFonts w:hint="eastAsia"/>
                          </w:rPr>
                          <w:t>放射性粉尘、氡、γ</w:t>
                        </w:r>
                      </w:p>
                    </w:txbxContent>
                  </v:textbox>
                </v:rect>
                <v:shape id="自选图形 42" o:spid="_x0000_s1026" o:spt="37" type="#_x0000_t37" style="position:absolute;left:909955;top:359019;height:309245;width:333375;" filled="f" stroked="t" coordsize="21600,21600" o:gfxdata="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TvinvWAAAABgEAAA8AAAAAAAAAAQAgAAAAIgAAAGRycy9kb3ducmV2Lnht&#10;bFBLAQIUABQAAAAIAIdO4kD5hTw+NAIAADMEAAAOAAAAAAAAAAEAIAAAACUBAABkcnMvZTJvRG9j&#10;LnhtbFBLBQYAAAAABgAGAFkBAADLBQAAAAA=&#10;">
                  <v:fill on="f" focussize="0,0"/>
                  <v:stroke color="#000000" miterlimit="8" joinstyle="miter" dashstyle="dash" endarrow="open"/>
                  <v:imagedata o:title=""/>
                  <o:lock v:ext="edit" aspectratio="f"/>
                </v:shape>
                <v:rect id="矩形 43" o:spid="_x0000_s1026" o:spt="1" style="position:absolute;left:428625;top:668264;height:317500;width:1504950;"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HpEdcAAAAGAQAADwAAAAAAAAABACAAAAAiAAAAZHJzL2Rvd25yZXYueG1sUEsBAhQAFAAAAAgA&#10;h07iQNOxbRwmAgAAKQQAAA4AAAAAAAAAAQAgAAAAJgEAAGRycy9lMm9Eb2MueG1sUEsFBgAAAAAG&#10;AAYAWQEAAL4FAAAAAA==&#10;">
                  <v:fill on="f" focussize="0,0"/>
                  <v:stroke on="f"/>
                  <v:imagedata o:title=""/>
                  <o:lock v:ext="edit" aspectratio="f"/>
                  <v:textbox>
                    <w:txbxContent>
                      <w:p w14:paraId="1ADCDF66">
                        <w:pPr>
                          <w:spacing w:after="0" w:line="240" w:lineRule="auto"/>
                        </w:pPr>
                        <w:r>
                          <w:rPr>
                            <w:rFonts w:hint="eastAsia"/>
                          </w:rPr>
                          <w:t>放射性粉尘、氡、γ</w:t>
                        </w:r>
                      </w:p>
                    </w:txbxContent>
                  </v:textbox>
                </v:rect>
                <v:shape id="自选图形 42" o:spid="_x0000_s1026" o:spt="38" type="#_x0000_t38" style="position:absolute;left:567055;top:6269599;height:201930;width:476250;rotation:11796480f;" filled="f" stroked="t" coordsize="21600,21600" o:gfxdata="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uym&#10;ItUAAAAGAQAADwAAAAAAAAABACAAAAAiAAAAZHJzL2Rvd25yZXYueG1sUEsBAhQAFAAAAAgAh07i&#10;QHW84jNeAgAAcQQAAA4AAAAAAAAAAQAgAAAAJAEAAGRycy9lMm9Eb2MueG1sUEsFBgAAAAAGAAYA&#10;WQEAAPQFAAAAAA==&#10;" adj="10771">
                  <v:fill on="f" focussize="0,0"/>
                  <v:stroke color="#000000" miterlimit="8" joinstyle="miter" dashstyle="dash" endarrow="open"/>
                  <v:imagedata o:title=""/>
                  <o:lock v:ext="edit" aspectratio="f"/>
                </v:shape>
                <v:rect id="矩形 43" o:spid="_x0000_s1026" o:spt="1" style="position:absolute;left:74930;top:5940034;height:343535;width:1477645;" filled="f" stroked="f" coordsize="21600,21600" o:gfxdata="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Gx&#10;6RHXAAAABgEAAA8AAAAAAAAAAQAgAAAAIgAAAGRycy9kb3ducmV2LnhtbFBLAQIUABQAAAAIAIdO&#10;4kDQOC9LJAIAACkEAAAOAAAAAAAAAAEAIAAAACYBAABkcnMvZTJvRG9jLnhtbFBLBQYAAAAABgAG&#10;AFkBAAC8BQAAAAA=&#10;">
                  <v:fill on="f" focussize="0,0"/>
                  <v:stroke on="f"/>
                  <v:imagedata o:title=""/>
                  <o:lock v:ext="edit" aspectratio="f"/>
                  <v:textbox>
                    <w:txbxContent>
                      <w:p w14:paraId="28AA2913">
                        <w:pPr>
                          <w:spacing w:after="0" w:line="240" w:lineRule="auto"/>
                        </w:pPr>
                        <w:r>
                          <w:rPr>
                            <w:rFonts w:hint="eastAsia"/>
                          </w:rPr>
                          <w:t>放射性粉尘、氡、γ</w:t>
                        </w:r>
                      </w:p>
                    </w:txbxContent>
                  </v:textbox>
                </v:rect>
                <v:shape id="自选图形 50" o:spid="_x0000_s1026" o:spt="38" type="#_x0000_t38" style="position:absolute;left:2992755;top:7634214;flip:y;height:87630;width:337820;" filled="f" stroked="t" coordsize="21600,21600" o:gfxdata="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2h1obX&#10;AAAABgEAAA8AAAAAAAAAAQAgAAAAIgAAAGRycy9kb3ducmV2LnhtbFBLAQIUABQAAAAIAIdO4kC0&#10;YYKgWgIAAGoEAAAOAAAAAAAAAAEAIAAAACYBAABkcnMvZTJvRG9jLnhtbFBLBQYAAAAABgAGAFkB&#10;AADyBQAAAAA=&#10;" adj="10841">
                  <v:fill on="f" focussize="0,0"/>
                  <v:stroke color="#000000" miterlimit="8" joinstyle="miter" dashstyle="dash" endarrow="open"/>
                  <v:imagedata o:title=""/>
                  <o:lock v:ext="edit" aspectratio="f"/>
                </v:shape>
                <w10:wrap type="none"/>
                <w10:anchorlock/>
              </v:group>
            </w:pict>
          </mc:Fallback>
        </mc:AlternateContent>
      </w:r>
      <w:r>
        <w:rPr>
          <w:rFonts w:hint="eastAsia" w:ascii="Times New Roman" w:hAnsi="Times New Roman" w:cs="Times New Roman"/>
          <w:b/>
          <w:color w:val="000000" w:themeColor="text1"/>
          <w:spacing w:val="-2"/>
          <w:sz w:val="24"/>
          <w:szCs w:val="24"/>
          <w14:textFill>
            <w14:solidFill>
              <w14:schemeClr w14:val="tx1"/>
            </w14:solidFill>
          </w14:textFill>
        </w:rPr>
        <w:t>图2.1-2  放射性核素在工艺流程的走向图</w:t>
      </w:r>
    </w:p>
    <w:p w14:paraId="7BA2A38F">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项目用排水情况</w:t>
      </w:r>
    </w:p>
    <w:p w14:paraId="2969AD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（1）污水</w:t>
      </w:r>
    </w:p>
    <w:p w14:paraId="5630ACA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生产过程中无需用水，毛矿含水率不高，并且原料均存放于厂房内，在堆存过程中也不产生渗滤液。项目运营期的用水主要是工作人员工作期间的生活用水。项目劳动定员10人，员工均不在厂内住宿，厂内不设置食堂宿舍等，生活用水参照《室外排水设计规范》（GB50014-2006），办公额定用水量按每人每天用水50L计算，年工作300天，生活用水量为150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/a。生活污水量按用水量的80%计，则员工生活污水量为120m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/a，主要污染物为COD、BOD</w:t>
      </w:r>
      <w:r>
        <w:rPr>
          <w:rFonts w:hint="eastAsia" w:ascii="Times New Roman" w:hAnsi="Times New Roman" w:eastAsia="宋体" w:cs="Times New Roman"/>
          <w:color w:val="000000" w:themeColor="text1"/>
          <w:spacing w:val="-2"/>
          <w:sz w:val="24"/>
          <w:szCs w:val="20"/>
          <w:vertAlign w:val="subscript"/>
          <w14:textFill>
            <w14:solidFill>
              <w14:schemeClr w14:val="tx1"/>
            </w14:solidFill>
          </w14:textFill>
        </w:rPr>
        <w:t>5</w:t>
      </w:r>
      <w:r>
        <w:rPr>
          <w:rFonts w:hint="eastAsia" w:ascii="Times New Roman" w:hAnsi="Times New Roman" w:eastAsia="宋体" w:cs="Times New Roman"/>
          <w:color w:val="000000" w:themeColor="text1"/>
          <w:spacing w:val="-2"/>
          <w:sz w:val="24"/>
          <w:szCs w:val="20"/>
          <w14:textFill>
            <w14:solidFill>
              <w14:schemeClr w14:val="tx1"/>
            </w14:solidFill>
          </w14:textFill>
        </w:rPr>
        <w:t>、SS、NH</w:t>
      </w:r>
      <w:r>
        <w:rPr>
          <w:rFonts w:hint="eastAsia" w:ascii="Times New Roman" w:hAnsi="Times New Roman" w:eastAsia="宋体" w:cs="Times New Roman"/>
          <w:color w:val="000000" w:themeColor="text1"/>
          <w:spacing w:val="-2"/>
          <w:sz w:val="24"/>
          <w:szCs w:val="20"/>
          <w:vertAlign w:val="sub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-N等。生活污水采用化粪池处理达到《污水综合排放标准》（GB8978-1996）三级标准后排入市政污水管网送钦州港大榄坪污水处理厂进一步处理。</w:t>
      </w:r>
      <w:bookmarkStart w:id="45" w:name="_Toc78822649"/>
    </w:p>
    <w:p w14:paraId="245BAD1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（2）雨水</w:t>
      </w:r>
    </w:p>
    <w:p w14:paraId="6C0C87A6">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color w:val="000000" w:themeColor="text1"/>
          <w:sz w:val="24"/>
          <w:szCs w:val="24"/>
          <w:u w:val="single"/>
          <w14:textFill>
            <w14:solidFill>
              <w14:schemeClr w14:val="tx1"/>
            </w14:solidFill>
          </w14:textFill>
        </w:rPr>
        <w:t>项目生产线及物料堆放用地均布置在车间内，无新增室外建筑物。项目用地内的雨水主要为车间顶棚雨水，车间顶棚雨水依托广西钦州保税区创大冷链物流公司的3号仓库屋面雨水系统收集，项目用地范围附近属于园区内的路面，项目进出厂物料运输均严格进行篷布覆盖，杜绝物料洒落地面，</w:t>
      </w:r>
      <w:r>
        <w:rPr>
          <w:rFonts w:hint="eastAsia" w:ascii="Times New Roman" w:hAnsi="Times New Roman"/>
          <w:color w:val="000000" w:themeColor="text1"/>
          <w:sz w:val="24"/>
          <w:szCs w:val="24"/>
          <w:u w:val="single"/>
          <w14:textFill>
            <w14:solidFill>
              <w14:schemeClr w14:val="tx1"/>
            </w14:solidFill>
          </w14:textFill>
        </w:rPr>
        <w:t>项目进出厂物料的影响区域主要在靠近车间出入口附近的地面。项目初期雨水收集范围以项目顶棚雨水、项目车间出入口附近的路面，收集面积约4400m</w:t>
      </w:r>
      <w:r>
        <w:rPr>
          <w:rFonts w:hint="eastAsia" w:ascii="Times New Roman" w:hAnsi="Times New Roman"/>
          <w:color w:val="000000" w:themeColor="text1"/>
          <w:sz w:val="24"/>
          <w:szCs w:val="24"/>
          <w:u w:val="single"/>
          <w:vertAlign w:val="superscript"/>
          <w14:textFill>
            <w14:solidFill>
              <w14:schemeClr w14:val="tx1"/>
            </w14:solidFill>
          </w14:textFill>
        </w:rPr>
        <w:t>2</w:t>
      </w:r>
      <w:r>
        <w:rPr>
          <w:rFonts w:hint="eastAsia" w:ascii="Times New Roman" w:hAnsi="Times New Roman"/>
          <w:color w:val="000000" w:themeColor="text1"/>
          <w:sz w:val="24"/>
          <w:szCs w:val="24"/>
          <w:u w:val="single"/>
          <w14:textFill>
            <w14:solidFill>
              <w14:schemeClr w14:val="tx1"/>
            </w14:solidFill>
          </w14:textFill>
        </w:rPr>
        <w:t>。经计算初期雨水量为121.95m</w:t>
      </w:r>
      <w:r>
        <w:rPr>
          <w:rFonts w:hint="eastAsia" w:ascii="Times New Roman" w:hAnsi="Times New Roman"/>
          <w:color w:val="000000" w:themeColor="text1"/>
          <w:sz w:val="24"/>
          <w:szCs w:val="24"/>
          <w:u w:val="single"/>
          <w:vertAlign w:val="superscript"/>
          <w14:textFill>
            <w14:solidFill>
              <w14:schemeClr w14:val="tx1"/>
            </w14:solidFill>
          </w14:textFill>
        </w:rPr>
        <w:t>3</w:t>
      </w:r>
      <w:r>
        <w:rPr>
          <w:rFonts w:hint="eastAsia" w:ascii="Times New Roman" w:hAnsi="Times New Roman"/>
          <w:color w:val="000000" w:themeColor="text1"/>
          <w:sz w:val="24"/>
          <w:szCs w:val="24"/>
          <w:u w:val="single"/>
          <w14:textFill>
            <w14:solidFill>
              <w14:schemeClr w14:val="tx1"/>
            </w14:solidFill>
          </w14:textFill>
        </w:rPr>
        <w:t>，在创大进口汽车仓储物流园东大门附近设置一个150m</w:t>
      </w:r>
      <w:r>
        <w:rPr>
          <w:rFonts w:hint="eastAsia" w:ascii="Times New Roman" w:hAnsi="Times New Roman"/>
          <w:color w:val="000000" w:themeColor="text1"/>
          <w:sz w:val="24"/>
          <w:szCs w:val="24"/>
          <w:u w:val="single"/>
          <w:vertAlign w:val="superscript"/>
          <w14:textFill>
            <w14:solidFill>
              <w14:schemeClr w14:val="tx1"/>
            </w14:solidFill>
          </w14:textFill>
        </w:rPr>
        <w:t>3</w:t>
      </w:r>
      <w:r>
        <w:rPr>
          <w:rFonts w:hint="eastAsia" w:ascii="Times New Roman" w:hAnsi="Times New Roman"/>
          <w:color w:val="000000" w:themeColor="text1"/>
          <w:sz w:val="24"/>
          <w:szCs w:val="24"/>
          <w:u w:val="single"/>
          <w14:textFill>
            <w14:solidFill>
              <w14:schemeClr w14:val="tx1"/>
            </w14:solidFill>
          </w14:textFill>
        </w:rPr>
        <w:t>的初期雨水池进行收集，收集后的初期雨水经沉淀后回用于项目水雾喷淋降尘系统使用。</w:t>
      </w:r>
    </w:p>
    <w:p w14:paraId="37BCD6E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项目无生产废水排放，生活污水、基本不含放射性物质；初期雨水经收集处理后回用，不外排。因此项目无需进行液态流出物放射性分析。</w:t>
      </w:r>
    </w:p>
    <w:p w14:paraId="628D2F7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主要核素平衡</w:t>
      </w:r>
      <w:bookmarkEnd w:id="45"/>
    </w:p>
    <w:p w14:paraId="5D62B003">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原料与产品的放射性核素含量</w:t>
      </w:r>
    </w:p>
    <w:p w14:paraId="2E073D6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项目原料主要来自非洲，项目原料来源地根据市场情况有波动，项目目前尚未建成，尚未有原料及产品产出，</w:t>
      </w:r>
      <w:r>
        <w:rPr>
          <w:rFonts w:ascii="Times New Roman" w:hAnsi="Times New Roman" w:cs="Times New Roman"/>
          <w:color w:val="000000" w:themeColor="text1"/>
          <w:sz w:val="24"/>
          <w:szCs w:val="24"/>
          <w14:textFill>
            <w14:solidFill>
              <w14:schemeClr w14:val="tx1"/>
            </w14:solidFill>
          </w14:textFill>
        </w:rPr>
        <w:t>故本项目通过类比的形式分析原料和产品中的放射性。鉴于原料核素活度存在一定的波动性，产品会随原料核素活度的变化而变化，为了充分了解原料及产品中的核素比活度，本专篇综合引用了已经广西壮族自治区生态环境厅批复的《金联达钛新材料项目辐射环境影响评价专篇》（桂环审</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2021</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87号）的相关数据进行分析。</w:t>
      </w:r>
    </w:p>
    <w:p w14:paraId="66CA875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金联达钛新材料项目辐射环境影响评价专篇》引用的数据为海南海拓矿业有限公司、广西源丰达科技资源科技有限公司、广西道丰新材料有限公司等三家公司的原料、产品及副产品核素分析结果。上述三家企业的原料与本项目原料来源基本相同，均</w:t>
      </w:r>
      <w:r>
        <w:rPr>
          <w:rFonts w:hint="eastAsia" w:ascii="Times New Roman" w:hAnsi="Times New Roman" w:cs="Times New Roman"/>
          <w:color w:val="000000" w:themeColor="text1"/>
          <w:sz w:val="24"/>
          <w:szCs w:val="24"/>
          <w14:textFill>
            <w14:solidFill>
              <w14:schemeClr w14:val="tx1"/>
            </w14:solidFill>
          </w14:textFill>
        </w:rPr>
        <w:t>主要</w:t>
      </w:r>
      <w:r>
        <w:rPr>
          <w:rFonts w:ascii="Times New Roman" w:hAnsi="Times New Roman" w:cs="Times New Roman"/>
          <w:color w:val="000000" w:themeColor="text1"/>
          <w:sz w:val="24"/>
          <w:szCs w:val="24"/>
          <w14:textFill>
            <w14:solidFill>
              <w14:schemeClr w14:val="tx1"/>
            </w14:solidFill>
          </w14:textFill>
        </w:rPr>
        <w:t>来自非洲等地，生产工艺也与本项目相同，均采用物理选矿，</w:t>
      </w:r>
      <w:r>
        <w:rPr>
          <w:rFonts w:hint="eastAsia" w:ascii="Times New Roman" w:hAnsi="Times New Roman" w:cs="Times New Roman"/>
          <w:color w:val="000000" w:themeColor="text1"/>
          <w:sz w:val="24"/>
          <w:szCs w:val="24"/>
          <w14:textFill>
            <w14:solidFill>
              <w14:schemeClr w14:val="tx1"/>
            </w14:solidFill>
          </w14:textFill>
        </w:rPr>
        <w:t>生产过程中涉及</w:t>
      </w:r>
      <w:r>
        <w:rPr>
          <w:rFonts w:ascii="Times New Roman" w:hAnsi="Times New Roman" w:cs="Times New Roman"/>
          <w:color w:val="000000" w:themeColor="text1"/>
          <w:sz w:val="24"/>
          <w:szCs w:val="24"/>
          <w14:textFill>
            <w14:solidFill>
              <w14:schemeClr w14:val="tx1"/>
            </w14:solidFill>
          </w14:textFill>
        </w:rPr>
        <w:t>钛</w:t>
      </w:r>
      <w:r>
        <w:rPr>
          <w:rFonts w:hint="eastAsia" w:ascii="Times New Roman" w:hAnsi="Times New Roman" w:cs="Times New Roman"/>
          <w:color w:val="000000" w:themeColor="text1"/>
          <w:sz w:val="24"/>
          <w:szCs w:val="24"/>
          <w14:textFill>
            <w14:solidFill>
              <w14:schemeClr w14:val="tx1"/>
            </w14:solidFill>
          </w14:textFill>
        </w:rPr>
        <w:t>铁矿、锆中矿</w:t>
      </w:r>
      <w:r>
        <w:rPr>
          <w:rFonts w:ascii="Times New Roman" w:hAnsi="Times New Roman" w:cs="Times New Roman"/>
          <w:color w:val="000000" w:themeColor="text1"/>
          <w:sz w:val="24"/>
          <w:szCs w:val="24"/>
          <w14:textFill>
            <w14:solidFill>
              <w14:schemeClr w14:val="tx1"/>
            </w14:solidFill>
          </w14:textFill>
        </w:rPr>
        <w:t>等。三家企业的原料及产品中放射性核素含量见表2.1</w:t>
      </w:r>
      <w:r>
        <w:rPr>
          <w:rFonts w:ascii="Times New Roman" w:hAnsi="Times New Roman" w:cs="Times New Roman"/>
          <w:color w:val="000000" w:themeColor="text1"/>
          <w:sz w:val="24"/>
          <w:szCs w:val="24"/>
          <w14:textFill>
            <w14:solidFill>
              <w14:schemeClr w14:val="tx1"/>
            </w14:solidFill>
          </w14:textFill>
        </w:rPr>
        <w:noBreakHyphen/>
      </w: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02B79517">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原料及产品核素分析结果（单位: Bq/kg）</w:t>
      </w:r>
    </w:p>
    <w:tbl>
      <w:tblPr>
        <w:tblStyle w:val="46"/>
        <w:tblW w:w="526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2043"/>
        <w:gridCol w:w="1753"/>
        <w:gridCol w:w="1896"/>
        <w:gridCol w:w="2115"/>
      </w:tblGrid>
      <w:tr w14:paraId="03707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pct"/>
            <w:noWrap/>
            <w:vAlign w:val="center"/>
          </w:tcPr>
          <w:p w14:paraId="57DF3D77">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样品名称</w:t>
            </w:r>
          </w:p>
        </w:tc>
        <w:tc>
          <w:tcPr>
            <w:tcW w:w="1138" w:type="pct"/>
            <w:vAlign w:val="center"/>
          </w:tcPr>
          <w:p w14:paraId="2A45DB38">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类比企业</w:t>
            </w:r>
          </w:p>
        </w:tc>
        <w:tc>
          <w:tcPr>
            <w:tcW w:w="976" w:type="pct"/>
            <w:noWrap/>
            <w:vAlign w:val="center"/>
          </w:tcPr>
          <w:p w14:paraId="54F7CDC8">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238</w:t>
            </w:r>
            <w:r>
              <w:rPr>
                <w:rFonts w:ascii="Times New Roman" w:hAnsi="Times New Roman"/>
                <w:b/>
                <w:color w:val="000000" w:themeColor="text1"/>
                <w14:textFill>
                  <w14:solidFill>
                    <w14:schemeClr w14:val="tx1"/>
                  </w14:solidFill>
                </w14:textFill>
              </w:rPr>
              <w:t>U</w:t>
            </w:r>
          </w:p>
        </w:tc>
        <w:tc>
          <w:tcPr>
            <w:tcW w:w="1056" w:type="pct"/>
            <w:noWrap/>
            <w:vAlign w:val="center"/>
          </w:tcPr>
          <w:p w14:paraId="419E54B6">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226</w:t>
            </w:r>
            <w:r>
              <w:rPr>
                <w:rFonts w:ascii="Times New Roman" w:hAnsi="Times New Roman"/>
                <w:b/>
                <w:color w:val="000000" w:themeColor="text1"/>
                <w14:textFill>
                  <w14:solidFill>
                    <w14:schemeClr w14:val="tx1"/>
                  </w14:solidFill>
                </w14:textFill>
              </w:rPr>
              <w:t>Ra</w:t>
            </w:r>
          </w:p>
        </w:tc>
        <w:tc>
          <w:tcPr>
            <w:tcW w:w="1178" w:type="pct"/>
            <w:noWrap/>
            <w:vAlign w:val="center"/>
          </w:tcPr>
          <w:p w14:paraId="7224A8E6">
            <w:pPr>
              <w:pStyle w:val="246"/>
              <w:rPr>
                <w:rFonts w:ascii="Times New Roman" w:hAnsi="Times New Roman"/>
                <w:b/>
                <w:color w:val="000000" w:themeColor="text1"/>
                <w14:textFill>
                  <w14:solidFill>
                    <w14:schemeClr w14:val="tx1"/>
                  </w14:solidFill>
                </w14:textFill>
              </w:rPr>
            </w:pPr>
            <w:r>
              <w:rPr>
                <w:rFonts w:ascii="Times New Roman" w:hAnsi="Times New Roman"/>
                <w:b/>
                <w:color w:val="000000" w:themeColor="text1"/>
                <w:vertAlign w:val="superscript"/>
                <w14:textFill>
                  <w14:solidFill>
                    <w14:schemeClr w14:val="tx1"/>
                  </w14:solidFill>
                </w14:textFill>
              </w:rPr>
              <w:t>232</w:t>
            </w:r>
            <w:r>
              <w:rPr>
                <w:rFonts w:ascii="Times New Roman" w:hAnsi="Times New Roman"/>
                <w:b/>
                <w:color w:val="000000" w:themeColor="text1"/>
                <w14:textFill>
                  <w14:solidFill>
                    <w14:schemeClr w14:val="tx1"/>
                  </w14:solidFill>
                </w14:textFill>
              </w:rPr>
              <w:t>Th</w:t>
            </w:r>
          </w:p>
        </w:tc>
      </w:tr>
      <w:tr w14:paraId="1714D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0C97760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毛矿-原料</w:t>
            </w:r>
          </w:p>
        </w:tc>
        <w:tc>
          <w:tcPr>
            <w:tcW w:w="1138" w:type="pct"/>
            <w:vAlign w:val="center"/>
          </w:tcPr>
          <w:p w14:paraId="299784C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34CD431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773.1</w:t>
            </w:r>
          </w:p>
        </w:tc>
        <w:tc>
          <w:tcPr>
            <w:tcW w:w="1056" w:type="pct"/>
            <w:noWrap/>
            <w:vAlign w:val="center"/>
          </w:tcPr>
          <w:p w14:paraId="4192EAA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830.8</w:t>
            </w:r>
          </w:p>
        </w:tc>
        <w:tc>
          <w:tcPr>
            <w:tcW w:w="1178" w:type="pct"/>
            <w:noWrap/>
            <w:vAlign w:val="center"/>
          </w:tcPr>
          <w:p w14:paraId="3C40A55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3271.6</w:t>
            </w:r>
          </w:p>
        </w:tc>
      </w:tr>
      <w:tr w14:paraId="10781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48CD82A">
            <w:pPr>
              <w:pStyle w:val="246"/>
              <w:rPr>
                <w:rFonts w:ascii="Times New Roman" w:hAnsi="Times New Roman"/>
                <w:color w:val="000000" w:themeColor="text1"/>
                <w14:textFill>
                  <w14:solidFill>
                    <w14:schemeClr w14:val="tx1"/>
                  </w14:solidFill>
                </w14:textFill>
              </w:rPr>
            </w:pPr>
          </w:p>
        </w:tc>
        <w:tc>
          <w:tcPr>
            <w:tcW w:w="1138" w:type="pct"/>
            <w:vAlign w:val="center"/>
          </w:tcPr>
          <w:p w14:paraId="7A4D92A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0D010BB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1193.9</w:t>
            </w:r>
          </w:p>
        </w:tc>
        <w:tc>
          <w:tcPr>
            <w:tcW w:w="1056" w:type="pct"/>
            <w:noWrap/>
            <w:vAlign w:val="center"/>
          </w:tcPr>
          <w:p w14:paraId="7C2BDBC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1472.5</w:t>
            </w:r>
          </w:p>
        </w:tc>
        <w:tc>
          <w:tcPr>
            <w:tcW w:w="1178" w:type="pct"/>
            <w:noWrap/>
            <w:vAlign w:val="center"/>
          </w:tcPr>
          <w:p w14:paraId="399B28C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1562.4</w:t>
            </w:r>
          </w:p>
        </w:tc>
      </w:tr>
      <w:tr w14:paraId="1E176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A5E7D19">
            <w:pPr>
              <w:pStyle w:val="246"/>
              <w:rPr>
                <w:rFonts w:ascii="Times New Roman" w:hAnsi="Times New Roman"/>
                <w:color w:val="000000" w:themeColor="text1"/>
                <w14:textFill>
                  <w14:solidFill>
                    <w14:schemeClr w14:val="tx1"/>
                  </w14:solidFill>
                </w14:textFill>
              </w:rPr>
            </w:pPr>
          </w:p>
        </w:tc>
        <w:tc>
          <w:tcPr>
            <w:tcW w:w="1138" w:type="pct"/>
            <w:vAlign w:val="center"/>
          </w:tcPr>
          <w:p w14:paraId="45F2055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广西道丰毛矿1</w:t>
            </w:r>
          </w:p>
        </w:tc>
        <w:tc>
          <w:tcPr>
            <w:tcW w:w="976" w:type="pct"/>
            <w:noWrap/>
            <w:vAlign w:val="center"/>
          </w:tcPr>
          <w:p w14:paraId="70C4C67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1946</w:t>
            </w:r>
          </w:p>
        </w:tc>
        <w:tc>
          <w:tcPr>
            <w:tcW w:w="1056" w:type="pct"/>
            <w:noWrap/>
            <w:vAlign w:val="center"/>
          </w:tcPr>
          <w:p w14:paraId="47FE52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1468.3</w:t>
            </w:r>
          </w:p>
        </w:tc>
        <w:tc>
          <w:tcPr>
            <w:tcW w:w="1178" w:type="pct"/>
            <w:noWrap/>
            <w:vAlign w:val="center"/>
          </w:tcPr>
          <w:p w14:paraId="02A20E9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450.1</w:t>
            </w:r>
          </w:p>
        </w:tc>
      </w:tr>
      <w:tr w14:paraId="24760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2DF7C15">
            <w:pPr>
              <w:pStyle w:val="246"/>
              <w:rPr>
                <w:rFonts w:ascii="Times New Roman" w:hAnsi="Times New Roman"/>
                <w:color w:val="000000" w:themeColor="text1"/>
                <w14:textFill>
                  <w14:solidFill>
                    <w14:schemeClr w14:val="tx1"/>
                  </w14:solidFill>
                </w14:textFill>
              </w:rPr>
            </w:pPr>
          </w:p>
        </w:tc>
        <w:tc>
          <w:tcPr>
            <w:tcW w:w="1138" w:type="pct"/>
            <w:vAlign w:val="center"/>
          </w:tcPr>
          <w:p w14:paraId="52A7E69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广西道丰毛矿2</w:t>
            </w:r>
          </w:p>
        </w:tc>
        <w:tc>
          <w:tcPr>
            <w:tcW w:w="976" w:type="pct"/>
            <w:noWrap/>
            <w:vAlign w:val="center"/>
          </w:tcPr>
          <w:p w14:paraId="0E468BE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1580</w:t>
            </w:r>
          </w:p>
        </w:tc>
        <w:tc>
          <w:tcPr>
            <w:tcW w:w="1056" w:type="pct"/>
            <w:noWrap/>
            <w:vAlign w:val="center"/>
          </w:tcPr>
          <w:p w14:paraId="4371BAE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1471</w:t>
            </w:r>
          </w:p>
        </w:tc>
        <w:tc>
          <w:tcPr>
            <w:tcW w:w="1178" w:type="pct"/>
            <w:noWrap/>
            <w:vAlign w:val="center"/>
          </w:tcPr>
          <w:p w14:paraId="7D1B897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1200</w:t>
            </w:r>
          </w:p>
        </w:tc>
      </w:tr>
      <w:tr w14:paraId="4F37F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EE64B87">
            <w:pPr>
              <w:pStyle w:val="246"/>
              <w:rPr>
                <w:rFonts w:ascii="Times New Roman" w:hAnsi="Times New Roman"/>
                <w:color w:val="000000" w:themeColor="text1"/>
                <w14:textFill>
                  <w14:solidFill>
                    <w14:schemeClr w14:val="tx1"/>
                  </w14:solidFill>
                </w14:textFill>
              </w:rPr>
            </w:pPr>
          </w:p>
        </w:tc>
        <w:tc>
          <w:tcPr>
            <w:tcW w:w="1138" w:type="pct"/>
            <w:vAlign w:val="center"/>
          </w:tcPr>
          <w:p w14:paraId="43EC60F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广西道丰毛矿3</w:t>
            </w:r>
          </w:p>
        </w:tc>
        <w:tc>
          <w:tcPr>
            <w:tcW w:w="976" w:type="pct"/>
            <w:noWrap/>
            <w:vAlign w:val="center"/>
          </w:tcPr>
          <w:p w14:paraId="5E51E0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2790</w:t>
            </w:r>
          </w:p>
        </w:tc>
        <w:tc>
          <w:tcPr>
            <w:tcW w:w="1056" w:type="pct"/>
            <w:noWrap/>
            <w:vAlign w:val="center"/>
          </w:tcPr>
          <w:p w14:paraId="0610A63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2111</w:t>
            </w:r>
          </w:p>
        </w:tc>
        <w:tc>
          <w:tcPr>
            <w:tcW w:w="1178" w:type="pct"/>
            <w:noWrap/>
            <w:vAlign w:val="center"/>
          </w:tcPr>
          <w:p w14:paraId="47C4428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2190</w:t>
            </w:r>
          </w:p>
        </w:tc>
      </w:tr>
      <w:tr w14:paraId="347B1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304351DC">
            <w:pPr>
              <w:pStyle w:val="246"/>
              <w:rPr>
                <w:rFonts w:ascii="Times New Roman" w:hAnsi="Times New Roman"/>
                <w:color w:val="000000" w:themeColor="text1"/>
                <w14:textFill>
                  <w14:solidFill>
                    <w14:schemeClr w14:val="tx1"/>
                  </w14:solidFill>
                </w14:textFill>
              </w:rPr>
            </w:pPr>
          </w:p>
        </w:tc>
        <w:tc>
          <w:tcPr>
            <w:tcW w:w="1138" w:type="pct"/>
            <w:vAlign w:val="center"/>
          </w:tcPr>
          <w:p w14:paraId="21A83459">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4CED02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773.1～2790</w:t>
            </w:r>
          </w:p>
        </w:tc>
        <w:tc>
          <w:tcPr>
            <w:tcW w:w="1056" w:type="pct"/>
            <w:noWrap/>
            <w:vAlign w:val="center"/>
          </w:tcPr>
          <w:p w14:paraId="3B854C2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830.8～2111</w:t>
            </w:r>
          </w:p>
        </w:tc>
        <w:tc>
          <w:tcPr>
            <w:tcW w:w="1178" w:type="pct"/>
            <w:noWrap/>
            <w:vAlign w:val="center"/>
          </w:tcPr>
          <w:p w14:paraId="03C8413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450.1～3271.6</w:t>
            </w:r>
          </w:p>
        </w:tc>
      </w:tr>
      <w:tr w14:paraId="44B76E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038EF89">
            <w:pPr>
              <w:pStyle w:val="246"/>
              <w:rPr>
                <w:rFonts w:ascii="Times New Roman" w:hAnsi="Times New Roman"/>
                <w:color w:val="000000" w:themeColor="text1"/>
                <w14:textFill>
                  <w14:solidFill>
                    <w14:schemeClr w14:val="tx1"/>
                  </w14:solidFill>
                </w14:textFill>
              </w:rPr>
            </w:pPr>
          </w:p>
        </w:tc>
        <w:tc>
          <w:tcPr>
            <w:tcW w:w="1138" w:type="pct"/>
            <w:vAlign w:val="center"/>
          </w:tcPr>
          <w:p w14:paraId="534A43D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63189C3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1656.6</w:t>
            </w:r>
          </w:p>
        </w:tc>
        <w:tc>
          <w:tcPr>
            <w:tcW w:w="1056" w:type="pct"/>
            <w:noWrap/>
            <w:vAlign w:val="center"/>
          </w:tcPr>
          <w:p w14:paraId="422EBEE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1470.7</w:t>
            </w:r>
          </w:p>
        </w:tc>
        <w:tc>
          <w:tcPr>
            <w:tcW w:w="1178" w:type="pct"/>
            <w:noWrap/>
            <w:vAlign w:val="center"/>
          </w:tcPr>
          <w:p w14:paraId="165E8F9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1734.8</w:t>
            </w:r>
          </w:p>
        </w:tc>
      </w:tr>
      <w:tr w14:paraId="141220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4C11F62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锆中矿-原料</w:t>
            </w:r>
          </w:p>
        </w:tc>
        <w:tc>
          <w:tcPr>
            <w:tcW w:w="1138" w:type="pct"/>
            <w:vAlign w:val="center"/>
          </w:tcPr>
          <w:p w14:paraId="681DD0A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5ADA41E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1454.3</w:t>
            </w:r>
          </w:p>
        </w:tc>
        <w:tc>
          <w:tcPr>
            <w:tcW w:w="1056" w:type="pct"/>
            <w:noWrap/>
            <w:vAlign w:val="center"/>
          </w:tcPr>
          <w:p w14:paraId="021F0D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2236.9</w:t>
            </w:r>
          </w:p>
        </w:tc>
        <w:tc>
          <w:tcPr>
            <w:tcW w:w="1178" w:type="pct"/>
            <w:noWrap/>
            <w:vAlign w:val="center"/>
          </w:tcPr>
          <w:p w14:paraId="7C4F94F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3392.9</w:t>
            </w:r>
          </w:p>
        </w:tc>
      </w:tr>
      <w:tr w14:paraId="4FEE8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6634665">
            <w:pPr>
              <w:pStyle w:val="246"/>
              <w:rPr>
                <w:rFonts w:ascii="Times New Roman" w:hAnsi="Times New Roman"/>
                <w:color w:val="000000" w:themeColor="text1"/>
                <w14:textFill>
                  <w14:solidFill>
                    <w14:schemeClr w14:val="tx1"/>
                  </w14:solidFill>
                </w14:textFill>
              </w:rPr>
            </w:pPr>
          </w:p>
        </w:tc>
        <w:tc>
          <w:tcPr>
            <w:tcW w:w="1138" w:type="pct"/>
            <w:vAlign w:val="center"/>
          </w:tcPr>
          <w:p w14:paraId="79905DB7">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32682B3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3543.4</w:t>
            </w:r>
          </w:p>
        </w:tc>
        <w:tc>
          <w:tcPr>
            <w:tcW w:w="1056" w:type="pct"/>
            <w:noWrap/>
            <w:vAlign w:val="center"/>
          </w:tcPr>
          <w:p w14:paraId="614DDE6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3426.3</w:t>
            </w:r>
          </w:p>
        </w:tc>
        <w:tc>
          <w:tcPr>
            <w:tcW w:w="1178" w:type="pct"/>
            <w:noWrap/>
            <w:vAlign w:val="center"/>
          </w:tcPr>
          <w:p w14:paraId="035ADD7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2152.7</w:t>
            </w:r>
          </w:p>
        </w:tc>
      </w:tr>
      <w:tr w14:paraId="2FCE86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DB8141E">
            <w:pPr>
              <w:pStyle w:val="246"/>
              <w:rPr>
                <w:rFonts w:ascii="Times New Roman" w:hAnsi="Times New Roman"/>
                <w:color w:val="000000" w:themeColor="text1"/>
                <w14:textFill>
                  <w14:solidFill>
                    <w14:schemeClr w14:val="tx1"/>
                  </w14:solidFill>
                </w14:textFill>
              </w:rPr>
            </w:pPr>
          </w:p>
        </w:tc>
        <w:tc>
          <w:tcPr>
            <w:tcW w:w="1138" w:type="pct"/>
            <w:vAlign w:val="center"/>
          </w:tcPr>
          <w:p w14:paraId="69E86C7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1#锆中矿</w:t>
            </w:r>
          </w:p>
        </w:tc>
        <w:tc>
          <w:tcPr>
            <w:tcW w:w="976" w:type="pct"/>
            <w:noWrap/>
            <w:vAlign w:val="center"/>
          </w:tcPr>
          <w:p w14:paraId="1496A39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3695</w:t>
            </w:r>
          </w:p>
        </w:tc>
        <w:tc>
          <w:tcPr>
            <w:tcW w:w="1056" w:type="pct"/>
            <w:noWrap/>
            <w:vAlign w:val="center"/>
          </w:tcPr>
          <w:p w14:paraId="720FC4A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3656.4</w:t>
            </w:r>
          </w:p>
        </w:tc>
        <w:tc>
          <w:tcPr>
            <w:tcW w:w="1178" w:type="pct"/>
            <w:noWrap/>
            <w:vAlign w:val="center"/>
          </w:tcPr>
          <w:p w14:paraId="61F930B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1548.8</w:t>
            </w:r>
          </w:p>
        </w:tc>
      </w:tr>
      <w:tr w14:paraId="27DF13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1058C3B">
            <w:pPr>
              <w:pStyle w:val="246"/>
              <w:rPr>
                <w:rFonts w:ascii="Times New Roman" w:hAnsi="Times New Roman"/>
                <w:color w:val="000000" w:themeColor="text1"/>
                <w14:textFill>
                  <w14:solidFill>
                    <w14:schemeClr w14:val="tx1"/>
                  </w14:solidFill>
                </w14:textFill>
              </w:rPr>
            </w:pPr>
          </w:p>
        </w:tc>
        <w:tc>
          <w:tcPr>
            <w:tcW w:w="1138" w:type="pct"/>
            <w:vAlign w:val="center"/>
          </w:tcPr>
          <w:p w14:paraId="6CE1833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2#锆中矿</w:t>
            </w:r>
          </w:p>
        </w:tc>
        <w:tc>
          <w:tcPr>
            <w:tcW w:w="976" w:type="pct"/>
            <w:noWrap/>
            <w:vAlign w:val="center"/>
          </w:tcPr>
          <w:p w14:paraId="2274596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3040</w:t>
            </w:r>
          </w:p>
        </w:tc>
        <w:tc>
          <w:tcPr>
            <w:tcW w:w="1056" w:type="pct"/>
            <w:noWrap/>
            <w:vAlign w:val="center"/>
          </w:tcPr>
          <w:p w14:paraId="6497B97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3712.4</w:t>
            </w:r>
          </w:p>
        </w:tc>
        <w:tc>
          <w:tcPr>
            <w:tcW w:w="1178" w:type="pct"/>
            <w:noWrap/>
            <w:vAlign w:val="center"/>
          </w:tcPr>
          <w:p w14:paraId="2BB3B2C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1605.8</w:t>
            </w:r>
          </w:p>
        </w:tc>
      </w:tr>
      <w:tr w14:paraId="04F1F7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33F82159">
            <w:pPr>
              <w:pStyle w:val="246"/>
              <w:rPr>
                <w:rFonts w:ascii="Times New Roman" w:hAnsi="Times New Roman"/>
                <w:color w:val="000000" w:themeColor="text1"/>
                <w14:textFill>
                  <w14:solidFill>
                    <w14:schemeClr w14:val="tx1"/>
                  </w14:solidFill>
                </w14:textFill>
              </w:rPr>
            </w:pPr>
          </w:p>
        </w:tc>
        <w:tc>
          <w:tcPr>
            <w:tcW w:w="1138" w:type="pct"/>
            <w:vAlign w:val="center"/>
          </w:tcPr>
          <w:p w14:paraId="51241F6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71D4DA7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1454.3～3695</w:t>
            </w:r>
          </w:p>
        </w:tc>
        <w:tc>
          <w:tcPr>
            <w:tcW w:w="1056" w:type="pct"/>
            <w:noWrap/>
            <w:vAlign w:val="center"/>
          </w:tcPr>
          <w:p w14:paraId="0DCD648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2236.9～3712.4</w:t>
            </w:r>
          </w:p>
        </w:tc>
        <w:tc>
          <w:tcPr>
            <w:tcW w:w="1178" w:type="pct"/>
            <w:noWrap/>
            <w:vAlign w:val="center"/>
          </w:tcPr>
          <w:p w14:paraId="1B96D83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1548.8～3392.9</w:t>
            </w:r>
          </w:p>
        </w:tc>
      </w:tr>
      <w:tr w14:paraId="5FA24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1B469D8">
            <w:pPr>
              <w:pStyle w:val="246"/>
              <w:rPr>
                <w:rFonts w:ascii="Times New Roman" w:hAnsi="Times New Roman"/>
                <w:color w:val="000000" w:themeColor="text1"/>
                <w14:textFill>
                  <w14:solidFill>
                    <w14:schemeClr w14:val="tx1"/>
                  </w14:solidFill>
                </w14:textFill>
              </w:rPr>
            </w:pPr>
          </w:p>
        </w:tc>
        <w:tc>
          <w:tcPr>
            <w:tcW w:w="1138" w:type="pct"/>
            <w:vAlign w:val="center"/>
          </w:tcPr>
          <w:p w14:paraId="114D6554">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6135038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2933.2</w:t>
            </w:r>
          </w:p>
        </w:tc>
        <w:tc>
          <w:tcPr>
            <w:tcW w:w="1056" w:type="pct"/>
            <w:noWrap/>
            <w:vAlign w:val="center"/>
          </w:tcPr>
          <w:p w14:paraId="49D5653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3258.0</w:t>
            </w:r>
          </w:p>
        </w:tc>
        <w:tc>
          <w:tcPr>
            <w:tcW w:w="1178" w:type="pct"/>
            <w:noWrap/>
            <w:vAlign w:val="center"/>
          </w:tcPr>
          <w:p w14:paraId="1A984BD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2175.1</w:t>
            </w:r>
          </w:p>
        </w:tc>
      </w:tr>
      <w:tr w14:paraId="274EC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6FF1522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锆精矿-原料</w:t>
            </w:r>
          </w:p>
        </w:tc>
        <w:tc>
          <w:tcPr>
            <w:tcW w:w="1138" w:type="pct"/>
            <w:vAlign w:val="center"/>
          </w:tcPr>
          <w:p w14:paraId="17E8A5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1#锆精矿</w:t>
            </w:r>
          </w:p>
        </w:tc>
        <w:tc>
          <w:tcPr>
            <w:tcW w:w="976" w:type="pct"/>
            <w:noWrap/>
            <w:vAlign w:val="center"/>
          </w:tcPr>
          <w:p w14:paraId="53217CA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7424</w:t>
            </w:r>
          </w:p>
        </w:tc>
        <w:tc>
          <w:tcPr>
            <w:tcW w:w="1056" w:type="pct"/>
            <w:noWrap/>
            <w:vAlign w:val="center"/>
          </w:tcPr>
          <w:p w14:paraId="46B8277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7127.2</w:t>
            </w:r>
          </w:p>
        </w:tc>
        <w:tc>
          <w:tcPr>
            <w:tcW w:w="1178" w:type="pct"/>
            <w:noWrap/>
            <w:vAlign w:val="center"/>
          </w:tcPr>
          <w:p w14:paraId="21CF431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1001.3</w:t>
            </w:r>
          </w:p>
        </w:tc>
      </w:tr>
      <w:tr w14:paraId="740CA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34AF9B8">
            <w:pPr>
              <w:pStyle w:val="246"/>
              <w:rPr>
                <w:rFonts w:ascii="Times New Roman" w:hAnsi="Times New Roman"/>
                <w:color w:val="000000" w:themeColor="text1"/>
                <w14:textFill>
                  <w14:solidFill>
                    <w14:schemeClr w14:val="tx1"/>
                  </w14:solidFill>
                </w14:textFill>
              </w:rPr>
            </w:pPr>
          </w:p>
        </w:tc>
        <w:tc>
          <w:tcPr>
            <w:tcW w:w="1138" w:type="pct"/>
            <w:vAlign w:val="center"/>
          </w:tcPr>
          <w:p w14:paraId="3E5ACA3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r>
              <w:rPr>
                <w:rFonts w:ascii="Times New Roman" w:hAnsi="Times New Roman"/>
                <w:color w:val="000000" w:themeColor="text1"/>
                <w14:textFill>
                  <w14:solidFill>
                    <w14:schemeClr w14:val="tx1"/>
                  </w14:solidFill>
                </w14:textFill>
              </w:rPr>
              <w:t>2#锆精矿</w:t>
            </w:r>
          </w:p>
        </w:tc>
        <w:tc>
          <w:tcPr>
            <w:tcW w:w="976" w:type="pct"/>
            <w:noWrap/>
            <w:vAlign w:val="center"/>
          </w:tcPr>
          <w:p w14:paraId="3C0D10B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7826</w:t>
            </w:r>
          </w:p>
        </w:tc>
        <w:tc>
          <w:tcPr>
            <w:tcW w:w="1056" w:type="pct"/>
            <w:noWrap/>
            <w:vAlign w:val="center"/>
          </w:tcPr>
          <w:p w14:paraId="5C477A7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8088.6</w:t>
            </w:r>
          </w:p>
        </w:tc>
        <w:tc>
          <w:tcPr>
            <w:tcW w:w="1178" w:type="pct"/>
            <w:noWrap/>
            <w:vAlign w:val="center"/>
          </w:tcPr>
          <w:p w14:paraId="3D334C8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1411</w:t>
            </w:r>
          </w:p>
        </w:tc>
      </w:tr>
      <w:tr w14:paraId="65E3F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4259A4D">
            <w:pPr>
              <w:pStyle w:val="246"/>
              <w:rPr>
                <w:rFonts w:ascii="Times New Roman" w:hAnsi="Times New Roman"/>
                <w:color w:val="000000" w:themeColor="text1"/>
                <w14:textFill>
                  <w14:solidFill>
                    <w14:schemeClr w14:val="tx1"/>
                  </w14:solidFill>
                </w14:textFill>
              </w:rPr>
            </w:pPr>
          </w:p>
        </w:tc>
        <w:tc>
          <w:tcPr>
            <w:tcW w:w="1138" w:type="pct"/>
            <w:vAlign w:val="center"/>
          </w:tcPr>
          <w:p w14:paraId="519D521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1B6224B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7424～7826</w:t>
            </w:r>
          </w:p>
        </w:tc>
        <w:tc>
          <w:tcPr>
            <w:tcW w:w="1056" w:type="pct"/>
            <w:noWrap/>
            <w:vAlign w:val="center"/>
          </w:tcPr>
          <w:p w14:paraId="1F26CEA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7127.2～8088.6</w:t>
            </w:r>
          </w:p>
        </w:tc>
        <w:tc>
          <w:tcPr>
            <w:tcW w:w="1178" w:type="pct"/>
            <w:noWrap/>
            <w:vAlign w:val="center"/>
          </w:tcPr>
          <w:p w14:paraId="2ED2BE8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1001.3～1411</w:t>
            </w:r>
          </w:p>
        </w:tc>
      </w:tr>
      <w:tr w14:paraId="2D64DB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670153E">
            <w:pPr>
              <w:pStyle w:val="246"/>
              <w:rPr>
                <w:rFonts w:ascii="Times New Roman" w:hAnsi="Times New Roman"/>
                <w:color w:val="000000" w:themeColor="text1"/>
                <w14:textFill>
                  <w14:solidFill>
                    <w14:schemeClr w14:val="tx1"/>
                  </w14:solidFill>
                </w14:textFill>
              </w:rPr>
            </w:pPr>
          </w:p>
        </w:tc>
        <w:tc>
          <w:tcPr>
            <w:tcW w:w="1138" w:type="pct"/>
            <w:vAlign w:val="center"/>
          </w:tcPr>
          <w:p w14:paraId="44EBE1D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2843A16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7625.0</w:t>
            </w:r>
          </w:p>
        </w:tc>
        <w:tc>
          <w:tcPr>
            <w:tcW w:w="1056" w:type="pct"/>
            <w:noWrap/>
            <w:vAlign w:val="center"/>
          </w:tcPr>
          <w:p w14:paraId="45933A3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7607.9</w:t>
            </w:r>
          </w:p>
        </w:tc>
        <w:tc>
          <w:tcPr>
            <w:tcW w:w="1178" w:type="pct"/>
            <w:noWrap/>
            <w:vAlign w:val="center"/>
          </w:tcPr>
          <w:p w14:paraId="3C2D355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1206.2</w:t>
            </w:r>
          </w:p>
        </w:tc>
      </w:tr>
      <w:tr w14:paraId="6BFA6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11341FE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钛精矿-产品</w:t>
            </w:r>
          </w:p>
        </w:tc>
        <w:tc>
          <w:tcPr>
            <w:tcW w:w="1138" w:type="pct"/>
            <w:vAlign w:val="center"/>
          </w:tcPr>
          <w:p w14:paraId="17B95BE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3D087FF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62.9</w:t>
            </w:r>
          </w:p>
        </w:tc>
        <w:tc>
          <w:tcPr>
            <w:tcW w:w="1056" w:type="pct"/>
            <w:noWrap/>
            <w:vAlign w:val="center"/>
          </w:tcPr>
          <w:p w14:paraId="0A22240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76.5</w:t>
            </w:r>
          </w:p>
        </w:tc>
        <w:tc>
          <w:tcPr>
            <w:tcW w:w="1178" w:type="pct"/>
            <w:noWrap/>
            <w:vAlign w:val="center"/>
          </w:tcPr>
          <w:p w14:paraId="5ACC558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218.4</w:t>
            </w:r>
          </w:p>
        </w:tc>
      </w:tr>
      <w:tr w14:paraId="51050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19F7E5D">
            <w:pPr>
              <w:pStyle w:val="246"/>
              <w:rPr>
                <w:rFonts w:ascii="Times New Roman" w:hAnsi="Times New Roman"/>
                <w:color w:val="000000" w:themeColor="text1"/>
                <w14:textFill>
                  <w14:solidFill>
                    <w14:schemeClr w14:val="tx1"/>
                  </w14:solidFill>
                </w14:textFill>
              </w:rPr>
            </w:pPr>
          </w:p>
        </w:tc>
        <w:tc>
          <w:tcPr>
            <w:tcW w:w="1138" w:type="pct"/>
            <w:vAlign w:val="center"/>
          </w:tcPr>
          <w:p w14:paraId="5EBF7180">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717232C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172.2</w:t>
            </w:r>
          </w:p>
        </w:tc>
        <w:tc>
          <w:tcPr>
            <w:tcW w:w="1056" w:type="pct"/>
            <w:noWrap/>
            <w:vAlign w:val="center"/>
          </w:tcPr>
          <w:p w14:paraId="451334E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141.6</w:t>
            </w:r>
          </w:p>
        </w:tc>
        <w:tc>
          <w:tcPr>
            <w:tcW w:w="1178" w:type="pct"/>
            <w:noWrap/>
            <w:vAlign w:val="center"/>
          </w:tcPr>
          <w:p w14:paraId="0CE1E46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725.2</w:t>
            </w:r>
          </w:p>
        </w:tc>
      </w:tr>
      <w:tr w14:paraId="366DA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8F44AC3">
            <w:pPr>
              <w:pStyle w:val="246"/>
              <w:rPr>
                <w:rFonts w:ascii="Times New Roman" w:hAnsi="Times New Roman"/>
                <w:color w:val="000000" w:themeColor="text1"/>
                <w14:textFill>
                  <w14:solidFill>
                    <w14:schemeClr w14:val="tx1"/>
                  </w14:solidFill>
                </w14:textFill>
              </w:rPr>
            </w:pPr>
          </w:p>
        </w:tc>
        <w:tc>
          <w:tcPr>
            <w:tcW w:w="1138" w:type="pct"/>
            <w:vAlign w:val="center"/>
          </w:tcPr>
          <w:p w14:paraId="5EE5083C">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1379C72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406.8</w:t>
            </w:r>
          </w:p>
        </w:tc>
        <w:tc>
          <w:tcPr>
            <w:tcW w:w="1056" w:type="pct"/>
            <w:noWrap/>
            <w:vAlign w:val="center"/>
          </w:tcPr>
          <w:p w14:paraId="41D914F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247</w:t>
            </w:r>
          </w:p>
        </w:tc>
        <w:tc>
          <w:tcPr>
            <w:tcW w:w="1178" w:type="pct"/>
            <w:noWrap/>
            <w:vAlign w:val="center"/>
          </w:tcPr>
          <w:p w14:paraId="4005B7E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566.9</w:t>
            </w:r>
          </w:p>
        </w:tc>
      </w:tr>
      <w:tr w14:paraId="3D768E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278878AC">
            <w:pPr>
              <w:pStyle w:val="246"/>
              <w:rPr>
                <w:rFonts w:ascii="Times New Roman" w:hAnsi="Times New Roman"/>
                <w:color w:val="000000" w:themeColor="text1"/>
                <w14:textFill>
                  <w14:solidFill>
                    <w14:schemeClr w14:val="tx1"/>
                  </w14:solidFill>
                </w14:textFill>
              </w:rPr>
            </w:pPr>
          </w:p>
        </w:tc>
        <w:tc>
          <w:tcPr>
            <w:tcW w:w="1138" w:type="pct"/>
            <w:vAlign w:val="center"/>
          </w:tcPr>
          <w:p w14:paraId="398A358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06353E9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62.9～406.8</w:t>
            </w:r>
          </w:p>
        </w:tc>
        <w:tc>
          <w:tcPr>
            <w:tcW w:w="1056" w:type="pct"/>
            <w:noWrap/>
            <w:vAlign w:val="center"/>
          </w:tcPr>
          <w:p w14:paraId="43AFBF1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76.5～247</w:t>
            </w:r>
          </w:p>
        </w:tc>
        <w:tc>
          <w:tcPr>
            <w:tcW w:w="1178" w:type="pct"/>
            <w:noWrap/>
            <w:vAlign w:val="center"/>
          </w:tcPr>
          <w:p w14:paraId="484295B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218.4～725.2</w:t>
            </w:r>
          </w:p>
        </w:tc>
      </w:tr>
      <w:tr w14:paraId="45A75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851624F">
            <w:pPr>
              <w:pStyle w:val="246"/>
              <w:rPr>
                <w:rFonts w:ascii="Times New Roman" w:hAnsi="Times New Roman"/>
                <w:color w:val="000000" w:themeColor="text1"/>
                <w14:textFill>
                  <w14:solidFill>
                    <w14:schemeClr w14:val="tx1"/>
                  </w14:solidFill>
                </w14:textFill>
              </w:rPr>
            </w:pPr>
          </w:p>
        </w:tc>
        <w:tc>
          <w:tcPr>
            <w:tcW w:w="1138" w:type="pct"/>
            <w:vAlign w:val="center"/>
          </w:tcPr>
          <w:p w14:paraId="353532A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54E46B0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214.0</w:t>
            </w:r>
          </w:p>
        </w:tc>
        <w:tc>
          <w:tcPr>
            <w:tcW w:w="1056" w:type="pct"/>
            <w:noWrap/>
            <w:vAlign w:val="center"/>
          </w:tcPr>
          <w:p w14:paraId="59EC021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155.0</w:t>
            </w:r>
          </w:p>
        </w:tc>
        <w:tc>
          <w:tcPr>
            <w:tcW w:w="1178" w:type="pct"/>
            <w:noWrap/>
            <w:vAlign w:val="center"/>
          </w:tcPr>
          <w:p w14:paraId="4E198F9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503.5</w:t>
            </w:r>
          </w:p>
        </w:tc>
      </w:tr>
      <w:tr w14:paraId="427D3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3ECDEF9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锆英砂-产品</w:t>
            </w:r>
          </w:p>
        </w:tc>
        <w:tc>
          <w:tcPr>
            <w:tcW w:w="1138" w:type="pct"/>
            <w:vAlign w:val="center"/>
          </w:tcPr>
          <w:p w14:paraId="7D6DFE7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7FC7664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7267.8</w:t>
            </w:r>
          </w:p>
        </w:tc>
        <w:tc>
          <w:tcPr>
            <w:tcW w:w="1056" w:type="pct"/>
            <w:noWrap/>
            <w:vAlign w:val="center"/>
          </w:tcPr>
          <w:p w14:paraId="1FAABBC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6811.8</w:t>
            </w:r>
          </w:p>
        </w:tc>
        <w:tc>
          <w:tcPr>
            <w:tcW w:w="1178" w:type="pct"/>
            <w:noWrap/>
            <w:vAlign w:val="center"/>
          </w:tcPr>
          <w:p w14:paraId="73F2BE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1600.6</w:t>
            </w:r>
          </w:p>
        </w:tc>
      </w:tr>
      <w:tr w14:paraId="0C7DD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97CDD2E">
            <w:pPr>
              <w:pStyle w:val="246"/>
              <w:rPr>
                <w:rFonts w:ascii="Times New Roman" w:hAnsi="Times New Roman"/>
                <w:color w:val="000000" w:themeColor="text1"/>
                <w14:textFill>
                  <w14:solidFill>
                    <w14:schemeClr w14:val="tx1"/>
                  </w14:solidFill>
                </w14:textFill>
              </w:rPr>
            </w:pPr>
          </w:p>
        </w:tc>
        <w:tc>
          <w:tcPr>
            <w:tcW w:w="1138" w:type="pct"/>
            <w:vAlign w:val="center"/>
          </w:tcPr>
          <w:p w14:paraId="263E129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365B0AE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8298.3</w:t>
            </w:r>
          </w:p>
        </w:tc>
        <w:tc>
          <w:tcPr>
            <w:tcW w:w="1056" w:type="pct"/>
            <w:noWrap/>
            <w:vAlign w:val="center"/>
          </w:tcPr>
          <w:p w14:paraId="5DBD618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7954.8</w:t>
            </w:r>
          </w:p>
        </w:tc>
        <w:tc>
          <w:tcPr>
            <w:tcW w:w="1178" w:type="pct"/>
            <w:noWrap/>
            <w:vAlign w:val="center"/>
          </w:tcPr>
          <w:p w14:paraId="4552972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618.2</w:t>
            </w:r>
          </w:p>
        </w:tc>
      </w:tr>
      <w:tr w14:paraId="36735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3E2E9C9">
            <w:pPr>
              <w:pStyle w:val="246"/>
              <w:rPr>
                <w:rFonts w:ascii="Times New Roman" w:hAnsi="Times New Roman"/>
                <w:color w:val="000000" w:themeColor="text1"/>
                <w14:textFill>
                  <w14:solidFill>
                    <w14:schemeClr w14:val="tx1"/>
                  </w14:solidFill>
                </w14:textFill>
              </w:rPr>
            </w:pPr>
          </w:p>
        </w:tc>
        <w:tc>
          <w:tcPr>
            <w:tcW w:w="1138" w:type="pct"/>
            <w:vAlign w:val="center"/>
          </w:tcPr>
          <w:p w14:paraId="432FABB8">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16DB9AA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7267.8～8298.3</w:t>
            </w:r>
          </w:p>
        </w:tc>
        <w:tc>
          <w:tcPr>
            <w:tcW w:w="1056" w:type="pct"/>
            <w:noWrap/>
            <w:vAlign w:val="center"/>
          </w:tcPr>
          <w:p w14:paraId="01C9706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6811.8～7954.8</w:t>
            </w:r>
          </w:p>
        </w:tc>
        <w:tc>
          <w:tcPr>
            <w:tcW w:w="1178" w:type="pct"/>
            <w:noWrap/>
            <w:vAlign w:val="center"/>
          </w:tcPr>
          <w:p w14:paraId="27E9266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618.2～1600.6</w:t>
            </w:r>
          </w:p>
        </w:tc>
      </w:tr>
      <w:tr w14:paraId="01D16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1CD1A60">
            <w:pPr>
              <w:pStyle w:val="246"/>
              <w:rPr>
                <w:rFonts w:ascii="Times New Roman" w:hAnsi="Times New Roman"/>
                <w:color w:val="000000" w:themeColor="text1"/>
                <w14:textFill>
                  <w14:solidFill>
                    <w14:schemeClr w14:val="tx1"/>
                  </w14:solidFill>
                </w14:textFill>
              </w:rPr>
            </w:pPr>
          </w:p>
        </w:tc>
        <w:tc>
          <w:tcPr>
            <w:tcW w:w="1138" w:type="pct"/>
            <w:vAlign w:val="center"/>
          </w:tcPr>
          <w:p w14:paraId="3479879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3553F7A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7783.1</w:t>
            </w:r>
          </w:p>
        </w:tc>
        <w:tc>
          <w:tcPr>
            <w:tcW w:w="1056" w:type="pct"/>
            <w:noWrap/>
            <w:vAlign w:val="center"/>
          </w:tcPr>
          <w:p w14:paraId="715101A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7383.3</w:t>
            </w:r>
          </w:p>
        </w:tc>
        <w:tc>
          <w:tcPr>
            <w:tcW w:w="1178" w:type="pct"/>
            <w:noWrap/>
            <w:vAlign w:val="center"/>
          </w:tcPr>
          <w:p w14:paraId="4BB88BA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1109.4</w:t>
            </w:r>
          </w:p>
        </w:tc>
      </w:tr>
      <w:tr w14:paraId="2958A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59B5B96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金红石-产品</w:t>
            </w:r>
          </w:p>
        </w:tc>
        <w:tc>
          <w:tcPr>
            <w:tcW w:w="1138" w:type="pct"/>
            <w:vAlign w:val="center"/>
          </w:tcPr>
          <w:p w14:paraId="2B95A7A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274E050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462.4</w:t>
            </w:r>
          </w:p>
        </w:tc>
        <w:tc>
          <w:tcPr>
            <w:tcW w:w="1056" w:type="pct"/>
            <w:noWrap/>
            <w:vAlign w:val="center"/>
          </w:tcPr>
          <w:p w14:paraId="77243A2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630.6</w:t>
            </w:r>
          </w:p>
        </w:tc>
        <w:tc>
          <w:tcPr>
            <w:tcW w:w="1178" w:type="pct"/>
            <w:noWrap/>
            <w:vAlign w:val="center"/>
          </w:tcPr>
          <w:p w14:paraId="43D6FA9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1840</w:t>
            </w:r>
          </w:p>
        </w:tc>
      </w:tr>
      <w:tr w14:paraId="299FCE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A1BF236">
            <w:pPr>
              <w:pStyle w:val="246"/>
              <w:rPr>
                <w:rFonts w:ascii="Times New Roman" w:hAnsi="Times New Roman"/>
                <w:color w:val="000000" w:themeColor="text1"/>
                <w14:textFill>
                  <w14:solidFill>
                    <w14:schemeClr w14:val="tx1"/>
                  </w14:solidFill>
                </w14:textFill>
              </w:rPr>
            </w:pPr>
          </w:p>
        </w:tc>
        <w:tc>
          <w:tcPr>
            <w:tcW w:w="1138" w:type="pct"/>
            <w:vAlign w:val="center"/>
          </w:tcPr>
          <w:p w14:paraId="2D27E87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6F0F12A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3909</w:t>
            </w:r>
          </w:p>
        </w:tc>
        <w:tc>
          <w:tcPr>
            <w:tcW w:w="1056" w:type="pct"/>
            <w:noWrap/>
            <w:vAlign w:val="center"/>
          </w:tcPr>
          <w:p w14:paraId="304C35B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2840</w:t>
            </w:r>
          </w:p>
        </w:tc>
        <w:tc>
          <w:tcPr>
            <w:tcW w:w="1178" w:type="pct"/>
            <w:noWrap/>
            <w:vAlign w:val="center"/>
          </w:tcPr>
          <w:p w14:paraId="76B5703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1514.6</w:t>
            </w:r>
          </w:p>
        </w:tc>
      </w:tr>
      <w:tr w14:paraId="2F1FAF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2B9F014">
            <w:pPr>
              <w:pStyle w:val="246"/>
              <w:rPr>
                <w:rFonts w:ascii="Times New Roman" w:hAnsi="Times New Roman"/>
                <w:color w:val="000000" w:themeColor="text1"/>
                <w14:textFill>
                  <w14:solidFill>
                    <w14:schemeClr w14:val="tx1"/>
                  </w14:solidFill>
                </w14:textFill>
              </w:rPr>
            </w:pPr>
          </w:p>
        </w:tc>
        <w:tc>
          <w:tcPr>
            <w:tcW w:w="1138" w:type="pct"/>
            <w:vAlign w:val="center"/>
          </w:tcPr>
          <w:p w14:paraId="623C317D">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3A437CE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968.7</w:t>
            </w:r>
          </w:p>
        </w:tc>
        <w:tc>
          <w:tcPr>
            <w:tcW w:w="1056" w:type="pct"/>
            <w:noWrap/>
            <w:vAlign w:val="center"/>
          </w:tcPr>
          <w:p w14:paraId="4A1C54E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627.1</w:t>
            </w:r>
          </w:p>
        </w:tc>
        <w:tc>
          <w:tcPr>
            <w:tcW w:w="1178" w:type="pct"/>
            <w:noWrap/>
            <w:vAlign w:val="center"/>
          </w:tcPr>
          <w:p w14:paraId="3BF1323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747.4</w:t>
            </w:r>
          </w:p>
        </w:tc>
      </w:tr>
      <w:tr w14:paraId="1EA2B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D8AC44F">
            <w:pPr>
              <w:pStyle w:val="246"/>
              <w:rPr>
                <w:rFonts w:ascii="Times New Roman" w:hAnsi="Times New Roman"/>
                <w:color w:val="000000" w:themeColor="text1"/>
                <w14:textFill>
                  <w14:solidFill>
                    <w14:schemeClr w14:val="tx1"/>
                  </w14:solidFill>
                </w14:textFill>
              </w:rPr>
            </w:pPr>
          </w:p>
        </w:tc>
        <w:tc>
          <w:tcPr>
            <w:tcW w:w="1138" w:type="pct"/>
            <w:vAlign w:val="center"/>
          </w:tcPr>
          <w:p w14:paraId="7F99F4F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5056D7A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462.4～3909</w:t>
            </w:r>
          </w:p>
        </w:tc>
        <w:tc>
          <w:tcPr>
            <w:tcW w:w="1056" w:type="pct"/>
            <w:noWrap/>
            <w:vAlign w:val="center"/>
          </w:tcPr>
          <w:p w14:paraId="2E9B351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627.1～2840</w:t>
            </w:r>
          </w:p>
        </w:tc>
        <w:tc>
          <w:tcPr>
            <w:tcW w:w="1178" w:type="pct"/>
            <w:noWrap/>
            <w:vAlign w:val="center"/>
          </w:tcPr>
          <w:p w14:paraId="1350D25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747.4～1840</w:t>
            </w:r>
          </w:p>
        </w:tc>
      </w:tr>
      <w:tr w14:paraId="07A2A8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27F1C36">
            <w:pPr>
              <w:pStyle w:val="246"/>
              <w:rPr>
                <w:rFonts w:ascii="Times New Roman" w:hAnsi="Times New Roman"/>
                <w:color w:val="000000" w:themeColor="text1"/>
                <w14:textFill>
                  <w14:solidFill>
                    <w14:schemeClr w14:val="tx1"/>
                  </w14:solidFill>
                </w14:textFill>
              </w:rPr>
            </w:pPr>
          </w:p>
        </w:tc>
        <w:tc>
          <w:tcPr>
            <w:tcW w:w="1138" w:type="pct"/>
            <w:vAlign w:val="center"/>
          </w:tcPr>
          <w:p w14:paraId="416A38B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230F341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1780.0</w:t>
            </w:r>
          </w:p>
        </w:tc>
        <w:tc>
          <w:tcPr>
            <w:tcW w:w="1056" w:type="pct"/>
            <w:noWrap/>
            <w:vAlign w:val="center"/>
          </w:tcPr>
          <w:p w14:paraId="194E9EF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1365.9</w:t>
            </w:r>
          </w:p>
        </w:tc>
        <w:tc>
          <w:tcPr>
            <w:tcW w:w="1178" w:type="pct"/>
            <w:noWrap/>
            <w:vAlign w:val="center"/>
          </w:tcPr>
          <w:p w14:paraId="783440B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1367.3</w:t>
            </w:r>
          </w:p>
        </w:tc>
      </w:tr>
      <w:tr w14:paraId="11003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0628485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独居石-产品</w:t>
            </w:r>
          </w:p>
        </w:tc>
        <w:tc>
          <w:tcPr>
            <w:tcW w:w="1138" w:type="pct"/>
            <w:vAlign w:val="center"/>
          </w:tcPr>
          <w:p w14:paraId="526C10C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16CBFCE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32144</w:t>
            </w:r>
          </w:p>
        </w:tc>
        <w:tc>
          <w:tcPr>
            <w:tcW w:w="1056" w:type="pct"/>
            <w:noWrap/>
            <w:vAlign w:val="center"/>
          </w:tcPr>
          <w:p w14:paraId="2AB2119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26085.3</w:t>
            </w:r>
          </w:p>
        </w:tc>
        <w:tc>
          <w:tcPr>
            <w:tcW w:w="1178" w:type="pct"/>
            <w:noWrap/>
            <w:vAlign w:val="center"/>
          </w:tcPr>
          <w:p w14:paraId="0C5AC33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201633.8</w:t>
            </w:r>
          </w:p>
        </w:tc>
      </w:tr>
      <w:tr w14:paraId="51054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1A2D3E6">
            <w:pPr>
              <w:pStyle w:val="246"/>
              <w:rPr>
                <w:rFonts w:ascii="Times New Roman" w:hAnsi="Times New Roman"/>
                <w:color w:val="000000" w:themeColor="text1"/>
                <w14:textFill>
                  <w14:solidFill>
                    <w14:schemeClr w14:val="tx1"/>
                  </w14:solidFill>
                </w14:textFill>
              </w:rPr>
            </w:pPr>
          </w:p>
        </w:tc>
        <w:tc>
          <w:tcPr>
            <w:tcW w:w="1138" w:type="pct"/>
            <w:vAlign w:val="center"/>
          </w:tcPr>
          <w:p w14:paraId="6EA81158">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40AE414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41906.3</w:t>
            </w:r>
          </w:p>
        </w:tc>
        <w:tc>
          <w:tcPr>
            <w:tcW w:w="1056" w:type="pct"/>
            <w:noWrap/>
            <w:vAlign w:val="center"/>
          </w:tcPr>
          <w:p w14:paraId="780BE2D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35014.8</w:t>
            </w:r>
          </w:p>
        </w:tc>
        <w:tc>
          <w:tcPr>
            <w:tcW w:w="1178" w:type="pct"/>
            <w:noWrap/>
            <w:vAlign w:val="center"/>
          </w:tcPr>
          <w:p w14:paraId="7B0A30F6">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163020.4</w:t>
            </w:r>
          </w:p>
        </w:tc>
      </w:tr>
      <w:tr w14:paraId="2245E5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3442E5F">
            <w:pPr>
              <w:pStyle w:val="246"/>
              <w:rPr>
                <w:rFonts w:ascii="Times New Roman" w:hAnsi="Times New Roman"/>
                <w:color w:val="000000" w:themeColor="text1"/>
                <w14:textFill>
                  <w14:solidFill>
                    <w14:schemeClr w14:val="tx1"/>
                  </w14:solidFill>
                </w14:textFill>
              </w:rPr>
            </w:pPr>
          </w:p>
        </w:tc>
        <w:tc>
          <w:tcPr>
            <w:tcW w:w="1138" w:type="pct"/>
            <w:vAlign w:val="center"/>
          </w:tcPr>
          <w:p w14:paraId="79B3D890">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0387F54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36586.9</w:t>
            </w:r>
          </w:p>
        </w:tc>
        <w:tc>
          <w:tcPr>
            <w:tcW w:w="1056" w:type="pct"/>
            <w:noWrap/>
            <w:vAlign w:val="center"/>
          </w:tcPr>
          <w:p w14:paraId="11D9DDCB">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35771.4</w:t>
            </w:r>
          </w:p>
        </w:tc>
        <w:tc>
          <w:tcPr>
            <w:tcW w:w="1178" w:type="pct"/>
            <w:noWrap/>
            <w:vAlign w:val="center"/>
          </w:tcPr>
          <w:p w14:paraId="6E1E7A4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168732.3</w:t>
            </w:r>
          </w:p>
        </w:tc>
      </w:tr>
      <w:tr w14:paraId="691F6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E77265A">
            <w:pPr>
              <w:pStyle w:val="246"/>
              <w:rPr>
                <w:rFonts w:ascii="Times New Roman" w:hAnsi="Times New Roman"/>
                <w:color w:val="000000" w:themeColor="text1"/>
                <w14:textFill>
                  <w14:solidFill>
                    <w14:schemeClr w14:val="tx1"/>
                  </w14:solidFill>
                </w14:textFill>
              </w:rPr>
            </w:pPr>
          </w:p>
        </w:tc>
        <w:tc>
          <w:tcPr>
            <w:tcW w:w="1138" w:type="pct"/>
            <w:vAlign w:val="center"/>
          </w:tcPr>
          <w:p w14:paraId="6C072D7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6A677E33">
            <w:pPr>
              <w:pStyle w:val="246"/>
              <w:spacing w:line="240" w:lineRule="auto"/>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32144～41906.3</w:t>
            </w:r>
          </w:p>
        </w:tc>
        <w:tc>
          <w:tcPr>
            <w:tcW w:w="1056" w:type="pct"/>
            <w:noWrap/>
            <w:vAlign w:val="center"/>
          </w:tcPr>
          <w:p w14:paraId="1F615A3F">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26085.3～35771.4</w:t>
            </w:r>
          </w:p>
        </w:tc>
        <w:tc>
          <w:tcPr>
            <w:tcW w:w="1178" w:type="pct"/>
            <w:noWrap/>
            <w:vAlign w:val="center"/>
          </w:tcPr>
          <w:p w14:paraId="74CFF60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163020.4～201633.8</w:t>
            </w:r>
          </w:p>
        </w:tc>
      </w:tr>
      <w:tr w14:paraId="6336D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75027CB7">
            <w:pPr>
              <w:pStyle w:val="246"/>
              <w:rPr>
                <w:rFonts w:ascii="Times New Roman" w:hAnsi="Times New Roman"/>
                <w:color w:val="000000" w:themeColor="text1"/>
                <w14:textFill>
                  <w14:solidFill>
                    <w14:schemeClr w14:val="tx1"/>
                  </w14:solidFill>
                </w14:textFill>
              </w:rPr>
            </w:pPr>
          </w:p>
        </w:tc>
        <w:tc>
          <w:tcPr>
            <w:tcW w:w="1138" w:type="pct"/>
            <w:vAlign w:val="center"/>
          </w:tcPr>
          <w:p w14:paraId="7B77790E">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316C029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36879.1</w:t>
            </w:r>
          </w:p>
        </w:tc>
        <w:tc>
          <w:tcPr>
            <w:tcW w:w="1056" w:type="pct"/>
            <w:noWrap/>
            <w:vAlign w:val="center"/>
          </w:tcPr>
          <w:p w14:paraId="17AC92CF">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32290.5</w:t>
            </w:r>
          </w:p>
        </w:tc>
        <w:tc>
          <w:tcPr>
            <w:tcW w:w="1178" w:type="pct"/>
            <w:noWrap/>
            <w:vAlign w:val="center"/>
          </w:tcPr>
          <w:p w14:paraId="5288BFE7">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177795.5</w:t>
            </w:r>
          </w:p>
        </w:tc>
      </w:tr>
      <w:tr w14:paraId="057A6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14:paraId="4AD4D1C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锡矿</w:t>
            </w:r>
          </w:p>
        </w:tc>
        <w:tc>
          <w:tcPr>
            <w:tcW w:w="1138" w:type="pct"/>
            <w:vAlign w:val="center"/>
          </w:tcPr>
          <w:p w14:paraId="617F997A">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w:t>
            </w:r>
          </w:p>
        </w:tc>
        <w:tc>
          <w:tcPr>
            <w:tcW w:w="976" w:type="pct"/>
            <w:noWrap/>
            <w:vAlign w:val="center"/>
          </w:tcPr>
          <w:p w14:paraId="772FB84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1691.9</w:t>
            </w:r>
          </w:p>
        </w:tc>
        <w:tc>
          <w:tcPr>
            <w:tcW w:w="1056" w:type="pct"/>
            <w:noWrap/>
            <w:vAlign w:val="center"/>
          </w:tcPr>
          <w:p w14:paraId="7CBD8FA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2028</w:t>
            </w:r>
          </w:p>
        </w:tc>
        <w:tc>
          <w:tcPr>
            <w:tcW w:w="1178" w:type="pct"/>
            <w:noWrap/>
            <w:vAlign w:val="center"/>
          </w:tcPr>
          <w:p w14:paraId="0F3BD58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5384.3</w:t>
            </w:r>
          </w:p>
        </w:tc>
      </w:tr>
      <w:tr w14:paraId="73B38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14:paraId="44503E7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铁矿</w:t>
            </w:r>
          </w:p>
        </w:tc>
        <w:tc>
          <w:tcPr>
            <w:tcW w:w="1138" w:type="pct"/>
            <w:vAlign w:val="center"/>
          </w:tcPr>
          <w:p w14:paraId="557947A7">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28BEA52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270</w:t>
            </w:r>
          </w:p>
        </w:tc>
        <w:tc>
          <w:tcPr>
            <w:tcW w:w="1056" w:type="pct"/>
            <w:noWrap/>
            <w:vAlign w:val="center"/>
          </w:tcPr>
          <w:p w14:paraId="34D216E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288</w:t>
            </w:r>
          </w:p>
        </w:tc>
        <w:tc>
          <w:tcPr>
            <w:tcW w:w="1178" w:type="pct"/>
            <w:noWrap/>
            <w:vAlign w:val="center"/>
          </w:tcPr>
          <w:p w14:paraId="7AC5073C">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w:t>
            </w:r>
          </w:p>
        </w:tc>
      </w:tr>
      <w:tr w14:paraId="222F7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restart"/>
            <w:noWrap/>
            <w:vAlign w:val="center"/>
          </w:tcPr>
          <w:p w14:paraId="48D81F8A">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尾砂-产品</w:t>
            </w:r>
          </w:p>
        </w:tc>
        <w:tc>
          <w:tcPr>
            <w:tcW w:w="1138" w:type="pct"/>
            <w:vAlign w:val="center"/>
          </w:tcPr>
          <w:p w14:paraId="263EDD42">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海南海拓</w:t>
            </w:r>
          </w:p>
        </w:tc>
        <w:tc>
          <w:tcPr>
            <w:tcW w:w="976" w:type="pct"/>
            <w:noWrap/>
            <w:vAlign w:val="center"/>
          </w:tcPr>
          <w:p w14:paraId="54BAE49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26.4</w:t>
            </w:r>
          </w:p>
        </w:tc>
        <w:tc>
          <w:tcPr>
            <w:tcW w:w="1056" w:type="pct"/>
            <w:noWrap/>
            <w:vAlign w:val="center"/>
          </w:tcPr>
          <w:p w14:paraId="20DFACB4">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w:t>
            </w:r>
          </w:p>
        </w:tc>
        <w:tc>
          <w:tcPr>
            <w:tcW w:w="1178" w:type="pct"/>
            <w:noWrap/>
            <w:vAlign w:val="center"/>
          </w:tcPr>
          <w:p w14:paraId="3FF12BF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27.3</w:t>
            </w:r>
          </w:p>
        </w:tc>
      </w:tr>
      <w:tr w14:paraId="06D7B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2427EB3">
            <w:pPr>
              <w:pStyle w:val="246"/>
              <w:rPr>
                <w:rFonts w:ascii="Times New Roman" w:hAnsi="Times New Roman"/>
                <w:color w:val="000000" w:themeColor="text1"/>
                <w14:textFill>
                  <w14:solidFill>
                    <w14:schemeClr w14:val="tx1"/>
                  </w14:solidFill>
                </w14:textFill>
              </w:rPr>
            </w:pPr>
          </w:p>
        </w:tc>
        <w:tc>
          <w:tcPr>
            <w:tcW w:w="1138" w:type="pct"/>
            <w:vAlign w:val="center"/>
          </w:tcPr>
          <w:p w14:paraId="1C03504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广西源丰达</w:t>
            </w:r>
          </w:p>
        </w:tc>
        <w:tc>
          <w:tcPr>
            <w:tcW w:w="976" w:type="pct"/>
            <w:noWrap/>
            <w:vAlign w:val="center"/>
          </w:tcPr>
          <w:p w14:paraId="462A7C1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68.6</w:t>
            </w:r>
          </w:p>
        </w:tc>
        <w:tc>
          <w:tcPr>
            <w:tcW w:w="1056" w:type="pct"/>
            <w:noWrap/>
            <w:vAlign w:val="center"/>
          </w:tcPr>
          <w:p w14:paraId="66E689B1">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78.3</w:t>
            </w:r>
          </w:p>
        </w:tc>
        <w:tc>
          <w:tcPr>
            <w:tcW w:w="1178" w:type="pct"/>
            <w:noWrap/>
            <w:vAlign w:val="center"/>
          </w:tcPr>
          <w:p w14:paraId="353D2C4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101.1</w:t>
            </w:r>
          </w:p>
        </w:tc>
      </w:tr>
      <w:tr w14:paraId="473B8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1D3F95C1">
            <w:pPr>
              <w:pStyle w:val="246"/>
              <w:rPr>
                <w:rFonts w:ascii="Times New Roman" w:hAnsi="Times New Roman"/>
                <w:color w:val="000000" w:themeColor="text1"/>
                <w14:textFill>
                  <w14:solidFill>
                    <w14:schemeClr w14:val="tx1"/>
                  </w14:solidFill>
                </w14:textFill>
              </w:rPr>
            </w:pPr>
          </w:p>
        </w:tc>
        <w:tc>
          <w:tcPr>
            <w:tcW w:w="1138" w:type="pct"/>
            <w:vAlign w:val="center"/>
          </w:tcPr>
          <w:p w14:paraId="2B60D891">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广西道丰尾砂1</w:t>
            </w:r>
          </w:p>
        </w:tc>
        <w:tc>
          <w:tcPr>
            <w:tcW w:w="976" w:type="pct"/>
            <w:noWrap/>
            <w:vAlign w:val="center"/>
          </w:tcPr>
          <w:p w14:paraId="3D61092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568.2</w:t>
            </w:r>
          </w:p>
        </w:tc>
        <w:tc>
          <w:tcPr>
            <w:tcW w:w="1056" w:type="pct"/>
            <w:noWrap/>
            <w:vAlign w:val="center"/>
          </w:tcPr>
          <w:p w14:paraId="4EA89B72">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129.7</w:t>
            </w:r>
          </w:p>
        </w:tc>
        <w:tc>
          <w:tcPr>
            <w:tcW w:w="1178" w:type="pct"/>
            <w:noWrap/>
            <w:vAlign w:val="center"/>
          </w:tcPr>
          <w:p w14:paraId="3560377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513.5</w:t>
            </w:r>
          </w:p>
        </w:tc>
      </w:tr>
      <w:tr w14:paraId="48F8DF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50D2C6DC">
            <w:pPr>
              <w:pStyle w:val="246"/>
              <w:rPr>
                <w:rFonts w:ascii="Times New Roman" w:hAnsi="Times New Roman"/>
                <w:color w:val="000000" w:themeColor="text1"/>
                <w14:textFill>
                  <w14:solidFill>
                    <w14:schemeClr w14:val="tx1"/>
                  </w14:solidFill>
                </w14:textFill>
              </w:rPr>
            </w:pPr>
          </w:p>
        </w:tc>
        <w:tc>
          <w:tcPr>
            <w:tcW w:w="1138" w:type="pct"/>
            <w:vAlign w:val="center"/>
          </w:tcPr>
          <w:p w14:paraId="4123B86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广西道丰尾砂2</w:t>
            </w:r>
          </w:p>
        </w:tc>
        <w:tc>
          <w:tcPr>
            <w:tcW w:w="976" w:type="pct"/>
            <w:noWrap/>
            <w:vAlign w:val="center"/>
          </w:tcPr>
          <w:p w14:paraId="1266BA30">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459</w:t>
            </w:r>
          </w:p>
        </w:tc>
        <w:tc>
          <w:tcPr>
            <w:tcW w:w="1056" w:type="pct"/>
            <w:noWrap/>
            <w:vAlign w:val="center"/>
          </w:tcPr>
          <w:p w14:paraId="0A018AB3">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296</w:t>
            </w:r>
          </w:p>
        </w:tc>
        <w:tc>
          <w:tcPr>
            <w:tcW w:w="1178" w:type="pct"/>
            <w:noWrap/>
            <w:vAlign w:val="center"/>
          </w:tcPr>
          <w:p w14:paraId="78329E8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248</w:t>
            </w:r>
          </w:p>
        </w:tc>
      </w:tr>
      <w:tr w14:paraId="791FA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0EAC13C7">
            <w:pPr>
              <w:pStyle w:val="246"/>
              <w:rPr>
                <w:rFonts w:ascii="Times New Roman" w:hAnsi="Times New Roman"/>
                <w:color w:val="000000" w:themeColor="text1"/>
                <w14:textFill>
                  <w14:solidFill>
                    <w14:schemeClr w14:val="tx1"/>
                  </w14:solidFill>
                </w14:textFill>
              </w:rPr>
            </w:pPr>
          </w:p>
        </w:tc>
        <w:tc>
          <w:tcPr>
            <w:tcW w:w="1138" w:type="pct"/>
            <w:vAlign w:val="center"/>
          </w:tcPr>
          <w:p w14:paraId="7A7F830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广西道丰尾砂3</w:t>
            </w:r>
          </w:p>
        </w:tc>
        <w:tc>
          <w:tcPr>
            <w:tcW w:w="976" w:type="pct"/>
            <w:noWrap/>
            <w:vAlign w:val="center"/>
          </w:tcPr>
          <w:p w14:paraId="08D24CD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454</w:t>
            </w:r>
          </w:p>
        </w:tc>
        <w:tc>
          <w:tcPr>
            <w:tcW w:w="1056" w:type="pct"/>
            <w:noWrap/>
            <w:vAlign w:val="center"/>
          </w:tcPr>
          <w:p w14:paraId="06DA3E28">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83.3</w:t>
            </w:r>
          </w:p>
        </w:tc>
        <w:tc>
          <w:tcPr>
            <w:tcW w:w="1178" w:type="pct"/>
            <w:noWrap/>
            <w:vAlign w:val="center"/>
          </w:tcPr>
          <w:p w14:paraId="7D8F2F8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76.3</w:t>
            </w:r>
          </w:p>
        </w:tc>
      </w:tr>
      <w:tr w14:paraId="59170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4E0A42E0">
            <w:pPr>
              <w:pStyle w:val="246"/>
              <w:rPr>
                <w:rFonts w:ascii="Times New Roman" w:hAnsi="Times New Roman"/>
                <w:color w:val="000000" w:themeColor="text1"/>
                <w14:textFill>
                  <w14:solidFill>
                    <w14:schemeClr w14:val="tx1"/>
                  </w14:solidFill>
                </w14:textFill>
              </w:rPr>
            </w:pPr>
          </w:p>
        </w:tc>
        <w:tc>
          <w:tcPr>
            <w:tcW w:w="1138" w:type="pct"/>
            <w:vAlign w:val="center"/>
          </w:tcPr>
          <w:p w14:paraId="7AB45CAB">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范围值</w:t>
            </w:r>
          </w:p>
        </w:tc>
        <w:tc>
          <w:tcPr>
            <w:tcW w:w="976" w:type="pct"/>
            <w:noWrap/>
            <w:vAlign w:val="center"/>
          </w:tcPr>
          <w:p w14:paraId="74540F65">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26.4～568.2</w:t>
            </w:r>
          </w:p>
        </w:tc>
        <w:tc>
          <w:tcPr>
            <w:tcW w:w="1056" w:type="pct"/>
            <w:noWrap/>
            <w:vAlign w:val="center"/>
          </w:tcPr>
          <w:p w14:paraId="57DF7885">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33～296</w:t>
            </w:r>
          </w:p>
        </w:tc>
        <w:tc>
          <w:tcPr>
            <w:tcW w:w="1178" w:type="pct"/>
            <w:noWrap/>
            <w:vAlign w:val="center"/>
          </w:tcPr>
          <w:p w14:paraId="331F76A3">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14:textFill>
                  <w14:solidFill>
                    <w14:schemeClr w14:val="tx1"/>
                  </w14:solidFill>
                </w14:textFill>
              </w:rPr>
              <w:t>27.3～513.5</w:t>
            </w:r>
          </w:p>
        </w:tc>
      </w:tr>
      <w:tr w14:paraId="2C8E0D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vMerge w:val="continue"/>
            <w:noWrap/>
            <w:vAlign w:val="center"/>
          </w:tcPr>
          <w:p w14:paraId="63D0AB7A">
            <w:pPr>
              <w:pStyle w:val="246"/>
              <w:rPr>
                <w:rFonts w:ascii="Times New Roman" w:hAnsi="Times New Roman"/>
                <w:color w:val="000000" w:themeColor="text1"/>
                <w14:textFill>
                  <w14:solidFill>
                    <w14:schemeClr w14:val="tx1"/>
                  </w14:solidFill>
                </w14:textFill>
              </w:rPr>
            </w:pPr>
          </w:p>
        </w:tc>
        <w:tc>
          <w:tcPr>
            <w:tcW w:w="1138" w:type="pct"/>
            <w:vAlign w:val="center"/>
          </w:tcPr>
          <w:p w14:paraId="574F5936">
            <w:pPr>
              <w:pStyle w:val="246"/>
              <w:rPr>
                <w:rFonts w:ascii="Times New Roman" w:hAnsi="Times New Roman"/>
                <w:color w:val="000000" w:themeColor="text1"/>
                <w:lang w:bidi="ar"/>
                <w14:textFill>
                  <w14:solidFill>
                    <w14:schemeClr w14:val="tx1"/>
                  </w14:solidFill>
                </w14:textFill>
              </w:rPr>
            </w:pPr>
            <w:r>
              <w:rPr>
                <w:rFonts w:ascii="Times New Roman" w:hAnsi="Times New Roman"/>
                <w:color w:val="000000" w:themeColor="text1"/>
                <w:lang w:bidi="ar"/>
                <w14:textFill>
                  <w14:solidFill>
                    <w14:schemeClr w14:val="tx1"/>
                  </w14:solidFill>
                </w14:textFill>
              </w:rPr>
              <w:t>平均值</w:t>
            </w:r>
          </w:p>
        </w:tc>
        <w:tc>
          <w:tcPr>
            <w:tcW w:w="976" w:type="pct"/>
            <w:noWrap/>
            <w:vAlign w:val="center"/>
          </w:tcPr>
          <w:p w14:paraId="1A1E4A0E">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315.2</w:t>
            </w:r>
          </w:p>
        </w:tc>
        <w:tc>
          <w:tcPr>
            <w:tcW w:w="1056" w:type="pct"/>
            <w:noWrap/>
            <w:vAlign w:val="center"/>
          </w:tcPr>
          <w:p w14:paraId="170BC1F9">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124.1</w:t>
            </w:r>
          </w:p>
        </w:tc>
        <w:tc>
          <w:tcPr>
            <w:tcW w:w="1178" w:type="pct"/>
            <w:noWrap/>
            <w:vAlign w:val="center"/>
          </w:tcPr>
          <w:p w14:paraId="391D1A7D">
            <w:pPr>
              <w:pStyle w:val="246"/>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193.2</w:t>
            </w:r>
          </w:p>
        </w:tc>
      </w:tr>
    </w:tbl>
    <w:p w14:paraId="60AD48E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72D3A6D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46" w:name="_Hlk187595292"/>
      <w:r>
        <w:rPr>
          <w:rFonts w:ascii="Times New Roman" w:hAnsi="Times New Roman" w:eastAsia="黑体" w:cs="Times New Roman"/>
          <w:bCs/>
          <w:i w:val="0"/>
          <w:iCs w:val="0"/>
          <w:color w:val="000000" w:themeColor="text1"/>
          <w:kern w:val="2"/>
          <w:sz w:val="24"/>
          <w14:textFill>
            <w14:solidFill>
              <w14:schemeClr w14:val="tx1"/>
            </w14:solidFill>
          </w14:textFill>
        </w:rPr>
        <w:t>放射性</w:t>
      </w:r>
      <w:bookmarkEnd w:id="46"/>
      <w:r>
        <w:rPr>
          <w:rFonts w:ascii="Times New Roman" w:hAnsi="Times New Roman" w:eastAsia="黑体" w:cs="Times New Roman"/>
          <w:bCs/>
          <w:i w:val="0"/>
          <w:iCs w:val="0"/>
          <w:color w:val="000000" w:themeColor="text1"/>
          <w:kern w:val="2"/>
          <w:sz w:val="24"/>
          <w14:textFill>
            <w14:solidFill>
              <w14:schemeClr w14:val="tx1"/>
            </w14:solidFill>
          </w14:textFill>
        </w:rPr>
        <w:t>核素平衡</w:t>
      </w:r>
    </w:p>
    <w:p w14:paraId="18F9A1D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物料放射性核素水平取值根据类比案例的平均值进行选取，与项目相关的物料主要毛矿，锆中矿、钛精矿、铁矿。本项目不细分钛精矿、铁矿进行单独分选，产品为钛铁混合的精矿，因此本项目产品钛铁精矿的核素取值，根据类比案例中钛精矿、铁矿的放射性核素水平，结合建设单位其他厂区的钛铁精矿产品的钛、铁的成分比例分析结果（中国检验认证集团广西有限公司检测报告见环评报告，钛占29.19%、铁占34.66%），换算出项目钛铁精矿的放射性核素水平取值。项目各物料的放射性核素取值见表2.1-3。</w:t>
      </w:r>
    </w:p>
    <w:p w14:paraId="466ADFD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68C37F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26757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B4011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609A7C6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表2.1-3  项目物料放射性核素取值</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3"/>
        <w:gridCol w:w="2332"/>
        <w:gridCol w:w="1725"/>
        <w:gridCol w:w="1727"/>
        <w:gridCol w:w="1725"/>
      </w:tblGrid>
      <w:tr w14:paraId="5D742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blHeader/>
          <w:jc w:val="center"/>
        </w:trPr>
        <w:tc>
          <w:tcPr>
            <w:tcW w:w="595" w:type="pct"/>
            <w:shd w:val="clear" w:color="auto" w:fill="auto"/>
            <w:noWrap/>
            <w:vAlign w:val="center"/>
          </w:tcPr>
          <w:p w14:paraId="21A2C22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1368" w:type="pct"/>
            <w:shd w:val="clear" w:color="auto" w:fill="auto"/>
            <w:noWrap/>
            <w:vAlign w:val="center"/>
          </w:tcPr>
          <w:p w14:paraId="7BFFF48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样品名称</w:t>
            </w:r>
          </w:p>
        </w:tc>
        <w:tc>
          <w:tcPr>
            <w:tcW w:w="1012" w:type="pct"/>
            <w:shd w:val="clear" w:color="auto" w:fill="auto"/>
            <w:noWrap/>
            <w:vAlign w:val="center"/>
          </w:tcPr>
          <w:p w14:paraId="2554405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238</w:t>
            </w:r>
            <w:r>
              <w:rPr>
                <w:rFonts w:ascii="Times New Roman" w:hAnsi="Times New Roman" w:eastAsia="宋体" w:cs="Times New Roman"/>
                <w:b/>
                <w:bCs/>
                <w:color w:val="000000" w:themeColor="text1"/>
                <w14:textFill>
                  <w14:solidFill>
                    <w14:schemeClr w14:val="tx1"/>
                  </w14:solidFill>
                </w14:textFill>
              </w:rPr>
              <w:t>U</w:t>
            </w:r>
          </w:p>
        </w:tc>
        <w:tc>
          <w:tcPr>
            <w:tcW w:w="1013" w:type="pct"/>
            <w:shd w:val="clear" w:color="auto" w:fill="auto"/>
            <w:noWrap/>
            <w:vAlign w:val="center"/>
          </w:tcPr>
          <w:p w14:paraId="2C34780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226</w:t>
            </w:r>
            <w:r>
              <w:rPr>
                <w:rFonts w:ascii="Times New Roman" w:hAnsi="Times New Roman" w:eastAsia="宋体" w:cs="Times New Roman"/>
                <w:b/>
                <w:bCs/>
                <w:color w:val="000000" w:themeColor="text1"/>
                <w14:textFill>
                  <w14:solidFill>
                    <w14:schemeClr w14:val="tx1"/>
                  </w14:solidFill>
                </w14:textFill>
              </w:rPr>
              <w:t>Ra</w:t>
            </w:r>
          </w:p>
        </w:tc>
        <w:tc>
          <w:tcPr>
            <w:tcW w:w="1012" w:type="pct"/>
            <w:shd w:val="clear" w:color="auto" w:fill="auto"/>
            <w:noWrap/>
            <w:vAlign w:val="center"/>
          </w:tcPr>
          <w:p w14:paraId="73ECC5F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232</w:t>
            </w:r>
            <w:r>
              <w:rPr>
                <w:rFonts w:ascii="Times New Roman" w:hAnsi="Times New Roman" w:eastAsia="宋体" w:cs="Times New Roman"/>
                <w:b/>
                <w:bCs/>
                <w:color w:val="000000" w:themeColor="text1"/>
                <w14:textFill>
                  <w14:solidFill>
                    <w14:schemeClr w14:val="tx1"/>
                  </w14:solidFill>
                </w14:textFill>
              </w:rPr>
              <w:t>Th</w:t>
            </w:r>
          </w:p>
        </w:tc>
      </w:tr>
      <w:tr w14:paraId="3C20B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595" w:type="pct"/>
            <w:shd w:val="clear" w:color="auto" w:fill="auto"/>
            <w:vAlign w:val="center"/>
          </w:tcPr>
          <w:p w14:paraId="4BD12CF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368" w:type="pct"/>
            <w:shd w:val="clear" w:color="auto" w:fill="auto"/>
            <w:vAlign w:val="center"/>
          </w:tcPr>
          <w:p w14:paraId="32B7206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毛矿</w:t>
            </w:r>
          </w:p>
        </w:tc>
        <w:tc>
          <w:tcPr>
            <w:tcW w:w="1012" w:type="pct"/>
            <w:shd w:val="clear" w:color="auto" w:fill="auto"/>
            <w:noWrap/>
            <w:vAlign w:val="center"/>
          </w:tcPr>
          <w:p w14:paraId="3661ED8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1656.6</w:t>
            </w:r>
          </w:p>
        </w:tc>
        <w:tc>
          <w:tcPr>
            <w:tcW w:w="1013" w:type="pct"/>
            <w:shd w:val="clear" w:color="auto" w:fill="auto"/>
            <w:noWrap/>
            <w:vAlign w:val="center"/>
          </w:tcPr>
          <w:p w14:paraId="65E10D2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1470.7</w:t>
            </w:r>
          </w:p>
        </w:tc>
        <w:tc>
          <w:tcPr>
            <w:tcW w:w="1012" w:type="pct"/>
            <w:shd w:val="clear" w:color="auto" w:fill="auto"/>
            <w:noWrap/>
            <w:vAlign w:val="center"/>
          </w:tcPr>
          <w:p w14:paraId="05C39B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1734.8</w:t>
            </w:r>
          </w:p>
        </w:tc>
      </w:tr>
      <w:tr w14:paraId="7B63A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bottom w:val="single" w:color="auto" w:sz="6" w:space="0"/>
            </w:tcBorders>
            <w:shd w:val="clear" w:color="auto" w:fill="auto"/>
            <w:vAlign w:val="center"/>
          </w:tcPr>
          <w:p w14:paraId="4D2393C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1368" w:type="pct"/>
            <w:tcBorders>
              <w:bottom w:val="single" w:color="auto" w:sz="6" w:space="0"/>
            </w:tcBorders>
            <w:shd w:val="clear" w:color="auto" w:fill="auto"/>
            <w:vAlign w:val="center"/>
          </w:tcPr>
          <w:p w14:paraId="68E8397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锆中矿</w:t>
            </w:r>
          </w:p>
        </w:tc>
        <w:tc>
          <w:tcPr>
            <w:tcW w:w="1012" w:type="pct"/>
            <w:tcBorders>
              <w:bottom w:val="single" w:color="auto" w:sz="6" w:space="0"/>
            </w:tcBorders>
            <w:shd w:val="clear" w:color="auto" w:fill="auto"/>
            <w:noWrap/>
            <w:vAlign w:val="center"/>
          </w:tcPr>
          <w:p w14:paraId="2FF168B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2933.2</w:t>
            </w:r>
          </w:p>
        </w:tc>
        <w:tc>
          <w:tcPr>
            <w:tcW w:w="1013" w:type="pct"/>
            <w:tcBorders>
              <w:bottom w:val="single" w:color="auto" w:sz="6" w:space="0"/>
            </w:tcBorders>
            <w:shd w:val="clear" w:color="auto" w:fill="auto"/>
            <w:noWrap/>
            <w:vAlign w:val="center"/>
          </w:tcPr>
          <w:p w14:paraId="5B4B10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3258.0</w:t>
            </w:r>
          </w:p>
        </w:tc>
        <w:tc>
          <w:tcPr>
            <w:tcW w:w="1012" w:type="pct"/>
            <w:tcBorders>
              <w:bottom w:val="single" w:color="auto" w:sz="6" w:space="0"/>
            </w:tcBorders>
            <w:shd w:val="clear" w:color="auto" w:fill="auto"/>
            <w:noWrap/>
            <w:vAlign w:val="center"/>
          </w:tcPr>
          <w:p w14:paraId="69B90E3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2175.1</w:t>
            </w:r>
          </w:p>
        </w:tc>
      </w:tr>
      <w:tr w14:paraId="7C893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bottom w:val="single" w:color="auto" w:sz="6" w:space="0"/>
            </w:tcBorders>
            <w:shd w:val="clear" w:color="auto" w:fill="F1F1F1" w:themeFill="background1" w:themeFillShade="F2"/>
            <w:vAlign w:val="center"/>
          </w:tcPr>
          <w:p w14:paraId="39DE68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1368" w:type="pct"/>
            <w:tcBorders>
              <w:top w:val="single" w:color="auto" w:sz="6" w:space="0"/>
              <w:bottom w:val="single" w:color="auto" w:sz="6" w:space="0"/>
            </w:tcBorders>
            <w:shd w:val="clear" w:color="auto" w:fill="F1F1F1" w:themeFill="background1" w:themeFillShade="F2"/>
            <w:vAlign w:val="center"/>
          </w:tcPr>
          <w:p w14:paraId="245305F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钛精矿</w:t>
            </w:r>
          </w:p>
        </w:tc>
        <w:tc>
          <w:tcPr>
            <w:tcW w:w="1012" w:type="pct"/>
            <w:tcBorders>
              <w:top w:val="single" w:color="auto" w:sz="6" w:space="0"/>
              <w:bottom w:val="single" w:color="auto" w:sz="6" w:space="0"/>
            </w:tcBorders>
            <w:shd w:val="clear" w:color="auto" w:fill="F1F1F1" w:themeFill="background1" w:themeFillShade="F2"/>
            <w:noWrap/>
            <w:vAlign w:val="center"/>
          </w:tcPr>
          <w:p w14:paraId="2017D7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214.0</w:t>
            </w:r>
          </w:p>
        </w:tc>
        <w:tc>
          <w:tcPr>
            <w:tcW w:w="1013" w:type="pct"/>
            <w:tcBorders>
              <w:top w:val="single" w:color="auto" w:sz="6" w:space="0"/>
              <w:bottom w:val="single" w:color="auto" w:sz="6" w:space="0"/>
            </w:tcBorders>
            <w:shd w:val="clear" w:color="auto" w:fill="F1F1F1" w:themeFill="background1" w:themeFillShade="F2"/>
            <w:noWrap/>
            <w:vAlign w:val="center"/>
          </w:tcPr>
          <w:p w14:paraId="4DB13C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155.0</w:t>
            </w:r>
          </w:p>
        </w:tc>
        <w:tc>
          <w:tcPr>
            <w:tcW w:w="1012" w:type="pct"/>
            <w:tcBorders>
              <w:top w:val="single" w:color="auto" w:sz="6" w:space="0"/>
              <w:bottom w:val="single" w:color="auto" w:sz="6" w:space="0"/>
            </w:tcBorders>
            <w:shd w:val="clear" w:color="auto" w:fill="F1F1F1" w:themeFill="background1" w:themeFillShade="F2"/>
            <w:noWrap/>
            <w:vAlign w:val="center"/>
          </w:tcPr>
          <w:p w14:paraId="2357DB6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503.5</w:t>
            </w:r>
          </w:p>
        </w:tc>
      </w:tr>
      <w:tr w14:paraId="2822EC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bottom w:val="single" w:color="auto" w:sz="6" w:space="0"/>
            </w:tcBorders>
            <w:shd w:val="clear" w:color="auto" w:fill="F1F1F1" w:themeFill="background1" w:themeFillShade="F2"/>
            <w:vAlign w:val="center"/>
          </w:tcPr>
          <w:p w14:paraId="38283D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1368" w:type="pct"/>
            <w:tcBorders>
              <w:top w:val="single" w:color="auto" w:sz="6" w:space="0"/>
              <w:bottom w:val="single" w:color="auto" w:sz="6" w:space="0"/>
            </w:tcBorders>
            <w:shd w:val="clear" w:color="auto" w:fill="F1F1F1" w:themeFill="background1" w:themeFillShade="F2"/>
            <w:vAlign w:val="center"/>
          </w:tcPr>
          <w:p w14:paraId="7ACC71C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铁矿</w:t>
            </w:r>
          </w:p>
        </w:tc>
        <w:tc>
          <w:tcPr>
            <w:tcW w:w="1012" w:type="pct"/>
            <w:tcBorders>
              <w:top w:val="single" w:color="auto" w:sz="6" w:space="0"/>
              <w:bottom w:val="single" w:color="auto" w:sz="6" w:space="0"/>
            </w:tcBorders>
            <w:shd w:val="clear" w:color="auto" w:fill="F1F1F1" w:themeFill="background1" w:themeFillShade="F2"/>
            <w:noWrap/>
            <w:vAlign w:val="center"/>
          </w:tcPr>
          <w:p w14:paraId="1035B9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270</w:t>
            </w:r>
          </w:p>
        </w:tc>
        <w:tc>
          <w:tcPr>
            <w:tcW w:w="1013" w:type="pct"/>
            <w:tcBorders>
              <w:top w:val="single" w:color="auto" w:sz="6" w:space="0"/>
              <w:bottom w:val="single" w:color="auto" w:sz="6" w:space="0"/>
            </w:tcBorders>
            <w:shd w:val="clear" w:color="auto" w:fill="F1F1F1" w:themeFill="background1" w:themeFillShade="F2"/>
            <w:noWrap/>
            <w:vAlign w:val="center"/>
          </w:tcPr>
          <w:p w14:paraId="78093F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288</w:t>
            </w:r>
          </w:p>
        </w:tc>
        <w:tc>
          <w:tcPr>
            <w:tcW w:w="1012" w:type="pct"/>
            <w:tcBorders>
              <w:top w:val="single" w:color="auto" w:sz="6" w:space="0"/>
              <w:bottom w:val="single" w:color="auto" w:sz="6" w:space="0"/>
            </w:tcBorders>
            <w:shd w:val="clear" w:color="auto" w:fill="F1F1F1" w:themeFill="background1" w:themeFillShade="F2"/>
            <w:noWrap/>
            <w:vAlign w:val="center"/>
          </w:tcPr>
          <w:p w14:paraId="15CE58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68</w:t>
            </w:r>
          </w:p>
        </w:tc>
      </w:tr>
      <w:tr w14:paraId="614369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595" w:type="pct"/>
            <w:tcBorders>
              <w:top w:val="single" w:color="auto" w:sz="6" w:space="0"/>
            </w:tcBorders>
            <w:shd w:val="clear" w:color="auto" w:fill="auto"/>
            <w:noWrap/>
            <w:vAlign w:val="center"/>
          </w:tcPr>
          <w:p w14:paraId="5EEAAA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5</w:t>
            </w:r>
          </w:p>
        </w:tc>
        <w:tc>
          <w:tcPr>
            <w:tcW w:w="1368" w:type="pct"/>
            <w:tcBorders>
              <w:top w:val="single" w:color="auto" w:sz="6" w:space="0"/>
            </w:tcBorders>
            <w:shd w:val="clear" w:color="auto" w:fill="auto"/>
            <w:vAlign w:val="center"/>
          </w:tcPr>
          <w:p w14:paraId="6B91911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钛铁精矿（换算）</w:t>
            </w:r>
          </w:p>
        </w:tc>
        <w:tc>
          <w:tcPr>
            <w:tcW w:w="1012" w:type="pct"/>
            <w:tcBorders>
              <w:top w:val="single" w:color="auto" w:sz="6" w:space="0"/>
            </w:tcBorders>
            <w:shd w:val="clear" w:color="auto" w:fill="auto"/>
            <w:noWrap/>
            <w:vAlign w:val="center"/>
          </w:tcPr>
          <w:p w14:paraId="4A7822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244.4</w:t>
            </w:r>
          </w:p>
        </w:tc>
        <w:tc>
          <w:tcPr>
            <w:tcW w:w="1013" w:type="pct"/>
            <w:tcBorders>
              <w:top w:val="single" w:color="auto" w:sz="6" w:space="0"/>
            </w:tcBorders>
            <w:shd w:val="clear" w:color="auto" w:fill="auto"/>
            <w:noWrap/>
            <w:vAlign w:val="center"/>
          </w:tcPr>
          <w:p w14:paraId="7DD55D5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227.2</w:t>
            </w:r>
          </w:p>
        </w:tc>
        <w:tc>
          <w:tcPr>
            <w:tcW w:w="1012" w:type="pct"/>
            <w:tcBorders>
              <w:top w:val="single" w:color="auto" w:sz="6" w:space="0"/>
            </w:tcBorders>
            <w:shd w:val="clear" w:color="auto" w:fill="auto"/>
            <w:noWrap/>
            <w:vAlign w:val="center"/>
          </w:tcPr>
          <w:p w14:paraId="7D69DCA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14:textFill>
                  <w14:solidFill>
                    <w14:schemeClr w14:val="tx1"/>
                  </w14:solidFill>
                </w14:textFill>
              </w:rPr>
              <w:t>267.1</w:t>
            </w:r>
          </w:p>
        </w:tc>
      </w:tr>
    </w:tbl>
    <w:p w14:paraId="7240D96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CE09B3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根据毛矿、锆中矿、锆精矿及各种产品的天然放射性核素比活度和投入及产生量，计算出天然放射性核素的迁移量见表2.1-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，核素平衡图见图2.1-</w:t>
      </w:r>
      <w:r>
        <w:rPr>
          <w:rFonts w:hint="eastAsia" w:ascii="Times New Roman" w:hAnsi="Times New Roman" w:cs="Times New Roman"/>
          <w:color w:val="000000" w:themeColor="text1"/>
          <w:sz w:val="24"/>
          <w:szCs w:val="24"/>
          <w14:textFill>
            <w14:solidFill>
              <w14:schemeClr w14:val="tx1"/>
            </w14:solidFill>
          </w14:textFill>
        </w:rPr>
        <w:t>3。</w:t>
      </w:r>
    </w:p>
    <w:p w14:paraId="0FAF1DF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C1E55A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2C9440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E43C89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974037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02B654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7CF1C9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7549020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7665320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4  </w:t>
      </w:r>
      <w:r>
        <w:rPr>
          <w:rFonts w:ascii="Times New Roman" w:hAnsi="Times New Roman" w:eastAsia="宋体" w:cs="Times New Roman"/>
          <w:b/>
          <w:bCs/>
          <w:color w:val="000000" w:themeColor="text1"/>
          <w:spacing w:val="-2"/>
          <w:sz w:val="24"/>
          <w:szCs w:val="20"/>
          <w14:textFill>
            <w14:solidFill>
              <w14:schemeClr w14:val="tx1"/>
            </w14:solidFill>
          </w14:textFill>
        </w:rPr>
        <w:t>放射性核素平衡表</w:t>
      </w:r>
    </w:p>
    <w:tbl>
      <w:tblPr>
        <w:tblStyle w:val="46"/>
        <w:tblW w:w="495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5"/>
        <w:gridCol w:w="1413"/>
        <w:gridCol w:w="1949"/>
        <w:gridCol w:w="1940"/>
        <w:gridCol w:w="1769"/>
        <w:gridCol w:w="1443"/>
        <w:gridCol w:w="1876"/>
        <w:gridCol w:w="1935"/>
      </w:tblGrid>
      <w:tr w14:paraId="57507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2499" w:type="pct"/>
            <w:gridSpan w:val="4"/>
            <w:shd w:val="clear" w:color="auto" w:fill="auto"/>
            <w:vAlign w:val="center"/>
          </w:tcPr>
          <w:p w14:paraId="233C536A">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bookmarkStart w:id="47" w:name="_Hlk50056982"/>
            <w:r>
              <w:rPr>
                <w:rFonts w:ascii="Times New Roman" w:hAnsi="Times New Roman" w:eastAsia="宋体" w:cs="Times New Roman"/>
                <w:b/>
                <w:bCs/>
                <w:color w:val="000000" w:themeColor="text1"/>
                <w14:textFill>
                  <w14:solidFill>
                    <w14:schemeClr w14:val="tx1"/>
                  </w14:solidFill>
                </w14:textFill>
              </w:rPr>
              <w:t>投入</w:t>
            </w:r>
          </w:p>
        </w:tc>
        <w:tc>
          <w:tcPr>
            <w:tcW w:w="2501" w:type="pct"/>
            <w:gridSpan w:val="4"/>
            <w:shd w:val="clear" w:color="auto" w:fill="auto"/>
            <w:vAlign w:val="center"/>
          </w:tcPr>
          <w:p w14:paraId="5C58D782">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产出</w:t>
            </w:r>
          </w:p>
        </w:tc>
      </w:tr>
      <w:tr w14:paraId="639CC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shd w:val="clear" w:color="auto" w:fill="auto"/>
            <w:vAlign w:val="center"/>
          </w:tcPr>
          <w:p w14:paraId="4469680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原料</w:t>
            </w:r>
          </w:p>
        </w:tc>
        <w:tc>
          <w:tcPr>
            <w:tcW w:w="503" w:type="pct"/>
            <w:shd w:val="clear" w:color="auto" w:fill="auto"/>
            <w:vAlign w:val="center"/>
          </w:tcPr>
          <w:p w14:paraId="1AC8B44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核素</w:t>
            </w:r>
          </w:p>
        </w:tc>
        <w:tc>
          <w:tcPr>
            <w:tcW w:w="694" w:type="pct"/>
            <w:shd w:val="clear" w:color="auto" w:fill="auto"/>
            <w:vAlign w:val="center"/>
          </w:tcPr>
          <w:p w14:paraId="20B9CD0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比活度（Bq/kg）</w:t>
            </w:r>
          </w:p>
        </w:tc>
        <w:tc>
          <w:tcPr>
            <w:tcW w:w="691" w:type="pct"/>
            <w:shd w:val="clear" w:color="auto" w:fill="auto"/>
            <w:vAlign w:val="center"/>
          </w:tcPr>
          <w:p w14:paraId="12FC7F2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总活度（Bq/a)</w:t>
            </w:r>
          </w:p>
        </w:tc>
        <w:tc>
          <w:tcPr>
            <w:tcW w:w="630" w:type="pct"/>
            <w:shd w:val="clear" w:color="auto" w:fill="auto"/>
            <w:vAlign w:val="center"/>
          </w:tcPr>
          <w:p w14:paraId="7BA7F388">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产品</w:t>
            </w:r>
          </w:p>
        </w:tc>
        <w:tc>
          <w:tcPr>
            <w:tcW w:w="514" w:type="pct"/>
            <w:shd w:val="clear" w:color="auto" w:fill="auto"/>
            <w:vAlign w:val="center"/>
          </w:tcPr>
          <w:p w14:paraId="753690DA">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核素</w:t>
            </w:r>
          </w:p>
        </w:tc>
        <w:tc>
          <w:tcPr>
            <w:tcW w:w="668" w:type="pct"/>
            <w:shd w:val="clear" w:color="auto" w:fill="auto"/>
            <w:vAlign w:val="center"/>
          </w:tcPr>
          <w:p w14:paraId="4960037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比活度（Bq/kg）</w:t>
            </w:r>
          </w:p>
        </w:tc>
        <w:tc>
          <w:tcPr>
            <w:tcW w:w="689" w:type="pct"/>
            <w:shd w:val="clear" w:color="auto" w:fill="auto"/>
            <w:vAlign w:val="center"/>
          </w:tcPr>
          <w:p w14:paraId="0372BBD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总活度（Bq/a)</w:t>
            </w:r>
          </w:p>
        </w:tc>
      </w:tr>
      <w:tr w14:paraId="326FF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10FF1463">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毛矿</w:t>
            </w:r>
          </w:p>
          <w:p w14:paraId="24BDC307">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24</w:t>
            </w:r>
            <w:r>
              <w:rPr>
                <w:rFonts w:ascii="Times New Roman" w:hAnsi="Times New Roman" w:eastAsia="宋体" w:cs="Times New Roman"/>
                <w:color w:val="000000" w:themeColor="text1"/>
                <w:u w:val="single"/>
                <w14:textFill>
                  <w14:solidFill>
                    <w14:schemeClr w14:val="tx1"/>
                  </w14:solidFill>
                </w14:textFill>
              </w:rPr>
              <w:t>0000 t/a</w:t>
            </w:r>
          </w:p>
        </w:tc>
        <w:tc>
          <w:tcPr>
            <w:tcW w:w="503" w:type="pct"/>
            <w:shd w:val="clear" w:color="auto" w:fill="auto"/>
            <w:vAlign w:val="center"/>
          </w:tcPr>
          <w:p w14:paraId="1EEFABB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94" w:type="pct"/>
            <w:shd w:val="clear" w:color="auto" w:fill="auto"/>
            <w:vAlign w:val="center"/>
          </w:tcPr>
          <w:p w14:paraId="6B9AC8C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1656.6</w:t>
            </w:r>
          </w:p>
        </w:tc>
        <w:tc>
          <w:tcPr>
            <w:tcW w:w="691" w:type="pct"/>
            <w:shd w:val="clear" w:color="auto" w:fill="auto"/>
            <w:vAlign w:val="center"/>
          </w:tcPr>
          <w:p w14:paraId="2C15FAA0">
            <w:pPr>
              <w:spacing w:after="0" w:line="240" w:lineRule="auto"/>
              <w:jc w:val="center"/>
              <w:rPr>
                <w:rFonts w:ascii="Times New Roman" w:hAnsi="Times New Roman" w:eastAsia="宋体" w:cs="Times New Roman"/>
                <w:color w:val="000000" w:themeColor="text1"/>
                <w:u w:val="single"/>
                <w:vertAlign w:val="superscript"/>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3.98</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restart"/>
            <w:shd w:val="clear" w:color="auto" w:fill="auto"/>
            <w:vAlign w:val="center"/>
          </w:tcPr>
          <w:p w14:paraId="623C8E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钛铁精矿</w:t>
            </w:r>
          </w:p>
          <w:p w14:paraId="483CAE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165000</w:t>
            </w:r>
            <w:r>
              <w:rPr>
                <w:rFonts w:ascii="Times New Roman" w:hAnsi="Times New Roman" w:eastAsia="宋体" w:cs="Times New Roman"/>
                <w:color w:val="000000" w:themeColor="text1"/>
                <w:u w:val="single"/>
                <w14:textFill>
                  <w14:solidFill>
                    <w14:schemeClr w14:val="tx1"/>
                  </w14:solidFill>
                </w14:textFill>
              </w:rPr>
              <w:t>t/a</w:t>
            </w:r>
          </w:p>
        </w:tc>
        <w:tc>
          <w:tcPr>
            <w:tcW w:w="514" w:type="pct"/>
            <w:shd w:val="clear" w:color="auto" w:fill="auto"/>
            <w:vAlign w:val="center"/>
          </w:tcPr>
          <w:p w14:paraId="5AFEFCB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0331529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244.4</w:t>
            </w:r>
          </w:p>
        </w:tc>
        <w:tc>
          <w:tcPr>
            <w:tcW w:w="689" w:type="pct"/>
            <w:shd w:val="clear" w:color="auto" w:fill="auto"/>
            <w:vAlign w:val="center"/>
          </w:tcPr>
          <w:p w14:paraId="163961F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4.03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2BE3E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shd w:val="clear" w:color="auto" w:fill="auto"/>
            <w:vAlign w:val="center"/>
          </w:tcPr>
          <w:p w14:paraId="0CCA54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491815C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94" w:type="pct"/>
            <w:shd w:val="clear" w:color="auto" w:fill="auto"/>
            <w:vAlign w:val="center"/>
          </w:tcPr>
          <w:p w14:paraId="3C0943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1470.7</w:t>
            </w:r>
          </w:p>
        </w:tc>
        <w:tc>
          <w:tcPr>
            <w:tcW w:w="691" w:type="pct"/>
            <w:shd w:val="clear" w:color="auto" w:fill="auto"/>
            <w:vAlign w:val="center"/>
          </w:tcPr>
          <w:p w14:paraId="4A7D992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3.53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shd w:val="clear" w:color="auto" w:fill="auto"/>
            <w:vAlign w:val="center"/>
          </w:tcPr>
          <w:p w14:paraId="4F69508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1642F8F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22564F8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227.2</w:t>
            </w:r>
          </w:p>
        </w:tc>
        <w:tc>
          <w:tcPr>
            <w:tcW w:w="689" w:type="pct"/>
            <w:shd w:val="clear" w:color="auto" w:fill="auto"/>
            <w:vAlign w:val="center"/>
          </w:tcPr>
          <w:p w14:paraId="6436F86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3.75</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035CD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shd w:val="clear" w:color="auto" w:fill="auto"/>
            <w:vAlign w:val="center"/>
          </w:tcPr>
          <w:p w14:paraId="620F5AF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0221EB1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94" w:type="pct"/>
            <w:shd w:val="clear" w:color="auto" w:fill="auto"/>
            <w:vAlign w:val="center"/>
          </w:tcPr>
          <w:p w14:paraId="6A4367C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1734.8</w:t>
            </w:r>
          </w:p>
        </w:tc>
        <w:tc>
          <w:tcPr>
            <w:tcW w:w="691" w:type="pct"/>
            <w:shd w:val="clear" w:color="auto" w:fill="auto"/>
            <w:vAlign w:val="center"/>
          </w:tcPr>
          <w:p w14:paraId="36F21D0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4.16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shd w:val="clear" w:color="auto" w:fill="auto"/>
            <w:vAlign w:val="center"/>
          </w:tcPr>
          <w:p w14:paraId="014FB80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6A53F0B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3147305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267.1</w:t>
            </w:r>
          </w:p>
        </w:tc>
        <w:tc>
          <w:tcPr>
            <w:tcW w:w="689" w:type="pct"/>
            <w:shd w:val="clear" w:color="auto" w:fill="auto"/>
            <w:vAlign w:val="center"/>
          </w:tcPr>
          <w:p w14:paraId="131763D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4.41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0</w:t>
            </w:r>
          </w:p>
        </w:tc>
      </w:tr>
      <w:tr w14:paraId="14099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vAlign w:val="center"/>
          </w:tcPr>
          <w:p w14:paraId="1BD6CBF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503" w:type="pct"/>
            <w:shd w:val="clear" w:color="auto" w:fill="auto"/>
            <w:vAlign w:val="center"/>
          </w:tcPr>
          <w:p w14:paraId="1A5ABDE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26335F12">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1BD2F27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restart"/>
            <w:shd w:val="clear" w:color="auto" w:fill="auto"/>
            <w:vAlign w:val="center"/>
          </w:tcPr>
          <w:p w14:paraId="06AC3FD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锆中矿</w:t>
            </w:r>
          </w:p>
          <w:p w14:paraId="191993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71769.9</w:t>
            </w:r>
            <w:r>
              <w:rPr>
                <w:rFonts w:ascii="Times New Roman" w:hAnsi="Times New Roman" w:eastAsia="宋体" w:cs="Times New Roman"/>
                <w:color w:val="000000" w:themeColor="text1"/>
                <w:u w:val="single"/>
                <w14:textFill>
                  <w14:solidFill>
                    <w14:schemeClr w14:val="tx1"/>
                  </w14:solidFill>
                </w14:textFill>
              </w:rPr>
              <w:t>t/a</w:t>
            </w:r>
          </w:p>
        </w:tc>
        <w:tc>
          <w:tcPr>
            <w:tcW w:w="514" w:type="pct"/>
            <w:shd w:val="clear" w:color="auto" w:fill="auto"/>
            <w:vAlign w:val="center"/>
          </w:tcPr>
          <w:p w14:paraId="0532623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78EF277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2933.</w:t>
            </w:r>
            <w:r>
              <w:rPr>
                <w:rFonts w:hint="eastAsia" w:ascii="Times New Roman" w:hAnsi="Times New Roman" w:eastAsia="等线" w:cs="Times New Roman"/>
                <w:color w:val="000000" w:themeColor="text1"/>
                <w:u w:val="single"/>
                <w14:textFill>
                  <w14:solidFill>
                    <w14:schemeClr w14:val="tx1"/>
                  </w14:solidFill>
                </w14:textFill>
              </w:rPr>
              <w:t>2</w:t>
            </w:r>
          </w:p>
        </w:tc>
        <w:tc>
          <w:tcPr>
            <w:tcW w:w="689" w:type="pct"/>
            <w:shd w:val="clear" w:color="auto" w:fill="auto"/>
            <w:vAlign w:val="center"/>
          </w:tcPr>
          <w:p w14:paraId="09C98BE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2.11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2381D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4FDCA30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5E67CA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4ECF1F88">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7AF9783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shd w:val="clear" w:color="auto" w:fill="auto"/>
            <w:vAlign w:val="center"/>
          </w:tcPr>
          <w:p w14:paraId="4F8712E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0BED183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21C79A5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3258</w:t>
            </w:r>
            <w:r>
              <w:rPr>
                <w:rFonts w:hint="eastAsia" w:ascii="Times New Roman" w:hAnsi="Times New Roman" w:eastAsia="等线" w:cs="Times New Roman"/>
                <w:color w:val="000000" w:themeColor="text1"/>
                <w:u w:val="single"/>
                <w14:textFill>
                  <w14:solidFill>
                    <w14:schemeClr w14:val="tx1"/>
                  </w14:solidFill>
                </w14:textFill>
              </w:rPr>
              <w:t>.0</w:t>
            </w:r>
          </w:p>
        </w:tc>
        <w:tc>
          <w:tcPr>
            <w:tcW w:w="689" w:type="pct"/>
            <w:shd w:val="clear" w:color="auto" w:fill="auto"/>
            <w:vAlign w:val="center"/>
          </w:tcPr>
          <w:p w14:paraId="01793F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2.34</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0CAFF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46442EC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40C3810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273A3EA4">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0081E3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shd w:val="clear" w:color="auto" w:fill="auto"/>
            <w:vAlign w:val="center"/>
          </w:tcPr>
          <w:p w14:paraId="1202BCF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0E17FA1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48E135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2175.</w:t>
            </w:r>
            <w:r>
              <w:rPr>
                <w:rFonts w:hint="eastAsia" w:ascii="Times New Roman" w:hAnsi="Times New Roman" w:eastAsia="等线" w:cs="Times New Roman"/>
                <w:color w:val="000000" w:themeColor="text1"/>
                <w:u w:val="single"/>
                <w14:textFill>
                  <w14:solidFill>
                    <w14:schemeClr w14:val="tx1"/>
                  </w14:solidFill>
                </w14:textFill>
              </w:rPr>
              <w:t>1</w:t>
            </w:r>
          </w:p>
        </w:tc>
        <w:tc>
          <w:tcPr>
            <w:tcW w:w="689" w:type="pct"/>
            <w:shd w:val="clear" w:color="auto" w:fill="auto"/>
            <w:vAlign w:val="center"/>
          </w:tcPr>
          <w:p w14:paraId="02C2F7F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1.56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0552F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55F6240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503" w:type="pct"/>
            <w:shd w:val="clear" w:color="auto" w:fill="auto"/>
            <w:vAlign w:val="center"/>
          </w:tcPr>
          <w:p w14:paraId="5ED0659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7BD53819">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3DD621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restart"/>
            <w:shd w:val="clear" w:color="auto" w:fill="auto"/>
            <w:vAlign w:val="center"/>
          </w:tcPr>
          <w:p w14:paraId="5ADA8B2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排放的粉尘</w:t>
            </w:r>
          </w:p>
          <w:p w14:paraId="0D1982C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5.49</w:t>
            </w:r>
            <w:r>
              <w:rPr>
                <w:rFonts w:ascii="Times New Roman" w:hAnsi="Times New Roman" w:eastAsia="宋体" w:cs="Times New Roman"/>
                <w:color w:val="000000" w:themeColor="text1"/>
                <w:u w:val="single"/>
                <w14:textFill>
                  <w14:solidFill>
                    <w14:schemeClr w14:val="tx1"/>
                  </w14:solidFill>
                </w14:textFill>
              </w:rPr>
              <w:t xml:space="preserve"> t/a</w:t>
            </w:r>
          </w:p>
        </w:tc>
        <w:tc>
          <w:tcPr>
            <w:tcW w:w="514" w:type="pct"/>
            <w:shd w:val="clear" w:color="auto" w:fill="auto"/>
            <w:vAlign w:val="center"/>
          </w:tcPr>
          <w:p w14:paraId="26B9FE4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68" w:type="pct"/>
            <w:shd w:val="clear" w:color="auto" w:fill="auto"/>
            <w:vAlign w:val="center"/>
          </w:tcPr>
          <w:p w14:paraId="485DC82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1656.6</w:t>
            </w:r>
          </w:p>
        </w:tc>
        <w:tc>
          <w:tcPr>
            <w:tcW w:w="689" w:type="pct"/>
            <w:shd w:val="clear" w:color="auto" w:fill="auto"/>
            <w:vAlign w:val="center"/>
          </w:tcPr>
          <w:p w14:paraId="50D48DD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9.09</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5E0AF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5AD6EEC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029359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69EEC3AC">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07D59C1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vAlign w:val="center"/>
          </w:tcPr>
          <w:p w14:paraId="28D2F45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3FF414A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68" w:type="pct"/>
            <w:shd w:val="clear" w:color="auto" w:fill="auto"/>
            <w:vAlign w:val="center"/>
          </w:tcPr>
          <w:p w14:paraId="11C9383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1470.7</w:t>
            </w:r>
          </w:p>
        </w:tc>
        <w:tc>
          <w:tcPr>
            <w:tcW w:w="689" w:type="pct"/>
            <w:shd w:val="clear" w:color="auto" w:fill="auto"/>
            <w:vAlign w:val="center"/>
          </w:tcPr>
          <w:p w14:paraId="6F7E5EE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8.07</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02FEE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662CE7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03" w:type="pct"/>
            <w:shd w:val="clear" w:color="auto" w:fill="auto"/>
            <w:vAlign w:val="center"/>
          </w:tcPr>
          <w:p w14:paraId="63B8ACE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4" w:type="pct"/>
            <w:shd w:val="clear" w:color="auto" w:fill="auto"/>
            <w:vAlign w:val="center"/>
          </w:tcPr>
          <w:p w14:paraId="3ECCF5C0">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91" w:type="pct"/>
            <w:shd w:val="clear" w:color="auto" w:fill="auto"/>
            <w:vAlign w:val="center"/>
          </w:tcPr>
          <w:p w14:paraId="57FCA19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t>
            </w:r>
          </w:p>
        </w:tc>
        <w:tc>
          <w:tcPr>
            <w:tcW w:w="630" w:type="pct"/>
            <w:vMerge w:val="continue"/>
            <w:vAlign w:val="center"/>
          </w:tcPr>
          <w:p w14:paraId="11CEF0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514" w:type="pct"/>
            <w:shd w:val="clear" w:color="auto" w:fill="auto"/>
            <w:vAlign w:val="center"/>
          </w:tcPr>
          <w:p w14:paraId="4AFA7F0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68" w:type="pct"/>
            <w:shd w:val="clear" w:color="auto" w:fill="auto"/>
            <w:vAlign w:val="center"/>
          </w:tcPr>
          <w:p w14:paraId="06E7693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1734.8</w:t>
            </w:r>
          </w:p>
        </w:tc>
        <w:tc>
          <w:tcPr>
            <w:tcW w:w="689" w:type="pct"/>
            <w:shd w:val="clear" w:color="auto" w:fill="auto"/>
            <w:vAlign w:val="center"/>
          </w:tcPr>
          <w:p w14:paraId="76BB1AC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9.52</w:t>
            </w:r>
            <w:r>
              <w:rPr>
                <w:rFonts w:ascii="Times New Roman" w:hAnsi="Times New Roman" w:eastAsia="宋体" w:cs="Times New Roman"/>
                <w:color w:val="000000" w:themeColor="text1"/>
                <w:u w:val="single"/>
                <w14:textFill>
                  <w14:solidFill>
                    <w14:schemeClr w14:val="tx1"/>
                  </w14:solidFill>
                </w14:textFill>
              </w:rPr>
              <w:t>×10</w:t>
            </w:r>
            <w:r>
              <w:rPr>
                <w:rFonts w:hint="eastAsia" w:ascii="Times New Roman" w:hAnsi="Times New Roman" w:eastAsia="等线" w:cs="Times New Roman"/>
                <w:color w:val="000000" w:themeColor="text1"/>
                <w:u w:val="single"/>
                <w:vertAlign w:val="superscript"/>
                <w14:textFill>
                  <w14:solidFill>
                    <w14:schemeClr w14:val="tx1"/>
                  </w14:solidFill>
                </w14:textFill>
              </w:rPr>
              <w:t>6</w:t>
            </w:r>
          </w:p>
        </w:tc>
      </w:tr>
      <w:tr w14:paraId="37F576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restart"/>
            <w:shd w:val="clear" w:color="auto" w:fill="auto"/>
            <w:vAlign w:val="center"/>
          </w:tcPr>
          <w:p w14:paraId="087A291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合计</w:t>
            </w:r>
          </w:p>
        </w:tc>
        <w:tc>
          <w:tcPr>
            <w:tcW w:w="1197" w:type="pct"/>
            <w:gridSpan w:val="2"/>
            <w:shd w:val="clear" w:color="auto" w:fill="auto"/>
            <w:vAlign w:val="center"/>
          </w:tcPr>
          <w:p w14:paraId="51869AA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91" w:type="pct"/>
            <w:shd w:val="clear" w:color="auto" w:fill="auto"/>
            <w:vAlign w:val="center"/>
          </w:tcPr>
          <w:p w14:paraId="33E857A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3.98</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restart"/>
            <w:shd w:val="clear" w:color="auto" w:fill="auto"/>
            <w:vAlign w:val="center"/>
          </w:tcPr>
          <w:p w14:paraId="7377351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合计</w:t>
            </w:r>
          </w:p>
        </w:tc>
        <w:tc>
          <w:tcPr>
            <w:tcW w:w="1182" w:type="pct"/>
            <w:gridSpan w:val="2"/>
            <w:shd w:val="clear" w:color="auto" w:fill="auto"/>
            <w:vAlign w:val="center"/>
          </w:tcPr>
          <w:p w14:paraId="3F3BF5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238</w:t>
            </w:r>
            <w:r>
              <w:rPr>
                <w:rFonts w:ascii="Times New Roman" w:hAnsi="Times New Roman" w:eastAsia="宋体" w:cs="Times New Roman"/>
                <w:color w:val="000000" w:themeColor="text1"/>
                <w:u w:val="single"/>
                <w14:textFill>
                  <w14:solidFill>
                    <w14:schemeClr w14:val="tx1"/>
                  </w14:solidFill>
                </w14:textFill>
              </w:rPr>
              <w:t>U</w:t>
            </w:r>
          </w:p>
        </w:tc>
        <w:tc>
          <w:tcPr>
            <w:tcW w:w="689" w:type="pct"/>
            <w:shd w:val="clear" w:color="auto" w:fill="auto"/>
            <w:vAlign w:val="center"/>
          </w:tcPr>
          <w:p w14:paraId="7A44AE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2.51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1C69D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5EC776E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97" w:type="pct"/>
            <w:gridSpan w:val="2"/>
            <w:shd w:val="clear" w:color="auto" w:fill="auto"/>
            <w:vAlign w:val="center"/>
          </w:tcPr>
          <w:p w14:paraId="2529787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91" w:type="pct"/>
            <w:shd w:val="clear" w:color="auto" w:fill="auto"/>
            <w:vAlign w:val="center"/>
          </w:tcPr>
          <w:p w14:paraId="42FEA94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3.53</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vAlign w:val="center"/>
          </w:tcPr>
          <w:p w14:paraId="3EB09F9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82" w:type="pct"/>
            <w:gridSpan w:val="2"/>
            <w:shd w:val="clear" w:color="auto" w:fill="auto"/>
            <w:vAlign w:val="center"/>
          </w:tcPr>
          <w:p w14:paraId="18E6864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226</w:t>
            </w:r>
            <w:r>
              <w:rPr>
                <w:rFonts w:ascii="Times New Roman" w:hAnsi="Times New Roman" w:eastAsia="宋体" w:cs="Times New Roman"/>
                <w:color w:val="000000" w:themeColor="text1"/>
                <w:u w:val="single"/>
                <w14:textFill>
                  <w14:solidFill>
                    <w14:schemeClr w14:val="tx1"/>
                  </w14:solidFill>
                </w14:textFill>
              </w:rPr>
              <w:t>Ra</w:t>
            </w:r>
          </w:p>
        </w:tc>
        <w:tc>
          <w:tcPr>
            <w:tcW w:w="689" w:type="pct"/>
            <w:shd w:val="clear" w:color="auto" w:fill="auto"/>
            <w:vAlign w:val="center"/>
          </w:tcPr>
          <w:p w14:paraId="5EB9E3E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2.71</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tr w14:paraId="4BFBD8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11" w:type="pct"/>
            <w:vMerge w:val="continue"/>
            <w:vAlign w:val="center"/>
          </w:tcPr>
          <w:p w14:paraId="22DB8FB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97" w:type="pct"/>
            <w:gridSpan w:val="2"/>
            <w:shd w:val="clear" w:color="auto" w:fill="auto"/>
            <w:vAlign w:val="center"/>
          </w:tcPr>
          <w:p w14:paraId="5C24D3B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91" w:type="pct"/>
            <w:shd w:val="clear" w:color="auto" w:fill="auto"/>
            <w:vAlign w:val="center"/>
          </w:tcPr>
          <w:p w14:paraId="0BDAFFD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4.16</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c>
          <w:tcPr>
            <w:tcW w:w="630" w:type="pct"/>
            <w:vMerge w:val="continue"/>
            <w:vAlign w:val="center"/>
          </w:tcPr>
          <w:p w14:paraId="6B95348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182" w:type="pct"/>
            <w:gridSpan w:val="2"/>
            <w:shd w:val="clear" w:color="auto" w:fill="auto"/>
            <w:vAlign w:val="center"/>
          </w:tcPr>
          <w:p w14:paraId="560C974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vertAlign w:val="superscript"/>
                <w14:textFill>
                  <w14:solidFill>
                    <w14:schemeClr w14:val="tx1"/>
                  </w14:solidFill>
                </w14:textFill>
              </w:rPr>
              <w:t>232</w:t>
            </w:r>
            <w:r>
              <w:rPr>
                <w:rFonts w:ascii="Times New Roman" w:hAnsi="Times New Roman" w:eastAsia="宋体" w:cs="Times New Roman"/>
                <w:color w:val="000000" w:themeColor="text1"/>
                <w:u w:val="single"/>
                <w14:textFill>
                  <w14:solidFill>
                    <w14:schemeClr w14:val="tx1"/>
                  </w14:solidFill>
                </w14:textFill>
              </w:rPr>
              <w:t>Th</w:t>
            </w:r>
          </w:p>
        </w:tc>
        <w:tc>
          <w:tcPr>
            <w:tcW w:w="689" w:type="pct"/>
            <w:shd w:val="clear" w:color="auto" w:fill="auto"/>
            <w:vAlign w:val="center"/>
          </w:tcPr>
          <w:p w14:paraId="3C13504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2.00</w:t>
            </w:r>
            <w:r>
              <w:rPr>
                <w:rFonts w:ascii="Times New Roman" w:hAnsi="Times New Roman" w:eastAsia="宋体" w:cs="Times New Roman"/>
                <w:color w:val="000000" w:themeColor="text1"/>
                <w:u w:val="single"/>
                <w14:textFill>
                  <w14:solidFill>
                    <w14:schemeClr w14:val="tx1"/>
                  </w14:solidFill>
                </w14:textFill>
              </w:rPr>
              <w:t>×10</w:t>
            </w:r>
            <w:r>
              <w:rPr>
                <w:rFonts w:ascii="Times New Roman" w:hAnsi="Times New Roman" w:eastAsia="等线" w:cs="Times New Roman"/>
                <w:color w:val="000000" w:themeColor="text1"/>
                <w:u w:val="single"/>
                <w:vertAlign w:val="superscript"/>
                <w14:textFill>
                  <w14:solidFill>
                    <w14:schemeClr w14:val="tx1"/>
                  </w14:solidFill>
                </w14:textFill>
              </w:rPr>
              <w:t>1</w:t>
            </w:r>
            <w:r>
              <w:rPr>
                <w:rFonts w:hint="eastAsia" w:ascii="Times New Roman" w:hAnsi="Times New Roman" w:eastAsia="等线" w:cs="Times New Roman"/>
                <w:color w:val="000000" w:themeColor="text1"/>
                <w:u w:val="single"/>
                <w:vertAlign w:val="superscript"/>
                <w14:textFill>
                  <w14:solidFill>
                    <w14:schemeClr w14:val="tx1"/>
                  </w14:solidFill>
                </w14:textFill>
              </w:rPr>
              <w:t>1</w:t>
            </w:r>
          </w:p>
        </w:tc>
      </w:tr>
      <w:bookmarkEnd w:id="47"/>
    </w:tbl>
    <w:p w14:paraId="17B86FD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19A63B6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39483A9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0C1AED10">
      <w:pPr>
        <w:spacing w:after="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mc:AlternateContent>
          <mc:Choice Requires="wpc">
            <w:drawing>
              <wp:inline distT="0" distB="0" distL="0" distR="0">
                <wp:extent cx="4991100" cy="3990975"/>
                <wp:effectExtent l="0" t="0" r="0" b="0"/>
                <wp:docPr id="1718549912"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035901" name="矩形 10"/>
                        <wps:cNvSpPr>
                          <a:spLocks noChangeArrowheads="1"/>
                        </wps:cNvSpPr>
                        <wps:spPr bwMode="auto">
                          <a:xfrm>
                            <a:off x="743185" y="75995"/>
                            <a:ext cx="799184" cy="295980"/>
                          </a:xfrm>
                          <a:prstGeom prst="rect">
                            <a:avLst/>
                          </a:prstGeom>
                          <a:solidFill>
                            <a:srgbClr val="FFFFFF"/>
                          </a:solidFill>
                          <a:ln>
                            <a:noFill/>
                          </a:ln>
                          <a:effectLst/>
                        </wps:spPr>
                        <wps:txbx>
                          <w:txbxContent>
                            <w:p w14:paraId="0BFA0D99">
                              <w:pPr>
                                <w:jc w:val="center"/>
                              </w:pPr>
                              <w:r>
                                <w:rPr>
                                  <w:rFonts w:hint="eastAsia"/>
                                </w:rPr>
                                <w:t>原料毛矿</w:t>
                              </w:r>
                            </w:p>
                          </w:txbxContent>
                        </wps:txbx>
                        <wps:bodyPr rot="0" vert="horz" wrap="square" lIns="91440" tIns="45720" rIns="91440" bIns="45720" anchor="t" anchorCtr="0" upright="1">
                          <a:noAutofit/>
                        </wps:bodyPr>
                      </wps:wsp>
                      <wps:wsp>
                        <wps:cNvPr id="1194564044" name="矩形 11"/>
                        <wps:cNvSpPr>
                          <a:spLocks noChangeArrowheads="1"/>
                        </wps:cNvSpPr>
                        <wps:spPr bwMode="auto">
                          <a:xfrm>
                            <a:off x="2023159" y="562362"/>
                            <a:ext cx="958381" cy="291980"/>
                          </a:xfrm>
                          <a:prstGeom prst="rect">
                            <a:avLst/>
                          </a:prstGeom>
                          <a:solidFill>
                            <a:srgbClr val="FFFFFF"/>
                          </a:solidFill>
                          <a:ln w="9525" cmpd="sng">
                            <a:solidFill>
                              <a:srgbClr val="000000"/>
                            </a:solidFill>
                            <a:miter lim="800000"/>
                          </a:ln>
                          <a:effectLst/>
                        </wps:spPr>
                        <wps:txbx>
                          <w:txbxContent>
                            <w:p w14:paraId="766C47C6">
                              <w:pPr>
                                <w:jc w:val="center"/>
                              </w:pPr>
                              <w:r>
                                <w:rPr>
                                  <w:rFonts w:hint="eastAsia"/>
                                </w:rPr>
                                <w:t>原料堆场</w:t>
                              </w:r>
                            </w:p>
                          </w:txbxContent>
                        </wps:txbx>
                        <wps:bodyPr rot="0" vert="horz" wrap="square" lIns="91440" tIns="45720" rIns="91440" bIns="45720" anchor="t" anchorCtr="0" upright="1">
                          <a:noAutofit/>
                        </wps:bodyPr>
                      </wps:wsp>
                      <wps:wsp>
                        <wps:cNvPr id="303993710" name="矩形 14"/>
                        <wps:cNvSpPr>
                          <a:spLocks noChangeArrowheads="1"/>
                        </wps:cNvSpPr>
                        <wps:spPr bwMode="auto">
                          <a:xfrm>
                            <a:off x="2031365" y="1722120"/>
                            <a:ext cx="951865" cy="291465"/>
                          </a:xfrm>
                          <a:prstGeom prst="rect">
                            <a:avLst/>
                          </a:prstGeom>
                          <a:solidFill>
                            <a:srgbClr val="FFFFFF"/>
                          </a:solidFill>
                          <a:ln w="9525" cmpd="sng">
                            <a:solidFill>
                              <a:srgbClr val="000000"/>
                            </a:solidFill>
                            <a:miter lim="800000"/>
                          </a:ln>
                          <a:effectLst/>
                        </wps:spPr>
                        <wps:txbx>
                          <w:txbxContent>
                            <w:p w14:paraId="32B46EAB">
                              <w:pPr>
                                <w:jc w:val="center"/>
                              </w:pPr>
                              <w:r>
                                <w:rPr>
                                  <w:rFonts w:hint="eastAsia"/>
                                </w:rPr>
                                <w:t>烘干、磁选</w:t>
                              </w:r>
                            </w:p>
                          </w:txbxContent>
                        </wps:txbx>
                        <wps:bodyPr rot="0" vert="horz" wrap="square" lIns="91440" tIns="45720" rIns="91440" bIns="45720" anchor="t" anchorCtr="0" upright="1">
                          <a:noAutofit/>
                        </wps:bodyPr>
                      </wps:wsp>
                      <wps:wsp>
                        <wps:cNvPr id="800540853" name="矩形 15"/>
                        <wps:cNvSpPr>
                          <a:spLocks noChangeArrowheads="1"/>
                        </wps:cNvSpPr>
                        <wps:spPr bwMode="auto">
                          <a:xfrm>
                            <a:off x="1038225" y="2632710"/>
                            <a:ext cx="950595" cy="290830"/>
                          </a:xfrm>
                          <a:prstGeom prst="rect">
                            <a:avLst/>
                          </a:prstGeom>
                          <a:solidFill>
                            <a:srgbClr val="FFFFFF"/>
                          </a:solidFill>
                          <a:ln w="9525" cmpd="sng">
                            <a:solidFill>
                              <a:srgbClr val="000000"/>
                            </a:solidFill>
                            <a:miter lim="800000"/>
                          </a:ln>
                          <a:effectLst/>
                        </wps:spPr>
                        <wps:txbx>
                          <w:txbxContent>
                            <w:p w14:paraId="45B15A26">
                              <w:pPr>
                                <w:jc w:val="center"/>
                              </w:pPr>
                              <w:r>
                                <w:rPr>
                                  <w:rFonts w:hint="eastAsia"/>
                                </w:rPr>
                                <w:t>精矿堆场</w:t>
                              </w:r>
                            </w:p>
                          </w:txbxContent>
                        </wps:txbx>
                        <wps:bodyPr rot="0" vert="horz" wrap="square" lIns="91440" tIns="45720" rIns="91440" bIns="45720" anchor="t" anchorCtr="0" upright="1">
                          <a:noAutofit/>
                        </wps:bodyPr>
                      </wps:wsp>
                      <wps:wsp>
                        <wps:cNvPr id="1664788932" name="矩形 16"/>
                        <wps:cNvSpPr>
                          <a:spLocks noChangeArrowheads="1"/>
                        </wps:cNvSpPr>
                        <wps:spPr bwMode="auto">
                          <a:xfrm>
                            <a:off x="2957830" y="2633980"/>
                            <a:ext cx="952500" cy="292100"/>
                          </a:xfrm>
                          <a:prstGeom prst="rect">
                            <a:avLst/>
                          </a:prstGeom>
                          <a:solidFill>
                            <a:srgbClr val="FFFFFF"/>
                          </a:solidFill>
                          <a:ln w="9525" cmpd="sng">
                            <a:solidFill>
                              <a:srgbClr val="000000"/>
                            </a:solidFill>
                            <a:miter lim="800000"/>
                          </a:ln>
                          <a:effectLst/>
                        </wps:spPr>
                        <wps:txbx>
                          <w:txbxContent>
                            <w:p w14:paraId="01B6B7C7">
                              <w:pPr>
                                <w:jc w:val="center"/>
                              </w:pPr>
                              <w:r>
                                <w:rPr>
                                  <w:rFonts w:hint="eastAsia"/>
                                </w:rPr>
                                <w:t>锆中矿堆场</w:t>
                              </w:r>
                            </w:p>
                          </w:txbxContent>
                        </wps:txbx>
                        <wps:bodyPr rot="0" vert="horz" wrap="square" lIns="91440" tIns="45720" rIns="91440" bIns="45720" anchor="t" anchorCtr="0" upright="1">
                          <a:noAutofit/>
                        </wps:bodyPr>
                      </wps:wsp>
                      <wps:wsp>
                        <wps:cNvPr id="908491468" name="自选图形 18"/>
                        <wps:cNvCnPr>
                          <a:cxnSpLocks noChangeShapeType="1"/>
                        </wps:cNvCnPr>
                        <wps:spPr bwMode="auto">
                          <a:xfrm>
                            <a:off x="1541569" y="188787"/>
                            <a:ext cx="960781" cy="373575"/>
                          </a:xfrm>
                          <a:prstGeom prst="bentConnector2">
                            <a:avLst/>
                          </a:prstGeom>
                          <a:noFill/>
                          <a:ln w="9525" cmpd="sng">
                            <a:solidFill>
                              <a:srgbClr val="000000"/>
                            </a:solidFill>
                            <a:miter lim="800000"/>
                            <a:tailEnd type="arrow" w="med" len="med"/>
                          </a:ln>
                          <a:effectLst/>
                        </wps:spPr>
                        <wps:bodyPr/>
                      </wps:wsp>
                      <wps:wsp>
                        <wps:cNvPr id="1063365481" name="自选图形 22"/>
                        <wps:cNvCnPr>
                          <a:cxnSpLocks noChangeShapeType="1"/>
                          <a:endCxn id="303993710" idx="0"/>
                        </wps:cNvCnPr>
                        <wps:spPr bwMode="auto">
                          <a:xfrm>
                            <a:off x="2502350" y="854343"/>
                            <a:ext cx="5080" cy="868045"/>
                          </a:xfrm>
                          <a:prstGeom prst="straightConnector1">
                            <a:avLst/>
                          </a:prstGeom>
                          <a:noFill/>
                          <a:ln w="9525" cmpd="sng">
                            <a:solidFill>
                              <a:srgbClr val="000000"/>
                            </a:solidFill>
                            <a:miter lim="800000"/>
                            <a:tailEnd type="arrow" w="med" len="med"/>
                          </a:ln>
                          <a:effectLst/>
                        </wps:spPr>
                        <wps:bodyPr/>
                      </wps:wsp>
                      <wps:wsp>
                        <wps:cNvPr id="1976986526" name="自选图形 25"/>
                        <wps:cNvCnPr>
                          <a:cxnSpLocks noChangeShapeType="1"/>
                        </wps:cNvCnPr>
                        <wps:spPr bwMode="auto">
                          <a:xfrm rot="5400000">
                            <a:off x="1703070" y="1823720"/>
                            <a:ext cx="619125" cy="998220"/>
                          </a:xfrm>
                          <a:prstGeom prst="bentConnector3">
                            <a:avLst>
                              <a:gd name="adj1" fmla="val 50000"/>
                            </a:avLst>
                          </a:prstGeom>
                          <a:noFill/>
                          <a:ln w="9525" cmpd="sng">
                            <a:solidFill>
                              <a:srgbClr val="000000"/>
                            </a:solidFill>
                            <a:miter lim="800000"/>
                            <a:tailEnd type="arrow" w="med" len="med"/>
                          </a:ln>
                          <a:effectLst/>
                        </wps:spPr>
                        <wps:bodyPr/>
                      </wps:wsp>
                      <wps:wsp>
                        <wps:cNvPr id="1393173891" name="自选图形 26"/>
                        <wps:cNvCnPr>
                          <a:cxnSpLocks noChangeShapeType="1"/>
                        </wps:cNvCnPr>
                        <wps:spPr bwMode="auto">
                          <a:xfrm rot="5400000" flipV="1">
                            <a:off x="2660650" y="1861185"/>
                            <a:ext cx="621030" cy="920750"/>
                          </a:xfrm>
                          <a:prstGeom prst="bentConnector3">
                            <a:avLst>
                              <a:gd name="adj1" fmla="val 49949"/>
                            </a:avLst>
                          </a:prstGeom>
                          <a:noFill/>
                          <a:ln w="9525" cmpd="sng">
                            <a:solidFill>
                              <a:srgbClr val="000000"/>
                            </a:solidFill>
                            <a:miter lim="800000"/>
                            <a:tailEnd type="arrow" w="med" len="med"/>
                          </a:ln>
                          <a:effectLst/>
                        </wps:spPr>
                        <wps:bodyPr/>
                      </wps:wsp>
                      <wps:wsp>
                        <wps:cNvPr id="2128691018" name="矩形 33"/>
                        <wps:cNvSpPr>
                          <a:spLocks noChangeArrowheads="1"/>
                        </wps:cNvSpPr>
                        <wps:spPr bwMode="auto">
                          <a:xfrm>
                            <a:off x="988695" y="2033905"/>
                            <a:ext cx="1071880" cy="292735"/>
                          </a:xfrm>
                          <a:prstGeom prst="rect">
                            <a:avLst/>
                          </a:prstGeom>
                          <a:noFill/>
                          <a:ln>
                            <a:noFill/>
                          </a:ln>
                          <a:effectLst/>
                        </wps:spPr>
                        <wps:txbx>
                          <w:txbxContent>
                            <w:p w14:paraId="101C350C">
                              <w:pPr>
                                <w:jc w:val="center"/>
                              </w:pPr>
                              <w:r>
                                <w:rPr>
                                  <w:rFonts w:hint="eastAsia"/>
                                </w:rPr>
                                <w:t>钛铁精矿</w:t>
                              </w:r>
                            </w:p>
                          </w:txbxContent>
                        </wps:txbx>
                        <wps:bodyPr rot="0" vert="horz" wrap="square" lIns="91440" tIns="45720" rIns="91440" bIns="45720" anchor="t" anchorCtr="0" upright="1">
                          <a:noAutofit/>
                        </wps:bodyPr>
                      </wps:wsp>
                      <wps:wsp>
                        <wps:cNvPr id="1686920125" name="矩形 34"/>
                        <wps:cNvSpPr>
                          <a:spLocks noChangeArrowheads="1"/>
                        </wps:cNvSpPr>
                        <wps:spPr bwMode="auto">
                          <a:xfrm>
                            <a:off x="3056890" y="2035810"/>
                            <a:ext cx="1068070" cy="292735"/>
                          </a:xfrm>
                          <a:prstGeom prst="rect">
                            <a:avLst/>
                          </a:prstGeom>
                          <a:noFill/>
                          <a:ln>
                            <a:noFill/>
                          </a:ln>
                          <a:effectLst/>
                        </wps:spPr>
                        <wps:txbx>
                          <w:txbxContent>
                            <w:p w14:paraId="1932F332">
                              <w:pPr>
                                <w:jc w:val="center"/>
                              </w:pPr>
                              <w:r>
                                <w:rPr>
                                  <w:rFonts w:hint="eastAsia"/>
                                </w:rPr>
                                <w:t>锆中矿</w:t>
                              </w:r>
                            </w:p>
                          </w:txbxContent>
                        </wps:txbx>
                        <wps:bodyPr rot="0" vert="horz" wrap="square" lIns="91440" tIns="45720" rIns="91440" bIns="45720" anchor="t" anchorCtr="0" upright="1">
                          <a:noAutofit/>
                        </wps:bodyPr>
                      </wps:wsp>
                      <wps:wsp>
                        <wps:cNvPr id="1323892651" name="自选图形 40"/>
                        <wps:cNvCnPr>
                          <a:cxnSpLocks noChangeShapeType="1"/>
                        </wps:cNvCnPr>
                        <wps:spPr bwMode="auto">
                          <a:xfrm flipV="1">
                            <a:off x="2998470" y="460375"/>
                            <a:ext cx="314960" cy="304800"/>
                          </a:xfrm>
                          <a:prstGeom prst="curvedConnector3">
                            <a:avLst>
                              <a:gd name="adj1" fmla="val 50102"/>
                            </a:avLst>
                          </a:prstGeom>
                          <a:noFill/>
                          <a:ln w="9525" cmpd="sng">
                            <a:solidFill>
                              <a:srgbClr val="000000"/>
                            </a:solidFill>
                            <a:prstDash val="dash"/>
                            <a:miter lim="800000"/>
                            <a:tailEnd type="arrow" w="med" len="med"/>
                          </a:ln>
                          <a:effectLst/>
                        </wps:spPr>
                        <wps:bodyPr/>
                      </wps:wsp>
                      <wps:wsp>
                        <wps:cNvPr id="2098041583" name="矩形 41"/>
                        <wps:cNvSpPr>
                          <a:spLocks noChangeArrowheads="1"/>
                        </wps:cNvSpPr>
                        <wps:spPr bwMode="auto">
                          <a:xfrm>
                            <a:off x="3293110" y="154305"/>
                            <a:ext cx="1444625" cy="677545"/>
                          </a:xfrm>
                          <a:prstGeom prst="rect">
                            <a:avLst/>
                          </a:prstGeom>
                          <a:noFill/>
                          <a:ln>
                            <a:noFill/>
                          </a:ln>
                          <a:effectLst/>
                        </wps:spPr>
                        <wps:txbx>
                          <w:txbxContent>
                            <w:p w14:paraId="24B2F70B">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3.98×10</w:t>
                              </w:r>
                              <w:r>
                                <w:rPr>
                                  <w:rFonts w:hint="eastAsia" w:ascii="Times New Roman" w:hAnsi="Times New Roman" w:cs="Times New Roman"/>
                                  <w:vertAlign w:val="superscript"/>
                                </w:rPr>
                                <w:t>11</w:t>
                              </w:r>
                            </w:p>
                            <w:p w14:paraId="00BC3465">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3.53×10</w:t>
                              </w:r>
                              <w:r>
                                <w:rPr>
                                  <w:rFonts w:hint="eastAsia" w:ascii="Times New Roman" w:hAnsi="Times New Roman" w:cs="Times New Roman"/>
                                  <w:vertAlign w:val="superscript"/>
                                </w:rPr>
                                <w:t>11</w:t>
                              </w:r>
                            </w:p>
                            <w:p w14:paraId="4F32C08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4.16×10</w:t>
                              </w:r>
                              <w:r>
                                <w:rPr>
                                  <w:rFonts w:hint="eastAsia" w:ascii="Times New Roman" w:hAnsi="Times New Roman" w:cs="Times New Roman"/>
                                  <w:vertAlign w:val="superscript"/>
                                </w:rPr>
                                <w:t>11</w:t>
                              </w:r>
                            </w:p>
                          </w:txbxContent>
                        </wps:txbx>
                        <wps:bodyPr rot="0" vert="horz" wrap="square" lIns="91440" tIns="45720" rIns="91440" bIns="45720" anchor="t" anchorCtr="0" upright="1">
                          <a:noAutofit/>
                        </wps:bodyPr>
                      </wps:wsp>
                      <wps:wsp>
                        <wps:cNvPr id="738103476" name="矩形 47"/>
                        <wps:cNvSpPr>
                          <a:spLocks noChangeArrowheads="1"/>
                        </wps:cNvSpPr>
                        <wps:spPr bwMode="auto">
                          <a:xfrm>
                            <a:off x="100330" y="1186180"/>
                            <a:ext cx="1828165" cy="280035"/>
                          </a:xfrm>
                          <a:prstGeom prst="rect">
                            <a:avLst/>
                          </a:prstGeom>
                          <a:noFill/>
                          <a:ln>
                            <a:noFill/>
                          </a:ln>
                          <a:effectLst/>
                        </wps:spPr>
                        <wps:txbx>
                          <w:txbxContent>
                            <w:p w14:paraId="5290ABCE">
                              <w:pPr>
                                <w:jc w:val="center"/>
                              </w:pPr>
                              <w:r>
                                <w:rPr>
                                  <w:rFonts w:hint="eastAsia"/>
                                </w:rPr>
                                <w:t>放射性粉尘、氡、γ</w:t>
                              </w:r>
                            </w:p>
                          </w:txbxContent>
                        </wps:txbx>
                        <wps:bodyPr rot="0" vert="horz" wrap="square" lIns="91440" tIns="45720" rIns="91440" bIns="45720" anchor="t" anchorCtr="0" upright="1">
                          <a:noAutofit/>
                        </wps:bodyPr>
                      </wps:wsp>
                      <wps:wsp>
                        <wps:cNvPr id="3" name="自选图形 40"/>
                        <wps:cNvCnPr>
                          <a:cxnSpLocks noChangeShapeType="1"/>
                          <a:stCxn id="1664788932" idx="2"/>
                        </wps:cNvCnPr>
                        <wps:spPr bwMode="auto">
                          <a:xfrm rot="5400000">
                            <a:off x="3108960" y="2933700"/>
                            <a:ext cx="333375" cy="317500"/>
                          </a:xfrm>
                          <a:prstGeom prst="curvedConnector3">
                            <a:avLst>
                              <a:gd name="adj1" fmla="val 50000"/>
                            </a:avLst>
                          </a:prstGeom>
                          <a:noFill/>
                          <a:ln w="9525" cmpd="sng">
                            <a:solidFill>
                              <a:srgbClr val="000000"/>
                            </a:solidFill>
                            <a:prstDash val="dash"/>
                            <a:miter lim="800000"/>
                            <a:tailEnd type="arrow" w="med" len="med"/>
                          </a:ln>
                          <a:effectLst/>
                        </wps:spPr>
                        <wps:bodyPr/>
                      </wps:wsp>
                      <wps:wsp>
                        <wps:cNvPr id="6" name="自选图形 40"/>
                        <wps:cNvCnPr>
                          <a:cxnSpLocks noChangeShapeType="1"/>
                        </wps:cNvCnPr>
                        <wps:spPr bwMode="auto">
                          <a:xfrm rot="5400000">
                            <a:off x="1170940" y="2952750"/>
                            <a:ext cx="333375" cy="317500"/>
                          </a:xfrm>
                          <a:prstGeom prst="curvedConnector3">
                            <a:avLst>
                              <a:gd name="adj1" fmla="val 50000"/>
                            </a:avLst>
                          </a:prstGeom>
                          <a:noFill/>
                          <a:ln w="9525" cmpd="sng">
                            <a:solidFill>
                              <a:srgbClr val="000000"/>
                            </a:solidFill>
                            <a:prstDash val="dash"/>
                            <a:miter lim="800000"/>
                            <a:tailEnd type="arrow" w="med" len="med"/>
                          </a:ln>
                          <a:effectLst/>
                        </wps:spPr>
                        <wps:bodyPr/>
                      </wps:wsp>
                      <wps:wsp>
                        <wps:cNvPr id="13" name="肘形连接符 13"/>
                        <wps:cNvCnPr/>
                        <wps:spPr>
                          <a:xfrm rot="16200000" flipV="1">
                            <a:off x="1847850" y="1227455"/>
                            <a:ext cx="1307465" cy="1505585"/>
                          </a:xfrm>
                          <a:prstGeom prst="bentConnector2">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4" name="肘形连接符 14"/>
                        <wps:cNvCnPr/>
                        <wps:spPr>
                          <a:xfrm rot="16200000" flipV="1">
                            <a:off x="978535" y="1737995"/>
                            <a:ext cx="1172210" cy="628650"/>
                          </a:xfrm>
                          <a:prstGeom prst="bentConnector3">
                            <a:avLst>
                              <a:gd name="adj1" fmla="val 73835"/>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7" name="肘形连接符 17"/>
                        <wps:cNvCnPr/>
                        <wps:spPr>
                          <a:xfrm rot="10800000" flipV="1">
                            <a:off x="1261745" y="699770"/>
                            <a:ext cx="735330" cy="485775"/>
                          </a:xfrm>
                          <a:prstGeom prst="bentConnector2">
                            <a:avLst/>
                          </a:prstGeom>
                          <a:ln>
                            <a:solidFill>
                              <a:schemeClr val="tx1"/>
                            </a:solidFill>
                            <a:prstDash val="sysDot"/>
                            <a:tailEnd type="arrow"/>
                          </a:ln>
                        </wps:spPr>
                        <wps:style>
                          <a:lnRef idx="2">
                            <a:schemeClr val="accent1"/>
                          </a:lnRef>
                          <a:fillRef idx="0">
                            <a:srgbClr val="FFFFFF"/>
                          </a:fillRef>
                          <a:effectRef idx="0">
                            <a:srgbClr val="FFFFFF"/>
                          </a:effectRef>
                          <a:fontRef idx="minor">
                            <a:schemeClr val="tx1"/>
                          </a:fontRef>
                        </wps:style>
                        <wps:bodyPr/>
                      </wps:wsp>
                      <wps:wsp>
                        <wps:cNvPr id="18" name="矩形 41"/>
                        <wps:cNvSpPr>
                          <a:spLocks noChangeArrowheads="1"/>
                        </wps:cNvSpPr>
                        <wps:spPr bwMode="auto">
                          <a:xfrm>
                            <a:off x="2740660" y="3267075"/>
                            <a:ext cx="1444625" cy="677545"/>
                          </a:xfrm>
                          <a:prstGeom prst="rect">
                            <a:avLst/>
                          </a:prstGeom>
                          <a:noFill/>
                          <a:ln>
                            <a:noFill/>
                          </a:ln>
                          <a:effectLst/>
                        </wps:spPr>
                        <wps:txbx>
                          <w:txbxContent>
                            <w:p w14:paraId="3002647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2.11×10</w:t>
                              </w:r>
                              <w:r>
                                <w:rPr>
                                  <w:rFonts w:hint="eastAsia" w:ascii="Times New Roman" w:hAnsi="Times New Roman" w:cs="Times New Roman"/>
                                  <w:vertAlign w:val="superscript"/>
                                </w:rPr>
                                <w:t>11</w:t>
                              </w:r>
                            </w:p>
                            <w:p w14:paraId="66D408E2">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2.34×10</w:t>
                              </w:r>
                              <w:r>
                                <w:rPr>
                                  <w:rFonts w:hint="eastAsia" w:ascii="Times New Roman" w:hAnsi="Times New Roman" w:cs="Times New Roman"/>
                                  <w:vertAlign w:val="superscript"/>
                                </w:rPr>
                                <w:t>11</w:t>
                              </w:r>
                            </w:p>
                            <w:p w14:paraId="6F65AB07">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1.56×10</w:t>
                              </w:r>
                              <w:r>
                                <w:rPr>
                                  <w:rFonts w:hint="eastAsia" w:ascii="Times New Roman" w:hAnsi="Times New Roman" w:cs="Times New Roman"/>
                                  <w:vertAlign w:val="superscript"/>
                                </w:rPr>
                                <w:t>11</w:t>
                              </w:r>
                            </w:p>
                          </w:txbxContent>
                        </wps:txbx>
                        <wps:bodyPr rot="0" vert="horz" wrap="square" lIns="91440" tIns="45720" rIns="91440" bIns="45720" anchor="t" anchorCtr="0" upright="1">
                          <a:noAutofit/>
                        </wps:bodyPr>
                      </wps:wsp>
                      <wps:wsp>
                        <wps:cNvPr id="19" name="矩形 41"/>
                        <wps:cNvSpPr>
                          <a:spLocks noChangeArrowheads="1"/>
                        </wps:cNvSpPr>
                        <wps:spPr bwMode="auto">
                          <a:xfrm>
                            <a:off x="577215" y="3272790"/>
                            <a:ext cx="1444625" cy="677545"/>
                          </a:xfrm>
                          <a:prstGeom prst="rect">
                            <a:avLst/>
                          </a:prstGeom>
                          <a:noFill/>
                          <a:ln>
                            <a:noFill/>
                          </a:ln>
                          <a:effectLst/>
                        </wps:spPr>
                        <wps:txbx>
                          <w:txbxContent>
                            <w:p w14:paraId="1E38461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4.03×10</w:t>
                              </w:r>
                              <w:r>
                                <w:rPr>
                                  <w:rFonts w:hint="eastAsia" w:ascii="Times New Roman" w:hAnsi="Times New Roman" w:cs="Times New Roman"/>
                                  <w:vertAlign w:val="superscript"/>
                                </w:rPr>
                                <w:t>10</w:t>
                              </w:r>
                            </w:p>
                            <w:p w14:paraId="6FE4C10E">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3.75×10</w:t>
                              </w:r>
                              <w:r>
                                <w:rPr>
                                  <w:rFonts w:hint="eastAsia" w:ascii="Times New Roman" w:hAnsi="Times New Roman" w:cs="Times New Roman"/>
                                  <w:vertAlign w:val="superscript"/>
                                </w:rPr>
                                <w:t>10</w:t>
                              </w:r>
                            </w:p>
                            <w:p w14:paraId="35CF2FD8">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4.41×10</w:t>
                              </w:r>
                              <w:r>
                                <w:rPr>
                                  <w:rFonts w:hint="eastAsia" w:ascii="Times New Roman" w:hAnsi="Times New Roman" w:cs="Times New Roman"/>
                                  <w:vertAlign w:val="superscript"/>
                                </w:rPr>
                                <w:t>10</w:t>
                              </w:r>
                            </w:p>
                          </w:txbxContent>
                        </wps:txbx>
                        <wps:bodyPr rot="0" vert="horz" wrap="square" lIns="91440" tIns="45720" rIns="91440" bIns="45720" anchor="t" anchorCtr="0" upright="1">
                          <a:noAutofit/>
                        </wps:bodyPr>
                      </wps:wsp>
                      <wps:wsp>
                        <wps:cNvPr id="20" name="矩形 41"/>
                        <wps:cNvSpPr>
                          <a:spLocks noChangeArrowheads="1"/>
                        </wps:cNvSpPr>
                        <wps:spPr bwMode="auto">
                          <a:xfrm>
                            <a:off x="45085" y="353695"/>
                            <a:ext cx="1444625" cy="677545"/>
                          </a:xfrm>
                          <a:prstGeom prst="rect">
                            <a:avLst/>
                          </a:prstGeom>
                          <a:noFill/>
                          <a:ln>
                            <a:noFill/>
                          </a:ln>
                          <a:effectLst/>
                        </wps:spPr>
                        <wps:txbx>
                          <w:txbxContent>
                            <w:p w14:paraId="782C1C3F">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9.09×10</w:t>
                              </w:r>
                              <w:r>
                                <w:rPr>
                                  <w:rFonts w:hint="eastAsia" w:ascii="Times New Roman" w:hAnsi="Times New Roman" w:cs="Times New Roman"/>
                                  <w:vertAlign w:val="superscript"/>
                                </w:rPr>
                                <w:t>6</w:t>
                              </w:r>
                            </w:p>
                            <w:p w14:paraId="4F44937F">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8.07×10</w:t>
                              </w:r>
                              <w:r>
                                <w:rPr>
                                  <w:rFonts w:hint="eastAsia" w:ascii="Times New Roman" w:hAnsi="Times New Roman" w:cs="Times New Roman"/>
                                  <w:vertAlign w:val="superscript"/>
                                </w:rPr>
                                <w:t>6</w:t>
                              </w:r>
                            </w:p>
                            <w:p w14:paraId="14DB5DA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9.52×10</w:t>
                              </w:r>
                              <w:r>
                                <w:rPr>
                                  <w:rFonts w:hint="eastAsia" w:ascii="Times New Roman" w:hAnsi="Times New Roman" w:cs="Times New Roman"/>
                                  <w:vertAlign w:val="superscript"/>
                                </w:rPr>
                                <w:t>6</w:t>
                              </w:r>
                            </w:p>
                          </w:txbxContent>
                        </wps:txbx>
                        <wps:bodyPr rot="0" vert="horz" wrap="square" lIns="91440" tIns="45720" rIns="91440" bIns="45720" anchor="t" anchorCtr="0" upright="1">
                          <a:noAutofit/>
                        </wps:bodyPr>
                      </wps:wsp>
                      <wps:wsp>
                        <wps:cNvPr id="21" name="自选图形 40"/>
                        <wps:cNvCnPr>
                          <a:cxnSpLocks noChangeShapeType="1"/>
                        </wps:cNvCnPr>
                        <wps:spPr bwMode="auto">
                          <a:xfrm rot="16200000" flipV="1">
                            <a:off x="499745" y="1025525"/>
                            <a:ext cx="241935" cy="184785"/>
                          </a:xfrm>
                          <a:prstGeom prst="curvedConnector3">
                            <a:avLst>
                              <a:gd name="adj1" fmla="val 49869"/>
                            </a:avLst>
                          </a:prstGeom>
                          <a:noFill/>
                          <a:ln w="9525" cmpd="sng">
                            <a:solidFill>
                              <a:srgbClr val="000000"/>
                            </a:solidFill>
                            <a:prstDash val="dash"/>
                            <a:miter lim="800000"/>
                            <a:tailEnd type="arrow" w="med" len="med"/>
                          </a:ln>
                          <a:effectLst/>
                        </wps:spPr>
                        <wps:bodyPr/>
                      </wps:wsp>
                    </wpc:wpc>
                  </a:graphicData>
                </a:graphic>
              </wp:inline>
            </w:drawing>
          </mc:Choice>
          <mc:Fallback>
            <w:pict>
              <v:group id="画布 16" o:spid="_x0000_s1026" o:spt="203" style="height:314.25pt;width:393pt;" coordsize="4991100,3990975" editas="canvas"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MeOF63WAAAABQEAAA8AAAAA&#10;AAAAAQAgAAAAIgAAAGRycy9kb3ducmV2LnhtbFBLAQIUABQAAAAIAIdO4kBWVkeCUggAADs7AAAO&#10;AAAAAAAAAAEAIAAAACUBAABkcnMvZTJvRG9jLnhtbFBLBQYAAAAABgAGAFkBAADpCwAAAAA=&#10;">
                <o:lock v:ext="edit" aspectratio="f"/>
                <v:shape id="画布 16" o:spid="_x0000_s1026" style="position:absolute;left:0;top:0;height:3990975;width:499110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MeOF63WAAAABQEAAA8AAAAAAAAAAQAgAAAAIgAAAGRycy9k&#10;b3ducmV2LnhtbFBLAQIUABQAAAAIAIdO4kACYMrPBwgAAK46AAAOAAAAAAAAAAEAIAAAACUBAABk&#10;cnMvZTJvRG9jLnhtbFBLBQYAAAAABgAGAFkBAACeCwAAAAA=&#10;">
                  <v:fill on="f" focussize="0,0"/>
                  <v:stroke on="f"/>
                  <v:imagedata o:title=""/>
                  <o:lock v:ext="edit" aspectratio="t"/>
                </v:shape>
                <v:rect id="矩形 10" o:spid="_x0000_s1026" o:spt="1" style="position:absolute;left:743185;top:75995;height:295980;width:799184;" fillcolor="#FFFFFF" filled="t" stroked="f" coordsize="21600,21600" o:gfxdata="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F8Im1AAAAAUBAAAPAAAAAAAAAAEAIAAAACIAAABkcnMvZG93bnJldi54&#10;bWxQSwECFAAUAAAACACHTuJAksFVoDcCAABQBAAADgAAAAAAAAABACAAAAAjAQAAZHJzL2Uyb0Rv&#10;Yy54bWxQSwUGAAAAAAYABgBZAQAAzAUAAAAA&#10;">
                  <v:fill on="t" focussize="0,0"/>
                  <v:stroke on="f"/>
                  <v:imagedata o:title=""/>
                  <o:lock v:ext="edit" aspectratio="f"/>
                  <v:textbox>
                    <w:txbxContent>
                      <w:p w14:paraId="0BFA0D99">
                        <w:pPr>
                          <w:jc w:val="center"/>
                        </w:pPr>
                        <w:r>
                          <w:rPr>
                            <w:rFonts w:hint="eastAsia"/>
                          </w:rPr>
                          <w:t>原料毛矿</w:t>
                        </w:r>
                      </w:p>
                    </w:txbxContent>
                  </v:textbox>
                </v:rect>
                <v:rect id="矩形 11" o:spid="_x0000_s1026" o:spt="1" style="position:absolute;left:2023159;top:562362;height:291980;width:958381;"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u4NeNQAAAAF&#10;AQAADwAAAAAAAAABACAAAAAiAAAAZHJzL2Rvd25yZXYueG1sUEsBAhQAFAAAAAgAh07iQHD/0B9Z&#10;AgAApwQAAA4AAAAAAAAAAQAgAAAAIwEAAGRycy9lMm9Eb2MueG1sUEsFBgAAAAAGAAYAWQEAAO4F&#10;AAAAAA==&#10;">
                  <v:fill on="t" focussize="0,0"/>
                  <v:stroke color="#000000" miterlimit="8" joinstyle="miter"/>
                  <v:imagedata o:title=""/>
                  <o:lock v:ext="edit" aspectratio="f"/>
                  <v:textbox>
                    <w:txbxContent>
                      <w:p w14:paraId="766C47C6">
                        <w:pPr>
                          <w:jc w:val="center"/>
                        </w:pPr>
                        <w:r>
                          <w:rPr>
                            <w:rFonts w:hint="eastAsia"/>
                          </w:rPr>
                          <w:t>原料堆场</w:t>
                        </w:r>
                      </w:p>
                    </w:txbxContent>
                  </v:textbox>
                </v:rect>
                <v:rect id="矩形 14" o:spid="_x0000_s1026" o:spt="1" style="position:absolute;left:2031365;top:1722120;height:291465;width:951865;"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C7g141AAAAAUBAAAPAAAA&#10;AAAAAAEAIAAAACIAAABkcnMvZG93bnJldi54bWxQSwECFAAUAAAACACHTuJACuF7PFICAACnBAAA&#10;DgAAAAAAAAABACAAAAAjAQAAZHJzL2Uyb0RvYy54bWxQSwUGAAAAAAYABgBZAQAA5wUAAAAA&#10;">
                  <v:fill on="t" focussize="0,0"/>
                  <v:stroke color="#000000" miterlimit="8" joinstyle="miter"/>
                  <v:imagedata o:title=""/>
                  <o:lock v:ext="edit" aspectratio="f"/>
                  <v:textbox>
                    <w:txbxContent>
                      <w:p w14:paraId="32B46EAB">
                        <w:pPr>
                          <w:jc w:val="center"/>
                        </w:pPr>
                        <w:r>
                          <w:rPr>
                            <w:rFonts w:hint="eastAsia"/>
                          </w:rPr>
                          <w:t>烘干、磁选</w:t>
                        </w:r>
                      </w:p>
                    </w:txbxContent>
                  </v:textbox>
                </v:rect>
                <v:rect id="矩形 15" o:spid="_x0000_s1026" o:spt="1" style="position:absolute;left:1038225;top:2632710;height:290830;width:950595;"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u4NeNQAAAAFAQAA&#10;DwAAAAAAAAABACAAAAAiAAAAZHJzL2Rvd25yZXYueG1sUEsBAhQAFAAAAAgAh07iQLMJJgBWAgAA&#10;pwQAAA4AAAAAAAAAAQAgAAAAIwEAAGRycy9lMm9Eb2MueG1sUEsFBgAAAAAGAAYAWQEAAOsFAAAA&#10;AA==&#10;">
                  <v:fill on="t" focussize="0,0"/>
                  <v:stroke color="#000000" miterlimit="8" joinstyle="miter"/>
                  <v:imagedata o:title=""/>
                  <o:lock v:ext="edit" aspectratio="f"/>
                  <v:textbox>
                    <w:txbxContent>
                      <w:p w14:paraId="45B15A26">
                        <w:pPr>
                          <w:jc w:val="center"/>
                        </w:pPr>
                        <w:r>
                          <w:rPr>
                            <w:rFonts w:hint="eastAsia"/>
                          </w:rPr>
                          <w:t>精矿堆场</w:t>
                        </w:r>
                      </w:p>
                    </w:txbxContent>
                  </v:textbox>
                </v:rect>
                <v:rect id="矩形 16" o:spid="_x0000_s1026" o:spt="1" style="position:absolute;left:2957830;top:2633980;height:292100;width:952500;" fillcolor="#FFFFFF" filled="t" stroked="t" coordsize="21600,21600" o:gfxdata="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u4NeNQAAAAFAQAADwAA&#10;AAAAAAABACAAAAAiAAAAZHJzL2Rvd25yZXYueG1sUEsBAhQAFAAAAAgAh07iQAymh/VTAgAAqAQA&#10;AA4AAAAAAAAAAQAgAAAAIwEAAGRycy9lMm9Eb2MueG1sUEsFBgAAAAAGAAYAWQEAAOgFAAAAAA==&#10;">
                  <v:fill on="t" focussize="0,0"/>
                  <v:stroke color="#000000" miterlimit="8" joinstyle="miter"/>
                  <v:imagedata o:title=""/>
                  <o:lock v:ext="edit" aspectratio="f"/>
                  <v:textbox>
                    <w:txbxContent>
                      <w:p w14:paraId="01B6B7C7">
                        <w:pPr>
                          <w:jc w:val="center"/>
                        </w:pPr>
                        <w:r>
                          <w:rPr>
                            <w:rFonts w:hint="eastAsia"/>
                          </w:rPr>
                          <w:t>锆中矿堆场</w:t>
                        </w:r>
                      </w:p>
                    </w:txbxContent>
                  </v:textbox>
                </v:rect>
                <v:shape id="自选图形 18" o:spid="_x0000_s1026" o:spt="33" type="#_x0000_t33" style="position:absolute;left:1541569;top:188787;height:373575;width:960781;" filled="f" stroked="t" coordsize="21600,21600" o:gfxdata="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8CJJy0wAAAAUBAAAPAAAAAAAAAAEAIAAAACIAAABkcnMvZG93bnJldi54bWxQSwECFAAUAAAA&#10;CACHTuJABNeubiwCAAAaBAAADgAAAAAAAAABACAAAAAiAQAAZHJzL2Uyb0RvYy54bWxQSwUGAAAA&#10;AAYABgBZAQAAwAUAAAAA&#10;">
                  <v:fill on="f" focussize="0,0"/>
                  <v:stroke color="#000000" miterlimit="8" joinstyle="miter" endarrow="open"/>
                  <v:imagedata o:title=""/>
                  <o:lock v:ext="edit" aspectratio="f"/>
                </v:shape>
                <v:shape id="自选图形 22" o:spid="_x0000_s1026" o:spt="32" type="#_x0000_t32" style="position:absolute;left:2502350;top:854343;height:868045;width:5080;" filled="f" stroked="t" coordsize="21600,21600" o:gfxdata="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w5Xu9cAAAAFAQAADwAAAAAAAAABACAAAAAiAAAAZHJz&#10;L2Rvd25yZXYueG1sUEsBAhQAFAAAAAgAh07iQGUNL6Q+AgAAPwQAAA4AAAAAAAAAAQAgAAAAJgEA&#10;AGRycy9lMm9Eb2MueG1sUEsFBgAAAAAGAAYAWQEAANYFAAAAAA==&#10;">
                  <v:fill on="f" focussize="0,0"/>
                  <v:stroke color="#000000" miterlimit="8" joinstyle="miter" endarrow="open"/>
                  <v:imagedata o:title=""/>
                  <o:lock v:ext="edit" aspectratio="f"/>
                </v:shape>
                <v:shape id="自选图形 25" o:spid="_x0000_s1026" o:spt="34" type="#_x0000_t34" style="position:absolute;left:1703070;top:1823720;height:998220;width:619125;rotation:5898240f;" filled="f" stroked="t" coordsize="21600,21600" o:gfxdata="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dQFaNUAAAAFAQAADwAAAAAAAAAB&#10;ACAAAAAiAAAAZHJzL2Rvd25yZXYueG1sUEsBAhQAFAAAAAgAh07iQIg9YG5MAgAAVwQAAA4AAAAA&#10;AAAAAQAgAAAAJAEAAGRycy9lMm9Eb2MueG1sUEsFBgAAAAAGAAYAWQEAAOIFAAAAAA==&#10;" adj="10800">
                  <v:fill on="f" focussize="0,0"/>
                  <v:stroke color="#000000" miterlimit="8" joinstyle="miter" endarrow="open"/>
                  <v:imagedata o:title=""/>
                  <o:lock v:ext="edit" aspectratio="f"/>
                </v:shape>
                <v:shape id="自选图形 26" o:spid="_x0000_s1026" o:spt="34" type="#_x0000_t34" style="position:absolute;left:2660650;top:1861185;flip:y;height:920750;width:621030;rotation:-5898240f;" filled="f" stroked="t" coordsize="21600,21600" o:gfxdata="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SfUY1AAAAAUBAAAP&#10;AAAAAAAAAAEAIAAAACIAAABkcnMvZG93bnJldi54bWxQSwECFAAUAAAACACHTuJAwkFnrlUCAABh&#10;BAAADgAAAAAAAAABACAAAAAjAQAAZHJzL2Uyb0RvYy54bWxQSwUGAAAAAAYABgBZAQAA6gUAAAAA&#10;" adj="10789">
                  <v:fill on="f" focussize="0,0"/>
                  <v:stroke color="#000000" miterlimit="8" joinstyle="miter" endarrow="open"/>
                  <v:imagedata o:title=""/>
                  <o:lock v:ext="edit" aspectratio="f"/>
                </v:shape>
                <v:rect id="矩形 33" o:spid="_x0000_s1026" o:spt="1" style="position:absolute;left:988695;top:2033905;height:292735;width:107188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DUyZpZJQIAACsEAAAOAAAAAAAAAAEAIAAAACUBAABkcnMvZTJvRG9jLnhtbFBLBQYAAAAABgAG&#10;AFkBAAC8BQAAAAA=&#10;">
                  <v:fill on="f" focussize="0,0"/>
                  <v:stroke on="f"/>
                  <v:imagedata o:title=""/>
                  <o:lock v:ext="edit" aspectratio="f"/>
                  <v:textbox>
                    <w:txbxContent>
                      <w:p w14:paraId="101C350C">
                        <w:pPr>
                          <w:jc w:val="center"/>
                        </w:pPr>
                        <w:r>
                          <w:rPr>
                            <w:rFonts w:hint="eastAsia"/>
                          </w:rPr>
                          <w:t>钛铁精矿</w:t>
                        </w:r>
                      </w:p>
                    </w:txbxContent>
                  </v:textbox>
                </v:rect>
                <v:rect id="矩形 34" o:spid="_x0000_s1026" o:spt="1" style="position:absolute;left:3056890;top:2035810;height:292735;width:1068070;"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DcwePKJQIAACwEAAAOAAAAAAAAAAEAIAAAACUBAABkcnMvZTJvRG9jLnhtbFBLBQYAAAAABgAG&#10;AFkBAAC8BQAAAAA=&#10;">
                  <v:fill on="f" focussize="0,0"/>
                  <v:stroke on="f"/>
                  <v:imagedata o:title=""/>
                  <o:lock v:ext="edit" aspectratio="f"/>
                  <v:textbox>
                    <w:txbxContent>
                      <w:p w14:paraId="1932F332">
                        <w:pPr>
                          <w:jc w:val="center"/>
                        </w:pPr>
                        <w:r>
                          <w:rPr>
                            <w:rFonts w:hint="eastAsia"/>
                          </w:rPr>
                          <w:t>锆中矿</w:t>
                        </w:r>
                      </w:p>
                    </w:txbxContent>
                  </v:textbox>
                </v:rect>
                <v:shape id="自选图形 40" o:spid="_x0000_s1026" o:spt="38" type="#_x0000_t38" style="position:absolute;left:2998470;top:460375;flip:y;height:304800;width:314960;" filled="f" stroked="t" coordsize="21600,21600" o:gfxdata="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9tc1P&#10;1QAAAAUBAAAPAAAAAAAAAAEAIAAAACIAAABkcnMvZG93bnJldi54bWxQSwECFAAUAAAACACHTuJA&#10;+5CIoF0CAABsBAAADgAAAAAAAAABACAAAAAkAQAAZHJzL2Uyb0RvYy54bWxQSwUGAAAAAAYABgBZ&#10;AQAA8wUAAAAA&#10;" adj="10822">
                  <v:fill on="f" focussize="0,0"/>
                  <v:stroke color="#000000" miterlimit="8" joinstyle="miter" dashstyle="dash" endarrow="open"/>
                  <v:imagedata o:title=""/>
                  <o:lock v:ext="edit" aspectratio="f"/>
                </v:shape>
                <v:rect id="矩形 41" o:spid="_x0000_s1026" o:spt="1" style="position:absolute;left:3293110;top:15430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eO&#10;F63WAAAABQEAAA8AAAAAAAAAAQAgAAAAIgAAAGRycy9kb3ducmV2LnhtbFBLAQIUABQAAAAIAIdO&#10;4kBYYUs9JQIAACsEAAAOAAAAAAAAAAEAIAAAACUBAABkcnMvZTJvRG9jLnhtbFBLBQYAAAAABgAG&#10;AFkBAAC8BQAAAAA=&#10;">
                  <v:fill on="f" focussize="0,0"/>
                  <v:stroke on="f"/>
                  <v:imagedata o:title=""/>
                  <o:lock v:ext="edit" aspectratio="f"/>
                  <v:textbox>
                    <w:txbxContent>
                      <w:p w14:paraId="24B2F70B">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3.98×10</w:t>
                        </w:r>
                        <w:r>
                          <w:rPr>
                            <w:rFonts w:hint="eastAsia" w:ascii="Times New Roman" w:hAnsi="Times New Roman" w:cs="Times New Roman"/>
                            <w:vertAlign w:val="superscript"/>
                          </w:rPr>
                          <w:t>11</w:t>
                        </w:r>
                      </w:p>
                      <w:p w14:paraId="00BC3465">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3.53×10</w:t>
                        </w:r>
                        <w:r>
                          <w:rPr>
                            <w:rFonts w:hint="eastAsia" w:ascii="Times New Roman" w:hAnsi="Times New Roman" w:cs="Times New Roman"/>
                            <w:vertAlign w:val="superscript"/>
                          </w:rPr>
                          <w:t>11</w:t>
                        </w:r>
                      </w:p>
                      <w:p w14:paraId="4F32C08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4.16×10</w:t>
                        </w:r>
                        <w:r>
                          <w:rPr>
                            <w:rFonts w:hint="eastAsia" w:ascii="Times New Roman" w:hAnsi="Times New Roman" w:cs="Times New Roman"/>
                            <w:vertAlign w:val="superscript"/>
                          </w:rPr>
                          <w:t>11</w:t>
                        </w:r>
                      </w:p>
                    </w:txbxContent>
                  </v:textbox>
                </v:rect>
                <v:rect id="矩形 47" o:spid="_x0000_s1026" o:spt="1" style="position:absolute;left:100330;top:1186180;height:280035;width:182816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44XrdYA&#10;AAAFAQAADwAAAAAAAAABACAAAAAiAAAAZHJzL2Rvd25yZXYueG1sUEsBAhQAFAAAAAgAh07iQGw5&#10;Jm4hAgAAKgQAAA4AAAAAAAAAAQAgAAAAJQEAAGRycy9lMm9Eb2MueG1sUEsFBgAAAAAGAAYAWQEA&#10;ALgFAAAAAA==&#10;">
                  <v:fill on="f" focussize="0,0"/>
                  <v:stroke on="f"/>
                  <v:imagedata o:title=""/>
                  <o:lock v:ext="edit" aspectratio="f"/>
                  <v:textbox>
                    <w:txbxContent>
                      <w:p w14:paraId="5290ABCE">
                        <w:pPr>
                          <w:jc w:val="center"/>
                        </w:pPr>
                        <w:r>
                          <w:rPr>
                            <w:rFonts w:hint="eastAsia"/>
                          </w:rPr>
                          <w:t>放射性粉尘、氡、γ</w:t>
                        </w:r>
                      </w:p>
                    </w:txbxContent>
                  </v:textbox>
                </v:rect>
                <v:shape id="自选图形 40" o:spid="_x0000_s1026" o:spt="38" type="#_x0000_t38" style="position:absolute;left:3108960;top:2933700;height:317500;width:333375;rotation:5898240f;" filled="f" stroked="t" coordsize="21600,21600" o:gfxdata="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F8x/tQAAAAFAQAADwAAAAAAAAABACAAAAAiAAAAZHJzL2Rvd25yZXYueG1sUEsBAhQAFAAA&#10;AAgAh07iQDXRyqllAgAAigQAAA4AAAAAAAAAAQAgAAAAIwEAAGRycy9lMm9Eb2MueG1sUEsFBgAA&#10;AAAGAAYAWQEAAPoFAAAAAA==&#10;" adj="10800">
                  <v:fill on="f" focussize="0,0"/>
                  <v:stroke color="#000000" miterlimit="8" joinstyle="miter" dashstyle="dash" endarrow="open"/>
                  <v:imagedata o:title=""/>
                  <o:lock v:ext="edit" aspectratio="f"/>
                </v:shape>
                <v:shape id="自选图形 40" o:spid="_x0000_s1026" o:spt="38" type="#_x0000_t38" style="position:absolute;left:1170940;top:2952750;height:317500;width:333375;rotation:5898240f;" filled="f" stroked="t" coordsize="21600,21600" o:gfxdata="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F8x/tQAAAAFAQAADwAAAAAA&#10;AAABACAAAAAiAAAAZHJzL2Rvd25yZXYueG1sUEsBAhQAFAAAAAgAh07iQGix1uhQAgAAaAQAAA4A&#10;AAAAAAAAAQAgAAAAIwEAAGRycy9lMm9Eb2MueG1sUEsFBgAAAAAGAAYAWQEAAOUFAAAAAA==&#10;" adj="10800">
                  <v:fill on="f" focussize="0,0"/>
                  <v:stroke color="#000000" miterlimit="8" joinstyle="miter" dashstyle="dash" endarrow="open"/>
                  <v:imagedata o:title=""/>
                  <o:lock v:ext="edit" aspectratio="f"/>
                </v:shape>
                <v:shape id="_x0000_s1026" o:spid="_x0000_s1026" o:spt="33" type="#_x0000_t33" style="position:absolute;left:1847850;top:1227455;flip:y;height:1505585;width:1307465;rotation:5898240f;" filled="f" stroked="t" coordsize="21600,21600" o:gfxdata="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wGVQ1AAA&#10;AAUBAAAPAAAAAAAAAAEAIAAAACIAAABkcnMvZG93bnJldi54bWxQSwECFAAUAAAACACHTuJAEoXV&#10;zCICAAADBAAADgAAAAAAAAABACAAAAAjAQAAZHJzL2Uyb0RvYy54bWxQSwUGAAAAAAYABgBZAQAA&#10;twUAAAAA&#10;">
                  <v:fill on="f" focussize="0,0"/>
                  <v:stroke weight="1pt" color="#000000 [3213]" miterlimit="8" joinstyle="miter" dashstyle="1 1" endarrow="open"/>
                  <v:imagedata o:title=""/>
                  <o:lock v:ext="edit" aspectratio="f"/>
                </v:shape>
                <v:shape id="_x0000_s1026" o:spid="_x0000_s1026" o:spt="34" type="#_x0000_t34" style="position:absolute;left:978535;top:1737995;flip:y;height:628650;width:1172210;rotation:5898240f;" filled="f" stroked="t" coordsize="21600,21600" o:gfxdata="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0CCEr0wAAAAUBAAAPAAAAAAAAAAEAIAAAACIAAABkcnMvZG93bnJl&#10;di54bWxQSwECFAAUAAAACACHTuJAwIk09zsCAAAuBAAADgAAAAAAAAABACAAAAAiAQAAZHJzL2Uy&#10;b0RvYy54bWxQSwUGAAAAAAYABgBZAQAAzwUAAAAA&#10;" adj="15948">
                  <v:fill on="f" focussize="0,0"/>
                  <v:stroke weight="1pt" color="#000000 [3213]" miterlimit="8" joinstyle="miter" dashstyle="1 1" endarrow="open"/>
                  <v:imagedata o:title=""/>
                  <o:lock v:ext="edit" aspectratio="f"/>
                </v:shape>
                <v:shape id="_x0000_s1026" o:spid="_x0000_s1026" o:spt="33" type="#_x0000_t33" style="position:absolute;left:1261745;top:699770;flip:y;height:485775;width:735330;rotation:11796480f;" filled="f" stroked="t" coordsize="21600,21600" o:gfxdata="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MzUy1AAA&#10;AAUBAAAPAAAAAAAAAAEAIAAAACIAAABkcnMvZG93bnJldi54bWxQSwECFAAUAAAACACHTuJAuMNQ&#10;wSICAAAABAAADgAAAAAAAAABACAAAAAjAQAAZHJzL2Uyb0RvYy54bWxQSwUGAAAAAAYABgBZAQAA&#10;twUAAAAA&#10;">
                  <v:fill on="f" focussize="0,0"/>
                  <v:stroke weight="1pt" color="#000000 [3213]" miterlimit="8" joinstyle="miter" dashstyle="1 1" endarrow="open"/>
                  <v:imagedata o:title=""/>
                  <o:lock v:ext="edit" aspectratio="f"/>
                </v:shape>
                <v:rect id="矩形 41" o:spid="_x0000_s1026" o:spt="1" style="position:absolute;left:2740660;top:326707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44XrdYAAAAF&#10;AQAADwAAAAAAAAABACAAAAAiAAAAZHJzL2Rvd25yZXYueG1sUEsBAhQAFAAAAAgAh07iQPJx43oe&#10;AgAAJAQAAA4AAAAAAAAAAQAgAAAAJQEAAGRycy9lMm9Eb2MueG1sUEsFBgAAAAAGAAYAWQEAALUF&#10;AAAAAA==&#10;">
                  <v:fill on="f" focussize="0,0"/>
                  <v:stroke on="f"/>
                  <v:imagedata o:title=""/>
                  <o:lock v:ext="edit" aspectratio="f"/>
                  <v:textbox>
                    <w:txbxContent>
                      <w:p w14:paraId="3002647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2.11×10</w:t>
                        </w:r>
                        <w:r>
                          <w:rPr>
                            <w:rFonts w:hint="eastAsia" w:ascii="Times New Roman" w:hAnsi="Times New Roman" w:cs="Times New Roman"/>
                            <w:vertAlign w:val="superscript"/>
                          </w:rPr>
                          <w:t>11</w:t>
                        </w:r>
                      </w:p>
                      <w:p w14:paraId="66D408E2">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2.34×10</w:t>
                        </w:r>
                        <w:r>
                          <w:rPr>
                            <w:rFonts w:hint="eastAsia" w:ascii="Times New Roman" w:hAnsi="Times New Roman" w:cs="Times New Roman"/>
                            <w:vertAlign w:val="superscript"/>
                          </w:rPr>
                          <w:t>11</w:t>
                        </w:r>
                      </w:p>
                      <w:p w14:paraId="6F65AB07">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1.56×10</w:t>
                        </w:r>
                        <w:r>
                          <w:rPr>
                            <w:rFonts w:hint="eastAsia" w:ascii="Times New Roman" w:hAnsi="Times New Roman" w:cs="Times New Roman"/>
                            <w:vertAlign w:val="superscript"/>
                          </w:rPr>
                          <w:t>11</w:t>
                        </w:r>
                      </w:p>
                    </w:txbxContent>
                  </v:textbox>
                </v:rect>
                <v:rect id="矩形 41" o:spid="_x0000_s1026" o:spt="1" style="position:absolute;left:577215;top:3272790;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jhet1gAAAAUB&#10;AAAPAAAAAAAAAAEAIAAAACIAAABkcnMvZG93bnJldi54bWxQSwECFAAUAAAACACHTuJATBSoVh0C&#10;AAAjBAAADgAAAAAAAAABACAAAAAlAQAAZHJzL2Uyb0RvYy54bWxQSwUGAAAAAAYABgBZAQAAtAUA&#10;AAAA&#10;">
                  <v:fill on="f" focussize="0,0"/>
                  <v:stroke on="f"/>
                  <v:imagedata o:title=""/>
                  <o:lock v:ext="edit" aspectratio="f"/>
                  <v:textbox>
                    <w:txbxContent>
                      <w:p w14:paraId="1E384611">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 xml:space="preserve"> 4.03×10</w:t>
                        </w:r>
                        <w:r>
                          <w:rPr>
                            <w:rFonts w:hint="eastAsia" w:ascii="Times New Roman" w:hAnsi="Times New Roman" w:cs="Times New Roman"/>
                            <w:vertAlign w:val="superscript"/>
                          </w:rPr>
                          <w:t>10</w:t>
                        </w:r>
                      </w:p>
                      <w:p w14:paraId="6FE4C10E">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3.75×10</w:t>
                        </w:r>
                        <w:r>
                          <w:rPr>
                            <w:rFonts w:hint="eastAsia" w:ascii="Times New Roman" w:hAnsi="Times New Roman" w:cs="Times New Roman"/>
                            <w:vertAlign w:val="superscript"/>
                          </w:rPr>
                          <w:t>10</w:t>
                        </w:r>
                      </w:p>
                      <w:p w14:paraId="35CF2FD8">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4.41×10</w:t>
                        </w:r>
                        <w:r>
                          <w:rPr>
                            <w:rFonts w:hint="eastAsia" w:ascii="Times New Roman" w:hAnsi="Times New Roman" w:cs="Times New Roman"/>
                            <w:vertAlign w:val="superscript"/>
                          </w:rPr>
                          <w:t>10</w:t>
                        </w:r>
                      </w:p>
                    </w:txbxContent>
                  </v:textbox>
                </v:rect>
                <v:rect id="矩形 41" o:spid="_x0000_s1026" o:spt="1" style="position:absolute;left:45085;top:353695;height:677545;width:1444625;" filled="f" stroked="f" coordsize="21600,21600" o:gfxdata="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eOF63WAAAABQEA&#10;AA8AAAAAAAAAAQAgAAAAIgAAAGRycy9kb3ducmV2LnhtbFBLAQIUABQAAAAIAIdO4kBnb78cHAIA&#10;ACEEAAAOAAAAAAAAAAEAIAAAACUBAABkcnMvZTJvRG9jLnhtbFBLBQYAAAAABgAGAFkBAACzBQAA&#10;AAA=&#10;">
                  <v:fill on="f" focussize="0,0"/>
                  <v:stroke on="f"/>
                  <v:imagedata o:title=""/>
                  <o:lock v:ext="edit" aspectratio="f"/>
                  <v:textbox>
                    <w:txbxContent>
                      <w:p w14:paraId="782C1C3F">
                        <w:pPr>
                          <w:spacing w:after="0" w:line="240" w:lineRule="auto"/>
                          <w:rPr>
                            <w:rFonts w:ascii="Times New Roman" w:hAnsi="Times New Roman" w:cs="Times New Roman"/>
                          </w:rPr>
                        </w:pPr>
                        <w:r>
                          <w:rPr>
                            <w:rFonts w:ascii="Times New Roman" w:hAnsi="Times New Roman" w:cs="Times New Roman"/>
                            <w:vertAlign w:val="superscript"/>
                          </w:rPr>
                          <w:t>238</w:t>
                        </w:r>
                        <w:r>
                          <w:rPr>
                            <w:rFonts w:ascii="Times New Roman" w:hAnsi="Times New Roman" w:cs="Times New Roman"/>
                          </w:rPr>
                          <w:t>U：</w:t>
                        </w:r>
                        <w:r>
                          <w:rPr>
                            <w:rFonts w:hint="eastAsia" w:ascii="Times New Roman" w:hAnsi="Times New Roman" w:cs="Times New Roman"/>
                          </w:rPr>
                          <w:t>9.09×10</w:t>
                        </w:r>
                        <w:r>
                          <w:rPr>
                            <w:rFonts w:hint="eastAsia" w:ascii="Times New Roman" w:hAnsi="Times New Roman" w:cs="Times New Roman"/>
                            <w:vertAlign w:val="superscript"/>
                          </w:rPr>
                          <w:t>6</w:t>
                        </w:r>
                      </w:p>
                      <w:p w14:paraId="4F44937F">
                        <w:pPr>
                          <w:spacing w:after="0" w:line="240" w:lineRule="auto"/>
                          <w:rPr>
                            <w:rFonts w:ascii="Times New Roman" w:hAnsi="Times New Roman" w:cs="Times New Roman"/>
                          </w:rPr>
                        </w:pPr>
                        <w:r>
                          <w:rPr>
                            <w:rFonts w:ascii="Times New Roman" w:hAnsi="Times New Roman" w:cs="Times New Roman"/>
                            <w:vertAlign w:val="superscript"/>
                          </w:rPr>
                          <w:t>266</w:t>
                        </w:r>
                        <w:r>
                          <w:rPr>
                            <w:rFonts w:ascii="Times New Roman" w:hAnsi="Times New Roman" w:cs="Times New Roman"/>
                          </w:rPr>
                          <w:t>Ra：</w:t>
                        </w:r>
                        <w:r>
                          <w:rPr>
                            <w:rFonts w:hint="eastAsia" w:ascii="Times New Roman" w:hAnsi="Times New Roman" w:cs="Times New Roman"/>
                          </w:rPr>
                          <w:t>8.07×10</w:t>
                        </w:r>
                        <w:r>
                          <w:rPr>
                            <w:rFonts w:hint="eastAsia" w:ascii="Times New Roman" w:hAnsi="Times New Roman" w:cs="Times New Roman"/>
                            <w:vertAlign w:val="superscript"/>
                          </w:rPr>
                          <w:t>6</w:t>
                        </w:r>
                      </w:p>
                      <w:p w14:paraId="14DB5DA9">
                        <w:pPr>
                          <w:spacing w:after="0" w:line="240" w:lineRule="auto"/>
                          <w:rPr>
                            <w:rFonts w:ascii="Times New Roman" w:hAnsi="Times New Roman" w:cs="Times New Roman"/>
                          </w:rPr>
                        </w:pPr>
                        <w:r>
                          <w:rPr>
                            <w:rFonts w:ascii="Times New Roman" w:hAnsi="Times New Roman" w:cs="Times New Roman"/>
                            <w:vertAlign w:val="superscript"/>
                          </w:rPr>
                          <w:t>232</w:t>
                        </w:r>
                        <w:r>
                          <w:rPr>
                            <w:rFonts w:ascii="Times New Roman" w:hAnsi="Times New Roman" w:cs="Times New Roman"/>
                          </w:rPr>
                          <w:t>Th：</w:t>
                        </w:r>
                        <w:r>
                          <w:rPr>
                            <w:rFonts w:hint="eastAsia" w:ascii="Times New Roman" w:hAnsi="Times New Roman" w:cs="Times New Roman"/>
                          </w:rPr>
                          <w:t>9.52×10</w:t>
                        </w:r>
                        <w:r>
                          <w:rPr>
                            <w:rFonts w:hint="eastAsia" w:ascii="Times New Roman" w:hAnsi="Times New Roman" w:cs="Times New Roman"/>
                            <w:vertAlign w:val="superscript"/>
                          </w:rPr>
                          <w:t>6</w:t>
                        </w:r>
                      </w:p>
                    </w:txbxContent>
                  </v:textbox>
                </v:rect>
                <v:shape id="自选图形 40" o:spid="_x0000_s1026" o:spt="38" type="#_x0000_t38" style="position:absolute;left:499745;top:1025525;flip:y;height:184785;width:241935;rotation:5898240f;" filled="f" stroked="t" coordsize="21600,21600" o:gfxdata="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km4&#10;WtUAAAAFAQAADwAAAAAAAAABACAAAAAiAAAAZHJzL2Rvd25yZXYueG1sUEsBAhQAFAAAAAgAh07i&#10;QAx+7sZeAgAAcwQAAA4AAAAAAAAAAQAgAAAAJAEAAGRycy9lMm9Eb2MueG1sUEsFBgAAAAAGAAYA&#10;WQEAAPQFAAAAAA==&#10;" adj="10772">
                  <v:fill on="f" focussize="0,0"/>
                  <v:stroke color="#000000" miterlimit="8" joinstyle="miter" dashstyle="dash" endarrow="open"/>
                  <v:imagedata o:title=""/>
                  <o:lock v:ext="edit" aspectratio="f"/>
                </v:shape>
                <w10:wrap type="none"/>
                <w10:anchorlock/>
              </v:group>
            </w:pict>
          </mc:Fallback>
        </mc:AlternateContent>
      </w:r>
    </w:p>
    <w:p w14:paraId="00052F25">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图2.1-</w:t>
      </w:r>
      <w:r>
        <w:rPr>
          <w:rFonts w:hint="eastAsia" w:ascii="Times New Roman" w:hAnsi="Times New Roman" w:cs="Times New Roman"/>
          <w:b/>
          <w:color w:val="000000" w:themeColor="text1"/>
          <w:spacing w:val="-2"/>
          <w:sz w:val="24"/>
          <w:szCs w:val="24"/>
          <w14:textFill>
            <w14:solidFill>
              <w14:schemeClr w14:val="tx1"/>
            </w14:solidFill>
          </w14:textFill>
        </w:rPr>
        <w:t>3</w:t>
      </w:r>
      <w:r>
        <w:rPr>
          <w:rFonts w:ascii="Times New Roman" w:hAnsi="Times New Roman" w:cs="Times New Roman"/>
          <w:b/>
          <w:color w:val="000000" w:themeColor="text1"/>
          <w:spacing w:val="-2"/>
          <w:sz w:val="24"/>
          <w:szCs w:val="24"/>
          <w14:textFill>
            <w14:solidFill>
              <w14:schemeClr w14:val="tx1"/>
            </w14:solidFill>
          </w14:textFill>
        </w:rPr>
        <w:t xml:space="preserve"> 核素平衡图</w:t>
      </w:r>
    </w:p>
    <w:p w14:paraId="61EE57FC">
      <w:pPr>
        <w:pStyle w:val="2"/>
        <w:rPr>
          <w:color w:val="000000" w:themeColor="text1"/>
          <w14:textFill>
            <w14:solidFill>
              <w14:schemeClr w14:val="tx1"/>
            </w14:solidFill>
          </w14:textFill>
        </w:rPr>
      </w:pPr>
    </w:p>
    <w:p w14:paraId="0FB24B92">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48" w:name="_Toc187653464"/>
      <w:bookmarkStart w:id="49" w:name="_Toc78822651"/>
      <w:r>
        <w:rPr>
          <w:rFonts w:ascii="Times New Roman" w:hAnsi="Times New Roman" w:eastAsia="黑体" w:cs="Times New Roman"/>
          <w:b/>
          <w:bCs/>
          <w:color w:val="000000" w:themeColor="text1"/>
          <w:kern w:val="2"/>
          <w:sz w:val="28"/>
          <w:szCs w:val="32"/>
          <w14:textFill>
            <w14:solidFill>
              <w14:schemeClr w14:val="tx1"/>
            </w14:solidFill>
          </w14:textFill>
        </w:rPr>
        <w:t>废物管理及排放源项</w:t>
      </w:r>
      <w:bookmarkEnd w:id="48"/>
      <w:bookmarkEnd w:id="49"/>
    </w:p>
    <w:p w14:paraId="4609EC6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50" w:name="_Toc78822652"/>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w:t>
      </w:r>
      <w:bookmarkEnd w:id="50"/>
    </w:p>
    <w:p w14:paraId="05BE95B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51" w:name="_Hlk186744908"/>
      <w:r>
        <w:rPr>
          <w:rFonts w:hint="eastAsia" w:ascii="Times New Roman" w:hAnsi="Times New Roman" w:eastAsia="宋体" w:cs="Times New Roman"/>
          <w:color w:val="000000" w:themeColor="text1"/>
          <w:spacing w:val="-2"/>
          <w:sz w:val="24"/>
          <w:szCs w:val="20"/>
          <w14:textFill>
            <w14:solidFill>
              <w14:schemeClr w14:val="tx1"/>
            </w14:solidFill>
          </w14:textFill>
        </w:rPr>
        <w:t>项目气载流出物主要是烘干炉烟气及选矿过程中含放射性核素衰变排出的含有氡及氡子体的放射性废气及含铀、钍粉尘。</w:t>
      </w:r>
      <w:bookmarkEnd w:id="51"/>
      <w:r>
        <w:rPr>
          <w:rFonts w:hint="eastAsia" w:ascii="Times New Roman" w:hAnsi="Times New Roman" w:eastAsia="宋体" w:cs="Times New Roman"/>
          <w:color w:val="000000" w:themeColor="text1"/>
          <w:spacing w:val="-2"/>
          <w:sz w:val="24"/>
          <w:szCs w:val="20"/>
          <w14:textFill>
            <w14:solidFill>
              <w14:schemeClr w14:val="tx1"/>
            </w14:solidFill>
          </w14:textFill>
        </w:rPr>
        <w:t>氡产生源为项目涉及的物料，含铀、钍粉尘主要来源生产车间粉尘。</w:t>
      </w:r>
    </w:p>
    <w:p w14:paraId="7B81673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氡浓度</w:t>
      </w:r>
    </w:p>
    <w:p w14:paraId="41E701B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项目氡浓度根据EJ/T 1090-1998《铀矿冶设施所造成的气态（载）放射性与有毒性源项的确定》中4.2.3及4.2.4进行估算。</w:t>
      </w:r>
    </w:p>
    <w:p w14:paraId="34505E99">
      <w:pPr>
        <w:spacing w:after="0" w:line="360" w:lineRule="auto"/>
        <w:ind w:firstLine="482" w:firstLineChars="200"/>
        <w:rPr>
          <w:rFonts w:ascii="Times New Roman" w:hAnsi="Times New Roman" w:cs="Times New Roman"/>
          <w:b/>
          <w:bCs/>
          <w:color w:val="000000" w:themeColor="text1"/>
          <w:sz w:val="24"/>
          <w:szCs w:val="24"/>
          <w:u w:val="single"/>
          <w14:textFill>
            <w14:solidFill>
              <w14:schemeClr w14:val="tx1"/>
            </w14:solidFill>
          </w14:textFill>
        </w:rPr>
      </w:pPr>
      <w:r>
        <w:rPr>
          <w:rFonts w:hint="eastAsia" w:ascii="Times New Roman" w:hAnsi="Times New Roman" w:cs="Times New Roman"/>
          <w:b/>
          <w:bCs/>
          <w:color w:val="000000" w:themeColor="text1"/>
          <w:sz w:val="24"/>
          <w:szCs w:val="24"/>
          <w:u w:val="single"/>
          <w14:textFill>
            <w14:solidFill>
              <w14:schemeClr w14:val="tx1"/>
            </w14:solidFill>
          </w14:textFill>
        </w:rPr>
        <w:t>（1）氡堆置排放</w:t>
      </w:r>
    </w:p>
    <w:p w14:paraId="4DD06051">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项目原料毛矿、产品精矿、副产品中矿堆置排放采用以下公式进行估算。</w:t>
      </w:r>
    </w:p>
    <w:p w14:paraId="27C9D4E2">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p</m:t>
              </m:r>
              <m:r>
                <m:rPr/>
                <w:rPr>
                  <w:rFonts w:hint="eastAsia"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=3.15×</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7</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t</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d>
            <m:dPr>
              <m:ctrlPr>
                <w:rPr>
                  <w:rFonts w:ascii="Cambria Math" w:hAnsi="Cambria Math"/>
                  <w:i/>
                  <w:color w:val="000000" w:themeColor="text1"/>
                  <w:sz w:val="24"/>
                  <w:szCs w:val="24"/>
                  <w14:textFill>
                    <w14:solidFill>
                      <w14:schemeClr w14:val="tx1"/>
                    </w14:solidFill>
                  </w14:textFill>
                </w:rPr>
              </m:ctrlPr>
            </m:dPr>
            <m:e>
              <m:r>
                <m:rPr/>
                <w:rPr>
                  <w:rFonts w:ascii="Cambria Math" w:hAnsi="Cambria Math"/>
                  <w:color w:val="000000" w:themeColor="text1"/>
                  <w:sz w:val="24"/>
                  <w:szCs w:val="24"/>
                  <w14:textFill>
                    <w14:solidFill>
                      <w14:schemeClr w14:val="tx1"/>
                    </w14:solidFill>
                  </w14:textFill>
                </w:rPr>
                <m:t>1−</m:t>
              </m:r>
              <m:r>
                <m:rPr/>
                <w:rPr>
                  <w:rFonts w:hint="eastAsia" w:ascii="Cambria Math" w:hAnsi="Cambria Math"/>
                  <w:color w:val="000000" w:themeColor="text1"/>
                  <w:sz w:val="24"/>
                  <w:szCs w:val="24"/>
                  <w14:textFill>
                    <w14:solidFill>
                      <w14:schemeClr w14:val="tx1"/>
                    </w14:solidFill>
                  </w14:textFill>
                </w:rPr>
                <m:t>R</m:t>
              </m:r>
              <m:ctrlPr>
                <w:rPr>
                  <w:rFonts w:ascii="Cambria Math" w:hAnsi="Cambria Math"/>
                  <w:i/>
                  <w:color w:val="000000" w:themeColor="text1"/>
                  <w:sz w:val="24"/>
                  <w:szCs w:val="24"/>
                  <w14:textFill>
                    <w14:solidFill>
                      <w14:schemeClr w14:val="tx1"/>
                    </w14:solidFill>
                  </w14:textFill>
                </w:rPr>
              </m:ctrlPr>
            </m:e>
          </m:d>
        </m:oMath>
      </m:oMathPara>
    </w:p>
    <w:p w14:paraId="04F8B40A">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541F9BDE">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S</w:t>
      </w:r>
      <w:r>
        <w:rPr>
          <w:rFonts w:hint="eastAsia" w:ascii="Times New Roman" w:hAnsi="Times New Roman"/>
          <w:color w:val="000000" w:themeColor="text1"/>
          <w:spacing w:val="-2"/>
          <w:sz w:val="24"/>
          <w:szCs w:val="24"/>
          <w:u w:val="single"/>
          <w:vertAlign w:val="subscript"/>
          <w14:textFill>
            <w14:solidFill>
              <w14:schemeClr w14:val="tx1"/>
            </w14:solidFill>
          </w14:textFill>
        </w:rPr>
        <w:t>PR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矿石堆置所导致的</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Rn的年排放量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Bq/a</w:t>
      </w:r>
      <w:r>
        <w:rPr>
          <w:rFonts w:ascii="Times New Roman" w:hAnsi="Times New Roman"/>
          <w:color w:val="000000" w:themeColor="text1"/>
          <w:spacing w:val="-2"/>
          <w:sz w:val="24"/>
          <w:szCs w:val="24"/>
          <w:u w:val="single"/>
          <w14:textFill>
            <w14:solidFill>
              <w14:schemeClr w14:val="tx1"/>
            </w14:solidFill>
          </w14:textFill>
        </w:rPr>
        <w:t>；</w:t>
      </w:r>
    </w:p>
    <w:p w14:paraId="5BAB66A1">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A</w:t>
      </w:r>
      <w:r>
        <w:rPr>
          <w:rFonts w:hint="eastAsia" w:ascii="Times New Roman" w:hAnsi="Times New Roman"/>
          <w:color w:val="000000" w:themeColor="text1"/>
          <w:spacing w:val="-2"/>
          <w:sz w:val="24"/>
          <w:szCs w:val="24"/>
          <w:u w:val="single"/>
          <w:vertAlign w:val="subscript"/>
          <w14:textFill>
            <w14:solidFill>
              <w14:schemeClr w14:val="tx1"/>
            </w14:solidFill>
          </w14:textFill>
        </w:rPr>
        <w:t>t</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堆存暴露面积</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根据项目各物料堆场的占地，采用《煤炭矿石码头粉尘控制设计规范》（JTS-2015）中单堆垛表面积公式进行估算。</w:t>
      </w:r>
    </w:p>
    <w:p w14:paraId="598D21E0">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排放控制系数，根据项目车间的无组织除尘效率取0.895；</w:t>
      </w:r>
    </w:p>
    <w:p w14:paraId="16598417">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w:t>
      </w:r>
      <w:r>
        <w:rPr>
          <w:rFonts w:hint="eastAsia" w:ascii="Times New Roman" w:hAnsi="Times New Roman"/>
          <w:color w:val="000000" w:themeColor="text1"/>
          <w:spacing w:val="-2"/>
          <w:sz w:val="24"/>
          <w:szCs w:val="24"/>
          <w:u w:val="single"/>
          <w:vertAlign w:val="subscript"/>
          <w14:textFill>
            <w14:solidFill>
              <w14:schemeClr w14:val="tx1"/>
            </w14:solidFill>
          </w14:textFill>
        </w:rPr>
        <w:t>p</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堆置排放中</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Rn的排放因子，Bq/（m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w:t>
      </w:r>
    </w:p>
    <w:p w14:paraId="445990F2">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Ep值可采用222Rn的比通量系数方法估算，公式如下：</w:t>
      </w:r>
    </w:p>
    <w:p w14:paraId="3B1A6549">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ascii="Cambria Math" w:hAnsi="Cambria Math"/>
                  <w:color w:val="000000" w:themeColor="text1"/>
                  <w:sz w:val="24"/>
                  <w:szCs w:val="24"/>
                  <w14:textFill>
                    <w14:solidFill>
                      <w14:schemeClr w14:val="tx1"/>
                    </w14:solidFill>
                  </w14:textFill>
                </w:rPr>
                <m:t>p</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B</m:t>
          </m:r>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m:oMathPara>
    </w:p>
    <w:p w14:paraId="7EAC856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3B8678C4">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B</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Rn的比通量系数</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×s)]/[Bq(</w:t>
      </w:r>
      <w:r>
        <w:rPr>
          <w:rFonts w:hint="eastAsia" w:ascii="Times New Roman" w:hAnsi="Times New Roman"/>
          <w:color w:val="000000" w:themeColor="text1"/>
          <w:spacing w:val="-2"/>
          <w:sz w:val="24"/>
          <w:szCs w:val="24"/>
          <w:u w:val="single"/>
          <w:vertAlign w:val="superscript"/>
          <w14:textFill>
            <w14:solidFill>
              <w14:schemeClr w14:val="tx1"/>
            </w14:solidFill>
          </w14:textFill>
        </w:rPr>
        <w:t>226</w:t>
      </w:r>
      <w:r>
        <w:rPr>
          <w:rFonts w:hint="eastAsia" w:ascii="Times New Roman" w:hAnsi="Times New Roman"/>
          <w:color w:val="000000" w:themeColor="text1"/>
          <w:spacing w:val="-2"/>
          <w:sz w:val="24"/>
          <w:szCs w:val="24"/>
          <w:u w:val="single"/>
          <w14:textFill>
            <w14:solidFill>
              <w14:schemeClr w14:val="tx1"/>
            </w14:solidFill>
          </w14:textFill>
        </w:rPr>
        <w:t>Ra)/g]，推荐值为1</w:t>
      </w:r>
      <w:r>
        <w:rPr>
          <w:rFonts w:ascii="Times New Roman" w:hAnsi="Times New Roman"/>
          <w:color w:val="000000" w:themeColor="text1"/>
          <w:spacing w:val="-2"/>
          <w:sz w:val="24"/>
          <w:szCs w:val="24"/>
          <w:u w:val="single"/>
          <w14:textFill>
            <w14:solidFill>
              <w14:schemeClr w14:val="tx1"/>
            </w14:solidFill>
          </w14:textFill>
        </w:rPr>
        <w:t xml:space="preserve">； </w:t>
      </w:r>
    </w:p>
    <w:p w14:paraId="30D3C17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Rn的比活度</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Bq/g。</w:t>
      </w:r>
    </w:p>
    <w:p w14:paraId="2A466FC7">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矿石的C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hint="eastAsia" w:ascii="Times New Roman" w:hAnsi="Times New Roman"/>
          <w:color w:val="000000" w:themeColor="text1"/>
          <w:spacing w:val="-2"/>
          <w:sz w:val="24"/>
          <w:szCs w:val="24"/>
          <w:u w:val="single"/>
          <w14:textFill>
            <w14:solidFill>
              <w14:schemeClr w14:val="tx1"/>
            </w14:solidFill>
          </w14:textFill>
        </w:rPr>
        <w:t>可采用以下公式计算：</w:t>
      </w:r>
    </w:p>
    <w:p w14:paraId="38DEE542">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=1.22×</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4</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η</m:t>
          </m:r>
          <m:r>
            <m:rPr/>
            <w:rPr>
              <w:rFonts w:ascii="Cambria Math" w:hAnsi="Cambria Math"/>
              <w:color w:val="000000" w:themeColor="text1"/>
              <w:sz w:val="24"/>
              <w:szCs w:val="24"/>
              <w14:textFill>
                <w14:solidFill>
                  <w14:schemeClr w14:val="tx1"/>
                </w14:solidFill>
              </w14:textFill>
            </w:rPr>
            <m:t>×</m:t>
          </m:r>
          <m:r>
            <m:rPr/>
            <w:rPr>
              <w:rFonts w:hint="eastAsia" w:ascii="Cambria Math" w:hAnsi="Cambria Math"/>
              <w:color w:val="000000" w:themeColor="text1"/>
              <w:sz w:val="24"/>
              <w:szCs w:val="24"/>
              <w14:textFill>
                <w14:solidFill>
                  <w14:schemeClr w14:val="tx1"/>
                </w14:solidFill>
              </w14:textFill>
            </w:rPr>
            <m:t>k</m:t>
          </m:r>
        </m:oMath>
      </m:oMathPara>
    </w:p>
    <w:p w14:paraId="5A0DDE55">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6117360C">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η</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矿石中天然铀的品位</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根据项目情况取0.03%。</w:t>
      </w:r>
    </w:p>
    <w:p w14:paraId="52815C06">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k</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铀镭平衡系数，k=1为镭处于平衡态，k&lt;1为偏铀态，k&gt;1为偏镭态。</w:t>
      </w:r>
    </w:p>
    <w:p w14:paraId="3768847B">
      <w:pPr>
        <w:spacing w:after="0" w:line="360" w:lineRule="auto"/>
        <w:ind w:firstLine="482" w:firstLineChars="200"/>
        <w:rPr>
          <w:rFonts w:ascii="Times New Roman" w:hAnsi="Times New Roman" w:cs="Times New Roman"/>
          <w:b/>
          <w:bCs/>
          <w:color w:val="000000" w:themeColor="text1"/>
          <w:sz w:val="24"/>
          <w:szCs w:val="24"/>
          <w:u w:val="single"/>
          <w14:textFill>
            <w14:solidFill>
              <w14:schemeClr w14:val="tx1"/>
            </w14:solidFill>
          </w14:textFill>
        </w:rPr>
      </w:pPr>
      <w:r>
        <w:rPr>
          <w:rFonts w:hint="eastAsia" w:ascii="Times New Roman" w:hAnsi="Times New Roman" w:cs="Times New Roman"/>
          <w:b/>
          <w:bCs/>
          <w:color w:val="000000" w:themeColor="text1"/>
          <w:sz w:val="24"/>
          <w:szCs w:val="24"/>
          <w:u w:val="single"/>
          <w14:textFill>
            <w14:solidFill>
              <w14:schemeClr w14:val="tx1"/>
            </w14:solidFill>
          </w14:textFill>
        </w:rPr>
        <w:t>（2）氡工艺加工过程的排放</w:t>
      </w:r>
    </w:p>
    <w:p w14:paraId="66E2E84F">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项目毛矿分选加工工序中，</w:t>
      </w:r>
      <w:r>
        <w:rPr>
          <w:rFonts w:hint="eastAsia" w:ascii="Times New Roman" w:hAnsi="Times New Roman" w:cs="Times New Roman"/>
          <w:color w:val="000000" w:themeColor="text1"/>
          <w:sz w:val="24"/>
          <w:szCs w:val="24"/>
          <w:u w:val="single"/>
          <w:vertAlign w:val="superscript"/>
          <w14:textFill>
            <w14:solidFill>
              <w14:schemeClr w14:val="tx1"/>
            </w14:solidFill>
          </w14:textFill>
        </w:rPr>
        <w:t>222</w:t>
      </w:r>
      <w:r>
        <w:rPr>
          <w:rFonts w:hint="eastAsia" w:ascii="Times New Roman" w:hAnsi="Times New Roman" w:cs="Times New Roman"/>
          <w:color w:val="000000" w:themeColor="text1"/>
          <w:sz w:val="24"/>
          <w:szCs w:val="24"/>
          <w:u w:val="single"/>
          <w14:textFill>
            <w14:solidFill>
              <w14:schemeClr w14:val="tx1"/>
            </w14:solidFill>
          </w14:textFill>
        </w:rPr>
        <w:t>Rn的排放可按下式估算：</w:t>
      </w:r>
    </w:p>
    <w:p w14:paraId="37C7A01C">
      <w:pPr>
        <w:spacing w:line="360" w:lineRule="auto"/>
        <w:ind w:firstLine="480" w:firstLineChars="200"/>
        <w:jc w:val="center"/>
        <w:rPr>
          <w:rFonts w:ascii="Times New Roman" w:hAnsi="Times New Roman"/>
          <w:color w:val="000000" w:themeColor="text1"/>
          <w:sz w:val="24"/>
          <w:szCs w:val="24"/>
          <w14:textFill>
            <w14:solidFill>
              <w14:schemeClr w14:val="tx1"/>
            </w14:solidFill>
          </w14:textFill>
        </w:rPr>
      </w:pPr>
      <m:oMathPara>
        <m:oMath>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S</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aR</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p>
            <m:sSupPr>
              <m:ctrlPr>
                <w:rPr>
                  <w:rFonts w:ascii="Cambria Math" w:hAnsi="Cambria Math"/>
                  <w:i/>
                  <w:color w:val="000000" w:themeColor="text1"/>
                  <w:sz w:val="24"/>
                  <w:szCs w:val="24"/>
                  <w14:textFill>
                    <w14:solidFill>
                      <w14:schemeClr w14:val="tx1"/>
                    </w14:solidFill>
                  </w14:textFill>
                </w:rPr>
              </m:ctrlPr>
            </m:sSupPr>
            <m:e>
              <m:r>
                <m:rPr/>
                <w:rPr>
                  <w:rFonts w:ascii="Cambria Math" w:hAnsi="Cambria Math"/>
                  <w:color w:val="000000" w:themeColor="text1"/>
                  <w:sz w:val="24"/>
                  <w:szCs w:val="24"/>
                  <w14:textFill>
                    <w14:solidFill>
                      <w14:schemeClr w14:val="tx1"/>
                    </w14:solidFill>
                  </w14:textFill>
                </w:rPr>
                <m:t>10</m:t>
              </m:r>
              <m:ctrlPr>
                <w:rPr>
                  <w:rFonts w:ascii="Cambria Math" w:hAnsi="Cambria Math"/>
                  <w:i/>
                  <w:color w:val="000000" w:themeColor="text1"/>
                  <w:sz w:val="24"/>
                  <w:szCs w:val="24"/>
                  <w14:textFill>
                    <w14:solidFill>
                      <w14:schemeClr w14:val="tx1"/>
                    </w14:solidFill>
                  </w14:textFill>
                </w:rPr>
              </m:ctrlPr>
            </m:e>
            <m:sup>
              <m:r>
                <m:rPr/>
                <w:rPr>
                  <w:rFonts w:ascii="Cambria Math" w:hAnsi="Cambria Math"/>
                  <w:color w:val="000000" w:themeColor="text1"/>
                  <w:sz w:val="24"/>
                  <w:szCs w:val="24"/>
                  <w14:textFill>
                    <w14:solidFill>
                      <w14:schemeClr w14:val="tx1"/>
                    </w14:solidFill>
                  </w14:textFill>
                </w:rPr>
                <m:t>4</m:t>
              </m:r>
              <m:ctrlPr>
                <w:rPr>
                  <w:rFonts w:ascii="Cambria Math" w:hAnsi="Cambria Math"/>
                  <w:i/>
                  <w:color w:val="000000" w:themeColor="text1"/>
                  <w:sz w:val="24"/>
                  <w:szCs w:val="24"/>
                  <w14:textFill>
                    <w14:solidFill>
                      <w14:schemeClr w14:val="tx1"/>
                    </w14:solidFill>
                  </w14:textFill>
                </w:rPr>
              </m:ctrlPr>
            </m:sup>
          </m:sSup>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M</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a</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E</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d</m:t>
              </m:r>
              <m:ctrlPr>
                <w:rPr>
                  <w:rFonts w:ascii="Cambria Math" w:hAnsi="Cambria Math"/>
                  <w:i/>
                  <w:color w:val="000000" w:themeColor="text1"/>
                  <w:sz w:val="24"/>
                  <w:szCs w:val="24"/>
                  <w14:textFill>
                    <w14:solidFill>
                      <w14:schemeClr w14:val="tx1"/>
                    </w14:solidFill>
                  </w14:textFill>
                </w:rPr>
              </m:ctrlPr>
            </m:sub>
          </m:sSub>
          <m:r>
            <m:rPr/>
            <w:rPr>
              <w:rFonts w:ascii="Cambria Math" w:hAnsi="Cambria Math"/>
              <w:color w:val="000000" w:themeColor="text1"/>
              <w:sz w:val="24"/>
              <w:szCs w:val="24"/>
              <w14:textFill>
                <w14:solidFill>
                  <w14:schemeClr w14:val="tx1"/>
                </w14:solidFill>
              </w14:textFill>
            </w:rPr>
            <m:t>×</m:t>
          </m:r>
          <m:sSub>
            <m:sSubPr>
              <m:ctrlPr>
                <w:rPr>
                  <w:rFonts w:ascii="Cambria Math" w:hAnsi="Cambria Math"/>
                  <w:i/>
                  <w:color w:val="000000" w:themeColor="text1"/>
                  <w:sz w:val="24"/>
                  <w:szCs w:val="24"/>
                  <w14:textFill>
                    <w14:solidFill>
                      <w14:schemeClr w14:val="tx1"/>
                    </w14:solidFill>
                  </w14:textFill>
                </w:rPr>
              </m:ctrlPr>
            </m:sSubPr>
            <m:e>
              <m:r>
                <m:rPr/>
                <w:rPr>
                  <w:rFonts w:hint="eastAsia" w:ascii="Cambria Math" w:hAnsi="Cambria Math"/>
                  <w:color w:val="000000" w:themeColor="text1"/>
                  <w:sz w:val="24"/>
                  <w:szCs w:val="24"/>
                  <w14:textFill>
                    <w14:solidFill>
                      <w14:schemeClr w14:val="tx1"/>
                    </w14:solidFill>
                  </w14:textFill>
                </w:rPr>
                <m:t>C</m:t>
              </m:r>
              <m:ctrlPr>
                <w:rPr>
                  <w:rFonts w:ascii="Cambria Math" w:hAnsi="Cambria Math"/>
                  <w:i/>
                  <w:color w:val="000000" w:themeColor="text1"/>
                  <w:sz w:val="24"/>
                  <w:szCs w:val="24"/>
                  <w14:textFill>
                    <w14:solidFill>
                      <w14:schemeClr w14:val="tx1"/>
                    </w14:solidFill>
                  </w14:textFill>
                </w:rPr>
              </m:ctrlPr>
            </m:e>
            <m:sub>
              <m:r>
                <m:rPr/>
                <w:rPr>
                  <w:rFonts w:hint="eastAsia" w:ascii="Cambria Math" w:hAnsi="Cambria Math"/>
                  <w:color w:val="000000" w:themeColor="text1"/>
                  <w:sz w:val="24"/>
                  <w:szCs w:val="24"/>
                  <w14:textFill>
                    <w14:solidFill>
                      <w14:schemeClr w14:val="tx1"/>
                    </w14:solidFill>
                  </w14:textFill>
                </w:rPr>
                <m:t>n</m:t>
              </m:r>
              <m:ctrlPr>
                <w:rPr>
                  <w:rFonts w:ascii="Cambria Math" w:hAnsi="Cambria Math"/>
                  <w:i/>
                  <w:color w:val="000000" w:themeColor="text1"/>
                  <w:sz w:val="24"/>
                  <w:szCs w:val="24"/>
                  <w14:textFill>
                    <w14:solidFill>
                      <w14:schemeClr w14:val="tx1"/>
                    </w14:solidFill>
                  </w14:textFill>
                </w:rPr>
              </m:ctrlPr>
            </m:sub>
          </m:sSub>
        </m:oMath>
      </m:oMathPara>
    </w:p>
    <w:p w14:paraId="00562EA3">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ascii="Times New Roman" w:hAnsi="Times New Roman"/>
          <w:color w:val="000000" w:themeColor="text1"/>
          <w:spacing w:val="-2"/>
          <w:sz w:val="24"/>
          <w:szCs w:val="24"/>
          <w:u w:val="single"/>
          <w14:textFill>
            <w14:solidFill>
              <w14:schemeClr w14:val="tx1"/>
            </w14:solidFill>
          </w14:textFill>
        </w:rPr>
        <w:t>式中：</w:t>
      </w:r>
    </w:p>
    <w:p w14:paraId="0547DC3D">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S</w:t>
      </w:r>
      <w:r>
        <w:rPr>
          <w:rFonts w:hint="eastAsia" w:ascii="Times New Roman" w:hAnsi="Times New Roman"/>
          <w:color w:val="000000" w:themeColor="text1"/>
          <w:spacing w:val="-2"/>
          <w:sz w:val="24"/>
          <w:szCs w:val="24"/>
          <w:u w:val="single"/>
          <w:vertAlign w:val="subscript"/>
          <w14:textFill>
            <w14:solidFill>
              <w14:schemeClr w14:val="tx1"/>
            </w14:solidFill>
          </w14:textFill>
        </w:rPr>
        <w:t>aR</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矿石加工工序中，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Rn的年排放量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Bq/a</w:t>
      </w:r>
      <w:r>
        <w:rPr>
          <w:rFonts w:ascii="Times New Roman" w:hAnsi="Times New Roman"/>
          <w:color w:val="000000" w:themeColor="text1"/>
          <w:spacing w:val="-2"/>
          <w:sz w:val="24"/>
          <w:szCs w:val="24"/>
          <w:u w:val="single"/>
          <w14:textFill>
            <w14:solidFill>
              <w14:schemeClr w14:val="tx1"/>
            </w14:solidFill>
          </w14:textFill>
        </w:rPr>
        <w:t>；</w:t>
      </w:r>
    </w:p>
    <w:p w14:paraId="72B0BBB0">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M</w:t>
      </w:r>
      <w:r>
        <w:rPr>
          <w:rFonts w:hint="eastAsia" w:ascii="Times New Roman" w:hAnsi="Times New Roman"/>
          <w:color w:val="000000" w:themeColor="text1"/>
          <w:spacing w:val="-2"/>
          <w:sz w:val="24"/>
          <w:szCs w:val="24"/>
          <w:u w:val="single"/>
          <w:vertAlign w:val="subscript"/>
          <w14:textFill>
            <w14:solidFill>
              <w14:schemeClr w14:val="tx1"/>
            </w14:solidFill>
          </w14:textFill>
        </w:rPr>
        <w:t>a</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年处理矿石总量</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t/a</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取240000t/a；</w:t>
      </w:r>
    </w:p>
    <w:p w14:paraId="67F665EA">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E</w:t>
      </w:r>
      <w:r>
        <w:rPr>
          <w:rFonts w:hint="eastAsia" w:ascii="Times New Roman" w:hAnsi="Times New Roman"/>
          <w:color w:val="000000" w:themeColor="text1"/>
          <w:spacing w:val="-2"/>
          <w:sz w:val="24"/>
          <w:szCs w:val="24"/>
          <w:u w:val="single"/>
          <w:vertAlign w:val="subscript"/>
          <w14:textFill>
            <w14:solidFill>
              <w14:schemeClr w14:val="tx1"/>
            </w14:solidFill>
          </w14:textFill>
        </w:rPr>
        <w:t>d</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加工过程中</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Rn的排放因子，Bq/（m</w:t>
      </w:r>
      <w:r>
        <w:rPr>
          <w:rFonts w:hint="eastAsia" w:ascii="Times New Roman" w:hAnsi="Times New Roman"/>
          <w:color w:val="000000" w:themeColor="text1"/>
          <w:spacing w:val="-2"/>
          <w:sz w:val="24"/>
          <w:szCs w:val="24"/>
          <w:u w:val="single"/>
          <w:vertAlign w:val="superscript"/>
          <w14:textFill>
            <w14:solidFill>
              <w14:schemeClr w14:val="tx1"/>
            </w14:solidFill>
          </w14:textFill>
        </w:rPr>
        <w:t>2</w:t>
      </w:r>
      <w:r>
        <w:rPr>
          <w:rFonts w:hint="eastAsia" w:ascii="Times New Roman" w:hAnsi="Times New Roman"/>
          <w:color w:val="000000" w:themeColor="text1"/>
          <w:spacing w:val="-2"/>
          <w:sz w:val="24"/>
          <w:szCs w:val="24"/>
          <w:u w:val="single"/>
          <w14:textFill>
            <w14:solidFill>
              <w14:schemeClr w14:val="tx1"/>
            </w14:solidFill>
          </w14:textFill>
        </w:rPr>
        <w:t>·s）</w:t>
      </w:r>
    </w:p>
    <w:p w14:paraId="5589EBE8">
      <w:pPr>
        <w:autoSpaceDE w:val="0"/>
        <w:autoSpaceDN w:val="0"/>
        <w:adjustRightInd w:val="0"/>
        <w:spacing w:line="360" w:lineRule="auto"/>
        <w:ind w:firstLine="472" w:firstLineChars="20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C</w:t>
      </w:r>
      <w:r>
        <w:rPr>
          <w:rFonts w:hint="eastAsia" w:ascii="Times New Roman" w:hAnsi="Times New Roman"/>
          <w:color w:val="000000" w:themeColor="text1"/>
          <w:spacing w:val="-2"/>
          <w:sz w:val="24"/>
          <w:szCs w:val="24"/>
          <w:u w:val="single"/>
          <w:vertAlign w:val="subscript"/>
          <w14:textFill>
            <w14:solidFill>
              <w14:schemeClr w14:val="tx1"/>
            </w14:solidFill>
          </w14:textFill>
        </w:rPr>
        <w:t>n</w:t>
      </w:r>
      <w:r>
        <w:rPr>
          <w:rFonts w:ascii="Times New Roman" w:hAnsi="Times New Roman"/>
          <w:color w:val="000000" w:themeColor="text1"/>
          <w:spacing w:val="-2"/>
          <w:sz w:val="24"/>
          <w:szCs w:val="24"/>
          <w:u w:val="single"/>
          <w14:textFill>
            <w14:solidFill>
              <w14:schemeClr w14:val="tx1"/>
            </w14:solidFill>
          </w14:textFill>
        </w:rPr>
        <w:t xml:space="preserve"> ——</w:t>
      </w:r>
      <w:r>
        <w:rPr>
          <w:rFonts w:hint="eastAsia" w:ascii="Times New Roman" w:hAnsi="Times New Roman"/>
          <w:color w:val="000000" w:themeColor="text1"/>
          <w:spacing w:val="-2"/>
          <w:sz w:val="24"/>
          <w:szCs w:val="24"/>
          <w:u w:val="single"/>
          <w14:textFill>
            <w14:solidFill>
              <w14:schemeClr w14:val="tx1"/>
            </w14:solidFill>
          </w14:textFill>
        </w:rPr>
        <w:t>矿石中</w:t>
      </w:r>
      <w:r>
        <w:rPr>
          <w:rFonts w:hint="eastAsia" w:ascii="Times New Roman" w:hAnsi="Times New Roman"/>
          <w:color w:val="000000" w:themeColor="text1"/>
          <w:spacing w:val="-2"/>
          <w:sz w:val="24"/>
          <w:szCs w:val="24"/>
          <w:u w:val="single"/>
          <w:vertAlign w:val="superscript"/>
          <w14:textFill>
            <w14:solidFill>
              <w14:schemeClr w14:val="tx1"/>
            </w14:solidFill>
          </w14:textFill>
        </w:rPr>
        <w:t>222</w:t>
      </w:r>
      <w:r>
        <w:rPr>
          <w:rFonts w:hint="eastAsia" w:ascii="Times New Roman" w:hAnsi="Times New Roman"/>
          <w:color w:val="000000" w:themeColor="text1"/>
          <w:spacing w:val="-2"/>
          <w:sz w:val="24"/>
          <w:szCs w:val="24"/>
          <w:u w:val="single"/>
          <w14:textFill>
            <w14:solidFill>
              <w14:schemeClr w14:val="tx1"/>
            </w14:solidFill>
          </w14:textFill>
        </w:rPr>
        <w:t>Rn的比活度</w:t>
      </w:r>
      <w:r>
        <w:rPr>
          <w:rFonts w:ascii="Times New Roman" w:hAnsi="Times New Roman"/>
          <w:color w:val="000000" w:themeColor="text1"/>
          <w:spacing w:val="-2"/>
          <w:sz w:val="24"/>
          <w:szCs w:val="24"/>
          <w:u w:val="single"/>
          <w14:textFill>
            <w14:solidFill>
              <w14:schemeClr w14:val="tx1"/>
            </w14:solidFill>
          </w14:textFill>
        </w:rPr>
        <w:t>，</w:t>
      </w:r>
      <w:r>
        <w:rPr>
          <w:rFonts w:hint="eastAsia" w:ascii="Times New Roman" w:hAnsi="Times New Roman"/>
          <w:color w:val="000000" w:themeColor="text1"/>
          <w:spacing w:val="-2"/>
          <w:sz w:val="24"/>
          <w:szCs w:val="24"/>
          <w:u w:val="single"/>
          <w14:textFill>
            <w14:solidFill>
              <w14:schemeClr w14:val="tx1"/>
            </w14:solidFill>
          </w14:textFill>
        </w:rPr>
        <w:t>Bq/g。</w:t>
      </w:r>
    </w:p>
    <w:p w14:paraId="37AB7716">
      <w:pPr>
        <w:widowControl w:val="0"/>
        <w:spacing w:after="0" w:line="360" w:lineRule="auto"/>
        <w:ind w:firstLine="472" w:firstLineChars="200"/>
        <w:jc w:val="both"/>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olor w:val="000000" w:themeColor="text1"/>
          <w:spacing w:val="-2"/>
          <w:sz w:val="24"/>
          <w:szCs w:val="24"/>
          <w:u w:val="single"/>
          <w14:textFill>
            <w14:solidFill>
              <w14:schemeClr w14:val="tx1"/>
            </w14:solidFill>
          </w14:textFill>
        </w:rPr>
        <w:t>根据上述公式，项目物料堆置及加工产生的氡排放量见表2.2-1、表2.2-2。项目氡排放总量为4.83×10</w:t>
      </w:r>
      <w:r>
        <w:rPr>
          <w:rFonts w:hint="eastAsia" w:ascii="Times New Roman" w:hAnsi="Times New Roman"/>
          <w:color w:val="000000" w:themeColor="text1"/>
          <w:spacing w:val="-2"/>
          <w:sz w:val="24"/>
          <w:szCs w:val="24"/>
          <w:u w:val="single"/>
          <w:vertAlign w:val="superscript"/>
          <w14:textFill>
            <w14:solidFill>
              <w14:schemeClr w14:val="tx1"/>
            </w14:solidFill>
          </w14:textFill>
        </w:rPr>
        <w:t>10</w:t>
      </w:r>
      <w:r>
        <w:rPr>
          <w:rFonts w:hint="eastAsia" w:ascii="Times New Roman" w:hAnsi="Times New Roman"/>
          <w:color w:val="000000" w:themeColor="text1"/>
          <w:spacing w:val="-2"/>
          <w:sz w:val="24"/>
          <w:szCs w:val="24"/>
          <w:u w:val="single"/>
          <w14:textFill>
            <w14:solidFill>
              <w14:schemeClr w14:val="tx1"/>
            </w14:solidFill>
          </w14:textFill>
        </w:rPr>
        <w:t>Bq/a，即5588.15 Bq/s。项目车间总体积为21228.48m</w:t>
      </w:r>
      <w:r>
        <w:rPr>
          <w:rFonts w:hint="eastAsia" w:ascii="Times New Roman" w:hAnsi="Times New Roman"/>
          <w:color w:val="000000" w:themeColor="text1"/>
          <w:spacing w:val="-2"/>
          <w:sz w:val="24"/>
          <w:szCs w:val="24"/>
          <w:u w:val="single"/>
          <w:vertAlign w:val="superscript"/>
          <w14:textFill>
            <w14:solidFill>
              <w14:schemeClr w14:val="tx1"/>
            </w14:solidFill>
          </w14:textFill>
        </w:rPr>
        <w:t>3</w:t>
      </w:r>
      <w:r>
        <w:rPr>
          <w:rFonts w:hint="eastAsia" w:ascii="Times New Roman" w:hAnsi="Times New Roman"/>
          <w:color w:val="000000" w:themeColor="text1"/>
          <w:spacing w:val="-2"/>
          <w:sz w:val="24"/>
          <w:szCs w:val="24"/>
          <w:u w:val="single"/>
          <w14:textFill>
            <w14:solidFill>
              <w14:schemeClr w14:val="tx1"/>
            </w14:solidFill>
          </w14:textFill>
        </w:rPr>
        <w:t>，每小时换风4次，则项目生产车间产生的氡的浓度为236.91Bq/m</w:t>
      </w:r>
      <w:r>
        <w:rPr>
          <w:rFonts w:hint="eastAsia" w:ascii="Times New Roman" w:hAnsi="Times New Roman"/>
          <w:color w:val="000000" w:themeColor="text1"/>
          <w:spacing w:val="-2"/>
          <w:sz w:val="24"/>
          <w:szCs w:val="24"/>
          <w:u w:val="single"/>
          <w:vertAlign w:val="superscript"/>
          <w14:textFill>
            <w14:solidFill>
              <w14:schemeClr w14:val="tx1"/>
            </w14:solidFill>
          </w14:textFill>
        </w:rPr>
        <w:t>3</w:t>
      </w:r>
      <w:r>
        <w:rPr>
          <w:rFonts w:hint="eastAsia" w:ascii="Times New Roman" w:hAnsi="Times New Roman"/>
          <w:color w:val="000000" w:themeColor="text1"/>
          <w:spacing w:val="-2"/>
          <w:sz w:val="24"/>
          <w:szCs w:val="24"/>
          <w:u w:val="single"/>
          <w14:textFill>
            <w14:solidFill>
              <w14:schemeClr w14:val="tx1"/>
            </w14:solidFill>
          </w14:textFill>
        </w:rPr>
        <w:t>。</w:t>
      </w:r>
    </w:p>
    <w:p w14:paraId="30D8CC6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r>
        <w:rPr>
          <w:rFonts w:ascii="Times New Roman" w:hAnsi="Times New Roman" w:eastAsia="宋体" w:cs="Times New Roman"/>
          <w:b/>
          <w:bCs/>
          <w:color w:val="000000" w:themeColor="text1"/>
          <w:spacing w:val="-2"/>
          <w:sz w:val="24"/>
          <w:szCs w:val="20"/>
          <w14:textFill>
            <w14:solidFill>
              <w14:schemeClr w14:val="tx1"/>
            </w14:solidFill>
          </w14:textFill>
        </w:rPr>
        <w:t>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项目</w:t>
      </w:r>
      <w:r>
        <w:rPr>
          <w:rFonts w:hint="eastAsia" w:ascii="Times New Roman" w:hAnsi="Times New Roman" w:eastAsia="宋体" w:cs="Times New Roman"/>
          <w:b/>
          <w:bCs/>
          <w:color w:val="000000" w:themeColor="text1"/>
          <w:spacing w:val="-2"/>
          <w:sz w:val="24"/>
          <w:szCs w:val="20"/>
          <w14:textFill>
            <w14:solidFill>
              <w14:schemeClr w14:val="tx1"/>
            </w14:solidFill>
          </w14:textFill>
        </w:rPr>
        <w:t>物料堆置氡排放</w:t>
      </w:r>
      <w:r>
        <w:rPr>
          <w:rFonts w:ascii="Times New Roman" w:hAnsi="Times New Roman" w:eastAsia="宋体" w:cs="Times New Roman"/>
          <w:b/>
          <w:bCs/>
          <w:color w:val="000000" w:themeColor="text1"/>
          <w:spacing w:val="-2"/>
          <w:sz w:val="24"/>
          <w:szCs w:val="20"/>
          <w14:textFill>
            <w14:solidFill>
              <w14:schemeClr w14:val="tx1"/>
            </w14:solidFill>
          </w14:textFill>
        </w:rPr>
        <w:t>量</w:t>
      </w:r>
      <w:r>
        <w:rPr>
          <w:rFonts w:hint="eastAsia" w:ascii="Times New Roman" w:hAnsi="Times New Roman" w:eastAsia="宋体" w:cs="Times New Roman"/>
          <w:b/>
          <w:bCs/>
          <w:color w:val="000000" w:themeColor="text1"/>
          <w:spacing w:val="-2"/>
          <w:sz w:val="24"/>
          <w:szCs w:val="20"/>
          <w14:textFill>
            <w14:solidFill>
              <w14:schemeClr w14:val="tx1"/>
            </w14:solidFill>
          </w14:textFill>
        </w:rPr>
        <w:t>预测</w:t>
      </w:r>
      <w:r>
        <w:rPr>
          <w:rFonts w:ascii="Times New Roman" w:hAnsi="Times New Roman" w:eastAsia="宋体" w:cs="Times New Roman"/>
          <w:b/>
          <w:bCs/>
          <w:color w:val="000000" w:themeColor="text1"/>
          <w:spacing w:val="-2"/>
          <w:sz w:val="24"/>
          <w:szCs w:val="20"/>
          <w14:textFill>
            <w14:solidFill>
              <w14:schemeClr w14:val="tx1"/>
            </w14:solidFill>
          </w14:textFill>
        </w:rPr>
        <w:t>结果</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238"/>
        <w:gridCol w:w="1741"/>
        <w:gridCol w:w="1417"/>
        <w:gridCol w:w="1410"/>
        <w:gridCol w:w="1778"/>
      </w:tblGrid>
      <w:tr w14:paraId="44901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1E428A48">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序号</w:t>
            </w:r>
          </w:p>
        </w:tc>
        <w:tc>
          <w:tcPr>
            <w:tcW w:w="1238" w:type="dxa"/>
            <w:vAlign w:val="center"/>
          </w:tcPr>
          <w:p w14:paraId="79BFB2A9">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物料类别</w:t>
            </w:r>
          </w:p>
        </w:tc>
        <w:tc>
          <w:tcPr>
            <w:tcW w:w="1741" w:type="dxa"/>
            <w:vAlign w:val="center"/>
          </w:tcPr>
          <w:p w14:paraId="4A35FAAD">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Rn排放量（Bq/a）</w:t>
            </w:r>
          </w:p>
        </w:tc>
        <w:tc>
          <w:tcPr>
            <w:tcW w:w="1417" w:type="dxa"/>
            <w:vAlign w:val="center"/>
          </w:tcPr>
          <w:p w14:paraId="13DE8D4D">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堆存暴露面积（m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w:t>
            </w:r>
          </w:p>
        </w:tc>
        <w:tc>
          <w:tcPr>
            <w:tcW w:w="1410" w:type="dxa"/>
            <w:vAlign w:val="center"/>
          </w:tcPr>
          <w:p w14:paraId="5BDF7D44">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排放控制系数</w:t>
            </w:r>
          </w:p>
        </w:tc>
        <w:tc>
          <w:tcPr>
            <w:tcW w:w="1778" w:type="dxa"/>
            <w:vAlign w:val="center"/>
          </w:tcPr>
          <w:p w14:paraId="27D57FAF">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Rn排放因子（Bq/m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·s）</w:t>
            </w:r>
          </w:p>
        </w:tc>
      </w:tr>
      <w:tr w14:paraId="7FE22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66FDE64C">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238" w:type="dxa"/>
            <w:vAlign w:val="center"/>
          </w:tcPr>
          <w:p w14:paraId="3578D62A">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毛矿</w:t>
            </w:r>
          </w:p>
        </w:tc>
        <w:tc>
          <w:tcPr>
            <w:tcW w:w="1741" w:type="dxa"/>
            <w:vAlign w:val="center"/>
          </w:tcPr>
          <w:p w14:paraId="77BCD9F4">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8.61×10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230257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710.88</w:t>
            </w:r>
          </w:p>
        </w:tc>
        <w:tc>
          <w:tcPr>
            <w:tcW w:w="1410" w:type="dxa"/>
            <w:vAlign w:val="center"/>
          </w:tcPr>
          <w:p w14:paraId="2BE4D9D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0585FA5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203BB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2142AC91">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p>
        </w:tc>
        <w:tc>
          <w:tcPr>
            <w:tcW w:w="1238" w:type="dxa"/>
            <w:vAlign w:val="center"/>
          </w:tcPr>
          <w:p w14:paraId="15E2F2D9">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精矿</w:t>
            </w:r>
          </w:p>
        </w:tc>
        <w:tc>
          <w:tcPr>
            <w:tcW w:w="1741" w:type="dxa"/>
            <w:vAlign w:val="center"/>
          </w:tcPr>
          <w:p w14:paraId="3E8B1CD7">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4.30×10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79DE2BC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355.24</w:t>
            </w:r>
          </w:p>
        </w:tc>
        <w:tc>
          <w:tcPr>
            <w:tcW w:w="1410" w:type="dxa"/>
            <w:vAlign w:val="center"/>
          </w:tcPr>
          <w:p w14:paraId="5B439DE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4C0CC05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6CD28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2CE5A7F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w:t>
            </w:r>
          </w:p>
        </w:tc>
        <w:tc>
          <w:tcPr>
            <w:tcW w:w="1238" w:type="dxa"/>
            <w:vAlign w:val="center"/>
          </w:tcPr>
          <w:p w14:paraId="0169C6B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锆中矿</w:t>
            </w:r>
          </w:p>
        </w:tc>
        <w:tc>
          <w:tcPr>
            <w:tcW w:w="1741" w:type="dxa"/>
            <w:vAlign w:val="center"/>
          </w:tcPr>
          <w:p w14:paraId="51F80F80">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3.23×10</w:t>
            </w:r>
            <w:r>
              <w:rPr>
                <w:rFonts w:hint="eastAsia" w:ascii="Times New Roman" w:hAnsi="Times New Roman" w:eastAsia="宋体" w:cs="Times New Roman"/>
                <w:color w:val="000000" w:themeColor="text1"/>
                <w:u w:val="single"/>
                <w:vertAlign w:val="superscript"/>
                <w14:textFill>
                  <w14:solidFill>
                    <w14:schemeClr w14:val="tx1"/>
                  </w14:solidFill>
                </w14:textFill>
              </w:rPr>
              <w:t>9</w:t>
            </w:r>
          </w:p>
        </w:tc>
        <w:tc>
          <w:tcPr>
            <w:tcW w:w="1417" w:type="dxa"/>
            <w:vAlign w:val="center"/>
          </w:tcPr>
          <w:p w14:paraId="347778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266.52</w:t>
            </w:r>
          </w:p>
        </w:tc>
        <w:tc>
          <w:tcPr>
            <w:tcW w:w="1410" w:type="dxa"/>
            <w:vAlign w:val="center"/>
          </w:tcPr>
          <w:p w14:paraId="6664BA0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0.895</w:t>
            </w:r>
          </w:p>
        </w:tc>
        <w:tc>
          <w:tcPr>
            <w:tcW w:w="1778" w:type="dxa"/>
            <w:vAlign w:val="center"/>
          </w:tcPr>
          <w:p w14:paraId="4140C50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r w14:paraId="61857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64C02D92">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p>
        </w:tc>
        <w:tc>
          <w:tcPr>
            <w:tcW w:w="1238" w:type="dxa"/>
            <w:vAlign w:val="center"/>
          </w:tcPr>
          <w:p w14:paraId="3BA1202B">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合计</w:t>
            </w:r>
          </w:p>
        </w:tc>
        <w:tc>
          <w:tcPr>
            <w:tcW w:w="1741" w:type="dxa"/>
            <w:vAlign w:val="center"/>
          </w:tcPr>
          <w:p w14:paraId="2F5BDB34">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1.61×10</w:t>
            </w:r>
            <w:r>
              <w:rPr>
                <w:rFonts w:hint="eastAsia" w:ascii="Times New Roman" w:hAnsi="Times New Roman" w:eastAsia="宋体" w:cs="Times New Roman"/>
                <w:color w:val="000000" w:themeColor="text1"/>
                <w:u w:val="single"/>
                <w:vertAlign w:val="superscript"/>
                <w14:textFill>
                  <w14:solidFill>
                    <w14:schemeClr w14:val="tx1"/>
                  </w14:solidFill>
                </w14:textFill>
              </w:rPr>
              <w:t>10</w:t>
            </w:r>
          </w:p>
        </w:tc>
        <w:tc>
          <w:tcPr>
            <w:tcW w:w="1417" w:type="dxa"/>
            <w:vAlign w:val="center"/>
          </w:tcPr>
          <w:p w14:paraId="71F51B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10" w:type="dxa"/>
            <w:vAlign w:val="center"/>
          </w:tcPr>
          <w:p w14:paraId="6330C83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778" w:type="dxa"/>
            <w:vAlign w:val="center"/>
          </w:tcPr>
          <w:p w14:paraId="617F08E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2D965B91">
      <w:pPr>
        <w:widowControl w:val="0"/>
        <w:spacing w:after="0" w:line="360" w:lineRule="auto"/>
        <w:ind w:firstLine="472" w:firstLineChars="200"/>
        <w:jc w:val="both"/>
        <w:rPr>
          <w:rFonts w:ascii="Times New Roman" w:hAnsi="Times New Roman"/>
          <w:color w:val="000000" w:themeColor="text1"/>
          <w:spacing w:val="-2"/>
          <w:sz w:val="24"/>
          <w:szCs w:val="24"/>
          <w:u w:val="single"/>
          <w14:textFill>
            <w14:solidFill>
              <w14:schemeClr w14:val="tx1"/>
            </w14:solidFill>
          </w14:textFill>
        </w:rPr>
      </w:pPr>
    </w:p>
    <w:p w14:paraId="7C4399D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r>
        <w:rPr>
          <w:rFonts w:ascii="Times New Roman" w:hAnsi="Times New Roman" w:eastAsia="宋体" w:cs="Times New Roman"/>
          <w:b/>
          <w:bCs/>
          <w:color w:val="000000" w:themeColor="text1"/>
          <w:spacing w:val="-2"/>
          <w:sz w:val="24"/>
          <w:szCs w:val="20"/>
          <w14:textFill>
            <w14:solidFill>
              <w14:schemeClr w14:val="tx1"/>
            </w14:solidFill>
          </w14:textFill>
        </w:rPr>
        <w:t>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2  </w:t>
      </w:r>
      <w:r>
        <w:rPr>
          <w:rFonts w:ascii="Times New Roman" w:hAnsi="Times New Roman" w:eastAsia="宋体" w:cs="Times New Roman"/>
          <w:b/>
          <w:bCs/>
          <w:color w:val="000000" w:themeColor="text1"/>
          <w:spacing w:val="-2"/>
          <w:sz w:val="24"/>
          <w:szCs w:val="20"/>
          <w14:textFill>
            <w14:solidFill>
              <w14:schemeClr w14:val="tx1"/>
            </w14:solidFill>
          </w14:textFill>
        </w:rPr>
        <w:t>项目</w:t>
      </w:r>
      <w:r>
        <w:rPr>
          <w:rFonts w:hint="eastAsia" w:ascii="Times New Roman" w:hAnsi="Times New Roman" w:eastAsia="宋体" w:cs="Times New Roman"/>
          <w:b/>
          <w:bCs/>
          <w:color w:val="000000" w:themeColor="text1"/>
          <w:spacing w:val="-2"/>
          <w:sz w:val="24"/>
          <w:szCs w:val="20"/>
          <w14:textFill>
            <w14:solidFill>
              <w14:schemeClr w14:val="tx1"/>
            </w14:solidFill>
          </w14:textFill>
        </w:rPr>
        <w:t>毛矿加工氡排放</w:t>
      </w:r>
      <w:r>
        <w:rPr>
          <w:rFonts w:ascii="Times New Roman" w:hAnsi="Times New Roman" w:eastAsia="宋体" w:cs="Times New Roman"/>
          <w:b/>
          <w:bCs/>
          <w:color w:val="000000" w:themeColor="text1"/>
          <w:spacing w:val="-2"/>
          <w:sz w:val="24"/>
          <w:szCs w:val="20"/>
          <w14:textFill>
            <w14:solidFill>
              <w14:schemeClr w14:val="tx1"/>
            </w14:solidFill>
          </w14:textFill>
        </w:rPr>
        <w:t>量</w:t>
      </w:r>
      <w:r>
        <w:rPr>
          <w:rFonts w:hint="eastAsia" w:ascii="Times New Roman" w:hAnsi="Times New Roman" w:eastAsia="宋体" w:cs="Times New Roman"/>
          <w:b/>
          <w:bCs/>
          <w:color w:val="000000" w:themeColor="text1"/>
          <w:spacing w:val="-2"/>
          <w:sz w:val="24"/>
          <w:szCs w:val="20"/>
          <w14:textFill>
            <w14:solidFill>
              <w14:schemeClr w14:val="tx1"/>
            </w14:solidFill>
          </w14:textFill>
        </w:rPr>
        <w:t>预测</w:t>
      </w:r>
      <w:r>
        <w:rPr>
          <w:rFonts w:ascii="Times New Roman" w:hAnsi="Times New Roman" w:eastAsia="宋体" w:cs="Times New Roman"/>
          <w:b/>
          <w:bCs/>
          <w:color w:val="000000" w:themeColor="text1"/>
          <w:spacing w:val="-2"/>
          <w:sz w:val="24"/>
          <w:szCs w:val="20"/>
          <w14:textFill>
            <w14:solidFill>
              <w14:schemeClr w14:val="tx1"/>
            </w14:solidFill>
          </w14:textFill>
        </w:rPr>
        <w:t>结果</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2"/>
        <w:gridCol w:w="1238"/>
        <w:gridCol w:w="1741"/>
        <w:gridCol w:w="1417"/>
        <w:gridCol w:w="1410"/>
        <w:gridCol w:w="1778"/>
      </w:tblGrid>
      <w:tr w14:paraId="467832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4872014F">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序号</w:t>
            </w:r>
          </w:p>
        </w:tc>
        <w:tc>
          <w:tcPr>
            <w:tcW w:w="1238" w:type="dxa"/>
            <w:vAlign w:val="center"/>
          </w:tcPr>
          <w:p w14:paraId="58A907B1">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物料类别</w:t>
            </w:r>
          </w:p>
        </w:tc>
        <w:tc>
          <w:tcPr>
            <w:tcW w:w="1741" w:type="dxa"/>
            <w:vAlign w:val="center"/>
          </w:tcPr>
          <w:p w14:paraId="679902E4">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Rn排放量（Bq/a）</w:t>
            </w:r>
          </w:p>
        </w:tc>
        <w:tc>
          <w:tcPr>
            <w:tcW w:w="1417" w:type="dxa"/>
            <w:vAlign w:val="center"/>
          </w:tcPr>
          <w:p w14:paraId="7410CCC0">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14:textFill>
                  <w14:solidFill>
                    <w14:schemeClr w14:val="tx1"/>
                  </w14:solidFill>
                </w14:textFill>
              </w:rPr>
              <w:t>年处理矿石量（t/a）</w:t>
            </w:r>
          </w:p>
        </w:tc>
        <w:tc>
          <w:tcPr>
            <w:tcW w:w="1410" w:type="dxa"/>
            <w:vAlign w:val="center"/>
          </w:tcPr>
          <w:p w14:paraId="438BDF7B">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Rn比活度（Bq/g）</w:t>
            </w:r>
          </w:p>
        </w:tc>
        <w:tc>
          <w:tcPr>
            <w:tcW w:w="1778" w:type="dxa"/>
            <w:vAlign w:val="center"/>
          </w:tcPr>
          <w:p w14:paraId="680943BA">
            <w:pPr>
              <w:spacing w:after="0" w:line="240" w:lineRule="auto"/>
              <w:jc w:val="center"/>
              <w:rPr>
                <w:rFonts w:ascii="Times New Roman" w:hAnsi="Times New Roman" w:eastAsia="宋体" w:cs="Times New Roman"/>
                <w:b/>
                <w:color w:val="000000" w:themeColor="text1"/>
                <w:u w:val="single"/>
                <w14:textFill>
                  <w14:solidFill>
                    <w14:schemeClr w14:val="tx1"/>
                  </w14:solidFill>
                </w14:textFill>
              </w:rPr>
            </w:pPr>
            <w:r>
              <w:rPr>
                <w:rFonts w:hint="eastAsia" w:ascii="Times New Roman" w:hAnsi="Times New Roman" w:eastAsia="宋体" w:cs="Times New Roman"/>
                <w:b/>
                <w:color w:val="000000" w:themeColor="text1"/>
                <w:u w:val="single"/>
                <w:vertAlign w:val="superscript"/>
                <w14:textFill>
                  <w14:solidFill>
                    <w14:schemeClr w14:val="tx1"/>
                  </w14:solidFill>
                </w14:textFill>
              </w:rPr>
              <w:t>222</w:t>
            </w:r>
            <w:r>
              <w:rPr>
                <w:rFonts w:hint="eastAsia" w:ascii="Times New Roman" w:hAnsi="Times New Roman" w:eastAsia="宋体" w:cs="Times New Roman"/>
                <w:b/>
                <w:color w:val="000000" w:themeColor="text1"/>
                <w:u w:val="single"/>
                <w14:textFill>
                  <w14:solidFill>
                    <w14:schemeClr w14:val="tx1"/>
                  </w14:solidFill>
                </w14:textFill>
              </w:rPr>
              <w:t>Rn排放因子（Bq/m</w:t>
            </w:r>
            <w:r>
              <w:rPr>
                <w:rFonts w:hint="eastAsia" w:ascii="Times New Roman" w:hAnsi="Times New Roman" w:eastAsia="宋体" w:cs="Times New Roman"/>
                <w:b/>
                <w:color w:val="000000" w:themeColor="text1"/>
                <w:u w:val="single"/>
                <w:vertAlign w:val="superscript"/>
                <w14:textFill>
                  <w14:solidFill>
                    <w14:schemeClr w14:val="tx1"/>
                  </w14:solidFill>
                </w14:textFill>
              </w:rPr>
              <w:t>2</w:t>
            </w:r>
            <w:r>
              <w:rPr>
                <w:rFonts w:hint="eastAsia" w:ascii="Times New Roman" w:hAnsi="Times New Roman" w:eastAsia="宋体" w:cs="Times New Roman"/>
                <w:b/>
                <w:color w:val="000000" w:themeColor="text1"/>
                <w:u w:val="single"/>
                <w14:textFill>
                  <w14:solidFill>
                    <w14:schemeClr w14:val="tx1"/>
                  </w14:solidFill>
                </w14:textFill>
              </w:rPr>
              <w:t>·s）</w:t>
            </w:r>
          </w:p>
        </w:tc>
      </w:tr>
      <w:tr w14:paraId="4977D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92" w:type="dxa"/>
            <w:vAlign w:val="center"/>
          </w:tcPr>
          <w:p w14:paraId="0C41C276">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238" w:type="dxa"/>
            <w:vAlign w:val="center"/>
          </w:tcPr>
          <w:p w14:paraId="51CDD021">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毛矿加工</w:t>
            </w:r>
          </w:p>
        </w:tc>
        <w:tc>
          <w:tcPr>
            <w:tcW w:w="1741" w:type="dxa"/>
            <w:vAlign w:val="center"/>
          </w:tcPr>
          <w:p w14:paraId="5FB662B8">
            <w:pPr>
              <w:spacing w:after="0" w:line="240" w:lineRule="auto"/>
              <w:jc w:val="center"/>
              <w:rPr>
                <w:rFonts w:ascii="Times New Roman" w:hAnsi="Times New Roman" w:eastAsia="宋体" w:cs="Times New Roman"/>
                <w:color w:val="000000" w:themeColor="text1"/>
                <w:sz w:val="24"/>
                <w:szCs w:val="24"/>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3.21×10</w:t>
            </w:r>
            <w:r>
              <w:rPr>
                <w:rFonts w:hint="eastAsia" w:ascii="Times New Roman" w:hAnsi="Times New Roman" w:eastAsia="宋体" w:cs="Times New Roman"/>
                <w:color w:val="000000" w:themeColor="text1"/>
                <w:u w:val="single"/>
                <w:vertAlign w:val="superscript"/>
                <w14:textFill>
                  <w14:solidFill>
                    <w14:schemeClr w14:val="tx1"/>
                  </w14:solidFill>
                </w14:textFill>
              </w:rPr>
              <w:t>10</w:t>
            </w:r>
          </w:p>
        </w:tc>
        <w:tc>
          <w:tcPr>
            <w:tcW w:w="1417" w:type="dxa"/>
            <w:vAlign w:val="center"/>
          </w:tcPr>
          <w:p w14:paraId="72F619C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240000</w:t>
            </w:r>
          </w:p>
        </w:tc>
        <w:tc>
          <w:tcPr>
            <w:tcW w:w="1410" w:type="dxa"/>
            <w:vAlign w:val="center"/>
          </w:tcPr>
          <w:p w14:paraId="664838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c>
          <w:tcPr>
            <w:tcW w:w="1778" w:type="dxa"/>
            <w:vAlign w:val="center"/>
          </w:tcPr>
          <w:p w14:paraId="7BA3797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3.66</w:t>
            </w:r>
          </w:p>
        </w:tc>
      </w:tr>
    </w:tbl>
    <w:p w14:paraId="2A02E7EE">
      <w:pPr>
        <w:widowControl w:val="0"/>
        <w:spacing w:after="0" w:line="360" w:lineRule="auto"/>
        <w:ind w:firstLine="361" w:firstLineChars="200"/>
        <w:jc w:val="both"/>
        <w:rPr>
          <w:rFonts w:ascii="Times New Roman" w:hAnsi="Times New Roman" w:cs="Times New Roman"/>
          <w:b/>
          <w:color w:val="000000" w:themeColor="text1"/>
          <w:sz w:val="18"/>
          <w:szCs w:val="18"/>
          <w14:textFill>
            <w14:solidFill>
              <w14:schemeClr w14:val="tx1"/>
            </w14:solidFill>
          </w14:textFill>
        </w:rPr>
      </w:pPr>
    </w:p>
    <w:p w14:paraId="4C88646F">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γ辐射空气吸收剂量率</w:t>
      </w:r>
    </w:p>
    <w:p w14:paraId="2781E1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（1）类比监测结果</w:t>
      </w:r>
    </w:p>
    <w:p w14:paraId="172BE56E">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本专篇采用类比分析的方式进行源项分析。选取广西广保矿业有限公司2020年环境辐射监测数据进行类比分析。</w:t>
      </w:r>
    </w:p>
    <w:p w14:paraId="3FF43898">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广西广保矿业有限公司生产规模为年加工10万吨锆钛矿项目，</w:t>
      </w:r>
      <w:r>
        <w:rPr>
          <w:rFonts w:hint="eastAsia" w:ascii="Times New Roman" w:hAnsi="Times New Roman" w:cs="Times New Roman"/>
          <w:color w:val="000000" w:themeColor="text1"/>
          <w:sz w:val="24"/>
          <w:szCs w:val="24"/>
          <w:u w:val="single"/>
          <w14:textFill>
            <w14:solidFill>
              <w14:schemeClr w14:val="tx1"/>
            </w14:solidFill>
          </w14:textFill>
        </w:rPr>
        <w:t>原料</w:t>
      </w:r>
      <w:r>
        <w:rPr>
          <w:rFonts w:ascii="Times New Roman" w:hAnsi="Times New Roman" w:cs="Times New Roman"/>
          <w:color w:val="000000" w:themeColor="text1"/>
          <w:sz w:val="24"/>
          <w:szCs w:val="24"/>
          <w:u w:val="single"/>
          <w14:textFill>
            <w14:solidFill>
              <w14:schemeClr w14:val="tx1"/>
            </w14:solidFill>
          </w14:textFill>
        </w:rPr>
        <w:t>来自</w:t>
      </w:r>
      <w:r>
        <w:rPr>
          <w:rFonts w:hint="eastAsia" w:ascii="Times New Roman" w:hAnsi="Times New Roman" w:cs="Times New Roman"/>
          <w:color w:val="000000" w:themeColor="text1"/>
          <w:sz w:val="24"/>
          <w:szCs w:val="24"/>
          <w:u w:val="single"/>
          <w14:textFill>
            <w14:solidFill>
              <w14:schemeClr w14:val="tx1"/>
            </w14:solidFill>
          </w14:textFill>
        </w:rPr>
        <w:t>非洲、</w:t>
      </w:r>
      <w:r>
        <w:rPr>
          <w:rFonts w:ascii="Times New Roman" w:hAnsi="Times New Roman" w:cs="Times New Roman"/>
          <w:color w:val="000000" w:themeColor="text1"/>
          <w:sz w:val="24"/>
          <w:szCs w:val="24"/>
          <w:u w:val="single"/>
          <w14:textFill>
            <w14:solidFill>
              <w14:schemeClr w14:val="tx1"/>
            </w14:solidFill>
          </w14:textFill>
        </w:rPr>
        <w:t>越南</w:t>
      </w:r>
      <w:r>
        <w:rPr>
          <w:rFonts w:hint="eastAsia" w:ascii="Times New Roman" w:hAnsi="Times New Roman" w:cs="Times New Roman"/>
          <w:color w:val="000000" w:themeColor="text1"/>
          <w:sz w:val="24"/>
          <w:szCs w:val="24"/>
          <w:u w:val="single"/>
          <w14:textFill>
            <w14:solidFill>
              <w14:schemeClr w14:val="tx1"/>
            </w14:solidFill>
          </w14:textFill>
        </w:rPr>
        <w:t>等地，同样采用物理分选工艺，生产的主要产品为钛铁矿等，与项目生产产品为同类产品。广西广保矿业有限公司与本项目均位于钦州市钦南区，相距气象条件相近，监测期间生产正常运行，监测结果具有可比性。</w:t>
      </w:r>
    </w:p>
    <w:p w14:paraId="3CB0CF2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类比项目生产场所环境γ辐射空气吸收剂量率监测结果见表2.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-4，类比项目周围环境γ辐射空气吸收剂量率监测结果见表2.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-5。</w:t>
      </w:r>
    </w:p>
    <w:p w14:paraId="660922B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-4  类比项目生产场所环境γ辐射空气吸收剂量率监测结果</w:t>
      </w:r>
    </w:p>
    <w:tbl>
      <w:tblPr>
        <w:tblStyle w:val="46"/>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4527"/>
        <w:gridCol w:w="1549"/>
        <w:gridCol w:w="1547"/>
      </w:tblGrid>
      <w:tr w14:paraId="65E89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restart"/>
            <w:vAlign w:val="center"/>
          </w:tcPr>
          <w:p w14:paraId="07852B0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w:t>
            </w:r>
          </w:p>
          <w:p w14:paraId="1AD1A5DC">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w:t>
            </w:r>
          </w:p>
        </w:tc>
        <w:tc>
          <w:tcPr>
            <w:tcW w:w="2665" w:type="pct"/>
            <w:vMerge w:val="restart"/>
            <w:vAlign w:val="center"/>
          </w:tcPr>
          <w:p w14:paraId="77D4A05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点位描述</w:t>
            </w:r>
          </w:p>
        </w:tc>
        <w:tc>
          <w:tcPr>
            <w:tcW w:w="1823" w:type="pct"/>
            <w:gridSpan w:val="2"/>
            <w:vAlign w:val="center"/>
          </w:tcPr>
          <w:p w14:paraId="33191FE0">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γ辐射空气吸收剂量率（nGy/h）</w:t>
            </w:r>
          </w:p>
        </w:tc>
      </w:tr>
      <w:tr w14:paraId="26498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continue"/>
            <w:vAlign w:val="center"/>
          </w:tcPr>
          <w:p w14:paraId="26657436">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2665" w:type="pct"/>
            <w:vMerge w:val="continue"/>
            <w:vAlign w:val="center"/>
          </w:tcPr>
          <w:p w14:paraId="1D28086C">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912" w:type="pct"/>
            <w:vAlign w:val="center"/>
          </w:tcPr>
          <w:p w14:paraId="23D7D1A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平均值</w:t>
            </w:r>
          </w:p>
        </w:tc>
        <w:tc>
          <w:tcPr>
            <w:tcW w:w="911" w:type="pct"/>
            <w:vAlign w:val="center"/>
          </w:tcPr>
          <w:p w14:paraId="2993CDC3">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标准差</w:t>
            </w:r>
          </w:p>
        </w:tc>
      </w:tr>
      <w:tr w14:paraId="27E3C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E7D840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2665" w:type="pct"/>
            <w:vAlign w:val="center"/>
          </w:tcPr>
          <w:p w14:paraId="603E4499">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宿舍楼前道路</w:t>
            </w:r>
          </w:p>
        </w:tc>
        <w:tc>
          <w:tcPr>
            <w:tcW w:w="912" w:type="pct"/>
            <w:vAlign w:val="center"/>
          </w:tcPr>
          <w:p w14:paraId="4FDA95C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168</w:t>
            </w:r>
          </w:p>
        </w:tc>
        <w:tc>
          <w:tcPr>
            <w:tcW w:w="911" w:type="pct"/>
            <w:vAlign w:val="center"/>
          </w:tcPr>
          <w:p w14:paraId="0FB1826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0A806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8D04C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2665" w:type="pct"/>
            <w:vAlign w:val="center"/>
          </w:tcPr>
          <w:p w14:paraId="1A03A7C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公司厂区大门口</w:t>
            </w:r>
          </w:p>
        </w:tc>
        <w:tc>
          <w:tcPr>
            <w:tcW w:w="912" w:type="pct"/>
            <w:vAlign w:val="center"/>
          </w:tcPr>
          <w:p w14:paraId="194787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134</w:t>
            </w:r>
          </w:p>
        </w:tc>
        <w:tc>
          <w:tcPr>
            <w:tcW w:w="911" w:type="pct"/>
            <w:vAlign w:val="center"/>
          </w:tcPr>
          <w:p w14:paraId="68150C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r>
      <w:tr w14:paraId="6244D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ADD7C2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2665" w:type="pct"/>
            <w:vAlign w:val="center"/>
          </w:tcPr>
          <w:p w14:paraId="1DF1DFC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仓库内</w:t>
            </w:r>
          </w:p>
        </w:tc>
        <w:tc>
          <w:tcPr>
            <w:tcW w:w="912" w:type="pct"/>
            <w:vAlign w:val="center"/>
          </w:tcPr>
          <w:p w14:paraId="6321D07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201</w:t>
            </w:r>
          </w:p>
        </w:tc>
        <w:tc>
          <w:tcPr>
            <w:tcW w:w="911" w:type="pct"/>
            <w:vAlign w:val="center"/>
          </w:tcPr>
          <w:p w14:paraId="23467D6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4.4</w:t>
            </w:r>
          </w:p>
        </w:tc>
      </w:tr>
      <w:tr w14:paraId="48D881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5C01CA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2665" w:type="pct"/>
            <w:vAlign w:val="center"/>
          </w:tcPr>
          <w:p w14:paraId="3617AAC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磁选车间门口</w:t>
            </w:r>
          </w:p>
        </w:tc>
        <w:tc>
          <w:tcPr>
            <w:tcW w:w="912" w:type="pct"/>
            <w:vAlign w:val="center"/>
          </w:tcPr>
          <w:p w14:paraId="4500518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238</w:t>
            </w:r>
          </w:p>
        </w:tc>
        <w:tc>
          <w:tcPr>
            <w:tcW w:w="911" w:type="pct"/>
            <w:vAlign w:val="center"/>
          </w:tcPr>
          <w:p w14:paraId="3844F78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w:t>
            </w:r>
          </w:p>
        </w:tc>
      </w:tr>
      <w:tr w14:paraId="3BB7C9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4F5C9A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2665" w:type="pct"/>
            <w:vAlign w:val="center"/>
          </w:tcPr>
          <w:p w14:paraId="5446335B">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磁选车间北侧空地</w:t>
            </w:r>
          </w:p>
        </w:tc>
        <w:tc>
          <w:tcPr>
            <w:tcW w:w="912" w:type="pct"/>
            <w:vAlign w:val="center"/>
          </w:tcPr>
          <w:p w14:paraId="242D178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189</w:t>
            </w:r>
          </w:p>
        </w:tc>
        <w:tc>
          <w:tcPr>
            <w:tcW w:w="911" w:type="pct"/>
            <w:vAlign w:val="center"/>
          </w:tcPr>
          <w:p w14:paraId="70EC7E5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3.1</w:t>
            </w:r>
          </w:p>
        </w:tc>
      </w:tr>
      <w:tr w14:paraId="57814A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4C6144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2665" w:type="pct"/>
            <w:vAlign w:val="center"/>
          </w:tcPr>
          <w:p w14:paraId="0E05520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摇床车间东侧空地</w:t>
            </w:r>
          </w:p>
        </w:tc>
        <w:tc>
          <w:tcPr>
            <w:tcW w:w="912" w:type="pct"/>
            <w:vAlign w:val="center"/>
          </w:tcPr>
          <w:p w14:paraId="7D285C4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154</w:t>
            </w:r>
          </w:p>
        </w:tc>
        <w:tc>
          <w:tcPr>
            <w:tcW w:w="911" w:type="pct"/>
            <w:vAlign w:val="center"/>
          </w:tcPr>
          <w:p w14:paraId="106A426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1500F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613BA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2665" w:type="pct"/>
            <w:vAlign w:val="center"/>
          </w:tcPr>
          <w:p w14:paraId="0DD3D0B2">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摇床车间中央操作位</w:t>
            </w:r>
          </w:p>
        </w:tc>
        <w:tc>
          <w:tcPr>
            <w:tcW w:w="912" w:type="pct"/>
            <w:vAlign w:val="center"/>
          </w:tcPr>
          <w:p w14:paraId="11F9FA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262</w:t>
            </w:r>
          </w:p>
        </w:tc>
        <w:tc>
          <w:tcPr>
            <w:tcW w:w="911" w:type="pct"/>
            <w:vAlign w:val="center"/>
          </w:tcPr>
          <w:p w14:paraId="3E13B48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2.3</w:t>
            </w:r>
          </w:p>
        </w:tc>
      </w:tr>
      <w:tr w14:paraId="22311A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25F38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8</w:t>
            </w:r>
          </w:p>
        </w:tc>
        <w:tc>
          <w:tcPr>
            <w:tcW w:w="2665" w:type="pct"/>
            <w:vAlign w:val="center"/>
          </w:tcPr>
          <w:p w14:paraId="7A16771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摇床车间西侧晒场</w:t>
            </w:r>
          </w:p>
        </w:tc>
        <w:tc>
          <w:tcPr>
            <w:tcW w:w="912" w:type="pct"/>
            <w:vAlign w:val="center"/>
          </w:tcPr>
          <w:p w14:paraId="4AE4902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397</w:t>
            </w:r>
          </w:p>
        </w:tc>
        <w:tc>
          <w:tcPr>
            <w:tcW w:w="911" w:type="pct"/>
            <w:vAlign w:val="center"/>
          </w:tcPr>
          <w:p w14:paraId="3D7A919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3.7</w:t>
            </w:r>
          </w:p>
        </w:tc>
      </w:tr>
      <w:tr w14:paraId="13EBF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0CE267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w:t>
            </w:r>
          </w:p>
        </w:tc>
        <w:tc>
          <w:tcPr>
            <w:tcW w:w="2665" w:type="pct"/>
            <w:vAlign w:val="center"/>
          </w:tcPr>
          <w:p w14:paraId="0FA5E57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锆英车间内西侧空地</w:t>
            </w:r>
          </w:p>
        </w:tc>
        <w:tc>
          <w:tcPr>
            <w:tcW w:w="912" w:type="pct"/>
            <w:vAlign w:val="center"/>
          </w:tcPr>
          <w:p w14:paraId="6A61D2D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739</w:t>
            </w:r>
          </w:p>
        </w:tc>
        <w:tc>
          <w:tcPr>
            <w:tcW w:w="911" w:type="pct"/>
            <w:vAlign w:val="center"/>
          </w:tcPr>
          <w:p w14:paraId="45E2413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w:t>
            </w:r>
          </w:p>
        </w:tc>
      </w:tr>
      <w:tr w14:paraId="626CA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DCCBCE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w:t>
            </w:r>
          </w:p>
        </w:tc>
        <w:tc>
          <w:tcPr>
            <w:tcW w:w="2665" w:type="pct"/>
            <w:vAlign w:val="center"/>
          </w:tcPr>
          <w:p w14:paraId="12783EF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锆英车间南侧2m</w:t>
            </w:r>
          </w:p>
        </w:tc>
        <w:tc>
          <w:tcPr>
            <w:tcW w:w="912" w:type="pct"/>
            <w:vAlign w:val="center"/>
          </w:tcPr>
          <w:p w14:paraId="2A13668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45517E7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w:t>
            </w:r>
          </w:p>
        </w:tc>
      </w:tr>
      <w:tr w14:paraId="761B2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E0540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w:t>
            </w:r>
          </w:p>
        </w:tc>
        <w:tc>
          <w:tcPr>
            <w:tcW w:w="2665" w:type="pct"/>
            <w:vAlign w:val="center"/>
          </w:tcPr>
          <w:p w14:paraId="2A9051CC">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中矿晒场</w:t>
            </w:r>
          </w:p>
        </w:tc>
        <w:tc>
          <w:tcPr>
            <w:tcW w:w="912" w:type="pct"/>
            <w:vAlign w:val="center"/>
          </w:tcPr>
          <w:p w14:paraId="7D9EC44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562</w:t>
            </w:r>
          </w:p>
        </w:tc>
        <w:tc>
          <w:tcPr>
            <w:tcW w:w="911" w:type="pct"/>
            <w:vAlign w:val="center"/>
          </w:tcPr>
          <w:p w14:paraId="4EDC57A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4.1</w:t>
            </w:r>
          </w:p>
        </w:tc>
      </w:tr>
      <w:tr w14:paraId="3BE9A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9CD982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w:t>
            </w:r>
          </w:p>
        </w:tc>
        <w:tc>
          <w:tcPr>
            <w:tcW w:w="2665" w:type="pct"/>
            <w:vAlign w:val="center"/>
          </w:tcPr>
          <w:p w14:paraId="2F51D42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金红车间内北侧空地</w:t>
            </w:r>
          </w:p>
        </w:tc>
        <w:tc>
          <w:tcPr>
            <w:tcW w:w="912" w:type="pct"/>
            <w:vAlign w:val="center"/>
          </w:tcPr>
          <w:p w14:paraId="71457F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1.03×10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1249FFD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6.8</w:t>
            </w:r>
          </w:p>
        </w:tc>
      </w:tr>
      <w:tr w14:paraId="262968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EBF8BF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w:t>
            </w:r>
          </w:p>
        </w:tc>
        <w:tc>
          <w:tcPr>
            <w:tcW w:w="2665" w:type="pct"/>
            <w:vAlign w:val="center"/>
          </w:tcPr>
          <w:p w14:paraId="656961A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金红车间内南侧空地</w:t>
            </w:r>
          </w:p>
        </w:tc>
        <w:tc>
          <w:tcPr>
            <w:tcW w:w="912" w:type="pct"/>
            <w:vAlign w:val="center"/>
          </w:tcPr>
          <w:p w14:paraId="16D495E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303</w:t>
            </w:r>
          </w:p>
        </w:tc>
        <w:tc>
          <w:tcPr>
            <w:tcW w:w="911" w:type="pct"/>
            <w:vAlign w:val="center"/>
          </w:tcPr>
          <w:p w14:paraId="748826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3.1</w:t>
            </w:r>
          </w:p>
        </w:tc>
      </w:tr>
      <w:tr w14:paraId="70D8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D90D4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w:t>
            </w:r>
          </w:p>
        </w:tc>
        <w:tc>
          <w:tcPr>
            <w:tcW w:w="2665" w:type="pct"/>
            <w:vAlign w:val="center"/>
          </w:tcPr>
          <w:p w14:paraId="5847A5C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金红车间南侧门外空地</w:t>
            </w:r>
          </w:p>
        </w:tc>
        <w:tc>
          <w:tcPr>
            <w:tcW w:w="912" w:type="pct"/>
            <w:vAlign w:val="center"/>
          </w:tcPr>
          <w:p w14:paraId="4FB0BD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123</w:t>
            </w:r>
          </w:p>
        </w:tc>
        <w:tc>
          <w:tcPr>
            <w:tcW w:w="911" w:type="pct"/>
            <w:vAlign w:val="center"/>
          </w:tcPr>
          <w:p w14:paraId="4A4FC22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2.4</w:t>
            </w:r>
          </w:p>
        </w:tc>
      </w:tr>
      <w:tr w14:paraId="1FAF62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1AF88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15</w:t>
            </w:r>
          </w:p>
        </w:tc>
        <w:tc>
          <w:tcPr>
            <w:tcW w:w="2665" w:type="pct"/>
            <w:vAlign w:val="center"/>
          </w:tcPr>
          <w:p w14:paraId="360C7D4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毛矿晒场</w:t>
            </w:r>
          </w:p>
        </w:tc>
        <w:tc>
          <w:tcPr>
            <w:tcW w:w="912" w:type="pct"/>
            <w:vAlign w:val="center"/>
          </w:tcPr>
          <w:p w14:paraId="182F43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383</w:t>
            </w:r>
          </w:p>
        </w:tc>
        <w:tc>
          <w:tcPr>
            <w:tcW w:w="911" w:type="pct"/>
            <w:vAlign w:val="center"/>
          </w:tcPr>
          <w:p w14:paraId="6847A5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w:t>
            </w:r>
          </w:p>
        </w:tc>
      </w:tr>
      <w:tr w14:paraId="0711B6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655B8C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w:t>
            </w:r>
          </w:p>
        </w:tc>
        <w:tc>
          <w:tcPr>
            <w:tcW w:w="2665" w:type="pct"/>
            <w:vAlign w:val="center"/>
          </w:tcPr>
          <w:p w14:paraId="419F7E9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烘干炉出口</w:t>
            </w:r>
          </w:p>
        </w:tc>
        <w:tc>
          <w:tcPr>
            <w:tcW w:w="912" w:type="pct"/>
            <w:vAlign w:val="center"/>
          </w:tcPr>
          <w:p w14:paraId="1EC94DB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610</w:t>
            </w:r>
          </w:p>
        </w:tc>
        <w:tc>
          <w:tcPr>
            <w:tcW w:w="911" w:type="pct"/>
            <w:vAlign w:val="center"/>
          </w:tcPr>
          <w:p w14:paraId="2BB62E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4.4</w:t>
            </w:r>
          </w:p>
        </w:tc>
      </w:tr>
      <w:tr w14:paraId="25276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D84470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17</w:t>
            </w:r>
          </w:p>
        </w:tc>
        <w:tc>
          <w:tcPr>
            <w:tcW w:w="2665" w:type="pct"/>
            <w:vAlign w:val="center"/>
          </w:tcPr>
          <w:p w14:paraId="66A4F4B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金红车间测氡点</w:t>
            </w:r>
          </w:p>
        </w:tc>
        <w:tc>
          <w:tcPr>
            <w:tcW w:w="912" w:type="pct"/>
            <w:vAlign w:val="center"/>
          </w:tcPr>
          <w:p w14:paraId="614CD3E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5B6AA42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w:t>
            </w:r>
          </w:p>
        </w:tc>
      </w:tr>
      <w:tr w14:paraId="313FB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33232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18</w:t>
            </w:r>
          </w:p>
        </w:tc>
        <w:tc>
          <w:tcPr>
            <w:tcW w:w="2665" w:type="pct"/>
            <w:vAlign w:val="center"/>
          </w:tcPr>
          <w:p w14:paraId="67CB0E50">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锆英车间测氡点</w:t>
            </w:r>
          </w:p>
        </w:tc>
        <w:tc>
          <w:tcPr>
            <w:tcW w:w="912" w:type="pct"/>
            <w:vAlign w:val="center"/>
          </w:tcPr>
          <w:p w14:paraId="73F0F5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596</w:t>
            </w:r>
          </w:p>
        </w:tc>
        <w:tc>
          <w:tcPr>
            <w:tcW w:w="911" w:type="pct"/>
            <w:vAlign w:val="center"/>
          </w:tcPr>
          <w:p w14:paraId="7E161C1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3.2</w:t>
            </w:r>
          </w:p>
        </w:tc>
      </w:tr>
      <w:tr w14:paraId="2926A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77" w:type="pct"/>
            <w:gridSpan w:val="2"/>
            <w:vAlign w:val="center"/>
          </w:tcPr>
          <w:p w14:paraId="7526AC42">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测量值范围</w:t>
            </w:r>
          </w:p>
        </w:tc>
        <w:tc>
          <w:tcPr>
            <w:tcW w:w="912" w:type="pct"/>
            <w:vAlign w:val="center"/>
          </w:tcPr>
          <w:p w14:paraId="67AB5038">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134~1.37×10</w:t>
            </w:r>
            <w:r>
              <w:rPr>
                <w:rFonts w:ascii="Times New Roman" w:hAnsi="Times New Roman" w:cs="Times New Roman"/>
                <w:color w:val="000000" w:themeColor="text1"/>
                <w:vertAlign w:val="superscript"/>
                <w14:textFill>
                  <w14:solidFill>
                    <w14:schemeClr w14:val="tx1"/>
                  </w14:solidFill>
                </w14:textFill>
              </w:rPr>
              <w:t>3</w:t>
            </w:r>
          </w:p>
        </w:tc>
        <w:tc>
          <w:tcPr>
            <w:tcW w:w="911" w:type="pct"/>
            <w:vAlign w:val="center"/>
          </w:tcPr>
          <w:p w14:paraId="32315215">
            <w:pPr>
              <w:spacing w:after="0"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p>
        </w:tc>
      </w:tr>
    </w:tbl>
    <w:p w14:paraId="2675C51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p>
    <w:p w14:paraId="0F15CB4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-5  类比项目</w:t>
      </w:r>
      <w:bookmarkStart w:id="52" w:name="OLE_LINK32"/>
      <w:r>
        <w:rPr>
          <w:rFonts w:ascii="Times New Roman" w:hAnsi="Times New Roman" w:eastAsia="宋体" w:cs="Times New Roman"/>
          <w:b/>
          <w:bCs/>
          <w:color w:val="000000" w:themeColor="text1"/>
          <w:spacing w:val="-2"/>
          <w:sz w:val="24"/>
          <w:szCs w:val="20"/>
          <w14:textFill>
            <w14:solidFill>
              <w14:schemeClr w14:val="tx1"/>
            </w14:solidFill>
          </w14:textFill>
        </w:rPr>
        <w:t>周围环境γ辐射空气吸收剂量率</w:t>
      </w:r>
      <w:bookmarkEnd w:id="52"/>
      <w:r>
        <w:rPr>
          <w:rFonts w:ascii="Times New Roman" w:hAnsi="Times New Roman" w:eastAsia="宋体" w:cs="Times New Roman"/>
          <w:b/>
          <w:bCs/>
          <w:color w:val="000000" w:themeColor="text1"/>
          <w:spacing w:val="-2"/>
          <w:sz w:val="24"/>
          <w:szCs w:val="20"/>
          <w14:textFill>
            <w14:solidFill>
              <w14:schemeClr w14:val="tx1"/>
            </w14:solidFill>
          </w14:textFill>
        </w:rPr>
        <w:t>监测结果</w:t>
      </w:r>
    </w:p>
    <w:tbl>
      <w:tblPr>
        <w:tblStyle w:val="46"/>
        <w:tblW w:w="498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0"/>
        <w:gridCol w:w="4527"/>
        <w:gridCol w:w="1549"/>
        <w:gridCol w:w="1547"/>
      </w:tblGrid>
      <w:tr w14:paraId="3587F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restart"/>
            <w:vAlign w:val="center"/>
          </w:tcPr>
          <w:p w14:paraId="522371A7">
            <w:pPr>
              <w:spacing w:after="0" w:line="240" w:lineRule="auto"/>
              <w:jc w:val="center"/>
              <w:rPr>
                <w:rFonts w:ascii="Times New Roman" w:hAnsi="Times New Roman" w:eastAsia="宋体" w:cs="Times New Roman"/>
                <w:b/>
                <w:color w:val="000000" w:themeColor="text1"/>
                <w14:textFill>
                  <w14:solidFill>
                    <w14:schemeClr w14:val="tx1"/>
                  </w14:solidFill>
                </w14:textFill>
              </w:rPr>
            </w:pPr>
            <w:bookmarkStart w:id="53" w:name="_Hlk63019638"/>
            <w:r>
              <w:rPr>
                <w:rFonts w:ascii="Times New Roman" w:hAnsi="Times New Roman" w:eastAsia="宋体" w:cs="Times New Roman"/>
                <w:b/>
                <w:color w:val="000000" w:themeColor="text1"/>
                <w14:textFill>
                  <w14:solidFill>
                    <w14:schemeClr w14:val="tx1"/>
                  </w14:solidFill>
                </w14:textFill>
              </w:rPr>
              <w:t>监测</w:t>
            </w:r>
          </w:p>
          <w:p w14:paraId="34CBE2D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w:t>
            </w:r>
          </w:p>
        </w:tc>
        <w:tc>
          <w:tcPr>
            <w:tcW w:w="2665" w:type="pct"/>
            <w:vMerge w:val="restart"/>
            <w:vAlign w:val="center"/>
          </w:tcPr>
          <w:p w14:paraId="0CCB3844">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点位描述</w:t>
            </w:r>
          </w:p>
        </w:tc>
        <w:tc>
          <w:tcPr>
            <w:tcW w:w="1823" w:type="pct"/>
            <w:gridSpan w:val="2"/>
            <w:vAlign w:val="center"/>
          </w:tcPr>
          <w:p w14:paraId="6B3A4578">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γ辐射空气吸收剂量率（nGy/h）</w:t>
            </w:r>
          </w:p>
        </w:tc>
      </w:tr>
      <w:tr w14:paraId="0C9D0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2" w:type="pct"/>
            <w:vMerge w:val="continue"/>
            <w:vAlign w:val="center"/>
          </w:tcPr>
          <w:p w14:paraId="3B690D95">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2665" w:type="pct"/>
            <w:vMerge w:val="continue"/>
            <w:vAlign w:val="center"/>
          </w:tcPr>
          <w:p w14:paraId="483AF162">
            <w:pPr>
              <w:spacing w:after="0" w:line="240" w:lineRule="auto"/>
              <w:jc w:val="center"/>
              <w:rPr>
                <w:rFonts w:ascii="Times New Roman" w:hAnsi="Times New Roman" w:eastAsia="宋体" w:cs="Times New Roman"/>
                <w:b/>
                <w:color w:val="000000" w:themeColor="text1"/>
                <w14:textFill>
                  <w14:solidFill>
                    <w14:schemeClr w14:val="tx1"/>
                  </w14:solidFill>
                </w14:textFill>
              </w:rPr>
            </w:pPr>
          </w:p>
        </w:tc>
        <w:tc>
          <w:tcPr>
            <w:tcW w:w="912" w:type="pct"/>
            <w:vAlign w:val="center"/>
          </w:tcPr>
          <w:p w14:paraId="184B17CB">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平均值</w:t>
            </w:r>
          </w:p>
        </w:tc>
        <w:tc>
          <w:tcPr>
            <w:tcW w:w="911" w:type="pct"/>
            <w:vAlign w:val="center"/>
          </w:tcPr>
          <w:p w14:paraId="13DC7C66">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标准差</w:t>
            </w:r>
          </w:p>
        </w:tc>
      </w:tr>
      <w:tr w14:paraId="0AE67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FAD97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2665" w:type="pct"/>
            <w:vAlign w:val="center"/>
          </w:tcPr>
          <w:p w14:paraId="41983C9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园博园东侧1km处草坪（对照点）</w:t>
            </w:r>
          </w:p>
        </w:tc>
        <w:tc>
          <w:tcPr>
            <w:tcW w:w="912" w:type="pct"/>
            <w:vAlign w:val="center"/>
          </w:tcPr>
          <w:p w14:paraId="08596C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72.8</w:t>
            </w:r>
          </w:p>
        </w:tc>
        <w:tc>
          <w:tcPr>
            <w:tcW w:w="911" w:type="pct"/>
            <w:vAlign w:val="center"/>
          </w:tcPr>
          <w:p w14:paraId="69916BE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75924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650B20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2665" w:type="pct"/>
            <w:vAlign w:val="center"/>
          </w:tcPr>
          <w:p w14:paraId="20CB99C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厂区西侧测氡点</w:t>
            </w:r>
          </w:p>
        </w:tc>
        <w:tc>
          <w:tcPr>
            <w:tcW w:w="912" w:type="pct"/>
            <w:vAlign w:val="center"/>
          </w:tcPr>
          <w:p w14:paraId="3DD7473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168</w:t>
            </w:r>
          </w:p>
        </w:tc>
        <w:tc>
          <w:tcPr>
            <w:tcW w:w="911" w:type="pct"/>
            <w:vAlign w:val="center"/>
          </w:tcPr>
          <w:p w14:paraId="06D35C8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1FF40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86F71B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2665" w:type="pct"/>
            <w:vAlign w:val="center"/>
          </w:tcPr>
          <w:p w14:paraId="36694E6C">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厂区西侧边界1#（金红车间外）</w:t>
            </w:r>
          </w:p>
        </w:tc>
        <w:tc>
          <w:tcPr>
            <w:tcW w:w="912" w:type="pct"/>
            <w:vAlign w:val="center"/>
          </w:tcPr>
          <w:p w14:paraId="00F244C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169</w:t>
            </w:r>
          </w:p>
        </w:tc>
        <w:tc>
          <w:tcPr>
            <w:tcW w:w="911" w:type="pct"/>
            <w:vAlign w:val="center"/>
          </w:tcPr>
          <w:p w14:paraId="69453AF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4791E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037034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2665" w:type="pct"/>
            <w:vAlign w:val="center"/>
          </w:tcPr>
          <w:p w14:paraId="098513E9">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厂区西侧边界2#（金红车间外）</w:t>
            </w:r>
          </w:p>
        </w:tc>
        <w:tc>
          <w:tcPr>
            <w:tcW w:w="912" w:type="pct"/>
            <w:vAlign w:val="center"/>
          </w:tcPr>
          <w:p w14:paraId="51597AC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170</w:t>
            </w:r>
          </w:p>
        </w:tc>
        <w:tc>
          <w:tcPr>
            <w:tcW w:w="911" w:type="pct"/>
            <w:vAlign w:val="center"/>
          </w:tcPr>
          <w:p w14:paraId="70C819C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r>
      <w:tr w14:paraId="3D0A49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256D1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w:t>
            </w:r>
          </w:p>
        </w:tc>
        <w:tc>
          <w:tcPr>
            <w:tcW w:w="2665" w:type="pct"/>
            <w:vAlign w:val="center"/>
          </w:tcPr>
          <w:p w14:paraId="17A83CF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厂区西侧边界3#（办公楼外）</w:t>
            </w:r>
          </w:p>
        </w:tc>
        <w:tc>
          <w:tcPr>
            <w:tcW w:w="912" w:type="pct"/>
            <w:vAlign w:val="center"/>
          </w:tcPr>
          <w:p w14:paraId="2C374F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169</w:t>
            </w:r>
          </w:p>
        </w:tc>
        <w:tc>
          <w:tcPr>
            <w:tcW w:w="911" w:type="pct"/>
            <w:vAlign w:val="center"/>
          </w:tcPr>
          <w:p w14:paraId="60F1F3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633B3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EC307B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p>
        </w:tc>
        <w:tc>
          <w:tcPr>
            <w:tcW w:w="2665" w:type="pct"/>
            <w:vAlign w:val="center"/>
          </w:tcPr>
          <w:p w14:paraId="2B0C435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厂区西侧边界4#（宿舍楼外）</w:t>
            </w:r>
          </w:p>
        </w:tc>
        <w:tc>
          <w:tcPr>
            <w:tcW w:w="912" w:type="pct"/>
            <w:vAlign w:val="center"/>
          </w:tcPr>
          <w:p w14:paraId="108103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168</w:t>
            </w:r>
          </w:p>
        </w:tc>
        <w:tc>
          <w:tcPr>
            <w:tcW w:w="911" w:type="pct"/>
            <w:vAlign w:val="center"/>
          </w:tcPr>
          <w:p w14:paraId="4074FDD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r>
      <w:tr w14:paraId="04E9B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1B2A0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w:t>
            </w:r>
          </w:p>
        </w:tc>
        <w:tc>
          <w:tcPr>
            <w:tcW w:w="2665" w:type="pct"/>
            <w:vAlign w:val="center"/>
          </w:tcPr>
          <w:p w14:paraId="6CBABD8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厂区东侧测氡点</w:t>
            </w:r>
          </w:p>
        </w:tc>
        <w:tc>
          <w:tcPr>
            <w:tcW w:w="912" w:type="pct"/>
            <w:vAlign w:val="center"/>
          </w:tcPr>
          <w:p w14:paraId="5305845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97.3</w:t>
            </w:r>
          </w:p>
        </w:tc>
        <w:tc>
          <w:tcPr>
            <w:tcW w:w="911" w:type="pct"/>
            <w:vAlign w:val="center"/>
          </w:tcPr>
          <w:p w14:paraId="15B2BC2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5E0F7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43E4F2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2665" w:type="pct"/>
            <w:vAlign w:val="center"/>
          </w:tcPr>
          <w:p w14:paraId="3570770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厂区东侧边界1#</w:t>
            </w:r>
          </w:p>
        </w:tc>
        <w:tc>
          <w:tcPr>
            <w:tcW w:w="912" w:type="pct"/>
            <w:vAlign w:val="center"/>
          </w:tcPr>
          <w:p w14:paraId="3692D6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111</w:t>
            </w:r>
          </w:p>
        </w:tc>
        <w:tc>
          <w:tcPr>
            <w:tcW w:w="911" w:type="pct"/>
            <w:vAlign w:val="center"/>
          </w:tcPr>
          <w:p w14:paraId="3A39FF9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6913AD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2CE27C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2665" w:type="pct"/>
            <w:vAlign w:val="center"/>
          </w:tcPr>
          <w:p w14:paraId="09D7B4B7">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厂区东侧边界2#</w:t>
            </w:r>
          </w:p>
        </w:tc>
        <w:tc>
          <w:tcPr>
            <w:tcW w:w="912" w:type="pct"/>
            <w:vAlign w:val="center"/>
          </w:tcPr>
          <w:p w14:paraId="333C7A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107</w:t>
            </w:r>
          </w:p>
        </w:tc>
        <w:tc>
          <w:tcPr>
            <w:tcW w:w="911" w:type="pct"/>
            <w:vAlign w:val="center"/>
          </w:tcPr>
          <w:p w14:paraId="322C505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1F3978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2EDCD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2665" w:type="pct"/>
            <w:vAlign w:val="center"/>
          </w:tcPr>
          <w:p w14:paraId="67E7161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厂区东侧边界3#</w:t>
            </w:r>
          </w:p>
        </w:tc>
        <w:tc>
          <w:tcPr>
            <w:tcW w:w="912" w:type="pct"/>
            <w:vAlign w:val="center"/>
          </w:tcPr>
          <w:p w14:paraId="274853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108</w:t>
            </w:r>
          </w:p>
        </w:tc>
        <w:tc>
          <w:tcPr>
            <w:tcW w:w="911" w:type="pct"/>
            <w:vAlign w:val="center"/>
          </w:tcPr>
          <w:p w14:paraId="1CC727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r>
      <w:tr w14:paraId="53165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ACDAD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w:t>
            </w:r>
          </w:p>
        </w:tc>
        <w:tc>
          <w:tcPr>
            <w:tcW w:w="2665" w:type="pct"/>
            <w:vAlign w:val="center"/>
          </w:tcPr>
          <w:p w14:paraId="3F8931F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厂区北侧边界1#</w:t>
            </w:r>
          </w:p>
        </w:tc>
        <w:tc>
          <w:tcPr>
            <w:tcW w:w="912" w:type="pct"/>
            <w:vAlign w:val="center"/>
          </w:tcPr>
          <w:p w14:paraId="0D4F1F9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159</w:t>
            </w:r>
          </w:p>
        </w:tc>
        <w:tc>
          <w:tcPr>
            <w:tcW w:w="911" w:type="pct"/>
            <w:vAlign w:val="center"/>
          </w:tcPr>
          <w:p w14:paraId="2F7C6A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60AC5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BEFFD2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p>
        </w:tc>
        <w:tc>
          <w:tcPr>
            <w:tcW w:w="2665" w:type="pct"/>
            <w:vAlign w:val="center"/>
          </w:tcPr>
          <w:p w14:paraId="60D06443">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厂区北侧边界2#</w:t>
            </w:r>
          </w:p>
        </w:tc>
        <w:tc>
          <w:tcPr>
            <w:tcW w:w="912" w:type="pct"/>
            <w:vAlign w:val="center"/>
          </w:tcPr>
          <w:p w14:paraId="35A3520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139</w:t>
            </w:r>
          </w:p>
        </w:tc>
        <w:tc>
          <w:tcPr>
            <w:tcW w:w="911" w:type="pct"/>
            <w:vAlign w:val="center"/>
          </w:tcPr>
          <w:p w14:paraId="558EC1C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2.1</w:t>
            </w:r>
          </w:p>
        </w:tc>
      </w:tr>
      <w:tr w14:paraId="3BCCE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E035A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w:t>
            </w:r>
          </w:p>
        </w:tc>
        <w:tc>
          <w:tcPr>
            <w:tcW w:w="2665" w:type="pct"/>
            <w:vAlign w:val="center"/>
          </w:tcPr>
          <w:p w14:paraId="71B1EC8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厂区北侧边界3#</w:t>
            </w:r>
          </w:p>
        </w:tc>
        <w:tc>
          <w:tcPr>
            <w:tcW w:w="912" w:type="pct"/>
            <w:vAlign w:val="center"/>
          </w:tcPr>
          <w:p w14:paraId="51CCEA5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147</w:t>
            </w:r>
          </w:p>
        </w:tc>
        <w:tc>
          <w:tcPr>
            <w:tcW w:w="911" w:type="pct"/>
            <w:vAlign w:val="center"/>
          </w:tcPr>
          <w:p w14:paraId="3D45DA1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5D2FE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E8E037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w:t>
            </w:r>
          </w:p>
        </w:tc>
        <w:tc>
          <w:tcPr>
            <w:tcW w:w="2665" w:type="pct"/>
            <w:vAlign w:val="center"/>
          </w:tcPr>
          <w:p w14:paraId="6928F35B">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厂区南侧边界1#</w:t>
            </w:r>
          </w:p>
        </w:tc>
        <w:tc>
          <w:tcPr>
            <w:tcW w:w="912" w:type="pct"/>
            <w:vAlign w:val="center"/>
          </w:tcPr>
          <w:p w14:paraId="630CCA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198</w:t>
            </w:r>
          </w:p>
        </w:tc>
        <w:tc>
          <w:tcPr>
            <w:tcW w:w="911" w:type="pct"/>
            <w:vAlign w:val="center"/>
          </w:tcPr>
          <w:p w14:paraId="7CB5955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2.8</w:t>
            </w:r>
          </w:p>
        </w:tc>
      </w:tr>
      <w:tr w14:paraId="5B35C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1215103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w:t>
            </w:r>
          </w:p>
        </w:tc>
        <w:tc>
          <w:tcPr>
            <w:tcW w:w="2665" w:type="pct"/>
            <w:vAlign w:val="center"/>
          </w:tcPr>
          <w:p w14:paraId="4D1B525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厂区南侧边界2#</w:t>
            </w:r>
          </w:p>
        </w:tc>
        <w:tc>
          <w:tcPr>
            <w:tcW w:w="912" w:type="pct"/>
            <w:vAlign w:val="center"/>
          </w:tcPr>
          <w:p w14:paraId="2C3296F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147</w:t>
            </w:r>
          </w:p>
        </w:tc>
        <w:tc>
          <w:tcPr>
            <w:tcW w:w="911" w:type="pct"/>
            <w:vAlign w:val="center"/>
          </w:tcPr>
          <w:p w14:paraId="2BD666E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w:t>
            </w:r>
          </w:p>
        </w:tc>
      </w:tr>
      <w:tr w14:paraId="2245B0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A33B1F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2665" w:type="pct"/>
            <w:vAlign w:val="center"/>
          </w:tcPr>
          <w:p w14:paraId="6C40641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公司厂区大门口</w:t>
            </w:r>
          </w:p>
        </w:tc>
        <w:tc>
          <w:tcPr>
            <w:tcW w:w="912" w:type="pct"/>
            <w:vAlign w:val="center"/>
          </w:tcPr>
          <w:p w14:paraId="7D4BD79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134</w:t>
            </w:r>
          </w:p>
        </w:tc>
        <w:tc>
          <w:tcPr>
            <w:tcW w:w="911" w:type="pct"/>
            <w:vAlign w:val="center"/>
          </w:tcPr>
          <w:p w14:paraId="619B6A3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354D3F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69671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c>
          <w:tcPr>
            <w:tcW w:w="2665" w:type="pct"/>
            <w:vAlign w:val="center"/>
          </w:tcPr>
          <w:p w14:paraId="348A2104">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钦州市广联物流有限公司</w:t>
            </w:r>
          </w:p>
        </w:tc>
        <w:tc>
          <w:tcPr>
            <w:tcW w:w="912" w:type="pct"/>
            <w:vAlign w:val="center"/>
          </w:tcPr>
          <w:p w14:paraId="322155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115</w:t>
            </w:r>
          </w:p>
        </w:tc>
        <w:tc>
          <w:tcPr>
            <w:tcW w:w="911" w:type="pct"/>
            <w:vAlign w:val="center"/>
          </w:tcPr>
          <w:p w14:paraId="43E14CD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2.3</w:t>
            </w:r>
          </w:p>
        </w:tc>
      </w:tr>
      <w:tr w14:paraId="5A18B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F8CCD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c>
          <w:tcPr>
            <w:tcW w:w="2665" w:type="pct"/>
            <w:vAlign w:val="center"/>
          </w:tcPr>
          <w:p w14:paraId="07A480F0">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厂区南侧门口</w:t>
            </w:r>
          </w:p>
        </w:tc>
        <w:tc>
          <w:tcPr>
            <w:tcW w:w="912" w:type="pct"/>
            <w:vAlign w:val="center"/>
          </w:tcPr>
          <w:p w14:paraId="4CF336A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152</w:t>
            </w:r>
          </w:p>
        </w:tc>
        <w:tc>
          <w:tcPr>
            <w:tcW w:w="911" w:type="pct"/>
            <w:vAlign w:val="center"/>
          </w:tcPr>
          <w:p w14:paraId="298478B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3.4</w:t>
            </w:r>
          </w:p>
        </w:tc>
      </w:tr>
      <w:tr w14:paraId="304B5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212015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c>
          <w:tcPr>
            <w:tcW w:w="2665" w:type="pct"/>
            <w:vAlign w:val="center"/>
          </w:tcPr>
          <w:p w14:paraId="07CB248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运输道路（厂区西南侧）</w:t>
            </w:r>
          </w:p>
        </w:tc>
        <w:tc>
          <w:tcPr>
            <w:tcW w:w="912" w:type="pct"/>
            <w:vAlign w:val="center"/>
          </w:tcPr>
          <w:p w14:paraId="17451D6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113</w:t>
            </w:r>
          </w:p>
        </w:tc>
        <w:tc>
          <w:tcPr>
            <w:tcW w:w="911" w:type="pct"/>
            <w:vAlign w:val="center"/>
          </w:tcPr>
          <w:p w14:paraId="5186828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w:t>
            </w:r>
          </w:p>
        </w:tc>
      </w:tr>
      <w:tr w14:paraId="511DE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4CA342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2665" w:type="pct"/>
            <w:vAlign w:val="center"/>
          </w:tcPr>
          <w:p w14:paraId="6C3EE746">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运输道路（厂区西南侧道路拐角）</w:t>
            </w:r>
          </w:p>
        </w:tc>
        <w:tc>
          <w:tcPr>
            <w:tcW w:w="912" w:type="pct"/>
            <w:vAlign w:val="center"/>
          </w:tcPr>
          <w:p w14:paraId="443B49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125</w:t>
            </w:r>
          </w:p>
        </w:tc>
        <w:tc>
          <w:tcPr>
            <w:tcW w:w="911" w:type="pct"/>
            <w:vAlign w:val="center"/>
          </w:tcPr>
          <w:p w14:paraId="319235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2.2</w:t>
            </w:r>
          </w:p>
        </w:tc>
      </w:tr>
      <w:tr w14:paraId="18AA7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023B87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21</w:t>
            </w:r>
          </w:p>
        </w:tc>
        <w:tc>
          <w:tcPr>
            <w:tcW w:w="2665" w:type="pct"/>
            <w:vAlign w:val="center"/>
          </w:tcPr>
          <w:p w14:paraId="40CE737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运输道路（厂区西侧）</w:t>
            </w:r>
          </w:p>
        </w:tc>
        <w:tc>
          <w:tcPr>
            <w:tcW w:w="912" w:type="pct"/>
            <w:vAlign w:val="center"/>
          </w:tcPr>
          <w:p w14:paraId="4B2F94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107</w:t>
            </w:r>
          </w:p>
        </w:tc>
        <w:tc>
          <w:tcPr>
            <w:tcW w:w="911" w:type="pct"/>
            <w:vAlign w:val="center"/>
          </w:tcPr>
          <w:p w14:paraId="7B737DB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1.7</w:t>
            </w:r>
          </w:p>
        </w:tc>
      </w:tr>
      <w:tr w14:paraId="324AB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E2775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22</w:t>
            </w:r>
          </w:p>
        </w:tc>
        <w:tc>
          <w:tcPr>
            <w:tcW w:w="2665" w:type="pct"/>
            <w:vAlign w:val="center"/>
          </w:tcPr>
          <w:p w14:paraId="2ACAE72E">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广西育群特种设备操作（钦州）训练基地</w:t>
            </w:r>
          </w:p>
        </w:tc>
        <w:tc>
          <w:tcPr>
            <w:tcW w:w="912" w:type="pct"/>
            <w:vAlign w:val="center"/>
          </w:tcPr>
          <w:p w14:paraId="4513A7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108</w:t>
            </w:r>
          </w:p>
        </w:tc>
        <w:tc>
          <w:tcPr>
            <w:tcW w:w="911" w:type="pct"/>
            <w:vAlign w:val="center"/>
          </w:tcPr>
          <w:p w14:paraId="1DFA9C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67910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771A0C7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23</w:t>
            </w:r>
          </w:p>
        </w:tc>
        <w:tc>
          <w:tcPr>
            <w:tcW w:w="2665" w:type="pct"/>
            <w:vAlign w:val="center"/>
          </w:tcPr>
          <w:p w14:paraId="3D5CDB44">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宝星科技产业园门口</w:t>
            </w:r>
          </w:p>
        </w:tc>
        <w:tc>
          <w:tcPr>
            <w:tcW w:w="912" w:type="pct"/>
            <w:vAlign w:val="center"/>
          </w:tcPr>
          <w:p w14:paraId="2E5495C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100</w:t>
            </w:r>
          </w:p>
        </w:tc>
        <w:tc>
          <w:tcPr>
            <w:tcW w:w="911" w:type="pct"/>
            <w:vAlign w:val="center"/>
          </w:tcPr>
          <w:p w14:paraId="7E0381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1.5</w:t>
            </w:r>
          </w:p>
        </w:tc>
      </w:tr>
      <w:tr w14:paraId="2853B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272294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2665" w:type="pct"/>
            <w:vAlign w:val="center"/>
          </w:tcPr>
          <w:p w14:paraId="30A5659A">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钦州市华盛混凝土有限公司门口</w:t>
            </w:r>
          </w:p>
        </w:tc>
        <w:tc>
          <w:tcPr>
            <w:tcW w:w="912" w:type="pct"/>
            <w:vAlign w:val="center"/>
          </w:tcPr>
          <w:p w14:paraId="5437874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98.2</w:t>
            </w:r>
          </w:p>
        </w:tc>
        <w:tc>
          <w:tcPr>
            <w:tcW w:w="911" w:type="pct"/>
            <w:vAlign w:val="center"/>
          </w:tcPr>
          <w:p w14:paraId="714CBF4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7766F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F60FDE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w:t>
            </w:r>
          </w:p>
        </w:tc>
        <w:tc>
          <w:tcPr>
            <w:tcW w:w="2665" w:type="pct"/>
            <w:vAlign w:val="center"/>
          </w:tcPr>
          <w:p w14:paraId="36FA85CD">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钦州市永佳环保材料有限公司门口</w:t>
            </w:r>
          </w:p>
        </w:tc>
        <w:tc>
          <w:tcPr>
            <w:tcW w:w="912" w:type="pct"/>
            <w:vAlign w:val="center"/>
          </w:tcPr>
          <w:p w14:paraId="43EBEA5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95.5</w:t>
            </w:r>
          </w:p>
        </w:tc>
        <w:tc>
          <w:tcPr>
            <w:tcW w:w="911" w:type="pct"/>
            <w:vAlign w:val="center"/>
          </w:tcPr>
          <w:p w14:paraId="4C8A799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45CF6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44549F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26</w:t>
            </w:r>
          </w:p>
        </w:tc>
        <w:tc>
          <w:tcPr>
            <w:tcW w:w="2665" w:type="pct"/>
            <w:vAlign w:val="center"/>
          </w:tcPr>
          <w:p w14:paraId="7D6D27D8">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广西海家食品有限公司门口</w:t>
            </w:r>
          </w:p>
        </w:tc>
        <w:tc>
          <w:tcPr>
            <w:tcW w:w="912" w:type="pct"/>
            <w:vAlign w:val="center"/>
          </w:tcPr>
          <w:p w14:paraId="5F9E770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52.4</w:t>
            </w:r>
          </w:p>
        </w:tc>
        <w:tc>
          <w:tcPr>
            <w:tcW w:w="911" w:type="pct"/>
            <w:vAlign w:val="center"/>
          </w:tcPr>
          <w:p w14:paraId="5D489D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1.8</w:t>
            </w:r>
          </w:p>
        </w:tc>
      </w:tr>
      <w:tr w14:paraId="7457D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FEB1D4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27</w:t>
            </w:r>
          </w:p>
        </w:tc>
        <w:tc>
          <w:tcPr>
            <w:tcW w:w="2665" w:type="pct"/>
            <w:vAlign w:val="center"/>
          </w:tcPr>
          <w:p w14:paraId="39CE0DA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分界村（农村电商物流服务点门口）</w:t>
            </w:r>
          </w:p>
        </w:tc>
        <w:tc>
          <w:tcPr>
            <w:tcW w:w="912" w:type="pct"/>
            <w:vAlign w:val="center"/>
          </w:tcPr>
          <w:p w14:paraId="30EE544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92.4</w:t>
            </w:r>
          </w:p>
        </w:tc>
        <w:tc>
          <w:tcPr>
            <w:tcW w:w="911" w:type="pct"/>
            <w:vAlign w:val="center"/>
          </w:tcPr>
          <w:p w14:paraId="4223D96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1.3</w:t>
            </w:r>
          </w:p>
        </w:tc>
      </w:tr>
      <w:tr w14:paraId="254DBE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69784FC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28</w:t>
            </w:r>
          </w:p>
        </w:tc>
        <w:tc>
          <w:tcPr>
            <w:tcW w:w="2665" w:type="pct"/>
            <w:vAlign w:val="center"/>
          </w:tcPr>
          <w:p w14:paraId="479996E1">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瓦窑村（交叉路口）</w:t>
            </w:r>
          </w:p>
        </w:tc>
        <w:tc>
          <w:tcPr>
            <w:tcW w:w="912" w:type="pct"/>
            <w:vAlign w:val="center"/>
          </w:tcPr>
          <w:p w14:paraId="6A3E0CC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57.4</w:t>
            </w:r>
          </w:p>
        </w:tc>
        <w:tc>
          <w:tcPr>
            <w:tcW w:w="911" w:type="pct"/>
            <w:vAlign w:val="center"/>
          </w:tcPr>
          <w:p w14:paraId="697E173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5C950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328391F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29</w:t>
            </w:r>
          </w:p>
        </w:tc>
        <w:tc>
          <w:tcPr>
            <w:tcW w:w="2665" w:type="pct"/>
            <w:vAlign w:val="center"/>
          </w:tcPr>
          <w:p w14:paraId="7C8471DF">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关草塘（时涛淋水器门口）</w:t>
            </w:r>
          </w:p>
        </w:tc>
        <w:tc>
          <w:tcPr>
            <w:tcW w:w="912" w:type="pct"/>
            <w:vAlign w:val="center"/>
          </w:tcPr>
          <w:p w14:paraId="0011657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40.2</w:t>
            </w:r>
          </w:p>
        </w:tc>
        <w:tc>
          <w:tcPr>
            <w:tcW w:w="911" w:type="pct"/>
            <w:vAlign w:val="center"/>
          </w:tcPr>
          <w:p w14:paraId="366F080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p>
        </w:tc>
      </w:tr>
      <w:tr w14:paraId="0E170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5B84B1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30</w:t>
            </w:r>
          </w:p>
        </w:tc>
        <w:tc>
          <w:tcPr>
            <w:tcW w:w="2665" w:type="pct"/>
            <w:vAlign w:val="center"/>
          </w:tcPr>
          <w:p w14:paraId="0C9ABB05">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黎合江（安惠三园小区门口）</w:t>
            </w:r>
          </w:p>
        </w:tc>
        <w:tc>
          <w:tcPr>
            <w:tcW w:w="912" w:type="pct"/>
            <w:vAlign w:val="center"/>
          </w:tcPr>
          <w:p w14:paraId="27056CC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54.2</w:t>
            </w:r>
          </w:p>
        </w:tc>
        <w:tc>
          <w:tcPr>
            <w:tcW w:w="911" w:type="pct"/>
            <w:vAlign w:val="center"/>
          </w:tcPr>
          <w:p w14:paraId="162B16D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r>
      <w:tr w14:paraId="6BC8F3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2" w:type="pct"/>
            <w:vAlign w:val="center"/>
          </w:tcPr>
          <w:p w14:paraId="239F9B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31</w:t>
            </w:r>
          </w:p>
        </w:tc>
        <w:tc>
          <w:tcPr>
            <w:tcW w:w="2665" w:type="pct"/>
            <w:vAlign w:val="center"/>
          </w:tcPr>
          <w:p w14:paraId="3D1B8297">
            <w:pPr>
              <w:spacing w:after="0" w:line="240" w:lineRule="auto"/>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杨梅村</w:t>
            </w:r>
          </w:p>
        </w:tc>
        <w:tc>
          <w:tcPr>
            <w:tcW w:w="912" w:type="pct"/>
            <w:vAlign w:val="center"/>
          </w:tcPr>
          <w:p w14:paraId="636D9F5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67.6</w:t>
            </w:r>
          </w:p>
        </w:tc>
        <w:tc>
          <w:tcPr>
            <w:tcW w:w="911" w:type="pct"/>
            <w:vAlign w:val="center"/>
          </w:tcPr>
          <w:p w14:paraId="7F86A73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r>
      <w:tr w14:paraId="2500CB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77" w:type="pct"/>
            <w:gridSpan w:val="2"/>
            <w:vAlign w:val="center"/>
          </w:tcPr>
          <w:p w14:paraId="173D89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测量值范围</w:t>
            </w:r>
          </w:p>
        </w:tc>
        <w:tc>
          <w:tcPr>
            <w:tcW w:w="912" w:type="pct"/>
            <w:vAlign w:val="center"/>
          </w:tcPr>
          <w:p w14:paraId="2EC8ADE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40.2~198</w:t>
            </w:r>
          </w:p>
        </w:tc>
        <w:tc>
          <w:tcPr>
            <w:tcW w:w="911" w:type="pct"/>
            <w:vAlign w:val="center"/>
          </w:tcPr>
          <w:p w14:paraId="63C5595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bookmarkEnd w:id="53"/>
    </w:tbl>
    <w:p w14:paraId="2A8BBB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4D969B5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（2）确定本项目的源项</w:t>
      </w:r>
    </w:p>
    <w:p w14:paraId="25D2DF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w:t>
      </w:r>
      <w:r>
        <w:rPr>
          <w:rFonts w:hint="eastAsia" w:ascii="Times New Roman" w:hAnsi="Times New Roman" w:eastAsia="宋体" w:cs="Times New Roman"/>
          <w:color w:val="000000" w:themeColor="text1"/>
          <w:spacing w:val="-2"/>
          <w:sz w:val="24"/>
          <w:szCs w:val="20"/>
          <w14:textFill>
            <w14:solidFill>
              <w14:schemeClr w14:val="tx1"/>
            </w14:solidFill>
          </w14:textFill>
        </w:rPr>
        <w:t>1#原料处理车间、2#分选车间均具有生产及物料仓储功能，因此选取对应的生产车间和储存场所中的γ辐射剂量率较高值进行类比分析。1#原料处理车间取生产场所烘干炉出口平均值，2#分选车间选取中矿晒场平均值进行类比计算。</w:t>
      </w:r>
      <w:r>
        <w:rPr>
          <w:rFonts w:ascii="Times New Roman" w:hAnsi="Times New Roman" w:eastAsia="宋体" w:cs="Times New Roman"/>
          <w:color w:val="000000" w:themeColor="text1"/>
          <w:spacing w:val="-2"/>
          <w:sz w:val="24"/>
          <w:szCs w:val="20"/>
          <w14:textFill>
            <w14:solidFill>
              <w14:schemeClr w14:val="tx1"/>
            </w14:solidFill>
          </w14:textFill>
        </w:rPr>
        <w:t>本项目</w:t>
      </w:r>
      <w:r>
        <w:rPr>
          <w:rFonts w:hint="eastAsia" w:ascii="Times New Roman" w:hAnsi="Times New Roman" w:eastAsia="宋体" w:cs="Times New Roman"/>
          <w:color w:val="000000" w:themeColor="text1"/>
          <w:spacing w:val="-2"/>
          <w:sz w:val="24"/>
          <w:szCs w:val="20"/>
          <w14:textFill>
            <w14:solidFill>
              <w14:schemeClr w14:val="tx1"/>
            </w14:solidFill>
          </w14:textFill>
        </w:rPr>
        <w:t>产品</w:t>
      </w:r>
      <w:r>
        <w:rPr>
          <w:rFonts w:ascii="Times New Roman" w:hAnsi="Times New Roman" w:eastAsia="宋体" w:cs="Times New Roman"/>
          <w:color w:val="000000" w:themeColor="text1"/>
          <w:spacing w:val="-2"/>
          <w:sz w:val="24"/>
          <w:szCs w:val="20"/>
          <w14:textFill>
            <w14:solidFill>
              <w14:schemeClr w14:val="tx1"/>
            </w14:solidFill>
          </w14:textFill>
        </w:rPr>
        <w:t>规模2</w:t>
      </w: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倍于类比项目，</w:t>
      </w:r>
      <w:r>
        <w:rPr>
          <w:rFonts w:hint="eastAsia" w:ascii="Times New Roman" w:hAnsi="Times New Roman" w:eastAsia="宋体" w:cs="Times New Roman"/>
          <w:color w:val="000000" w:themeColor="text1"/>
          <w:spacing w:val="-2"/>
          <w:sz w:val="24"/>
          <w:szCs w:val="20"/>
          <w14:textFill>
            <w14:solidFill>
              <w14:schemeClr w14:val="tx1"/>
            </w14:solidFill>
          </w14:textFill>
        </w:rPr>
        <w:t>因此</w:t>
      </w:r>
      <w:r>
        <w:rPr>
          <w:rFonts w:ascii="Times New Roman" w:hAnsi="Times New Roman" w:eastAsia="宋体" w:cs="Times New Roman"/>
          <w:color w:val="000000" w:themeColor="text1"/>
          <w:spacing w:val="-2"/>
          <w:sz w:val="24"/>
          <w:szCs w:val="20"/>
          <w14:textFill>
            <w14:solidFill>
              <w14:schemeClr w14:val="tx1"/>
            </w14:solidFill>
          </w14:textFill>
        </w:rPr>
        <w:t>按2</w:t>
      </w: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倍系数确定本项目正常生产时各车间或操作工位的γ辐射剂量率见表2.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fldChar w:fldCharType="begin"/>
      </w:r>
      <w:r>
        <w:rPr>
          <w:rFonts w:ascii="Times New Roman" w:hAnsi="Times New Roman" w:eastAsia="宋体" w:cs="Times New Roman"/>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color w:val="000000" w:themeColor="text1"/>
          <w:spacing w:val="-2"/>
          <w:sz w:val="24"/>
          <w:szCs w:val="20"/>
          <w14:textFill>
            <w14:solidFill>
              <w14:schemeClr w14:val="tx1"/>
            </w14:solidFill>
          </w14:textFill>
        </w:rPr>
        <w:t>2.2</w:t>
      </w:r>
      <w:r>
        <w:rPr>
          <w:rFonts w:ascii="Times New Roman" w:hAnsi="Times New Roman" w:eastAsia="宋体" w:cs="Times New Roman"/>
          <w:color w:val="000000" w:themeColor="text1"/>
          <w:spacing w:val="-2"/>
          <w:sz w:val="24"/>
          <w:szCs w:val="20"/>
          <w14:textFill>
            <w14:solidFill>
              <w14:schemeClr w14:val="tx1"/>
            </w14:solidFill>
          </w14:textFill>
        </w:rPr>
        <w:fldChar w:fldCharType="end"/>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w:t>
      </w:r>
    </w:p>
    <w:p w14:paraId="25C2074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2.2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6  本项目车间正常生产时操作工位γ辐射剂量率水平</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3765"/>
        <w:gridCol w:w="3765"/>
      </w:tblGrid>
      <w:tr w14:paraId="497046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2" w:type="pct"/>
            <w:vAlign w:val="center"/>
          </w:tcPr>
          <w:p w14:paraId="1F9CEC95">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编号</w:t>
            </w:r>
          </w:p>
        </w:tc>
        <w:tc>
          <w:tcPr>
            <w:tcW w:w="2209" w:type="pct"/>
            <w:vAlign w:val="center"/>
          </w:tcPr>
          <w:p w14:paraId="622CCACC">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工作场所描述</w:t>
            </w:r>
          </w:p>
        </w:tc>
        <w:tc>
          <w:tcPr>
            <w:tcW w:w="2209" w:type="pct"/>
            <w:vAlign w:val="center"/>
          </w:tcPr>
          <w:p w14:paraId="6B6CD690">
            <w:pPr>
              <w:pStyle w:val="245"/>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γ辐射剂量率（μGy/h）</w:t>
            </w:r>
          </w:p>
        </w:tc>
      </w:tr>
      <w:tr w14:paraId="6FBB7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pct"/>
            <w:vAlign w:val="center"/>
          </w:tcPr>
          <w:p w14:paraId="733D392A">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2209" w:type="pct"/>
            <w:vAlign w:val="center"/>
          </w:tcPr>
          <w:p w14:paraId="0EC7008A">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1#原料处理车间</w:t>
            </w:r>
          </w:p>
        </w:tc>
        <w:tc>
          <w:tcPr>
            <w:tcW w:w="2209" w:type="pct"/>
            <w:vAlign w:val="center"/>
          </w:tcPr>
          <w:p w14:paraId="036C606A">
            <w:pPr>
              <w:pStyle w:val="245"/>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1.4640</w:t>
            </w:r>
          </w:p>
        </w:tc>
      </w:tr>
      <w:tr w14:paraId="7C4B1D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2" w:type="pct"/>
            <w:vAlign w:val="center"/>
          </w:tcPr>
          <w:p w14:paraId="04FABE1D">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2209" w:type="pct"/>
            <w:vAlign w:val="center"/>
          </w:tcPr>
          <w:p w14:paraId="225C007B">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2#分选车间</w:t>
            </w:r>
          </w:p>
        </w:tc>
        <w:tc>
          <w:tcPr>
            <w:tcW w:w="2209" w:type="pct"/>
            <w:vAlign w:val="center"/>
          </w:tcPr>
          <w:p w14:paraId="3E8B2D06">
            <w:pPr>
              <w:pStyle w:val="245"/>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1.3488</w:t>
            </w:r>
          </w:p>
        </w:tc>
      </w:tr>
    </w:tbl>
    <w:p w14:paraId="68C39E36">
      <w:pPr>
        <w:widowControl w:val="0"/>
        <w:spacing w:after="0" w:line="360" w:lineRule="auto"/>
        <w:ind w:firstLine="361" w:firstLineChars="200"/>
        <w:jc w:val="both"/>
        <w:rPr>
          <w:rFonts w:ascii="Times New Roman" w:hAnsi="Times New Roman" w:cs="Times New Roman"/>
          <w:b/>
          <w:color w:val="000000" w:themeColor="text1"/>
          <w:sz w:val="18"/>
          <w:szCs w:val="18"/>
          <w14:textFill>
            <w14:solidFill>
              <w14:schemeClr w14:val="tx1"/>
            </w14:solidFill>
          </w14:textFill>
        </w:rPr>
      </w:pPr>
    </w:p>
    <w:p w14:paraId="33995BF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含铀、钍无组织排放粉尘</w:t>
      </w:r>
    </w:p>
    <w:p w14:paraId="325D4C6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根据</w:t>
      </w:r>
      <w:r>
        <w:rPr>
          <w:rFonts w:hint="eastAsia" w:ascii="Times New Roman" w:hAnsi="Times New Roman" w:eastAsia="宋体" w:cs="Times New Roman"/>
          <w:color w:val="000000" w:themeColor="text1"/>
          <w:spacing w:val="-2"/>
          <w:sz w:val="24"/>
          <w:szCs w:val="20"/>
          <w14:textFill>
            <w14:solidFill>
              <w14:schemeClr w14:val="tx1"/>
            </w14:solidFill>
          </w14:textFill>
        </w:rPr>
        <w:t>项目环境影响报告书的含矿粉尘的有组织排放口浓度估算值、最大地面浓度</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值，以及无组织排放源最大地面浓度</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值</w:t>
      </w: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结合原料毛矿中铀、钍含量比例估算本项目废气排放放射性核素源强。毛矿中铀含量为0.03%、钍含量为0.07%，</w:t>
      </w:r>
      <w:r>
        <w:rPr>
          <w:rFonts w:ascii="Times New Roman" w:hAnsi="Times New Roman" w:eastAsia="宋体" w:cs="Times New Roman"/>
          <w:color w:val="000000" w:themeColor="text1"/>
          <w:spacing w:val="-2"/>
          <w:sz w:val="24"/>
          <w:szCs w:val="20"/>
          <w14:textFill>
            <w14:solidFill>
              <w14:schemeClr w14:val="tx1"/>
            </w14:solidFill>
          </w14:textFill>
        </w:rPr>
        <w:t>本项目排放放射性核素源强见表2.</w:t>
      </w: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14:textFill>
            <w14:solidFill>
              <w14:schemeClr w14:val="tx1"/>
            </w14:solidFill>
          </w14:textFill>
        </w:rPr>
        <w:t>7</w:t>
      </w:r>
      <w:r>
        <w:rPr>
          <w:rFonts w:ascii="Times New Roman" w:hAnsi="Times New Roman" w:eastAsia="宋体" w:cs="Times New Roman"/>
          <w:color w:val="000000" w:themeColor="text1"/>
          <w:spacing w:val="-2"/>
          <w:sz w:val="24"/>
          <w:szCs w:val="20"/>
          <w14:textFill>
            <w14:solidFill>
              <w14:schemeClr w14:val="tx1"/>
            </w14:solidFill>
          </w14:textFill>
        </w:rPr>
        <w:t>。</w:t>
      </w:r>
    </w:p>
    <w:p w14:paraId="70976A2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2.</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2.2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hint="eastAsia" w:ascii="Times New Roman" w:hAnsi="Times New Roman" w:eastAsia="宋体" w:cs="Times New Roman"/>
          <w:b/>
          <w:bCs/>
          <w:color w:val="000000" w:themeColor="text1"/>
          <w:spacing w:val="-2"/>
          <w:sz w:val="24"/>
          <w:szCs w:val="20"/>
          <w14:textFill>
            <w14:solidFill>
              <w14:schemeClr w14:val="tx1"/>
            </w14:solidFill>
          </w14:textFill>
        </w:rPr>
        <w:t>7</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hint="eastAsia" w:ascii="Times New Roman" w:hAnsi="Times New Roman" w:eastAsia="宋体" w:cs="Times New Roman"/>
          <w:b/>
          <w:bCs/>
          <w:color w:val="000000" w:themeColor="text1"/>
          <w:spacing w:val="-2"/>
          <w:sz w:val="24"/>
          <w:szCs w:val="20"/>
          <w14:textFill>
            <w14:solidFill>
              <w14:schemeClr w14:val="tx1"/>
            </w14:solidFill>
          </w14:textFill>
        </w:rPr>
        <w:t>项目</w:t>
      </w:r>
      <w:r>
        <w:rPr>
          <w:rFonts w:ascii="Times New Roman" w:hAnsi="Times New Roman" w:eastAsia="宋体" w:cs="Times New Roman"/>
          <w:b/>
          <w:bCs/>
          <w:color w:val="000000" w:themeColor="text1"/>
          <w:spacing w:val="-2"/>
          <w:sz w:val="24"/>
          <w:szCs w:val="20"/>
          <w14:textFill>
            <w14:solidFill>
              <w14:schemeClr w14:val="tx1"/>
            </w14:solidFill>
          </w14:textFill>
        </w:rPr>
        <w:t>废气排放</w:t>
      </w:r>
      <w:r>
        <w:rPr>
          <w:rFonts w:hint="eastAsia" w:ascii="Times New Roman" w:hAnsi="Times New Roman" w:eastAsia="宋体" w:cs="Times New Roman"/>
          <w:b/>
          <w:bCs/>
          <w:color w:val="000000" w:themeColor="text1"/>
          <w:spacing w:val="-2"/>
          <w:sz w:val="24"/>
          <w:szCs w:val="20"/>
          <w14:textFill>
            <w14:solidFill>
              <w14:schemeClr w14:val="tx1"/>
            </w14:solidFill>
          </w14:textFill>
        </w:rPr>
        <w:t>放射性核素</w:t>
      </w:r>
      <w:r>
        <w:rPr>
          <w:rFonts w:ascii="Times New Roman" w:hAnsi="Times New Roman" w:eastAsia="宋体" w:cs="Times New Roman"/>
          <w:b/>
          <w:bCs/>
          <w:color w:val="000000" w:themeColor="text1"/>
          <w:spacing w:val="-2"/>
          <w:sz w:val="24"/>
          <w:szCs w:val="20"/>
          <w14:textFill>
            <w14:solidFill>
              <w14:schemeClr w14:val="tx1"/>
            </w14:solidFill>
          </w14:textFill>
        </w:rPr>
        <w:t>源强</w:t>
      </w:r>
      <w:r>
        <w:rPr>
          <w:rFonts w:hint="eastAsia" w:ascii="Times New Roman" w:hAnsi="Times New Roman" w:eastAsia="宋体" w:cs="Times New Roman"/>
          <w:b/>
          <w:bCs/>
          <w:color w:val="000000" w:themeColor="text1"/>
          <w:spacing w:val="-2"/>
          <w:sz w:val="24"/>
          <w:szCs w:val="20"/>
          <w14:textFill>
            <w14:solidFill>
              <w14:schemeClr w14:val="tx1"/>
            </w14:solidFill>
          </w14:textFill>
        </w:rPr>
        <w:t>表</w:t>
      </w:r>
    </w:p>
    <w:tbl>
      <w:tblPr>
        <w:tblStyle w:val="46"/>
        <w:tblW w:w="82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544"/>
        <w:gridCol w:w="1456"/>
        <w:gridCol w:w="1457"/>
        <w:gridCol w:w="1457"/>
        <w:gridCol w:w="1457"/>
      </w:tblGrid>
      <w:tr w14:paraId="6D07A5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Merge w:val="restart"/>
            <w:vAlign w:val="center"/>
          </w:tcPr>
          <w:p w14:paraId="7BD1250C">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1544" w:type="dxa"/>
            <w:vMerge w:val="restart"/>
            <w:vAlign w:val="center"/>
          </w:tcPr>
          <w:p w14:paraId="2187425C">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污染源</w:t>
            </w:r>
          </w:p>
        </w:tc>
        <w:tc>
          <w:tcPr>
            <w:tcW w:w="1456" w:type="dxa"/>
            <w:vMerge w:val="restart"/>
            <w:tcBorders>
              <w:right w:val="single" w:color="auto" w:sz="4" w:space="0"/>
            </w:tcBorders>
            <w:vAlign w:val="center"/>
          </w:tcPr>
          <w:p w14:paraId="5D0986C8">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hint="eastAsia" w:ascii="Times New Roman" w:hAnsi="Times New Roman" w:eastAsia="宋体" w:cs="Times New Roman"/>
                <w:b/>
                <w:bCs/>
                <w:color w:val="000000" w:themeColor="text1"/>
                <w14:textFill>
                  <w14:solidFill>
                    <w14:schemeClr w14:val="tx1"/>
                  </w14:solidFill>
                </w14:textFill>
              </w:rPr>
              <w:t>有组织</w:t>
            </w:r>
            <w:r>
              <w:rPr>
                <w:rFonts w:ascii="Times New Roman" w:hAnsi="Times New Roman" w:eastAsia="宋体" w:cs="Times New Roman"/>
                <w:b/>
                <w:bCs/>
                <w:color w:val="000000" w:themeColor="text1"/>
                <w14:textFill>
                  <w14:solidFill>
                    <w14:schemeClr w14:val="tx1"/>
                  </w14:solidFill>
                </w14:textFill>
              </w:rPr>
              <w:t>粉尘排放</w:t>
            </w:r>
            <w:r>
              <w:rPr>
                <w:rFonts w:hint="eastAsia" w:ascii="Times New Roman" w:hAnsi="Times New Roman" w:eastAsia="宋体" w:cs="Times New Roman"/>
                <w:b/>
                <w:bCs/>
                <w:color w:val="000000" w:themeColor="text1"/>
                <w14:textFill>
                  <w14:solidFill>
                    <w14:schemeClr w14:val="tx1"/>
                  </w14:solidFill>
                </w14:textFill>
              </w:rPr>
              <w:t>口浓度</w:t>
            </w:r>
          </w:p>
          <w:p w14:paraId="51848BCF">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1457" w:type="dxa"/>
            <w:vMerge w:val="restart"/>
            <w:tcBorders>
              <w:left w:val="single" w:color="auto" w:sz="4" w:space="0"/>
            </w:tcBorders>
            <w:vAlign w:val="center"/>
          </w:tcPr>
          <w:p w14:paraId="64F46647">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粉尘最大</w:t>
            </w:r>
          </w:p>
          <w:p w14:paraId="0F04A915">
            <w:pPr>
              <w:autoSpaceDE w:val="0"/>
              <w:autoSpaceDN w:val="0"/>
              <w:snapToGrid w:val="0"/>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地面浓度</w:t>
            </w:r>
          </w:p>
          <w:p w14:paraId="40D744B3">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2914" w:type="dxa"/>
            <w:gridSpan w:val="2"/>
            <w:vAlign w:val="center"/>
          </w:tcPr>
          <w:p w14:paraId="1D73581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铀、钍总量</w:t>
            </w:r>
          </w:p>
        </w:tc>
      </w:tr>
      <w:tr w14:paraId="78630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Merge w:val="continue"/>
            <w:vAlign w:val="center"/>
          </w:tcPr>
          <w:p w14:paraId="59631BF8">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544" w:type="dxa"/>
            <w:vMerge w:val="continue"/>
            <w:vAlign w:val="center"/>
          </w:tcPr>
          <w:p w14:paraId="4A34E836">
            <w:pPr>
              <w:adjustRightInd w:val="0"/>
              <w:snapToGrid w:val="0"/>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456" w:type="dxa"/>
            <w:vMerge w:val="continue"/>
            <w:tcBorders>
              <w:right w:val="single" w:color="auto" w:sz="4" w:space="0"/>
            </w:tcBorders>
            <w:vAlign w:val="center"/>
          </w:tcPr>
          <w:p w14:paraId="6ABD47C4">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p>
        </w:tc>
        <w:tc>
          <w:tcPr>
            <w:tcW w:w="1457" w:type="dxa"/>
            <w:vMerge w:val="continue"/>
            <w:tcBorders>
              <w:left w:val="single" w:color="auto" w:sz="4" w:space="0"/>
            </w:tcBorders>
            <w:vAlign w:val="center"/>
          </w:tcPr>
          <w:p w14:paraId="7A771679">
            <w:pPr>
              <w:adjustRightInd w:val="0"/>
              <w:snapToGrid w:val="0"/>
              <w:spacing w:after="0" w:line="240" w:lineRule="auto"/>
              <w:jc w:val="center"/>
              <w:rPr>
                <w:rFonts w:ascii="Times New Roman" w:hAnsi="Times New Roman" w:eastAsia="宋体" w:cs="Times New Roman"/>
                <w:color w:val="000000" w:themeColor="text1"/>
                <w:spacing w:val="-2"/>
                <w14:textFill>
                  <w14:solidFill>
                    <w14:schemeClr w14:val="tx1"/>
                  </w14:solidFill>
                </w14:textFill>
              </w:rPr>
            </w:pPr>
          </w:p>
        </w:tc>
        <w:tc>
          <w:tcPr>
            <w:tcW w:w="1457" w:type="dxa"/>
            <w:vAlign w:val="center"/>
          </w:tcPr>
          <w:p w14:paraId="45A60BDB">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hint="eastAsia" w:ascii="Times New Roman" w:hAnsi="Times New Roman" w:eastAsia="宋体" w:cs="Times New Roman"/>
                <w:b/>
                <w:color w:val="000000" w:themeColor="text1"/>
                <w:spacing w:val="-2"/>
                <w14:textFill>
                  <w14:solidFill>
                    <w14:schemeClr w14:val="tx1"/>
                  </w14:solidFill>
                </w14:textFill>
              </w:rPr>
              <w:t>有组织</w:t>
            </w:r>
          </w:p>
          <w:p w14:paraId="0E21999E">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排放</w:t>
            </w:r>
            <w:r>
              <w:rPr>
                <w:rFonts w:hint="eastAsia" w:ascii="Times New Roman" w:hAnsi="Times New Roman" w:eastAsia="宋体" w:cs="Times New Roman"/>
                <w:b/>
                <w:color w:val="000000" w:themeColor="text1"/>
                <w:spacing w:val="-2"/>
                <w14:textFill>
                  <w14:solidFill>
                    <w14:schemeClr w14:val="tx1"/>
                  </w14:solidFill>
                </w14:textFill>
              </w:rPr>
              <w:t>浓度</w:t>
            </w:r>
          </w:p>
          <w:p w14:paraId="3A0EF9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c>
          <w:tcPr>
            <w:tcW w:w="1457" w:type="dxa"/>
            <w:vAlign w:val="center"/>
          </w:tcPr>
          <w:p w14:paraId="6B8DFD73">
            <w:pPr>
              <w:adjustRightInd w:val="0"/>
              <w:snapToGrid w:val="0"/>
              <w:spacing w:after="0" w:line="240" w:lineRule="auto"/>
              <w:jc w:val="center"/>
              <w:rPr>
                <w:rFonts w:ascii="Times New Roman" w:hAnsi="Times New Roman" w:eastAsia="宋体" w:cs="Times New Roman"/>
                <w:b/>
                <w:color w:val="000000" w:themeColor="text1"/>
                <w:spacing w:val="-2"/>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最大地面浓度</w:t>
            </w:r>
          </w:p>
          <w:p w14:paraId="4141122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spacing w:val="-2"/>
                <w14:textFill>
                  <w14:solidFill>
                    <w14:schemeClr w14:val="tx1"/>
                  </w14:solidFill>
                </w14:textFill>
              </w:rPr>
              <w:t>(</w:t>
            </w:r>
            <w:r>
              <w:rPr>
                <w:rFonts w:hint="eastAsia" w:ascii="Times New Roman" w:hAnsi="Times New Roman" w:eastAsia="宋体" w:cs="Times New Roman"/>
                <w:b/>
                <w:color w:val="000000" w:themeColor="text1"/>
                <w:spacing w:val="-2"/>
                <w14:textFill>
                  <w14:solidFill>
                    <w14:schemeClr w14:val="tx1"/>
                  </w14:solidFill>
                </w14:textFill>
              </w:rPr>
              <w:t>m</w:t>
            </w:r>
            <w:r>
              <w:rPr>
                <w:rFonts w:ascii="Times New Roman" w:hAnsi="Times New Roman" w:eastAsia="宋体" w:cs="Times New Roman"/>
                <w:b/>
                <w:color w:val="000000" w:themeColor="text1"/>
                <w:spacing w:val="-2"/>
                <w14:textFill>
                  <w14:solidFill>
                    <w14:schemeClr w14:val="tx1"/>
                  </w14:solidFill>
                </w14:textFill>
              </w:rPr>
              <w:t>g/m</w:t>
            </w:r>
            <w:r>
              <w:rPr>
                <w:rFonts w:ascii="Times New Roman" w:hAnsi="Times New Roman" w:eastAsia="宋体" w:cs="Times New Roman"/>
                <w:b/>
                <w:color w:val="000000" w:themeColor="text1"/>
                <w:spacing w:val="-2"/>
                <w:vertAlign w:val="superscript"/>
                <w14:textFill>
                  <w14:solidFill>
                    <w14:schemeClr w14:val="tx1"/>
                  </w14:solidFill>
                </w14:textFill>
              </w:rPr>
              <w:t>3</w:t>
            </w:r>
            <w:r>
              <w:rPr>
                <w:rFonts w:ascii="Times New Roman" w:hAnsi="Times New Roman" w:eastAsia="宋体" w:cs="Times New Roman"/>
                <w:b/>
                <w:color w:val="000000" w:themeColor="text1"/>
                <w:spacing w:val="-2"/>
                <w14:textFill>
                  <w14:solidFill>
                    <w14:schemeClr w14:val="tx1"/>
                  </w14:solidFill>
                </w14:textFill>
              </w:rPr>
              <w:t>)</w:t>
            </w:r>
          </w:p>
        </w:tc>
      </w:tr>
      <w:tr w14:paraId="5D310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09831265">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1</w:t>
            </w:r>
          </w:p>
        </w:tc>
        <w:tc>
          <w:tcPr>
            <w:tcW w:w="1544" w:type="dxa"/>
            <w:vAlign w:val="center"/>
          </w:tcPr>
          <w:p w14:paraId="046569C3">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烘干炉</w:t>
            </w:r>
            <w:r>
              <w:rPr>
                <w:rFonts w:ascii="Times New Roman" w:hAnsi="Times New Roman" w:eastAsia="宋体" w:cs="Times New Roman"/>
                <w:color w:val="000000" w:themeColor="text1"/>
                <w:u w:val="single"/>
                <w14:textFill>
                  <w14:solidFill>
                    <w14:schemeClr w14:val="tx1"/>
                  </w14:solidFill>
                </w14:textFill>
              </w:rPr>
              <w:t>排气筒排放</w:t>
            </w:r>
          </w:p>
        </w:tc>
        <w:tc>
          <w:tcPr>
            <w:tcW w:w="1456" w:type="dxa"/>
            <w:tcBorders>
              <w:right w:val="single" w:color="auto" w:sz="4" w:space="0"/>
            </w:tcBorders>
            <w:vAlign w:val="center"/>
          </w:tcPr>
          <w:p w14:paraId="419712BD">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3.5</w:t>
            </w:r>
          </w:p>
        </w:tc>
        <w:tc>
          <w:tcPr>
            <w:tcW w:w="1457" w:type="dxa"/>
            <w:tcBorders>
              <w:left w:val="single" w:color="auto" w:sz="4" w:space="0"/>
            </w:tcBorders>
            <w:vAlign w:val="center"/>
          </w:tcPr>
          <w:p w14:paraId="5BB6BFA4">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0.000512</w:t>
            </w:r>
          </w:p>
        </w:tc>
        <w:tc>
          <w:tcPr>
            <w:tcW w:w="1457" w:type="dxa"/>
            <w:vAlign w:val="center"/>
          </w:tcPr>
          <w:p w14:paraId="0CE2CE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0.0025</w:t>
            </w:r>
          </w:p>
        </w:tc>
        <w:tc>
          <w:tcPr>
            <w:tcW w:w="1457" w:type="dxa"/>
            <w:vAlign w:val="center"/>
          </w:tcPr>
          <w:p w14:paraId="7414CE0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5.12×10</w:t>
            </w:r>
            <w:r>
              <w:rPr>
                <w:rFonts w:hint="eastAsia" w:ascii="Times New Roman" w:hAnsi="Times New Roman" w:eastAsia="宋体" w:cs="Times New Roman"/>
                <w:color w:val="000000" w:themeColor="text1"/>
                <w:u w:val="single"/>
                <w:vertAlign w:val="superscript"/>
                <w14:textFill>
                  <w14:solidFill>
                    <w14:schemeClr w14:val="tx1"/>
                  </w14:solidFill>
                </w14:textFill>
              </w:rPr>
              <w:t>-7</w:t>
            </w:r>
          </w:p>
        </w:tc>
      </w:tr>
      <w:tr w14:paraId="199F0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15402F21">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p>
        </w:tc>
        <w:tc>
          <w:tcPr>
            <w:tcW w:w="1544" w:type="dxa"/>
            <w:vAlign w:val="center"/>
          </w:tcPr>
          <w:p w14:paraId="5A5CC9EC">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r>
              <w:rPr>
                <w:rFonts w:ascii="Times New Roman" w:hAnsi="Times New Roman" w:eastAsia="宋体" w:cs="Times New Roman"/>
                <w:color w:val="000000" w:themeColor="text1"/>
                <w:u w:val="single"/>
                <w14:textFill>
                  <w14:solidFill>
                    <w14:schemeClr w14:val="tx1"/>
                  </w14:solidFill>
                </w14:textFill>
              </w:rPr>
              <w:t>车间粉尘排气筒排放</w:t>
            </w:r>
          </w:p>
        </w:tc>
        <w:tc>
          <w:tcPr>
            <w:tcW w:w="1456" w:type="dxa"/>
            <w:tcBorders>
              <w:right w:val="single" w:color="auto" w:sz="4" w:space="0"/>
            </w:tcBorders>
            <w:vAlign w:val="center"/>
          </w:tcPr>
          <w:p w14:paraId="34BB40C5">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0.16</w:t>
            </w:r>
          </w:p>
        </w:tc>
        <w:tc>
          <w:tcPr>
            <w:tcW w:w="1457" w:type="dxa"/>
            <w:tcBorders>
              <w:left w:val="single" w:color="auto" w:sz="4" w:space="0"/>
            </w:tcBorders>
            <w:vAlign w:val="center"/>
          </w:tcPr>
          <w:p w14:paraId="0EB09DD6">
            <w:pPr>
              <w:adjustRightInd w:val="0"/>
              <w:snapToGrid w:val="0"/>
              <w:spacing w:after="0" w:line="240" w:lineRule="auto"/>
              <w:jc w:val="center"/>
              <w:rPr>
                <w:rFonts w:ascii="Times New Roman" w:hAnsi="Times New Roman" w:eastAsia="等线"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0.000095</w:t>
            </w:r>
          </w:p>
        </w:tc>
        <w:tc>
          <w:tcPr>
            <w:tcW w:w="1457" w:type="dxa"/>
            <w:vAlign w:val="center"/>
          </w:tcPr>
          <w:p w14:paraId="28A3CD2C">
            <w:pPr>
              <w:spacing w:after="0" w:line="240" w:lineRule="auto"/>
              <w:jc w:val="center"/>
              <w:rPr>
                <w:rFonts w:ascii="Times New Roman" w:hAnsi="Times New Roman" w:eastAsia="等线"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w:t>
            </w:r>
          </w:p>
        </w:tc>
        <w:tc>
          <w:tcPr>
            <w:tcW w:w="1457" w:type="dxa"/>
            <w:vAlign w:val="center"/>
          </w:tcPr>
          <w:p w14:paraId="2F02CDD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9.53×10</w:t>
            </w:r>
            <w:r>
              <w:rPr>
                <w:rFonts w:hint="eastAsia" w:ascii="Times New Roman" w:hAnsi="Times New Roman" w:eastAsia="宋体" w:cs="Times New Roman"/>
                <w:color w:val="000000" w:themeColor="text1"/>
                <w:u w:val="single"/>
                <w:vertAlign w:val="superscript"/>
                <w14:textFill>
                  <w14:solidFill>
                    <w14:schemeClr w14:val="tx1"/>
                  </w14:solidFill>
                </w14:textFill>
              </w:rPr>
              <w:t>-8</w:t>
            </w:r>
          </w:p>
        </w:tc>
      </w:tr>
      <w:tr w14:paraId="6DBDE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3C93705E">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3</w:t>
            </w:r>
          </w:p>
        </w:tc>
        <w:tc>
          <w:tcPr>
            <w:tcW w:w="1544" w:type="dxa"/>
            <w:vAlign w:val="center"/>
          </w:tcPr>
          <w:p w14:paraId="7F4A8BD4">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2#</w:t>
            </w:r>
            <w:r>
              <w:rPr>
                <w:rFonts w:ascii="Times New Roman" w:hAnsi="Times New Roman" w:eastAsia="宋体" w:cs="Times New Roman"/>
                <w:color w:val="000000" w:themeColor="text1"/>
                <w:u w:val="single"/>
                <w14:textFill>
                  <w14:solidFill>
                    <w14:schemeClr w14:val="tx1"/>
                  </w14:solidFill>
                </w14:textFill>
              </w:rPr>
              <w:t>车间粉尘排气筒排放</w:t>
            </w:r>
          </w:p>
        </w:tc>
        <w:tc>
          <w:tcPr>
            <w:tcW w:w="1456" w:type="dxa"/>
            <w:tcBorders>
              <w:right w:val="single" w:color="auto" w:sz="4" w:space="0"/>
            </w:tcBorders>
            <w:vAlign w:val="center"/>
          </w:tcPr>
          <w:p w14:paraId="69E3415E">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0.21</w:t>
            </w:r>
          </w:p>
        </w:tc>
        <w:tc>
          <w:tcPr>
            <w:tcW w:w="1457" w:type="dxa"/>
            <w:tcBorders>
              <w:left w:val="single" w:color="auto" w:sz="4" w:space="0"/>
            </w:tcBorders>
            <w:vAlign w:val="center"/>
          </w:tcPr>
          <w:p w14:paraId="4E4FAF01">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0.000125</w:t>
            </w:r>
          </w:p>
        </w:tc>
        <w:tc>
          <w:tcPr>
            <w:tcW w:w="1457" w:type="dxa"/>
            <w:vAlign w:val="center"/>
          </w:tcPr>
          <w:p w14:paraId="61F99CD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0.0001</w:t>
            </w:r>
          </w:p>
        </w:tc>
        <w:tc>
          <w:tcPr>
            <w:tcW w:w="1457" w:type="dxa"/>
            <w:vAlign w:val="center"/>
          </w:tcPr>
          <w:p w14:paraId="4003D2E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1.25×10</w:t>
            </w:r>
            <w:r>
              <w:rPr>
                <w:rFonts w:hint="eastAsia" w:ascii="Times New Roman" w:hAnsi="Times New Roman" w:eastAsia="宋体" w:cs="Times New Roman"/>
                <w:color w:val="000000" w:themeColor="text1"/>
                <w:u w:val="single"/>
                <w:vertAlign w:val="superscript"/>
                <w14:textFill>
                  <w14:solidFill>
                    <w14:schemeClr w14:val="tx1"/>
                  </w14:solidFill>
                </w14:textFill>
              </w:rPr>
              <w:t>-8</w:t>
            </w:r>
          </w:p>
        </w:tc>
      </w:tr>
      <w:tr w14:paraId="5CC661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dxa"/>
            <w:vAlign w:val="center"/>
          </w:tcPr>
          <w:p w14:paraId="285E25C6">
            <w:pPr>
              <w:adjustRightInd w:val="0"/>
              <w:snapToGrid w:val="0"/>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c>
          <w:tcPr>
            <w:tcW w:w="1544" w:type="dxa"/>
            <w:vAlign w:val="center"/>
          </w:tcPr>
          <w:p w14:paraId="3EDBEED4">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车间粉尘无组织排放</w:t>
            </w:r>
          </w:p>
        </w:tc>
        <w:tc>
          <w:tcPr>
            <w:tcW w:w="1456" w:type="dxa"/>
            <w:tcBorders>
              <w:right w:val="single" w:color="auto" w:sz="4" w:space="0"/>
            </w:tcBorders>
            <w:vAlign w:val="center"/>
          </w:tcPr>
          <w:p w14:paraId="166602F3">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tcBorders>
              <w:left w:val="single" w:color="auto" w:sz="4" w:space="0"/>
            </w:tcBorders>
            <w:vAlign w:val="center"/>
          </w:tcPr>
          <w:p w14:paraId="628BE623">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ascii="Times New Roman" w:hAnsi="Times New Roman" w:eastAsia="等线" w:cs="Times New Roman"/>
                <w:color w:val="000000" w:themeColor="text1"/>
                <w:u w:val="single"/>
                <w14:textFill>
                  <w14:solidFill>
                    <w14:schemeClr w14:val="tx1"/>
                  </w14:solidFill>
                </w14:textFill>
              </w:rPr>
              <w:t>0.083524</w:t>
            </w:r>
          </w:p>
        </w:tc>
        <w:tc>
          <w:tcPr>
            <w:tcW w:w="1457" w:type="dxa"/>
            <w:vAlign w:val="center"/>
          </w:tcPr>
          <w:p w14:paraId="2C08BF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vAlign w:val="center"/>
          </w:tcPr>
          <w:p w14:paraId="66B8DB6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8.35×10</w:t>
            </w:r>
            <w:r>
              <w:rPr>
                <w:rFonts w:hint="eastAsia" w:ascii="Times New Roman" w:hAnsi="Times New Roman" w:eastAsia="宋体" w:cs="Times New Roman"/>
                <w:color w:val="000000" w:themeColor="text1"/>
                <w:u w:val="single"/>
                <w:vertAlign w:val="superscript"/>
                <w14:textFill>
                  <w14:solidFill>
                    <w14:schemeClr w14:val="tx1"/>
                  </w14:solidFill>
                </w14:textFill>
              </w:rPr>
              <w:t>-5</w:t>
            </w:r>
          </w:p>
        </w:tc>
      </w:tr>
      <w:tr w14:paraId="4865A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95" w:type="dxa"/>
            <w:gridSpan w:val="2"/>
            <w:vAlign w:val="center"/>
          </w:tcPr>
          <w:p w14:paraId="418FA11D">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spacing w:val="-2"/>
                <w:u w:val="single"/>
                <w14:textFill>
                  <w14:solidFill>
                    <w14:schemeClr w14:val="tx1"/>
                  </w14:solidFill>
                </w14:textFill>
              </w:rPr>
              <w:t>叠加值</w:t>
            </w:r>
          </w:p>
        </w:tc>
        <w:tc>
          <w:tcPr>
            <w:tcW w:w="1456" w:type="dxa"/>
            <w:tcBorders>
              <w:right w:val="single" w:color="auto" w:sz="4" w:space="0"/>
            </w:tcBorders>
            <w:vAlign w:val="center"/>
          </w:tcPr>
          <w:p w14:paraId="3E249CB8">
            <w:pPr>
              <w:adjustRightInd w:val="0"/>
              <w:snapToGrid w:val="0"/>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tcBorders>
              <w:left w:val="single" w:color="auto" w:sz="4" w:space="0"/>
            </w:tcBorders>
            <w:vAlign w:val="center"/>
          </w:tcPr>
          <w:p w14:paraId="1D9D07C0">
            <w:pPr>
              <w:spacing w:after="0" w:line="240" w:lineRule="auto"/>
              <w:jc w:val="center"/>
              <w:rPr>
                <w:rFonts w:ascii="Times New Roman" w:hAnsi="Times New Roman" w:eastAsia="宋体" w:cs="Times New Roman"/>
                <w:color w:val="000000" w:themeColor="text1"/>
                <w:spacing w:val="-2"/>
                <w:u w:val="single"/>
                <w14:textFill>
                  <w14:solidFill>
                    <w14:schemeClr w14:val="tx1"/>
                  </w14:solidFill>
                </w14:textFill>
              </w:rPr>
            </w:pPr>
            <w:r>
              <w:rPr>
                <w:rFonts w:hint="eastAsia" w:ascii="Times New Roman" w:hAnsi="Times New Roman" w:eastAsia="等线" w:cs="Times New Roman"/>
                <w:color w:val="000000" w:themeColor="text1"/>
                <w:u w:val="single"/>
                <w14:textFill>
                  <w14:solidFill>
                    <w14:schemeClr w14:val="tx1"/>
                  </w14:solidFill>
                </w14:textFill>
              </w:rPr>
              <w:t>0.0842560</w:t>
            </w:r>
          </w:p>
        </w:tc>
        <w:tc>
          <w:tcPr>
            <w:tcW w:w="1457" w:type="dxa"/>
            <w:vAlign w:val="center"/>
          </w:tcPr>
          <w:p w14:paraId="2C3F207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w:t>
            </w:r>
          </w:p>
        </w:tc>
        <w:tc>
          <w:tcPr>
            <w:tcW w:w="1457" w:type="dxa"/>
            <w:vAlign w:val="center"/>
          </w:tcPr>
          <w:p w14:paraId="0CCDA5F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8.43×10</w:t>
            </w:r>
            <w:r>
              <w:rPr>
                <w:rFonts w:hint="eastAsia" w:ascii="Times New Roman" w:hAnsi="Times New Roman" w:eastAsia="宋体" w:cs="Times New Roman"/>
                <w:color w:val="000000" w:themeColor="text1"/>
                <w:u w:val="single"/>
                <w:vertAlign w:val="superscript"/>
                <w14:textFill>
                  <w14:solidFill>
                    <w14:schemeClr w14:val="tx1"/>
                  </w14:solidFill>
                </w14:textFill>
              </w:rPr>
              <w:t>-5</w:t>
            </w:r>
          </w:p>
        </w:tc>
      </w:tr>
    </w:tbl>
    <w:p w14:paraId="7DE5BD2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7197422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ascii="Times New Roman" w:hAnsi="Times New Roman" w:eastAsia="宋体" w:cs="Times New Roman"/>
          <w:color w:val="000000" w:themeColor="text1"/>
          <w:spacing w:val="-2"/>
          <w:sz w:val="24"/>
          <w:szCs w:val="20"/>
          <w:u w:val="single"/>
          <w14:textFill>
            <w14:solidFill>
              <w14:schemeClr w14:val="tx1"/>
            </w14:solidFill>
          </w14:textFill>
        </w:rPr>
        <w:t>从表2.</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w: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begin"/>
      </w:r>
      <w:r>
        <w:rPr>
          <w:rFonts w:ascii="Times New Roman" w:hAnsi="Times New Roman" w:eastAsia="宋体" w:cs="Times New Roman"/>
          <w:color w:val="000000" w:themeColor="text1"/>
          <w:spacing w:val="-2"/>
          <w:sz w:val="24"/>
          <w:szCs w:val="20"/>
          <w:u w:val="single"/>
          <w14:textFill>
            <w14:solidFill>
              <w14:schemeClr w14:val="tx1"/>
            </w14:solidFill>
          </w14:textFill>
        </w:rPr>
        <w:instrText xml:space="preserve"> STYLEREF 2 \s </w:instrTex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separate"/>
      </w:r>
      <w:r>
        <w:rPr>
          <w:rFonts w:ascii="Times New Roman" w:hAnsi="Times New Roman" w:eastAsia="宋体" w:cs="Times New Roman"/>
          <w:color w:val="000000" w:themeColor="text1"/>
          <w:spacing w:val="-2"/>
          <w:sz w:val="24"/>
          <w:szCs w:val="20"/>
          <w:u w:val="single"/>
          <w14:textFill>
            <w14:solidFill>
              <w14:schemeClr w14:val="tx1"/>
            </w14:solidFill>
          </w14:textFill>
        </w:rPr>
        <w:t>2.2</w:t>
      </w:r>
      <w:r>
        <w:rPr>
          <w:rFonts w:ascii="Times New Roman" w:hAnsi="Times New Roman" w:eastAsia="宋体" w:cs="Times New Roman"/>
          <w:color w:val="000000" w:themeColor="text1"/>
          <w:spacing w:val="-2"/>
          <w:sz w:val="24"/>
          <w:szCs w:val="20"/>
          <w:u w:val="single"/>
          <w14:textFill>
            <w14:solidFill>
              <w14:schemeClr w14:val="tx1"/>
            </w14:solidFill>
          </w14:textFill>
        </w:rPr>
        <w:fldChar w:fldCharType="end"/>
      </w:r>
      <w:r>
        <w:rPr>
          <w:rFonts w:ascii="Times New Roman" w:hAnsi="Times New Roman" w:eastAsia="宋体" w:cs="Times New Roman"/>
          <w:color w:val="000000" w:themeColor="text1"/>
          <w:spacing w:val="-2"/>
          <w:sz w:val="24"/>
          <w:szCs w:val="20"/>
          <w:u w:val="single"/>
          <w14:textFill>
            <w14:solidFill>
              <w14:schemeClr w14:val="tx1"/>
            </w14:solidFill>
          </w14:textFill>
        </w:rPr>
        <w:noBreakHyphen/>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7</w:t>
      </w:r>
      <w:r>
        <w:rPr>
          <w:rFonts w:ascii="Times New Roman" w:hAnsi="Times New Roman" w:eastAsia="宋体" w:cs="Times New Roman"/>
          <w:color w:val="000000" w:themeColor="text1"/>
          <w:spacing w:val="-2"/>
          <w:sz w:val="24"/>
          <w:szCs w:val="20"/>
          <w:u w:val="single"/>
          <w14:textFill>
            <w14:solidFill>
              <w14:schemeClr w14:val="tx1"/>
            </w14:solidFill>
          </w14:textFill>
        </w:rPr>
        <w:t>估算结果可知，</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项目烘干炉、车间2个粉尘排气筒排放的铀、钍总量的浓度分别为0.0003mg/m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、0.0001mg/m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、0.0001mg/m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，小于</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修改单表1中车间或生产设施排气筒的</w:t>
      </w:r>
      <w:r>
        <w:rPr>
          <w:rFonts w:ascii="Times New Roman" w:hAnsi="Times New Roman" w:eastAsia="宋体" w:cs="Times New Roman"/>
          <w:color w:val="000000" w:themeColor="text1"/>
          <w:spacing w:val="-2"/>
          <w:sz w:val="24"/>
          <w:szCs w:val="20"/>
          <w:u w:val="single"/>
          <w14:textFill>
            <w14:solidFill>
              <w14:schemeClr w14:val="tx1"/>
            </w14:solidFill>
          </w14:textFill>
        </w:rPr>
        <w:t>铀、钍总量排放浓度</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限制0.10mg/m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；项目有组织、无组织排放源的铀、钍总量最大地面浓度值叠加后为0.00008</w:t>
      </w:r>
      <w:r>
        <w:rPr>
          <w:rFonts w:ascii="Times New Roman" w:hAnsi="Times New Roman" w:eastAsia="宋体" w:cs="Times New Roman"/>
          <w:color w:val="000000" w:themeColor="text1"/>
          <w:spacing w:val="-2"/>
          <w:sz w:val="24"/>
          <w:szCs w:val="20"/>
          <w:u w:val="single"/>
          <w14:textFill>
            <w14:solidFill>
              <w14:schemeClr w14:val="tx1"/>
            </w14:solidFill>
          </w14:textFill>
        </w:rPr>
        <w:t>mg/m</w:t>
      </w:r>
      <w:r>
        <w:rPr>
          <w:rFonts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ascii="Times New Roman" w:hAnsi="Times New Roman" w:eastAsia="宋体" w:cs="Times New Roman"/>
          <w:color w:val="000000" w:themeColor="text1"/>
          <w:spacing w:val="-2"/>
          <w:sz w:val="24"/>
          <w:szCs w:val="20"/>
          <w:u w:val="single"/>
          <w14:textFill>
            <w14:solidFill>
              <w14:schemeClr w14:val="tx1"/>
            </w14:solidFill>
          </w14:textFill>
        </w:rPr>
        <w:t>，</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小于</w:t>
      </w:r>
      <w:r>
        <w:rPr>
          <w:rFonts w:ascii="Times New Roman" w:hAnsi="Times New Roman" w:eastAsia="宋体" w:cs="Times New Roman"/>
          <w:color w:val="000000" w:themeColor="text1"/>
          <w:spacing w:val="-2"/>
          <w:sz w:val="24"/>
          <w:szCs w:val="20"/>
          <w:u w:val="single"/>
          <w14:textFill>
            <w14:solidFill>
              <w14:schemeClr w14:val="tx1"/>
            </w14:solidFill>
          </w14:textFill>
        </w:rPr>
        <w:t>《稀土工业污染物排放标准》（GB26451-2011）</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表6中企业边界铀、钍总量浓度限值0.0025mg/m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p>
    <w:p w14:paraId="52D1FE6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54" w:name="_Toc78822654"/>
      <w:r>
        <w:rPr>
          <w:rFonts w:ascii="Times New Roman" w:hAnsi="Times New Roman" w:eastAsia="黑体" w:cs="Times New Roman"/>
          <w:b/>
          <w:bCs/>
          <w:caps w:val="0"/>
          <w:color w:val="000000" w:themeColor="text1"/>
          <w:kern w:val="2"/>
          <w:sz w:val="24"/>
          <w:szCs w:val="32"/>
          <w14:textFill>
            <w14:solidFill>
              <w14:schemeClr w14:val="tx1"/>
            </w14:solidFill>
          </w14:textFill>
        </w:rPr>
        <w:t>固体废物</w:t>
      </w:r>
      <w:bookmarkEnd w:id="54"/>
    </w:p>
    <w:p w14:paraId="5D1A8C3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项目生产过程中产生的含矿尘的副产品或固废主要有：烘干炉除尘器粉尘、生产车间除尘器粉尘、生产车间地面粉尘、除尘器废除尘袋。</w:t>
      </w:r>
    </w:p>
    <w:p w14:paraId="5E81F40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（1）烘干炉除尘器粉尘、生产车间除尘器粉尘</w:t>
      </w:r>
    </w:p>
    <w:p w14:paraId="3A7C309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烘干炉除尘器粉尘、生产车间除尘器粉尘等均含一定量的钛铁等金属矿成分，仍有使用价值，收集后掺入2#车间内的锆中矿堆放区，与锆中矿一并外售。烘干炉除尘器粉尘、生产车间除尘器粉尘合计为9.7589t/a，相对锆中矿占比非常小，掺入锆中矿后对锆中矿堆放区的放射性核素浓度增量基本可以忽略不计。</w:t>
      </w:r>
    </w:p>
    <w:p w14:paraId="30A03E2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（2）生产车间地面粉尘</w:t>
      </w:r>
    </w:p>
    <w:p w14:paraId="0E7CE391">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color w:val="000000" w:themeColor="text1"/>
          <w:sz w:val="24"/>
          <w:szCs w:val="24"/>
          <w:u w:val="single"/>
          <w14:textFill>
            <w14:solidFill>
              <w14:schemeClr w14:val="tx1"/>
            </w14:solidFill>
          </w14:textFill>
        </w:rPr>
        <w:t>项目生产车间地面沉降粉尘为含矿粉尘，产生量为3.5699t/a，收集后作为原料重新投入到生产线进行分选。</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相对毛矿占比非常小，掺入原料后对原料堆放区的放射性核素浓度增量基本可以忽略不计。</w:t>
      </w:r>
    </w:p>
    <w:p w14:paraId="4960446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（3）除尘器废除尘袋</w:t>
      </w:r>
    </w:p>
    <w:p w14:paraId="0D2DFF5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除尘器产生废除尘袋，年产生量约0.6t/a，含有一定量的放射性，应妥善收集后暂存于专用贮存场地，在2#分选车间内部东北角规划一处专用暂存库进行存放。2#分选车间内布置有磁选生产线、锆中矿堆放区、钛铁精矿堆放区，涉及的放射性物料量均远远大于废除尘袋的产生量，并且生产车间除尘器产生废除尘袋为间歇产生，除尘器废除尘袋产生的放射性核素浓度相对于磁选生产线、锆中矿堆放区、钛铁精矿堆放区的放射性核素浓度基本可以忽略不计。</w:t>
      </w:r>
    </w:p>
    <w:p w14:paraId="38A8614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项目2#分选车间根据一般防渗区及《伴生放射性物料贮存及固体废物填埋辐射环境保护技术规范（试行）》（HJ1114-2020）中伴生放射性物料贮存的要求进行严格管理，含放射性固体废物的暂存方式合理。</w:t>
      </w:r>
      <w:bookmarkStart w:id="55" w:name="_Toc78822655"/>
    </w:p>
    <w:bookmarkEnd w:id="55"/>
    <w:p w14:paraId="2EA7AF2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6" w:name="_Toc187653465"/>
      <w:r>
        <w:rPr>
          <w:rFonts w:hint="eastAsia" w:ascii="Times New Roman" w:hAnsi="Times New Roman" w:eastAsia="黑体" w:cs="Times New Roman"/>
          <w:b/>
          <w:bCs/>
          <w:color w:val="000000" w:themeColor="text1"/>
          <w:kern w:val="2"/>
          <w:sz w:val="28"/>
          <w:szCs w:val="32"/>
          <w14:textFill>
            <w14:solidFill>
              <w14:schemeClr w14:val="tx1"/>
            </w14:solidFill>
          </w14:textFill>
        </w:rPr>
        <w:t>辐射防护措施</w:t>
      </w:r>
      <w:bookmarkEnd w:id="56"/>
    </w:p>
    <w:p w14:paraId="71F6B83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生产物料贮存管理防护措施</w:t>
      </w:r>
    </w:p>
    <w:p w14:paraId="2106026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项目涉及伴生放射性物料的种类</w:t>
      </w:r>
    </w:p>
    <w:p w14:paraId="7E96FCF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项目涉及放射性的物料主要有原料毛矿、钛铁精矿、锆中矿、少量含放射性粉尘的废除尘袋。以上含放射性的物料均需要</w:t>
      </w:r>
      <w:r>
        <w:rPr>
          <w:rFonts w:ascii="Times New Roman" w:hAnsi="Times New Roman" w:eastAsia="宋体" w:cs="Times New Roman"/>
          <w:color w:val="000000" w:themeColor="text1"/>
          <w:spacing w:val="-2"/>
          <w:sz w:val="24"/>
          <w:szCs w:val="20"/>
          <w:u w:val="single"/>
          <w14:textFill>
            <w14:solidFill>
              <w14:schemeClr w14:val="tx1"/>
            </w14:solidFill>
          </w14:textFill>
        </w:rPr>
        <w:t>根据《伴生放射性物料贮存及固体废物填埋辐射环境保护技术规范（试行）》</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（HJ</w:t>
      </w:r>
      <w:r>
        <w:rPr>
          <w:rFonts w:ascii="Times New Roman" w:hAnsi="Times New Roman" w:eastAsia="宋体" w:cs="Times New Roman"/>
          <w:color w:val="000000" w:themeColor="text1"/>
          <w:spacing w:val="-2"/>
          <w:sz w:val="24"/>
          <w:szCs w:val="20"/>
          <w:u w:val="single"/>
          <w14:textFill>
            <w14:solidFill>
              <w14:schemeClr w14:val="tx1"/>
            </w14:solidFill>
          </w14:textFill>
        </w:rPr>
        <w:t>1114-2020）相关要求</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进行贮存</w:t>
      </w:r>
      <w:r>
        <w:rPr>
          <w:rFonts w:ascii="Times New Roman" w:hAnsi="Times New Roman" w:eastAsia="宋体" w:cs="Times New Roman"/>
          <w:color w:val="000000" w:themeColor="text1"/>
          <w:spacing w:val="-2"/>
          <w:sz w:val="24"/>
          <w:szCs w:val="20"/>
          <w:u w:val="single"/>
          <w14:textFill>
            <w14:solidFill>
              <w14:schemeClr w14:val="tx1"/>
            </w14:solidFill>
          </w14:textFill>
        </w:rPr>
        <w:t>，</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尤其是原料毛矿和锆中矿，核素浓度均大于1 Bq/g。</w:t>
      </w:r>
    </w:p>
    <w:p w14:paraId="0173578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伴生放射性物料贮存一般要求</w:t>
      </w:r>
    </w:p>
    <w:p w14:paraId="40F1170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（1）伴生放射性物料应与其他物料分区贮存。</w:t>
      </w:r>
    </w:p>
    <w:p w14:paraId="7C0D4A9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（2）伴生放射性固体废物应及时填埋；无填埋条件的，应建设专门设施进行贮存。</w:t>
      </w:r>
    </w:p>
    <w:p w14:paraId="24F3B9D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（3）鼓励对伴生放射性固体废物中的有价值资源进行回收利用，实现废物最小化；对于铀含量达到0.1%的固体废物，宜进行铀资源化回收利用。</w:t>
      </w:r>
    </w:p>
    <w:p w14:paraId="352CE9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（4）伴生放射性固体废物贮存及填埋应执行台账制度。</w:t>
      </w:r>
    </w:p>
    <w:p w14:paraId="170FA47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伴生放射性矿开发利用单位应贯彻执行国家和行业颁发的有关法律法规和标准，提供所必需的人力、物力等保障措施；建立辐射环境管理机构，配备专业技术人员与管理人员；建立辐射环境管理岗位责任制度、教育培训制度、报告制度等。</w:t>
      </w:r>
    </w:p>
    <w:p w14:paraId="4E255AE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（6）伴生放射性固体废物同时具有危险废物特性的，贮存与填埋还应符合危险废物相关技术标准要求。</w:t>
      </w:r>
    </w:p>
    <w:p w14:paraId="0A1CF21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伴生放射性物料贮存设施设计要求</w:t>
      </w:r>
    </w:p>
    <w:p w14:paraId="1380093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（1）贮存设施应根据企业总平面布置等相关要求，尽量布置在远离人群活动的地方。</w:t>
      </w:r>
    </w:p>
    <w:p w14:paraId="31EF3B6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（2）贮存设施应采取实体隔离措施，防止无关人员进入。</w:t>
      </w:r>
    </w:p>
    <w:p w14:paraId="41C7D5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（3）贮存设施应进行清污分流，防止雨水进入；物料可能产生渗水的应设置地沟等渗水收集系统，渗水应进行回收利用或处理后达标排放。</w:t>
      </w:r>
    </w:p>
    <w:p w14:paraId="2A5F60EB">
      <w:pPr>
        <w:widowControl w:val="0"/>
        <w:spacing w:after="0" w:line="360" w:lineRule="auto"/>
        <w:ind w:firstLine="472" w:firstLineChars="200"/>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（4）贮存设施应进行防腐防渗设计，防渗性能应不低于渗透系数为1×10</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 xml:space="preserve">-7 </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cm/s、厚度为2m 的</w:t>
      </w:r>
      <w:r>
        <w:rPr>
          <w:rFonts w:hint="eastAsia" w:ascii="Times New Roman" w:hAnsi="Times New Roman" w:eastAsia="宋体" w:cs="Times New Roman"/>
          <w:color w:val="000000" w:themeColor="text1"/>
          <w:spacing w:val="-2"/>
          <w:sz w:val="24"/>
          <w:szCs w:val="20"/>
          <w:u w:val="single"/>
          <w:lang w:eastAsia="zh-CN"/>
          <w14:textFill>
            <w14:solidFill>
              <w14:schemeClr w14:val="tx1"/>
            </w14:solidFill>
          </w14:textFill>
        </w:rPr>
        <w:t>黏土层</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的防渗效果。</w:t>
      </w:r>
    </w:p>
    <w:p w14:paraId="2815E61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（5）物料贮存应采取防尘、抑尘措施，防止物料逸散。</w:t>
      </w:r>
    </w:p>
    <w:p w14:paraId="6B2A096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（6）应根据物料来源、放射性水平等进行合理的贮存区域划分。</w:t>
      </w:r>
    </w:p>
    <w:p w14:paraId="46B89674">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伴生放射性物料贮存设施运行要求</w:t>
      </w:r>
    </w:p>
    <w:p w14:paraId="3270C3B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（1）根据《伴生放射性物料贮存及固体废物填埋辐射环境保护技术规范（试行）》（HJ 1114-2020）相关要求，在原料和产品的仓库外明显部位设置电离辐射标志，对原料和产品进行分类贮存，并加强管理，防止物料流失，禁止无关人员进入。</w:t>
      </w:r>
    </w:p>
    <w:p w14:paraId="2B11530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（2）固体废物贮存应有明确标识，并结合实际情况注明废物的名称、数量、放射性核素活度浓度等。</w:t>
      </w:r>
    </w:p>
    <w:p w14:paraId="52ABA7B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（3）固体废物贮存台账应结合实际情况注明名称、来源、数量、放射性核素活度浓度、入库日期、出库日期及接收单位名称等信息。</w:t>
      </w:r>
    </w:p>
    <w:p w14:paraId="1E4EAFD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（4）物料贮存相配套的防尘、抑尘措施，应稳定运行、有效实施。</w:t>
      </w:r>
    </w:p>
    <w:p w14:paraId="4BBD7F9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u w:val="single"/>
          <w14:textFill>
            <w14:solidFill>
              <w14:schemeClr w14:val="tx1"/>
            </w14:solidFill>
          </w14:textFill>
        </w:rPr>
      </w:pPr>
      <w:r>
        <w:rPr>
          <w:rFonts w:hint="eastAsia" w:ascii="Times New Roman" w:hAnsi="Times New Roman" w:eastAsia="黑体" w:cs="Times New Roman"/>
          <w:bCs/>
          <w:i w:val="0"/>
          <w:iCs w:val="0"/>
          <w:color w:val="000000" w:themeColor="text1"/>
          <w:kern w:val="2"/>
          <w:sz w:val="24"/>
          <w:u w:val="single"/>
          <w14:textFill>
            <w14:solidFill>
              <w14:schemeClr w14:val="tx1"/>
            </w14:solidFill>
          </w14:textFill>
        </w:rPr>
        <w:t>其他管理防护措施建议</w:t>
      </w:r>
    </w:p>
    <w:p w14:paraId="3FD47037">
      <w:pPr>
        <w:widowControl w:val="0"/>
        <w:spacing w:after="0" w:line="360" w:lineRule="auto"/>
        <w:ind w:firstLine="472" w:firstLineChars="200"/>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（1）贮存设施应采用水泥混凝土墙体，墙体厚40cm，设置15cm厚的钢制防护门，大门外1m范围内张贴地面标识，提示注意电离辐射，无关人员禁止停留。</w:t>
      </w:r>
    </w:p>
    <w:p w14:paraId="53E1B5D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（2）设置通排风系统，保证贮存场所通风换气次数3～4次/h，防止伴生放射性核素衰变产生的氡气聚集。</w:t>
      </w:r>
    </w:p>
    <w:p w14:paraId="1509B40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（3）项目生产与贮存一体，车间管理上要求双人双锁，专人负责，门上张贴电离辐射标志，无关人员不要进入车间，尽量不在车间周围停留。对涉辐射物料应严格执行台账制度，由专人负责，准确无误</w:t>
      </w:r>
      <w:r>
        <w:rPr>
          <w:rFonts w:hint="eastAsia" w:ascii="Times New Roman" w:hAnsi="Times New Roman" w:eastAsia="宋体" w:cs="Times New Roman"/>
          <w:color w:val="000000" w:themeColor="text1"/>
          <w:spacing w:val="-2"/>
          <w:sz w:val="24"/>
          <w:szCs w:val="20"/>
          <w:u w:val="single"/>
          <w:lang w:eastAsia="zh-CN"/>
          <w14:textFill>
            <w14:solidFill>
              <w14:schemeClr w14:val="tx1"/>
            </w14:solidFill>
          </w14:textFill>
        </w:rPr>
        <w:t>地</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登记涉辐射物料来源去向，并且实行联单管理。</w:t>
      </w:r>
    </w:p>
    <w:p w14:paraId="304B350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防护措施</w:t>
      </w:r>
    </w:p>
    <w:p w14:paraId="503D020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由于铀钍等核素是随着颗粒物排放到废气中去，所以做好颗粒物的减排工作就是做好了铀钍核素的减排工作。本项目废气分为有组织废气、无组织废气，有组织废气主要为烘干炉烟气、生产车间含矿粉尘；无组织废气为生产车间无组织排放的含矿粉尘。本项目烘干炉采用间接烘干工艺，采用生物质颗粒为烘干炉提供热源，生物质颗粒不含放射性核素，因此，烘干烟气不含放射性核素，本项目对生产车间粉尘采取的防治措施如下：</w:t>
      </w:r>
    </w:p>
    <w:p w14:paraId="4F84069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（1）有组织废气处理设施</w:t>
      </w:r>
    </w:p>
    <w:p w14:paraId="16FD70E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项目在</w:t>
      </w:r>
      <w:r>
        <w:rPr>
          <w:rFonts w:ascii="Times New Roman" w:hAnsi="Times New Roman"/>
          <w:color w:val="000000" w:themeColor="text1"/>
          <w:spacing w:val="-2"/>
          <w:sz w:val="24"/>
          <w:szCs w:val="24"/>
          <w14:textFill>
            <w14:solidFill>
              <w14:schemeClr w14:val="tx1"/>
            </w14:solidFill>
          </w14:textFill>
        </w:rPr>
        <w:t>烘干机、磁选机进出料口等主要扬尘产生点配套安装集气罩，采用负压抽风进行收尘，收集后的粉尘采用袋式除尘工艺进行治理。项目</w:t>
      </w:r>
      <w:r>
        <w:rPr>
          <w:rFonts w:hint="eastAsia" w:ascii="Times New Roman" w:hAnsi="Times New Roman"/>
          <w:color w:val="000000" w:themeColor="text1"/>
          <w:spacing w:val="-2"/>
          <w:sz w:val="24"/>
          <w:szCs w:val="24"/>
          <w14:textFill>
            <w14:solidFill>
              <w14:schemeClr w14:val="tx1"/>
            </w14:solidFill>
          </w14:textFill>
        </w:rPr>
        <w:t>分别在1#原料处理车间、2#分选车间各设置一套车间粉尘除尘系统，各</w:t>
      </w:r>
      <w:r>
        <w:rPr>
          <w:rFonts w:ascii="Times New Roman" w:hAnsi="Times New Roman"/>
          <w:color w:val="000000" w:themeColor="text1"/>
          <w:spacing w:val="-2"/>
          <w:sz w:val="24"/>
          <w:szCs w:val="24"/>
          <w14:textFill>
            <w14:solidFill>
              <w14:schemeClr w14:val="tx1"/>
            </w14:solidFill>
          </w14:textFill>
        </w:rPr>
        <w:t>配套</w:t>
      </w:r>
      <w:r>
        <w:rPr>
          <w:rFonts w:hint="eastAsia" w:ascii="Times New Roman" w:hAnsi="Times New Roman"/>
          <w:color w:val="000000" w:themeColor="text1"/>
          <w:spacing w:val="-2"/>
          <w:sz w:val="24"/>
          <w:szCs w:val="24"/>
          <w14:textFill>
            <w14:solidFill>
              <w14:schemeClr w14:val="tx1"/>
            </w14:solidFill>
          </w14:textFill>
        </w:rPr>
        <w:t>一台</w:t>
      </w:r>
      <w:r>
        <w:rPr>
          <w:rFonts w:ascii="Times New Roman" w:hAnsi="Times New Roman"/>
          <w:color w:val="000000" w:themeColor="text1"/>
          <w:spacing w:val="-2"/>
          <w:sz w:val="24"/>
          <w:szCs w:val="24"/>
          <w14:textFill>
            <w14:solidFill>
              <w14:schemeClr w14:val="tx1"/>
            </w14:solidFill>
          </w14:textFill>
        </w:rPr>
        <w:t>风量为5000m</w:t>
      </w:r>
      <w:r>
        <w:rPr>
          <w:rFonts w:ascii="Times New Roman" w:hAnsi="Times New Roman"/>
          <w:color w:val="000000" w:themeColor="text1"/>
          <w:spacing w:val="-2"/>
          <w:sz w:val="24"/>
          <w:szCs w:val="24"/>
          <w:vertAlign w:val="superscript"/>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/h风机，</w:t>
      </w:r>
      <w:r>
        <w:rPr>
          <w:rFonts w:hint="eastAsia" w:ascii="Times New Roman" w:hAnsi="Times New Roman"/>
          <w:color w:val="000000" w:themeColor="text1"/>
          <w:spacing w:val="-2"/>
          <w:sz w:val="24"/>
          <w:szCs w:val="24"/>
          <w14:textFill>
            <w14:solidFill>
              <w14:schemeClr w14:val="tx1"/>
            </w14:solidFill>
          </w14:textFill>
        </w:rPr>
        <w:t>每套除尘系统</w:t>
      </w:r>
      <w:r>
        <w:rPr>
          <w:rFonts w:ascii="Times New Roman" w:hAnsi="Times New Roman"/>
          <w:color w:val="000000" w:themeColor="text1"/>
          <w:spacing w:val="-2"/>
          <w:sz w:val="24"/>
          <w:szCs w:val="24"/>
          <w14:textFill>
            <w14:solidFill>
              <w14:schemeClr w14:val="tx1"/>
            </w14:solidFill>
          </w14:textFill>
        </w:rPr>
        <w:t>年排放废气量为2400万m</w:t>
      </w:r>
      <w:r>
        <w:rPr>
          <w:rFonts w:ascii="Times New Roman" w:hAnsi="Times New Roman"/>
          <w:color w:val="000000" w:themeColor="text1"/>
          <w:spacing w:val="-2"/>
          <w:sz w:val="24"/>
          <w:szCs w:val="24"/>
          <w:vertAlign w:val="superscript"/>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/a，处理后的生产车间粉尘废气</w:t>
      </w:r>
      <w:r>
        <w:rPr>
          <w:rFonts w:hint="eastAsia" w:ascii="Times New Roman" w:hAnsi="Times New Roman"/>
          <w:color w:val="000000" w:themeColor="text1"/>
          <w:spacing w:val="-2"/>
          <w:sz w:val="24"/>
          <w:szCs w:val="24"/>
          <w14:textFill>
            <w14:solidFill>
              <w14:schemeClr w14:val="tx1"/>
            </w14:solidFill>
          </w14:textFill>
        </w:rPr>
        <w:t>分别</w:t>
      </w:r>
      <w:r>
        <w:rPr>
          <w:rFonts w:ascii="Times New Roman" w:hAnsi="Times New Roman"/>
          <w:color w:val="000000" w:themeColor="text1"/>
          <w:spacing w:val="-2"/>
          <w:sz w:val="24"/>
          <w:szCs w:val="24"/>
          <w14:textFill>
            <w14:solidFill>
              <w14:schemeClr w14:val="tx1"/>
            </w14:solidFill>
          </w14:textFill>
        </w:rPr>
        <w:t>通过</w:t>
      </w:r>
      <w:r>
        <w:rPr>
          <w:rFonts w:hint="eastAsia" w:ascii="Times New Roman" w:hAnsi="Times New Roman"/>
          <w:color w:val="000000" w:themeColor="text1"/>
          <w:spacing w:val="-2"/>
          <w:sz w:val="24"/>
          <w:szCs w:val="24"/>
          <w14:textFill>
            <w14:solidFill>
              <w14:schemeClr w14:val="tx1"/>
            </w14:solidFill>
          </w14:textFill>
        </w:rPr>
        <w:t>两根17</w:t>
      </w:r>
      <w:r>
        <w:rPr>
          <w:rFonts w:ascii="Times New Roman" w:hAnsi="Times New Roman"/>
          <w:color w:val="000000" w:themeColor="text1"/>
          <w:spacing w:val="-2"/>
          <w:sz w:val="24"/>
          <w:szCs w:val="24"/>
          <w14:textFill>
            <w14:solidFill>
              <w14:schemeClr w14:val="tx1"/>
            </w14:solidFill>
          </w14:textFill>
        </w:rPr>
        <w:t>m高、直径0.</w:t>
      </w:r>
      <w:r>
        <w:rPr>
          <w:rFonts w:hint="eastAsia" w:ascii="Times New Roman" w:hAnsi="Times New Roman"/>
          <w:color w:val="000000" w:themeColor="text1"/>
          <w:spacing w:val="-2"/>
          <w:sz w:val="24"/>
          <w:szCs w:val="24"/>
          <w14:textFill>
            <w14:solidFill>
              <w14:schemeClr w14:val="tx1"/>
            </w14:solidFill>
          </w14:textFill>
        </w:rPr>
        <w:t>3</w:t>
      </w:r>
      <w:r>
        <w:rPr>
          <w:rFonts w:ascii="Times New Roman" w:hAnsi="Times New Roman"/>
          <w:color w:val="000000" w:themeColor="text1"/>
          <w:spacing w:val="-2"/>
          <w:sz w:val="24"/>
          <w:szCs w:val="24"/>
          <w14:textFill>
            <w14:solidFill>
              <w14:schemeClr w14:val="tx1"/>
            </w14:solidFill>
          </w14:textFill>
        </w:rPr>
        <w:t>m的排气筒排放，排气筒位置</w:t>
      </w:r>
      <w:r>
        <w:rPr>
          <w:rFonts w:hint="eastAsia" w:ascii="Times New Roman" w:hAnsi="Times New Roman"/>
          <w:color w:val="000000" w:themeColor="text1"/>
          <w:spacing w:val="-2"/>
          <w:sz w:val="24"/>
          <w:szCs w:val="24"/>
          <w14:textFill>
            <w14:solidFill>
              <w14:schemeClr w14:val="tx1"/>
            </w14:solidFill>
          </w14:textFill>
        </w:rPr>
        <w:t>分别</w:t>
      </w:r>
      <w:r>
        <w:rPr>
          <w:rFonts w:ascii="Times New Roman" w:hAnsi="Times New Roman"/>
          <w:color w:val="000000" w:themeColor="text1"/>
          <w:spacing w:val="-2"/>
          <w:sz w:val="24"/>
          <w:szCs w:val="24"/>
          <w14:textFill>
            <w14:solidFill>
              <w14:schemeClr w14:val="tx1"/>
            </w14:solidFill>
          </w14:textFill>
        </w:rPr>
        <w:t>位于</w:t>
      </w:r>
      <w:r>
        <w:rPr>
          <w:rFonts w:hint="eastAsia" w:ascii="Times New Roman" w:hAnsi="Times New Roman"/>
          <w:color w:val="000000" w:themeColor="text1"/>
          <w:spacing w:val="-2"/>
          <w:sz w:val="24"/>
          <w:szCs w:val="24"/>
          <w14:textFill>
            <w14:solidFill>
              <w14:schemeClr w14:val="tx1"/>
            </w14:solidFill>
          </w14:textFill>
        </w:rPr>
        <w:t>1#原料处理车间、</w:t>
      </w:r>
      <w:r>
        <w:rPr>
          <w:rFonts w:ascii="Times New Roman" w:hAnsi="Times New Roman"/>
          <w:color w:val="000000" w:themeColor="text1"/>
          <w:spacing w:val="-2"/>
          <w:sz w:val="24"/>
          <w:szCs w:val="24"/>
          <w14:textFill>
            <w14:solidFill>
              <w14:schemeClr w14:val="tx1"/>
            </w14:solidFill>
          </w14:textFill>
        </w:rPr>
        <w:t>2#分选车间北侧厂房外。</w:t>
      </w:r>
    </w:p>
    <w:p w14:paraId="13E006B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（2）无组织废气防治措施</w:t>
      </w:r>
    </w:p>
    <w:p w14:paraId="146D421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olor w:val="000000" w:themeColor="text1"/>
          <w:spacing w:val="-2"/>
          <w:sz w:val="24"/>
          <w:szCs w:val="24"/>
          <w14:textFill>
            <w14:solidFill>
              <w14:schemeClr w14:val="tx1"/>
            </w14:solidFill>
          </w14:textFill>
        </w:rPr>
        <w:t>项目</w:t>
      </w:r>
      <w:r>
        <w:rPr>
          <w:rFonts w:ascii="Times New Roman" w:hAnsi="Times New Roman"/>
          <w:color w:val="000000" w:themeColor="text1"/>
          <w:spacing w:val="-2"/>
          <w:sz w:val="24"/>
          <w:szCs w:val="24"/>
          <w14:textFill>
            <w14:solidFill>
              <w14:schemeClr w14:val="tx1"/>
            </w14:solidFill>
          </w14:textFill>
        </w:rPr>
        <w:t>生产车间</w:t>
      </w:r>
      <w:r>
        <w:rPr>
          <w:rFonts w:hint="eastAsia" w:ascii="Times New Roman" w:hAnsi="Times New Roman"/>
          <w:color w:val="000000" w:themeColor="text1"/>
          <w:spacing w:val="-2"/>
          <w:sz w:val="24"/>
          <w:szCs w:val="24"/>
          <w14:textFill>
            <w14:solidFill>
              <w14:schemeClr w14:val="tx1"/>
            </w14:solidFill>
          </w14:textFill>
        </w:rPr>
        <w:t>采用封闭式设计</w:t>
      </w:r>
      <w:r>
        <w:rPr>
          <w:rFonts w:ascii="Times New Roman" w:hAnsi="Times New Roman"/>
          <w:color w:val="000000" w:themeColor="text1"/>
          <w:spacing w:val="-2"/>
          <w:sz w:val="24"/>
          <w:szCs w:val="24"/>
          <w14:textFill>
            <w14:solidFill>
              <w14:schemeClr w14:val="tx1"/>
            </w14:solidFill>
          </w14:textFill>
        </w:rPr>
        <w:t>，生产环境封闭程度相对较好，</w:t>
      </w:r>
      <w:r>
        <w:rPr>
          <w:rFonts w:hint="eastAsia" w:ascii="Times New Roman" w:hAnsi="Times New Roman"/>
          <w:color w:val="000000" w:themeColor="text1"/>
          <w:spacing w:val="-2"/>
          <w:sz w:val="24"/>
          <w:szCs w:val="24"/>
          <w14:textFill>
            <w14:solidFill>
              <w14:schemeClr w14:val="tx1"/>
            </w14:solidFill>
          </w14:textFill>
        </w:rPr>
        <w:t>项目生产线及物料贮存均位于生产车间内。项目生产线主要产尘环节均设置了</w:t>
      </w:r>
      <w:r>
        <w:rPr>
          <w:rFonts w:ascii="Times New Roman" w:hAnsi="Times New Roman"/>
          <w:color w:val="000000" w:themeColor="text1"/>
          <w:spacing w:val="-2"/>
          <w:sz w:val="24"/>
          <w:szCs w:val="24"/>
          <w14:textFill>
            <w14:solidFill>
              <w14:schemeClr w14:val="tx1"/>
            </w14:solidFill>
          </w14:textFill>
        </w:rPr>
        <w:t>集气罩</w:t>
      </w:r>
      <w:r>
        <w:rPr>
          <w:rFonts w:hint="eastAsia" w:ascii="Times New Roman" w:hAnsi="Times New Roman"/>
          <w:color w:val="000000" w:themeColor="text1"/>
          <w:spacing w:val="-2"/>
          <w:sz w:val="24"/>
          <w:szCs w:val="24"/>
          <w14:textFill>
            <w14:solidFill>
              <w14:schemeClr w14:val="tx1"/>
            </w14:solidFill>
          </w14:textFill>
        </w:rPr>
        <w:t>，生产线大部分粉尘被除尘系统收集，</w:t>
      </w:r>
      <w:r>
        <w:rPr>
          <w:rFonts w:ascii="Times New Roman" w:hAnsi="Times New Roman"/>
          <w:color w:val="000000" w:themeColor="text1"/>
          <w:spacing w:val="-2"/>
          <w:sz w:val="24"/>
          <w:szCs w:val="24"/>
          <w14:textFill>
            <w14:solidFill>
              <w14:schemeClr w14:val="tx1"/>
            </w14:solidFill>
          </w14:textFill>
        </w:rPr>
        <w:t>除尘系统集气罩未收集到的车间扬尘主要飘散在车间内2～</w:t>
      </w:r>
      <w:r>
        <w:rPr>
          <w:rFonts w:hint="eastAsia" w:ascii="Times New Roman" w:hAnsi="Times New Roman"/>
          <w:color w:val="000000" w:themeColor="text1"/>
          <w:spacing w:val="-2"/>
          <w:sz w:val="24"/>
          <w:szCs w:val="24"/>
          <w14:textFill>
            <w14:solidFill>
              <w14:schemeClr w14:val="tx1"/>
            </w14:solidFill>
          </w14:textFill>
        </w:rPr>
        <w:t>4</w:t>
      </w:r>
      <w:r>
        <w:rPr>
          <w:rFonts w:ascii="Times New Roman" w:hAnsi="Times New Roman"/>
          <w:color w:val="000000" w:themeColor="text1"/>
          <w:spacing w:val="-2"/>
          <w:sz w:val="24"/>
          <w:szCs w:val="24"/>
          <w14:textFill>
            <w14:solidFill>
              <w14:schemeClr w14:val="tx1"/>
            </w14:solidFill>
          </w14:textFill>
        </w:rPr>
        <w:t>m高的区域，项目的物料主要为含金属矿砂，产生的含金属粉尘的比重较大，具有重力沉降速度较快的特点。飘散在车间内的大部分矿砂粉尘，在无风扰动的</w:t>
      </w:r>
      <w:r>
        <w:rPr>
          <w:rFonts w:hint="eastAsia" w:ascii="Times New Roman" w:hAnsi="Times New Roman"/>
          <w:color w:val="000000" w:themeColor="text1"/>
          <w:spacing w:val="-2"/>
          <w:sz w:val="24"/>
          <w:szCs w:val="24"/>
          <w14:textFill>
            <w14:solidFill>
              <w14:schemeClr w14:val="tx1"/>
            </w14:solidFill>
          </w14:textFill>
        </w:rPr>
        <w:t>封闭</w:t>
      </w:r>
      <w:r>
        <w:rPr>
          <w:rFonts w:ascii="Times New Roman" w:hAnsi="Times New Roman"/>
          <w:color w:val="000000" w:themeColor="text1"/>
          <w:spacing w:val="-2"/>
          <w:sz w:val="24"/>
          <w:szCs w:val="24"/>
          <w14:textFill>
            <w14:solidFill>
              <w14:schemeClr w14:val="tx1"/>
            </w14:solidFill>
          </w14:textFill>
        </w:rPr>
        <w:t>车间环境</w:t>
      </w:r>
      <w:r>
        <w:rPr>
          <w:rFonts w:hint="eastAsia" w:ascii="Times New Roman" w:hAnsi="Times New Roman"/>
          <w:color w:val="000000" w:themeColor="text1"/>
          <w:spacing w:val="-2"/>
          <w:sz w:val="24"/>
          <w:szCs w:val="24"/>
          <w14:textFill>
            <w14:solidFill>
              <w14:schemeClr w14:val="tx1"/>
            </w14:solidFill>
          </w14:textFill>
        </w:rPr>
        <w:t>大部分</w:t>
      </w:r>
      <w:r>
        <w:rPr>
          <w:rFonts w:ascii="Times New Roman" w:hAnsi="Times New Roman"/>
          <w:color w:val="000000" w:themeColor="text1"/>
          <w:spacing w:val="-2"/>
          <w:sz w:val="24"/>
          <w:szCs w:val="24"/>
          <w14:textFill>
            <w14:solidFill>
              <w14:schemeClr w14:val="tx1"/>
            </w14:solidFill>
          </w14:textFill>
        </w:rPr>
        <w:t>下沉降到地面，</w:t>
      </w:r>
      <w:r>
        <w:rPr>
          <w:rFonts w:hint="eastAsia" w:ascii="Times New Roman" w:hAnsi="Times New Roman"/>
          <w:color w:val="000000" w:themeColor="text1"/>
          <w:spacing w:val="-2"/>
          <w:sz w:val="24"/>
          <w:szCs w:val="24"/>
          <w14:textFill>
            <w14:solidFill>
              <w14:schemeClr w14:val="tx1"/>
            </w14:solidFill>
          </w14:textFill>
        </w:rPr>
        <w:t>少量</w:t>
      </w:r>
      <w:r>
        <w:rPr>
          <w:rFonts w:ascii="Times New Roman" w:hAnsi="Times New Roman"/>
          <w:color w:val="000000" w:themeColor="text1"/>
          <w:spacing w:val="-2"/>
          <w:sz w:val="24"/>
          <w:szCs w:val="24"/>
          <w14:textFill>
            <w14:solidFill>
              <w14:schemeClr w14:val="tx1"/>
            </w14:solidFill>
          </w14:textFill>
        </w:rPr>
        <w:t>的小粒径粉尘弥散至车间顶部换风口</w:t>
      </w:r>
      <w:r>
        <w:rPr>
          <w:rFonts w:hint="eastAsia" w:ascii="Times New Roman" w:hAnsi="Times New Roman"/>
          <w:color w:val="000000" w:themeColor="text1"/>
          <w:spacing w:val="-2"/>
          <w:sz w:val="24"/>
          <w:szCs w:val="24"/>
          <w14:textFill>
            <w14:solidFill>
              <w14:schemeClr w14:val="tx1"/>
            </w14:solidFill>
          </w14:textFill>
        </w:rPr>
        <w:t>无组织排放</w:t>
      </w:r>
      <w:r>
        <w:rPr>
          <w:rFonts w:ascii="Times New Roman" w:hAnsi="Times New Roman"/>
          <w:color w:val="000000" w:themeColor="text1"/>
          <w:spacing w:val="-2"/>
          <w:sz w:val="24"/>
          <w:szCs w:val="24"/>
          <w14:textFill>
            <w14:solidFill>
              <w14:schemeClr w14:val="tx1"/>
            </w14:solidFill>
          </w14:textFill>
        </w:rPr>
        <w:t>到环境中</w:t>
      </w:r>
      <w:r>
        <w:rPr>
          <w:rFonts w:hint="eastAsia" w:ascii="Times New Roman" w:hAnsi="Times New Roman"/>
          <w:color w:val="000000" w:themeColor="text1"/>
          <w:spacing w:val="-2"/>
          <w:sz w:val="24"/>
          <w:szCs w:val="24"/>
          <w14:textFill>
            <w14:solidFill>
              <w14:schemeClr w14:val="tx1"/>
            </w14:solidFill>
          </w14:textFill>
        </w:rPr>
        <w:t>。</w:t>
      </w:r>
    </w:p>
    <w:p w14:paraId="3E8D3004">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固体废物防护措施</w:t>
      </w:r>
    </w:p>
    <w:p w14:paraId="4977E41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lang w:val="en-GB"/>
          <w14:textFill>
            <w14:solidFill>
              <w14:schemeClr w14:val="tx1"/>
            </w14:solidFill>
          </w14:textFill>
        </w:rPr>
      </w:pPr>
      <w:r>
        <w:rPr>
          <w:rFonts w:hint="eastAsia" w:ascii="Times New Roman" w:hAnsi="Times New Roman" w:eastAsia="宋体" w:cs="Times New Roman"/>
          <w:color w:val="000000" w:themeColor="text1"/>
          <w:spacing w:val="-2"/>
          <w:sz w:val="24"/>
          <w:szCs w:val="20"/>
          <w:lang w:val="en-GB"/>
          <w14:textFill>
            <w14:solidFill>
              <w14:schemeClr w14:val="tx1"/>
            </w14:solidFill>
          </w14:textFill>
        </w:rPr>
        <w:t>项目生产过程中产生的含矿尘的副产品或固废主要有：生产车间除尘器粉尘、生产车间地面粉尘、生产车间除尘器废除尘袋。</w:t>
      </w:r>
    </w:p>
    <w:p w14:paraId="1777248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生产车间除尘器粉尘、生产车间地面粉尘收集后掺入2#车间内的锆中矿堆放区，与锆中矿一并外售。项目生产车间除尘器产生废除尘袋，妥善收集后暂存于2#分选车间内部东北角的专用贮存场地进行存放。项目产生的涉辐射固体废物均存放于2#分选车间内部，2#分选车间内布置有磁选生产线、锆中矿堆放区、钛铁精矿堆放区，涉辐射物料量均远远大于固废量，固废辐射影响相对于磁选生产线、锆中矿堆放区、钛铁精矿堆放区的放射性核素浓度基本可以忽略不计，项目涉及辐射固废的防护措施主要在项目生产物料贮存管理防护措施中已考虑。</w:t>
      </w:r>
    </w:p>
    <w:p w14:paraId="50BFEE8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项目2#分选车间根据一般防渗区及《伴生放射性物料贮存及固体废物填埋辐射环境保护技术规范（试行）》（HJ1114-2020）中伴生放射性物料贮存的要求进行严格管理，含放射性固体废物的暂存方式合理。</w:t>
      </w:r>
    </w:p>
    <w:p w14:paraId="6E2FB64B">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运输风险防护措施</w:t>
      </w:r>
    </w:p>
    <w:p w14:paraId="37714CF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根据《放射性物品运输安全管理条例》（国务院令 562 号）第三十一条：“承运放射性物品应当取得国家规定的运输资质。承运人的资质管理，依照有关法律、行政法规和国务院交通运输、铁路、民航、邮政主管部门的规定执行。”本项目锆中矿外售运输的承运单位应取得相应的放射性物品运输资质，承运人应取得相应的资质；第三十条：“托运一类放射性物品的，托运人应当委托有资质的辐射监测机构对其表面污染和辐射水平实施监测，辐射监测机构应当出具辐射监测报告。托运二类、三类放射性物品的，托运人应当对其表面污染和辐射水平实施监测，并编制辐射监测报告。监测结果不符合国家放射性物品运输安全标准的，不得托运。”本项目锆中矿属于三类放射性物品，托运人（建设单位）应当对其表面污染和辐射水平实施监测，并编制辐射监测报告。监测结果不符合国家放射性物品运输安全标准的，不得托运。</w:t>
      </w:r>
    </w:p>
    <w:p w14:paraId="10A3559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为满足《放射性物品安全运输规程》（GB 11806-2019）中要求，外售锆中矿需设置合理的运输路线，运输前应该进行严密包装，采用专用</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厢式</w:t>
      </w:r>
      <w:r>
        <w:rPr>
          <w:rFonts w:hint="eastAsia" w:ascii="Times New Roman" w:hAnsi="Times New Roman" w:eastAsia="宋体" w:cs="Times New Roman"/>
          <w:color w:val="000000" w:themeColor="text1"/>
          <w:spacing w:val="-2"/>
          <w:sz w:val="24"/>
          <w:szCs w:val="20"/>
          <w14:textFill>
            <w14:solidFill>
              <w14:schemeClr w14:val="tx1"/>
            </w14:solidFill>
          </w14:textFill>
        </w:rPr>
        <w:t>运输车辆，货物装车后应及时封闭车辆。定期对运输汽车进行维修和保养、提高驾驶人员安全意识，防止极端交通事故发生，以避免对沿线道路及周边环境形成放射性污染，在车上常备有应急物品，包括防护口罩、防护手套、护目镜等防护用品。</w:t>
      </w:r>
    </w:p>
    <w:p w14:paraId="65162C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运输工作人员应接受相关辐射防护措施等方面的培训：</w:t>
      </w:r>
    </w:p>
    <w:p w14:paraId="1EA3397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（1）避免事故发生的方法和程序；</w:t>
      </w:r>
    </w:p>
    <w:p w14:paraId="76E17EC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（2）制定有相应的事故应急预案及应急措施；</w:t>
      </w:r>
    </w:p>
    <w:p w14:paraId="43C9504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（3）现有的应急响应信息以及如何利用这些信息；</w:t>
      </w:r>
    </w:p>
    <w:p w14:paraId="1D190E8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（4）各种放射性物品的危害和如何防止受到这些危害，必要</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时</w:t>
      </w:r>
      <w:r>
        <w:rPr>
          <w:rFonts w:hint="eastAsia" w:ascii="Times New Roman" w:hAnsi="Times New Roman" w:eastAsia="宋体" w:cs="Times New Roman"/>
          <w:color w:val="000000" w:themeColor="text1"/>
          <w:spacing w:val="-2"/>
          <w:sz w:val="24"/>
          <w:szCs w:val="20"/>
          <w14:textFill>
            <w14:solidFill>
              <w14:schemeClr w14:val="tx1"/>
            </w14:solidFill>
          </w14:textFill>
        </w:rPr>
        <w:t>包括人员防护服和防护设备的使用；</w:t>
      </w:r>
    </w:p>
    <w:p w14:paraId="65502CD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（5）发生放射性物质</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意外</w:t>
      </w:r>
      <w:r>
        <w:rPr>
          <w:rFonts w:hint="eastAsia" w:ascii="Times New Roman" w:hAnsi="Times New Roman" w:eastAsia="宋体" w:cs="Times New Roman"/>
          <w:color w:val="000000" w:themeColor="text1"/>
          <w:spacing w:val="-2"/>
          <w:sz w:val="24"/>
          <w:szCs w:val="20"/>
          <w14:textFill>
            <w14:solidFill>
              <w14:schemeClr w14:val="tx1"/>
            </w14:solidFill>
          </w14:textFill>
        </w:rPr>
        <w:t>释放时立即采取的程序，包括相关的应急响应程序和要遵守的人员防护程序。</w:t>
      </w:r>
    </w:p>
    <w:p w14:paraId="4FD5D48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辐射防护管理措施</w:t>
      </w:r>
    </w:p>
    <w:p w14:paraId="594637D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本项目除采取上述污染防治设施以外，建设单位还应制定以下辐射防护管理制度和措施，主要包括：</w:t>
      </w:r>
    </w:p>
    <w:p w14:paraId="75DA4C2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（1）成立辐射安全与环境保护管理机构，成立领导小组，负责组织辐射安全培训、辐射安全应急演练，开展日常安全检查并督促隐患整改，协助调查、处理辐射事故，负责通知、组织医疗救援等。</w:t>
      </w:r>
    </w:p>
    <w:p w14:paraId="52A7CAA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（2）制定《辐射事故应急预案》、《辐射防护和安全管理制度》、《放射性物料暂存管理制度》、《辐射环境监测计划》等辐射规章制度，制定放射性物料进出台账，实行统一管理，以利于辐射环境保护。</w:t>
      </w:r>
    </w:p>
    <w:p w14:paraId="0A16774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个人防护工作：给员工配备的个人的劳保防护用品（如工作服、手套，口罩等）；为了减少伴生放射性物质进入体内的机会，不在车间内吸烟，不在车间内进餐；经常注意修剪指甲、剪短头发，以免积存伴生放射性物质；还应注意保护皮肤的清洁完整。</w:t>
      </w:r>
    </w:p>
    <w:p w14:paraId="1AE9EB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在工作中，皮肤受了损伤，应及时清洗，妥善包扎，以防感染化脓或伴生放射性物质由伤口进入体内。设立员工换衣区，上班后换上工作专用工作服和鞋，下班之后立即沐浴，工作服等用品不允许带出厂外。</w:t>
      </w:r>
    </w:p>
    <w:p w14:paraId="1B09F1F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（4）合理优化职工人数和工作时间，尽量减少员工与伴生放射性物料的接触时间，对所受照射剂量超过5mSv/a 的工作人员调整至其他剂量较小的工作岗位。</w:t>
      </w:r>
    </w:p>
    <w:p w14:paraId="6794A6E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（5）指定专人负责进行放射性γ辐射定点巡检，按期进行监测和风险评价，发现异常时，应及时找出原因并予以处理。</w:t>
      </w:r>
    </w:p>
    <w:p w14:paraId="4CD32C9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（6）工作人员上岗前需进行辐射安全环保知识培训，定期组织辐射安全环保知识学习和考试。</w:t>
      </w:r>
    </w:p>
    <w:p w14:paraId="5C62FD7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（7）工作时严格按操作规程操作。</w:t>
      </w:r>
    </w:p>
    <w:p w14:paraId="5CA393A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（8）为了防止伴生放射性物质通过消化道或</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其他途径</w:t>
      </w:r>
      <w:r>
        <w:rPr>
          <w:rFonts w:hint="eastAsia" w:ascii="Times New Roman" w:hAnsi="Times New Roman" w:eastAsia="宋体" w:cs="Times New Roman"/>
          <w:color w:val="000000" w:themeColor="text1"/>
          <w:spacing w:val="-2"/>
          <w:sz w:val="24"/>
          <w:szCs w:val="20"/>
          <w14:textFill>
            <w14:solidFill>
              <w14:schemeClr w14:val="tx1"/>
            </w14:solidFill>
          </w14:textFill>
        </w:rPr>
        <w:t>进入体内，严禁在放射工作场所吸烟、进食和存放食物。</w:t>
      </w:r>
    </w:p>
    <w:p w14:paraId="0A6549F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（9）对于原料、产品等，建立完备进出台账制度，对于具体数量和去向将有完整记录。</w:t>
      </w:r>
    </w:p>
    <w:p w14:paraId="6AD239D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1E024CD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594ABCA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573D1E3A">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57" w:name="_Toc78822656"/>
    </w:p>
    <w:p w14:paraId="0359DC75">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58" w:name="_Toc187653466"/>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辐射环境质量现状</w:t>
      </w:r>
      <w:bookmarkEnd w:id="57"/>
      <w:bookmarkEnd w:id="58"/>
    </w:p>
    <w:p w14:paraId="296B1912">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59" w:name="_Toc187653467"/>
      <w:bookmarkStart w:id="60" w:name="_Toc78822657"/>
      <w:r>
        <w:rPr>
          <w:rFonts w:ascii="Times New Roman" w:hAnsi="Times New Roman" w:eastAsia="黑体" w:cs="Times New Roman"/>
          <w:b/>
          <w:bCs/>
          <w:color w:val="000000" w:themeColor="text1"/>
          <w:kern w:val="2"/>
          <w:sz w:val="28"/>
          <w:szCs w:val="32"/>
          <w14:textFill>
            <w14:solidFill>
              <w14:schemeClr w14:val="tx1"/>
            </w14:solidFill>
          </w14:textFill>
        </w:rPr>
        <w:t>辐射环境质量现状调查</w:t>
      </w:r>
      <w:bookmarkEnd w:id="59"/>
      <w:bookmarkEnd w:id="60"/>
    </w:p>
    <w:p w14:paraId="0CAD939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61" w:name="_Toc78822658"/>
      <w:r>
        <w:rPr>
          <w:rFonts w:ascii="Times New Roman" w:hAnsi="Times New Roman" w:eastAsia="黑体" w:cs="Times New Roman"/>
          <w:b/>
          <w:bCs/>
          <w:caps w:val="0"/>
          <w:color w:val="000000" w:themeColor="text1"/>
          <w:kern w:val="2"/>
          <w:sz w:val="24"/>
          <w:szCs w:val="32"/>
          <w14:textFill>
            <w14:solidFill>
              <w14:schemeClr w14:val="tx1"/>
            </w14:solidFill>
          </w14:textFill>
        </w:rPr>
        <w:t>辐射环境质量调查方案</w:t>
      </w:r>
      <w:bookmarkEnd w:id="61"/>
    </w:p>
    <w:p w14:paraId="7A03EFB4">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根据《辐射环境监测技术规范》（HJ61-2021）中5.4.1伴生发射性矿采选及冶炼过程的辐射环境监测要求，除铀（钍）矿外所有矿产资源开发利用活动中原矿、中间产品、尾矿（渣）或者其他残留物中铀（钍）系单个核素含量超过 1 Bq/g 的需要开展辐射环境监测。参照采选前的辐射环境监测方案须按《辐射环境监测技术规范》（HJ61-2021）中表13前四项开展监测，分别为γ辐射、空气、气溶胶、地表水的监测。</w:t>
      </w:r>
    </w:p>
    <w:p w14:paraId="040FC32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辐射环境质量调查委托广西壮族自治区辐射环境监督管理站开展项目所在区域γ辐射、空气、气溶胶的辐射环境现状监测，项目所在区域为填海成陆区域，无原有地表水体，填海成陆后无地表水体流经，同时本项目不产生生产废水，无液态流出物，因此不</w:t>
      </w:r>
      <w:r>
        <w:rPr>
          <w:rFonts w:hint="eastAsia" w:ascii="Times New Roman" w:hAnsi="Times New Roman" w:cs="Times New Roman"/>
          <w:color w:val="000000" w:themeColor="text1"/>
          <w:sz w:val="24"/>
          <w:szCs w:val="24"/>
          <w:lang w:eastAsia="zh-CN"/>
          <w14:textFill>
            <w14:solidFill>
              <w14:schemeClr w14:val="tx1"/>
            </w14:solidFill>
          </w14:textFill>
        </w:rPr>
        <w:t>开展</w:t>
      </w:r>
      <w:r>
        <w:rPr>
          <w:rFonts w:hint="eastAsia" w:ascii="Times New Roman" w:hAnsi="Times New Roman" w:cs="Times New Roman"/>
          <w:color w:val="000000" w:themeColor="text1"/>
          <w:sz w:val="24"/>
          <w:szCs w:val="24"/>
          <w14:textFill>
            <w14:solidFill>
              <w14:schemeClr w14:val="tx1"/>
            </w14:solidFill>
          </w14:textFill>
        </w:rPr>
        <w:t>地表水体的环境监测。监测报告见附件。</w:t>
      </w:r>
    </w:p>
    <w:p w14:paraId="6BBE854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62" w:name="_Toc51255241"/>
      <w:bookmarkStart w:id="63" w:name="_Toc493795080"/>
      <w:bookmarkStart w:id="64" w:name="_Toc230317810"/>
      <w:bookmarkStart w:id="65" w:name="_Toc162360789"/>
      <w:bookmarkStart w:id="66" w:name="_Toc230317812"/>
      <w:bookmarkStart w:id="67" w:name="_Toc214525290"/>
      <w:r>
        <w:rPr>
          <w:rFonts w:ascii="Times New Roman" w:hAnsi="Times New Roman" w:eastAsia="黑体" w:cs="Times New Roman"/>
          <w:bCs/>
          <w:i w:val="0"/>
          <w:iCs w:val="0"/>
          <w:color w:val="000000" w:themeColor="text1"/>
          <w:kern w:val="2"/>
          <w:sz w:val="24"/>
          <w14:textFill>
            <w14:solidFill>
              <w14:schemeClr w14:val="tx1"/>
            </w14:solidFill>
          </w14:textFill>
        </w:rPr>
        <w:t>γ辐射空气吸收剂量率监测</w:t>
      </w:r>
      <w:bookmarkEnd w:id="62"/>
      <w:bookmarkEnd w:id="63"/>
      <w:bookmarkEnd w:id="64"/>
    </w:p>
    <w:p w14:paraId="070B29DE">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68" w:name="_Toc230317811"/>
      <w:bookmarkStart w:id="69" w:name="_Toc214525289"/>
      <w:bookmarkStart w:id="70" w:name="_Toc162360788"/>
      <w:r>
        <w:rPr>
          <w:rFonts w:ascii="Times New Roman" w:hAnsi="Times New Roman" w:cs="Times New Roman"/>
          <w:color w:val="000000" w:themeColor="text1"/>
          <w:sz w:val="24"/>
          <w:szCs w:val="24"/>
          <w14:textFill>
            <w14:solidFill>
              <w14:schemeClr w14:val="tx1"/>
            </w14:solidFill>
          </w14:textFill>
        </w:rPr>
        <w:t>（1）监测点位布设</w:t>
      </w:r>
      <w:bookmarkEnd w:id="68"/>
      <w:bookmarkEnd w:id="69"/>
      <w:bookmarkEnd w:id="70"/>
    </w:p>
    <w:p w14:paraId="5251EAE9">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根据《辐射环境监测技术规范》（HJ61-2021）、《伴生放射性矿开发利用企业环境辐射监测及信息公开办法（试行）》及《环境γ辐射剂量率测量技术规范》（HJ1157-2021）中相关要求，对项目厂区周边</w:t>
      </w:r>
      <w:r>
        <w:rPr>
          <w:rFonts w:hint="eastAsia" w:ascii="Times New Roman" w:hAnsi="Times New Roman" w:cs="Times New Roman"/>
          <w:color w:val="000000" w:themeColor="text1"/>
          <w:sz w:val="24"/>
          <w:szCs w:val="24"/>
          <w14:textFill>
            <w14:solidFill>
              <w14:schemeClr w14:val="tx1"/>
            </w14:solidFill>
          </w14:textFill>
        </w:rPr>
        <w:t>环境</w:t>
      </w:r>
      <w:r>
        <w:rPr>
          <w:rFonts w:ascii="Times New Roman" w:hAnsi="Times New Roman" w:cs="Times New Roman"/>
          <w:color w:val="000000" w:themeColor="text1"/>
          <w:sz w:val="24"/>
          <w:szCs w:val="24"/>
          <w14:textFill>
            <w14:solidFill>
              <w14:schemeClr w14:val="tx1"/>
            </w14:solidFill>
          </w14:textFill>
        </w:rPr>
        <w:t>进行本底 γ辐射剂量率监测。</w:t>
      </w:r>
    </w:p>
    <w:p w14:paraId="2BADCE8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项目厂内</w:t>
      </w:r>
      <w:r>
        <w:rPr>
          <w:rFonts w:ascii="Times New Roman" w:hAnsi="Times New Roman" w:cs="Times New Roman"/>
          <w:color w:val="000000" w:themeColor="text1"/>
          <w:sz w:val="24"/>
          <w:szCs w:val="24"/>
          <w14:textFill>
            <w14:solidFill>
              <w14:schemeClr w14:val="tx1"/>
            </w14:solidFill>
          </w14:textFill>
        </w:rPr>
        <w:t>区域按50×50m网格布点</w:t>
      </w:r>
      <w:r>
        <w:rPr>
          <w:rFonts w:hint="eastAsia" w:ascii="Times New Roman" w:hAnsi="Times New Roman" w:cs="Times New Roman"/>
          <w:color w:val="000000" w:themeColor="text1"/>
          <w:sz w:val="24"/>
          <w:szCs w:val="24"/>
          <w14:textFill>
            <w14:solidFill>
              <w14:schemeClr w14:val="tx1"/>
            </w14:solidFill>
          </w14:textFill>
        </w:rPr>
        <w:t>，共布设2个监测点，分别位于2个车间中心；厂</w:t>
      </w:r>
      <w:r>
        <w:rPr>
          <w:rFonts w:ascii="Times New Roman" w:hAnsi="Times New Roman" w:cs="Times New Roman"/>
          <w:color w:val="000000" w:themeColor="text1"/>
          <w:sz w:val="24"/>
          <w:szCs w:val="24"/>
          <w14:textFill>
            <w14:solidFill>
              <w14:schemeClr w14:val="tx1"/>
            </w14:solidFill>
          </w14:textFill>
        </w:rPr>
        <w:t>外环境监测点位布设厂界四周东、西、南、北处</w:t>
      </w:r>
      <w:r>
        <w:rPr>
          <w:rFonts w:hint="eastAsia" w:ascii="Times New Roman" w:hAnsi="Times New Roman" w:cs="Times New Roman"/>
          <w:color w:val="000000" w:themeColor="text1"/>
          <w:sz w:val="24"/>
          <w:szCs w:val="24"/>
          <w14:textFill>
            <w14:solidFill>
              <w14:schemeClr w14:val="tx1"/>
            </w14:solidFill>
          </w14:textFill>
        </w:rPr>
        <w:t>共4个监测点；广西钦州保税区创大冷链物流公司进口汽车仓储物流园外东、南、西侧相邻的企业边界布置3个监测点。共布设γ辐射剂量率</w:t>
      </w:r>
      <w:r>
        <w:rPr>
          <w:rFonts w:hint="eastAsia" w:ascii="Times New Roman" w:hAnsi="Times New Roman" w:cs="Times New Roman"/>
          <w:color w:val="000000" w:themeColor="text1"/>
          <w:sz w:val="24"/>
          <w:szCs w:val="24"/>
          <w:lang w:eastAsia="zh-CN"/>
          <w14:textFill>
            <w14:solidFill>
              <w14:schemeClr w14:val="tx1"/>
            </w14:solidFill>
          </w14:textFill>
        </w:rPr>
        <w:t>监测</w:t>
      </w:r>
      <w:r>
        <w:rPr>
          <w:rFonts w:hint="eastAsia" w:ascii="Times New Roman" w:hAnsi="Times New Roman" w:cs="Times New Roman"/>
          <w:color w:val="000000" w:themeColor="text1"/>
          <w:sz w:val="24"/>
          <w:szCs w:val="24"/>
          <w14:textFill>
            <w14:solidFill>
              <w14:schemeClr w14:val="tx1"/>
            </w14:solidFill>
          </w14:textFill>
        </w:rPr>
        <w:t>点9</w:t>
      </w:r>
      <w:r>
        <w:rPr>
          <w:rFonts w:ascii="Times New Roman" w:hAnsi="Times New Roman" w:cs="Times New Roman"/>
          <w:color w:val="000000" w:themeColor="text1"/>
          <w:sz w:val="24"/>
          <w:szCs w:val="24"/>
          <w14:textFill>
            <w14:solidFill>
              <w14:schemeClr w14:val="tx1"/>
            </w14:solidFill>
          </w14:textFill>
        </w:rPr>
        <w:t>个。监测布点见图3.1-1</w:t>
      </w:r>
      <w:r>
        <w:rPr>
          <w:rFonts w:hint="eastAsia" w:ascii="Times New Roman" w:hAnsi="Times New Roman" w:cs="Times New Roman"/>
          <w:color w:val="000000" w:themeColor="text1"/>
          <w:sz w:val="24"/>
          <w:szCs w:val="24"/>
          <w14:textFill>
            <w14:solidFill>
              <w14:schemeClr w14:val="tx1"/>
            </w14:solidFill>
          </w14:textFill>
        </w:rPr>
        <w:t>、图3.1-2</w:t>
      </w:r>
      <w:r>
        <w:rPr>
          <w:rFonts w:ascii="Times New Roman" w:hAnsi="Times New Roman" w:cs="Times New Roman"/>
          <w:color w:val="000000" w:themeColor="text1"/>
          <w:sz w:val="24"/>
          <w:szCs w:val="24"/>
          <w14:textFill>
            <w14:solidFill>
              <w14:schemeClr w14:val="tx1"/>
            </w14:solidFill>
          </w14:textFill>
        </w:rPr>
        <w:t>。</w:t>
      </w:r>
    </w:p>
    <w:p w14:paraId="45D7E6E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6C1328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3CBC81B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26C9426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1205BCCB">
      <w:pPr>
        <w:pStyle w:val="2"/>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31665" cy="3599815"/>
            <wp:effectExtent l="19050" t="19050" r="26035" b="19685"/>
            <wp:docPr id="102091052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10524" name="图片 6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01287AE3">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图3.1-1</w:t>
      </w:r>
      <w:r>
        <w:rPr>
          <w:rFonts w:hint="eastAsia" w:ascii="Times New Roman" w:hAnsi="Times New Roman" w:cs="Times New Roman"/>
          <w:b/>
          <w:color w:val="000000" w:themeColor="text1"/>
          <w:spacing w:val="-2"/>
          <w:sz w:val="24"/>
          <w:szCs w:val="24"/>
          <w14:textFill>
            <w14:solidFill>
              <w14:schemeClr w14:val="tx1"/>
            </w14:solidFill>
          </w14:textFill>
        </w:rPr>
        <w:t xml:space="preserve">  </w:t>
      </w:r>
      <w:r>
        <w:rPr>
          <w:rFonts w:ascii="Times New Roman" w:hAnsi="Times New Roman" w:cs="Times New Roman"/>
          <w:b/>
          <w:color w:val="000000" w:themeColor="text1"/>
          <w:spacing w:val="-2"/>
          <w:sz w:val="24"/>
          <w:szCs w:val="24"/>
          <w14:textFill>
            <w14:solidFill>
              <w14:schemeClr w14:val="tx1"/>
            </w14:solidFill>
          </w14:textFill>
        </w:rPr>
        <w:t>γ辐射空气吸收剂量率监测点位布置</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r>
        <w:rPr>
          <w:rFonts w:hint="eastAsia" w:ascii="Times New Roman" w:hAnsi="Times New Roman" w:cs="Times New Roman"/>
          <w:b/>
          <w:color w:val="000000" w:themeColor="text1"/>
          <w:spacing w:val="-2"/>
          <w:sz w:val="24"/>
          <w:szCs w:val="24"/>
          <w14:textFill>
            <w14:solidFill>
              <w14:schemeClr w14:val="tx1"/>
            </w14:solidFill>
          </w14:textFill>
        </w:rPr>
        <w:t>（1）</w:t>
      </w:r>
    </w:p>
    <w:p w14:paraId="08FF005A">
      <w:pPr>
        <w:autoSpaceDE w:val="0"/>
        <w:autoSpaceDN w:val="0"/>
        <w:adjustRightInd w:val="0"/>
        <w:spacing w:after="0" w:line="360" w:lineRule="auto"/>
        <w:ind w:firstLine="480"/>
        <w:rPr>
          <w:color w:val="000000" w:themeColor="text1"/>
          <w14:textFill>
            <w14:solidFill>
              <w14:schemeClr w14:val="tx1"/>
            </w14:solidFill>
          </w14:textFill>
        </w:rPr>
      </w:pPr>
    </w:p>
    <w:p w14:paraId="39BD44C7">
      <w:pPr>
        <w:spacing w:after="0"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4431665" cy="3599815"/>
            <wp:effectExtent l="19050" t="19050" r="26035" b="19685"/>
            <wp:docPr id="177207019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70199" name="图片 6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2D046198">
      <w:pPr>
        <w:spacing w:after="0" w:line="360" w:lineRule="auto"/>
        <w:ind w:firstLine="474" w:firstLineChars="20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 xml:space="preserve">2  </w:t>
      </w:r>
      <w:r>
        <w:rPr>
          <w:rFonts w:ascii="Times New Roman" w:hAnsi="Times New Roman" w:cs="Times New Roman"/>
          <w:b/>
          <w:color w:val="000000" w:themeColor="text1"/>
          <w:spacing w:val="-2"/>
          <w:sz w:val="24"/>
          <w:szCs w:val="24"/>
          <w14:textFill>
            <w14:solidFill>
              <w14:schemeClr w14:val="tx1"/>
            </w14:solidFill>
          </w14:textFill>
        </w:rPr>
        <w:t>γ辐射空气吸收剂量率监测点位布置</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r>
        <w:rPr>
          <w:rFonts w:hint="eastAsia" w:ascii="Times New Roman" w:hAnsi="Times New Roman" w:cs="Times New Roman"/>
          <w:b/>
          <w:color w:val="000000" w:themeColor="text1"/>
          <w:spacing w:val="-2"/>
          <w:sz w:val="24"/>
          <w:szCs w:val="24"/>
          <w14:textFill>
            <w14:solidFill>
              <w14:schemeClr w14:val="tx1"/>
            </w14:solidFill>
          </w14:textFill>
        </w:rPr>
        <w:t>（2）</w:t>
      </w:r>
    </w:p>
    <w:p w14:paraId="1C20D78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32F9A2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65"/>
      <w:bookmarkEnd w:id="66"/>
      <w:bookmarkEnd w:id="67"/>
    </w:p>
    <w:p w14:paraId="2DD6FD2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项目：γ辐射空气吸收剂量率</w:t>
      </w:r>
    </w:p>
    <w:p w14:paraId="2BBB084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413870D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频次：</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一次。</w:t>
      </w:r>
    </w:p>
    <w:p w14:paraId="2D4DD008">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71" w:name="_Toc493795081"/>
      <w:bookmarkStart w:id="72" w:name="_Toc51255242"/>
      <w:r>
        <w:rPr>
          <w:rFonts w:ascii="Times New Roman" w:hAnsi="Times New Roman" w:eastAsia="黑体" w:cs="Times New Roman"/>
          <w:bCs/>
          <w:i w:val="0"/>
          <w:iCs w:val="0"/>
          <w:color w:val="000000" w:themeColor="text1"/>
          <w:kern w:val="2"/>
          <w:sz w:val="24"/>
          <w14:textFill>
            <w14:solidFill>
              <w14:schemeClr w14:val="tx1"/>
            </w14:solidFill>
          </w14:textFill>
        </w:rPr>
        <w:t>空气中氡浓度监测</w:t>
      </w:r>
      <w:bookmarkEnd w:id="71"/>
      <w:bookmarkEnd w:id="72"/>
    </w:p>
    <w:p w14:paraId="1D329A4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（1）监测点位设置 </w:t>
      </w:r>
    </w:p>
    <w:p w14:paraId="39554154">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根据《辐射环境监测技术规范》（HJ61-2021）和《环境空气中氡的标准测量方法》（GB/T 14582-93）要求，对项目周边</w:t>
      </w:r>
      <w:r>
        <w:rPr>
          <w:rFonts w:hint="eastAsia" w:ascii="Times New Roman" w:hAnsi="Times New Roman" w:cs="Times New Roman"/>
          <w:color w:val="000000" w:themeColor="text1"/>
          <w:sz w:val="24"/>
          <w:szCs w:val="24"/>
          <w14:textFill>
            <w14:solidFill>
              <w14:schemeClr w14:val="tx1"/>
            </w14:solidFill>
          </w14:textFill>
        </w:rPr>
        <w:t>环境</w:t>
      </w:r>
      <w:r>
        <w:rPr>
          <w:rFonts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Rn浓度进行监测。</w:t>
      </w:r>
    </w:p>
    <w:p w14:paraId="16B7FB7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在</w:t>
      </w:r>
      <w:r>
        <w:rPr>
          <w:rFonts w:hint="eastAsia" w:ascii="Times New Roman" w:hAnsi="Times New Roman" w:cs="Times New Roman"/>
          <w:color w:val="000000" w:themeColor="text1"/>
          <w:sz w:val="24"/>
          <w:szCs w:val="24"/>
          <w14:textFill>
            <w14:solidFill>
              <w14:schemeClr w14:val="tx1"/>
            </w14:solidFill>
          </w14:textFill>
        </w:rPr>
        <w:t>项目厂界处</w:t>
      </w:r>
      <w:r>
        <w:rPr>
          <w:rFonts w:ascii="Times New Roman" w:hAnsi="Times New Roman" w:cs="Times New Roman"/>
          <w:color w:val="000000" w:themeColor="text1"/>
          <w:sz w:val="24"/>
          <w:szCs w:val="24"/>
          <w14:textFill>
            <w14:solidFill>
              <w14:schemeClr w14:val="tx1"/>
            </w14:solidFill>
          </w14:textFill>
        </w:rPr>
        <w:t>布设4个监测点。</w:t>
      </w:r>
      <w:bookmarkStart w:id="73" w:name="_Toc230317800"/>
      <w:r>
        <w:rPr>
          <w:rFonts w:ascii="Times New Roman" w:hAnsi="Times New Roman" w:cs="Times New Roman"/>
          <w:color w:val="000000" w:themeColor="text1"/>
          <w:sz w:val="24"/>
          <w:szCs w:val="24"/>
          <w14:textFill>
            <w14:solidFill>
              <w14:schemeClr w14:val="tx1"/>
            </w14:solidFill>
          </w14:textFill>
        </w:rPr>
        <w:t>监测布点见图3.1-</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2B362CA4">
      <w:pPr>
        <w:spacing w:after="0" w:line="360" w:lineRule="auto"/>
        <w:ind w:left="1890" w:hanging="1890" w:hangingChars="900"/>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4431665" cy="3599815"/>
            <wp:effectExtent l="19050" t="19050" r="26035" b="19685"/>
            <wp:docPr id="181891550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15500" name="图片 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585B5C74">
      <w:pPr>
        <w:spacing w:after="0" w:line="360" w:lineRule="auto"/>
        <w:ind w:left="2132" w:hanging="2132" w:hangingChars="90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 xml:space="preserve">3  </w:t>
      </w:r>
      <w:r>
        <w:rPr>
          <w:rFonts w:ascii="Times New Roman" w:hAnsi="Times New Roman" w:cs="Times New Roman"/>
          <w:b/>
          <w:color w:val="000000" w:themeColor="text1"/>
          <w:spacing w:val="-2"/>
          <w:sz w:val="24"/>
          <w:szCs w:val="24"/>
          <w14:textFill>
            <w14:solidFill>
              <w14:schemeClr w14:val="tx1"/>
            </w14:solidFill>
          </w14:textFill>
        </w:rPr>
        <w:t>环境空气中氡监测点位布设</w:t>
      </w:r>
      <w:r>
        <w:rPr>
          <w:rFonts w:hint="eastAsia" w:ascii="Times New Roman" w:hAnsi="Times New Roman" w:cs="Times New Roman"/>
          <w:b/>
          <w:color w:val="000000" w:themeColor="text1"/>
          <w:spacing w:val="-2"/>
          <w:sz w:val="24"/>
          <w:szCs w:val="24"/>
          <w14:textFill>
            <w14:solidFill>
              <w14:schemeClr w14:val="tx1"/>
            </w14:solidFill>
          </w14:textFill>
        </w:rPr>
        <w:t>示意</w:t>
      </w:r>
      <w:r>
        <w:rPr>
          <w:rFonts w:ascii="Times New Roman" w:hAnsi="Times New Roman" w:cs="Times New Roman"/>
          <w:b/>
          <w:color w:val="000000" w:themeColor="text1"/>
          <w:spacing w:val="-2"/>
          <w:sz w:val="24"/>
          <w:szCs w:val="24"/>
          <w14:textFill>
            <w14:solidFill>
              <w14:schemeClr w14:val="tx1"/>
            </w14:solidFill>
          </w14:textFill>
        </w:rPr>
        <w:t>图</w:t>
      </w:r>
    </w:p>
    <w:p w14:paraId="43F6B5E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73"/>
    </w:p>
    <w:p w14:paraId="6AADC1CC">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w:t>
      </w:r>
    </w:p>
    <w:p w14:paraId="26F0AF9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7A8DE13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频次：</w:t>
      </w:r>
      <w:r>
        <w:rPr>
          <w:rFonts w:hint="eastAsia" w:ascii="Times New Roman" w:hAnsi="Times New Roman" w:cs="Times New Roman"/>
          <w:color w:val="000000" w:themeColor="text1"/>
          <w:sz w:val="24"/>
          <w:szCs w:val="24"/>
          <w14:textFill>
            <w14:solidFill>
              <w14:schemeClr w14:val="tx1"/>
            </w14:solidFill>
          </w14:textFill>
        </w:rPr>
        <w:t>采样一次，连续采样1小时</w:t>
      </w:r>
      <w:r>
        <w:rPr>
          <w:rFonts w:ascii="Times New Roman" w:hAnsi="Times New Roman" w:cs="Times New Roman"/>
          <w:color w:val="000000" w:themeColor="text1"/>
          <w:sz w:val="24"/>
          <w:szCs w:val="24"/>
          <w14:textFill>
            <w14:solidFill>
              <w14:schemeClr w14:val="tx1"/>
            </w14:solidFill>
          </w14:textFill>
        </w:rPr>
        <w:t>。</w:t>
      </w:r>
    </w:p>
    <w:p w14:paraId="3005EA40">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空气中气溶胶</w:t>
      </w:r>
    </w:p>
    <w:p w14:paraId="6DF8690C">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74" w:name="_Toc342463877"/>
      <w:bookmarkStart w:id="75" w:name="_Toc374194883"/>
      <w:bookmarkStart w:id="76" w:name="_Toc372388090"/>
      <w:bookmarkStart w:id="77" w:name="_Toc356401392"/>
      <w:r>
        <w:rPr>
          <w:rFonts w:ascii="Times New Roman" w:hAnsi="Times New Roman" w:cs="Times New Roman"/>
          <w:color w:val="000000" w:themeColor="text1"/>
          <w:sz w:val="24"/>
          <w:szCs w:val="24"/>
          <w14:textFill>
            <w14:solidFill>
              <w14:schemeClr w14:val="tx1"/>
            </w14:solidFill>
          </w14:textFill>
        </w:rPr>
        <w:t>（1） 监测点位布设</w:t>
      </w:r>
      <w:bookmarkEnd w:id="74"/>
      <w:bookmarkEnd w:id="75"/>
      <w:bookmarkEnd w:id="76"/>
      <w:bookmarkEnd w:id="77"/>
    </w:p>
    <w:p w14:paraId="6DE2DC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78" w:name="_Toc342463878"/>
      <w:bookmarkStart w:id="79" w:name="_Toc372388091"/>
      <w:bookmarkStart w:id="80" w:name="_Toc374194884"/>
      <w:bookmarkStart w:id="81" w:name="_Toc356401393"/>
      <w:r>
        <w:rPr>
          <w:rFonts w:ascii="Times New Roman" w:hAnsi="Times New Roman" w:cs="Times New Roman"/>
          <w:color w:val="000000" w:themeColor="text1"/>
          <w:sz w:val="24"/>
          <w:szCs w:val="24"/>
          <w14:textFill>
            <w14:solidFill>
              <w14:schemeClr w14:val="tx1"/>
            </w14:solidFill>
          </w14:textFill>
        </w:rPr>
        <w:t>根据《辐射环境监测技术规范》（HJ61-2021），</w:t>
      </w:r>
      <w:r>
        <w:rPr>
          <w:rFonts w:hint="eastAsia" w:ascii="Times New Roman" w:hAnsi="Times New Roman" w:cs="Times New Roman"/>
          <w:color w:val="000000" w:themeColor="text1"/>
          <w:sz w:val="24"/>
          <w:szCs w:val="24"/>
          <w14:textFill>
            <w14:solidFill>
              <w14:schemeClr w14:val="tx1"/>
            </w14:solidFill>
          </w14:textFill>
        </w:rPr>
        <w:t>区域环境空气中</w:t>
      </w:r>
      <w:r>
        <w:rPr>
          <w:rFonts w:ascii="Times New Roman" w:hAnsi="Times New Roman" w:cs="Times New Roman"/>
          <w:color w:val="000000" w:themeColor="text1"/>
          <w:sz w:val="24"/>
          <w:szCs w:val="24"/>
          <w14:textFill>
            <w14:solidFill>
              <w14:schemeClr w14:val="tx1"/>
            </w14:solidFill>
          </w14:textFill>
        </w:rPr>
        <w:t>气溶胶监测点位布设在厂区</w:t>
      </w:r>
      <w:r>
        <w:rPr>
          <w:rFonts w:hint="eastAsia" w:ascii="Times New Roman" w:hAnsi="Times New Roman" w:cs="Times New Roman"/>
          <w:color w:val="000000" w:themeColor="text1"/>
          <w:sz w:val="24"/>
          <w:szCs w:val="24"/>
          <w14:textFill>
            <w14:solidFill>
              <w14:schemeClr w14:val="tx1"/>
            </w14:solidFill>
          </w14:textFill>
        </w:rPr>
        <w:t>北面约60m处，共</w:t>
      </w:r>
      <w:r>
        <w:rPr>
          <w:rFonts w:ascii="Times New Roman" w:hAnsi="Times New Roman" w:cs="Times New Roman"/>
          <w:color w:val="000000" w:themeColor="text1"/>
          <w:sz w:val="24"/>
          <w:szCs w:val="24"/>
          <w14:textFill>
            <w14:solidFill>
              <w14:schemeClr w14:val="tx1"/>
            </w14:solidFill>
          </w14:textFill>
        </w:rPr>
        <w:t>布设</w:t>
      </w:r>
      <w:r>
        <w:rPr>
          <w:rFonts w:hint="eastAsia" w:ascii="Times New Roman" w:hAnsi="Times New Roman" w:cs="Times New Roman"/>
          <w:color w:val="000000" w:themeColor="text1"/>
          <w:sz w:val="24"/>
          <w:szCs w:val="24"/>
          <w14:textFill>
            <w14:solidFill>
              <w14:schemeClr w14:val="tx1"/>
            </w14:solidFill>
          </w14:textFill>
        </w:rPr>
        <w:t>监测点1</w:t>
      </w:r>
      <w:r>
        <w:rPr>
          <w:rFonts w:ascii="Times New Roman" w:hAnsi="Times New Roman" w:cs="Times New Roman"/>
          <w:color w:val="000000" w:themeColor="text1"/>
          <w:sz w:val="24"/>
          <w:szCs w:val="24"/>
          <w14:textFill>
            <w14:solidFill>
              <w14:schemeClr w14:val="tx1"/>
            </w14:solidFill>
          </w14:textFill>
        </w:rPr>
        <w:t>个。监测布点见图3.1-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w:t>
      </w:r>
    </w:p>
    <w:p w14:paraId="332C7796">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drawing>
          <wp:inline distT="0" distB="0" distL="0" distR="0">
            <wp:extent cx="4431665" cy="3599815"/>
            <wp:effectExtent l="19050" t="19050" r="26035" b="19685"/>
            <wp:docPr id="164249495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94959" name="图片 6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1836" cy="3600000"/>
                    </a:xfrm>
                    <a:prstGeom prst="rect">
                      <a:avLst/>
                    </a:prstGeom>
                    <a:ln>
                      <a:solidFill>
                        <a:schemeClr val="tx1"/>
                      </a:solidFill>
                    </a:ln>
                  </pic:spPr>
                </pic:pic>
              </a:graphicData>
            </a:graphic>
          </wp:inline>
        </w:drawing>
      </w:r>
    </w:p>
    <w:p w14:paraId="4BF477F4">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图3.1-</w:t>
      </w:r>
      <w:r>
        <w:rPr>
          <w:rFonts w:hint="eastAsia" w:ascii="Times New Roman" w:hAnsi="Times New Roman" w:cs="Times New Roman"/>
          <w:b/>
          <w:color w:val="000000" w:themeColor="text1"/>
          <w:spacing w:val="-2"/>
          <w:sz w:val="24"/>
          <w:szCs w:val="24"/>
          <w14:textFill>
            <w14:solidFill>
              <w14:schemeClr w14:val="tx1"/>
            </w14:solidFill>
          </w14:textFill>
        </w:rPr>
        <w:t>4</w:t>
      </w:r>
      <w:r>
        <w:rPr>
          <w:rFonts w:ascii="Times New Roman" w:hAnsi="Times New Roman" w:cs="Times New Roman"/>
          <w:b/>
          <w:color w:val="000000" w:themeColor="text1"/>
          <w:spacing w:val="-2"/>
          <w:sz w:val="24"/>
          <w:szCs w:val="24"/>
          <w14:textFill>
            <w14:solidFill>
              <w14:schemeClr w14:val="tx1"/>
            </w14:solidFill>
          </w14:textFill>
        </w:rPr>
        <w:t xml:space="preserve">  </w:t>
      </w:r>
      <w:r>
        <w:rPr>
          <w:rFonts w:hint="eastAsia" w:ascii="Times New Roman" w:hAnsi="Times New Roman" w:cs="Times New Roman"/>
          <w:b/>
          <w:color w:val="000000" w:themeColor="text1"/>
          <w:spacing w:val="-2"/>
          <w:sz w:val="24"/>
          <w:szCs w:val="24"/>
          <w14:textFill>
            <w14:solidFill>
              <w14:schemeClr w14:val="tx1"/>
            </w14:solidFill>
          </w14:textFill>
        </w:rPr>
        <w:t>环境空气中气</w:t>
      </w:r>
      <w:r>
        <w:rPr>
          <w:rFonts w:ascii="Times New Roman" w:hAnsi="Times New Roman" w:cs="Times New Roman"/>
          <w:b/>
          <w:color w:val="000000" w:themeColor="text1"/>
          <w:spacing w:val="-2"/>
          <w:sz w:val="24"/>
          <w:szCs w:val="24"/>
          <w14:textFill>
            <w14:solidFill>
              <w14:schemeClr w14:val="tx1"/>
            </w14:solidFill>
          </w14:textFill>
        </w:rPr>
        <w:t>溶胶监测布点</w:t>
      </w:r>
      <w:r>
        <w:rPr>
          <w:rFonts w:hint="eastAsia" w:ascii="Times New Roman" w:hAnsi="Times New Roman" w:cs="Times New Roman"/>
          <w:b/>
          <w:color w:val="000000" w:themeColor="text1"/>
          <w:spacing w:val="-2"/>
          <w:sz w:val="24"/>
          <w:szCs w:val="24"/>
          <w14:textFill>
            <w14:solidFill>
              <w14:schemeClr w14:val="tx1"/>
            </w14:solidFill>
          </w14:textFill>
        </w:rPr>
        <w:t>示意图</w:t>
      </w:r>
    </w:p>
    <w:p w14:paraId="7CAAA9E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bookmarkEnd w:id="78"/>
      <w:bookmarkEnd w:id="79"/>
      <w:bookmarkEnd w:id="80"/>
      <w:bookmarkEnd w:id="81"/>
    </w:p>
    <w:p w14:paraId="3A44C9B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项目：总α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w:t>
      </w:r>
    </w:p>
    <w:p w14:paraId="7BFBB112">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（3）监测频次</w:t>
      </w:r>
    </w:p>
    <w:p w14:paraId="01C4EAD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w:t>
      </w:r>
      <w:r>
        <w:rPr>
          <w:rFonts w:hint="eastAsia" w:ascii="Times New Roman" w:hAnsi="Times New Roman" w:cs="Times New Roman"/>
          <w:color w:val="000000" w:themeColor="text1"/>
          <w:sz w:val="24"/>
          <w:szCs w:val="24"/>
          <w14:textFill>
            <w14:solidFill>
              <w14:schemeClr w14:val="tx1"/>
            </w14:solidFill>
          </w14:textFill>
        </w:rPr>
        <w:t>频次</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一次。</w:t>
      </w:r>
      <w:bookmarkStart w:id="82" w:name="_Toc78822659"/>
      <w:bookmarkStart w:id="83" w:name="_Toc31511320"/>
      <w:bookmarkStart w:id="84" w:name="_Toc230317799"/>
    </w:p>
    <w:p w14:paraId="7A71F1C6">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监测方法、仪器及其参数</w:t>
      </w:r>
      <w:bookmarkEnd w:id="82"/>
    </w:p>
    <w:p w14:paraId="0055379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现场监测、样品分析所用方法及仪器见表3.1-1、表3.1-2。</w:t>
      </w:r>
    </w:p>
    <w:p w14:paraId="604158D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表3.1-1  监测项目所用方法及仪器（一）</w:t>
      </w:r>
    </w:p>
    <w:tbl>
      <w:tblPr>
        <w:tblStyle w:val="47"/>
        <w:tblW w:w="50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928"/>
        <w:gridCol w:w="1379"/>
        <w:gridCol w:w="2958"/>
        <w:gridCol w:w="2548"/>
      </w:tblGrid>
      <w:tr w14:paraId="195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 w:hRule="atLeast"/>
          <w:tblHeader/>
          <w:jc w:val="center"/>
        </w:trPr>
        <w:tc>
          <w:tcPr>
            <w:tcW w:w="488" w:type="pct"/>
            <w:vAlign w:val="center"/>
          </w:tcPr>
          <w:p w14:paraId="45F92B09">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监测项目</w:t>
            </w:r>
          </w:p>
        </w:tc>
        <w:tc>
          <w:tcPr>
            <w:tcW w:w="536" w:type="pct"/>
            <w:vAlign w:val="center"/>
          </w:tcPr>
          <w:p w14:paraId="02F4C9B8">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监测对象</w:t>
            </w:r>
          </w:p>
        </w:tc>
        <w:tc>
          <w:tcPr>
            <w:tcW w:w="796" w:type="pct"/>
            <w:vAlign w:val="center"/>
          </w:tcPr>
          <w:p w14:paraId="03EB5C55">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监测方法</w:t>
            </w:r>
          </w:p>
        </w:tc>
        <w:tc>
          <w:tcPr>
            <w:tcW w:w="1708" w:type="pct"/>
            <w:vAlign w:val="center"/>
          </w:tcPr>
          <w:p w14:paraId="7741DD1A">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监测仪器及参数</w:t>
            </w:r>
          </w:p>
        </w:tc>
        <w:tc>
          <w:tcPr>
            <w:tcW w:w="1471" w:type="pct"/>
            <w:vAlign w:val="center"/>
          </w:tcPr>
          <w:p w14:paraId="34CC366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检定/校准信息</w:t>
            </w:r>
          </w:p>
        </w:tc>
      </w:tr>
      <w:tr w14:paraId="747BA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88" w:type="pct"/>
            <w:vAlign w:val="center"/>
          </w:tcPr>
          <w:p w14:paraId="5343BE8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γ辐射空气吸收剂量率</w:t>
            </w:r>
          </w:p>
        </w:tc>
        <w:tc>
          <w:tcPr>
            <w:tcW w:w="536" w:type="pct"/>
            <w:vAlign w:val="center"/>
          </w:tcPr>
          <w:p w14:paraId="68F0E216">
            <w:pPr>
              <w:spacing w:after="0" w:line="240"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空气</w:t>
            </w:r>
          </w:p>
        </w:tc>
        <w:tc>
          <w:tcPr>
            <w:tcW w:w="796" w:type="pct"/>
            <w:vAlign w:val="center"/>
          </w:tcPr>
          <w:p w14:paraId="7C1E43C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w:t>
            </w:r>
            <w:r>
              <w:rPr>
                <w:rFonts w:hint="eastAsia" w:ascii="Times New Roman" w:hAnsi="Times New Roman" w:eastAsia="宋体" w:cs="Times New Roman"/>
                <w:color w:val="000000" w:themeColor="text1"/>
                <w:spacing w:val="-16"/>
                <w14:textFill>
                  <w14:solidFill>
                    <w14:schemeClr w14:val="tx1"/>
                  </w14:solidFill>
                </w14:textFill>
              </w:rPr>
              <w:t>环境γ辐射剂量率测量技术规范</w:t>
            </w:r>
            <w:r>
              <w:rPr>
                <w:rFonts w:ascii="Times New Roman" w:hAnsi="Times New Roman" w:eastAsia="宋体" w:cs="Times New Roman"/>
                <w:color w:val="000000" w:themeColor="text1"/>
                <w:spacing w:val="-16"/>
                <w14:textFill>
                  <w14:solidFill>
                    <w14:schemeClr w14:val="tx1"/>
                  </w14:solidFill>
                </w14:textFill>
              </w:rPr>
              <w:t>》（HJ 1157 -2021）</w:t>
            </w:r>
          </w:p>
        </w:tc>
        <w:tc>
          <w:tcPr>
            <w:tcW w:w="1708" w:type="pct"/>
            <w:vAlign w:val="center"/>
          </w:tcPr>
          <w:p w14:paraId="301BF933">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FH40G+FHZ672E-10（</w:t>
            </w:r>
            <w:r>
              <w:rPr>
                <w:rFonts w:hint="eastAsia" w:ascii="Times New Roman" w:hAnsi="Times New Roman" w:eastAsia="宋体" w:cs="Times New Roman"/>
                <w:color w:val="000000" w:themeColor="text1"/>
                <w14:textFill>
                  <w14:solidFill>
                    <w14:schemeClr w14:val="tx1"/>
                  </w14:solidFill>
                </w14:textFill>
              </w:rPr>
              <w:t>50832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17984</w:t>
            </w:r>
            <w:r>
              <w:rPr>
                <w:rFonts w:ascii="Times New Roman" w:hAnsi="Times New Roman" w:eastAsia="宋体" w:cs="Times New Roman"/>
                <w:color w:val="000000" w:themeColor="text1"/>
                <w14:textFill>
                  <w14:solidFill>
                    <w14:schemeClr w14:val="tx1"/>
                  </w14:solidFill>
                </w14:textFill>
              </w:rPr>
              <w:t>）型便携式</w:t>
            </w:r>
          </w:p>
          <w:p w14:paraId="3C33D865">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X-γ剂量率仪：</w:t>
            </w:r>
          </w:p>
          <w:p w14:paraId="2C015D61">
            <w:pPr>
              <w:spacing w:after="0" w:line="240" w:lineRule="auto"/>
              <w:ind w:left="-107" w:leftChars="-51" w:right="-105" w:rightChars="-5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能量响应范围40keV～4.4MeV，量程范围1n</w:t>
            </w:r>
            <w:r>
              <w:rPr>
                <w:rFonts w:hint="eastAsia" w:ascii="Times New Roman" w:hAnsi="Times New Roman" w:eastAsia="宋体" w:cs="Times New Roman"/>
                <w:color w:val="000000" w:themeColor="text1"/>
                <w14:textFill>
                  <w14:solidFill>
                    <w14:schemeClr w14:val="tx1"/>
                  </w14:solidFill>
                </w14:textFill>
              </w:rPr>
              <w:t>Sv</w:t>
            </w:r>
            <w:r>
              <w:rPr>
                <w:rFonts w:ascii="Times New Roman" w:hAnsi="Times New Roman" w:eastAsia="宋体" w:cs="Times New Roman"/>
                <w:color w:val="000000" w:themeColor="text1"/>
                <w14:textFill>
                  <w14:solidFill>
                    <w14:schemeClr w14:val="tx1"/>
                  </w14:solidFill>
                </w14:textFill>
              </w:rPr>
              <w:t>/h～100μ</w:t>
            </w:r>
            <w:r>
              <w:rPr>
                <w:rFonts w:hint="eastAsia" w:ascii="Times New Roman" w:hAnsi="Times New Roman" w:eastAsia="宋体" w:cs="Times New Roman"/>
                <w:color w:val="000000" w:themeColor="text1"/>
                <w14:textFill>
                  <w14:solidFill>
                    <w14:schemeClr w14:val="tx1"/>
                  </w14:solidFill>
                </w14:textFill>
              </w:rPr>
              <w:t>Sv</w:t>
            </w:r>
            <w:r>
              <w:rPr>
                <w:rFonts w:ascii="Times New Roman" w:hAnsi="Times New Roman" w:eastAsia="宋体" w:cs="Times New Roman"/>
                <w:color w:val="000000" w:themeColor="text1"/>
                <w14:textFill>
                  <w14:solidFill>
                    <w14:schemeClr w14:val="tx1"/>
                  </w14:solidFill>
                </w14:textFill>
              </w:rPr>
              <w:t>/h。</w:t>
            </w:r>
          </w:p>
        </w:tc>
        <w:tc>
          <w:tcPr>
            <w:tcW w:w="1471" w:type="pct"/>
            <w:vAlign w:val="center"/>
          </w:tcPr>
          <w:p w14:paraId="4B681F0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检定证书编号： DLjl202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14169</w:t>
            </w:r>
            <w:r>
              <w:rPr>
                <w:rFonts w:ascii="Times New Roman" w:hAnsi="Times New Roman" w:eastAsia="宋体" w:cs="Times New Roman"/>
                <w:color w:val="000000" w:themeColor="text1"/>
                <w14:textFill>
                  <w14:solidFill>
                    <w14:schemeClr w14:val="tx1"/>
                  </w14:solidFill>
                </w14:textFill>
              </w:rPr>
              <w:t>（中国计量科学研究院），有效期：202</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月</w:t>
            </w:r>
            <w:r>
              <w:rPr>
                <w:rFonts w:hint="eastAsia" w:ascii="Times New Roman" w:hAnsi="Times New Roman" w:eastAsia="宋体" w:cs="Times New Roman"/>
                <w:color w:val="000000" w:themeColor="text1"/>
                <w14:textFill>
                  <w14:solidFill>
                    <w14:schemeClr w14:val="tx1"/>
                  </w14:solidFill>
                </w14:textFill>
              </w:rPr>
              <w:t>20</w:t>
            </w:r>
            <w:r>
              <w:rPr>
                <w:rFonts w:ascii="Times New Roman" w:hAnsi="Times New Roman" w:eastAsia="宋体" w:cs="Times New Roman"/>
                <w:color w:val="000000" w:themeColor="text1"/>
                <w14:textFill>
                  <w14:solidFill>
                    <w14:schemeClr w14:val="tx1"/>
                  </w14:solidFill>
                </w14:textFill>
              </w:rPr>
              <w:t>日～202</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年</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月1</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日。</w:t>
            </w:r>
          </w:p>
        </w:tc>
      </w:tr>
    </w:tbl>
    <w:p w14:paraId="4639F39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054CD4B2">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表3.1-2  监测项目所用方法及仪器（二）</w:t>
      </w:r>
    </w:p>
    <w:tbl>
      <w:tblPr>
        <w:tblStyle w:val="47"/>
        <w:tblW w:w="508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5"/>
        <w:gridCol w:w="655"/>
        <w:gridCol w:w="2107"/>
        <w:gridCol w:w="1803"/>
        <w:gridCol w:w="3452"/>
      </w:tblGrid>
      <w:tr w14:paraId="4A434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9" w:hRule="atLeast"/>
          <w:tblHeader/>
          <w:jc w:val="center"/>
        </w:trPr>
        <w:tc>
          <w:tcPr>
            <w:tcW w:w="497" w:type="pct"/>
            <w:vAlign w:val="center"/>
          </w:tcPr>
          <w:p w14:paraId="6F8863B0">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监测项目</w:t>
            </w:r>
          </w:p>
        </w:tc>
        <w:tc>
          <w:tcPr>
            <w:tcW w:w="503" w:type="pct"/>
            <w:vAlign w:val="center"/>
          </w:tcPr>
          <w:p w14:paraId="5E654B86">
            <w:pPr>
              <w:spacing w:after="0" w:line="276" w:lineRule="auto"/>
              <w:ind w:left="-103" w:leftChars="-49" w:right="-103" w:rightChars="-49"/>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监测对象</w:t>
            </w:r>
          </w:p>
        </w:tc>
        <w:tc>
          <w:tcPr>
            <w:tcW w:w="862" w:type="pct"/>
            <w:vAlign w:val="center"/>
          </w:tcPr>
          <w:p w14:paraId="6F0F45CB">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监测方法</w:t>
            </w:r>
          </w:p>
        </w:tc>
        <w:tc>
          <w:tcPr>
            <w:tcW w:w="1021" w:type="pct"/>
            <w:vAlign w:val="center"/>
          </w:tcPr>
          <w:p w14:paraId="37F56F16">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监测仪器</w:t>
            </w:r>
          </w:p>
        </w:tc>
        <w:tc>
          <w:tcPr>
            <w:tcW w:w="2117" w:type="pct"/>
            <w:vAlign w:val="center"/>
          </w:tcPr>
          <w:p w14:paraId="5DB38006">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检定/校准信息</w:t>
            </w:r>
          </w:p>
        </w:tc>
      </w:tr>
      <w:tr w14:paraId="39C0A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restart"/>
            <w:vAlign w:val="center"/>
          </w:tcPr>
          <w:p w14:paraId="1246629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氡</w:t>
            </w:r>
          </w:p>
        </w:tc>
        <w:tc>
          <w:tcPr>
            <w:tcW w:w="503" w:type="pct"/>
            <w:vMerge w:val="restart"/>
            <w:vAlign w:val="center"/>
          </w:tcPr>
          <w:p w14:paraId="3142133A">
            <w:pPr>
              <w:spacing w:after="0" w:line="276"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空气</w:t>
            </w:r>
          </w:p>
        </w:tc>
        <w:tc>
          <w:tcPr>
            <w:tcW w:w="862" w:type="pct"/>
            <w:vMerge w:val="restart"/>
            <w:vAlign w:val="center"/>
          </w:tcPr>
          <w:p w14:paraId="4EE86B04">
            <w:pPr>
              <w:spacing w:after="0" w:line="276" w:lineRule="auto"/>
              <w:jc w:val="center"/>
              <w:rPr>
                <w:rFonts w:ascii="Times New Roman" w:hAnsi="Times New Roman" w:eastAsia="宋体" w:cs="Times New Roman"/>
                <w:color w:val="000000" w:themeColor="text1"/>
                <w:spacing w:val="-16"/>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《环境空气中氡的测量方法》</w:t>
            </w:r>
          </w:p>
          <w:p w14:paraId="455E5537">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16"/>
                <w14:textFill>
                  <w14:solidFill>
                    <w14:schemeClr w14:val="tx1"/>
                  </w14:solidFill>
                </w14:textFill>
              </w:rPr>
              <w:t>（</w:t>
            </w:r>
            <w:r>
              <w:rPr>
                <w:rFonts w:hint="eastAsia" w:ascii="Times New Roman" w:hAnsi="Times New Roman" w:eastAsia="宋体" w:cs="Times New Roman"/>
                <w:color w:val="000000" w:themeColor="text1"/>
                <w:spacing w:val="-16"/>
                <w14:textFill>
                  <w14:solidFill>
                    <w14:schemeClr w14:val="tx1"/>
                  </w14:solidFill>
                </w14:textFill>
              </w:rPr>
              <w:t>HJ1212-2021</w:t>
            </w:r>
            <w:r>
              <w:rPr>
                <w:rFonts w:ascii="Times New Roman" w:hAnsi="Times New Roman" w:eastAsia="宋体" w:cs="Times New Roman"/>
                <w:color w:val="000000" w:themeColor="text1"/>
                <w:spacing w:val="-16"/>
                <w14:textFill>
                  <w14:solidFill>
                    <w14:schemeClr w14:val="tx1"/>
                  </w14:solidFill>
                </w14:textFill>
              </w:rPr>
              <w:t>）</w:t>
            </w:r>
          </w:p>
        </w:tc>
        <w:tc>
          <w:tcPr>
            <w:tcW w:w="1021" w:type="pct"/>
            <w:vAlign w:val="center"/>
          </w:tcPr>
          <w:p w14:paraId="4EF7F3E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NRM-P01型便携式测氡仪（NRM02A03</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1953AA8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4765</w:t>
            </w:r>
            <w:r>
              <w:rPr>
                <w:rFonts w:ascii="Times New Roman" w:hAnsi="Times New Roman" w:eastAsia="宋体" w:cs="Times New Roman"/>
                <w:bCs/>
                <w:color w:val="000000" w:themeColor="text1"/>
                <w14:textFill>
                  <w14:solidFill>
                    <w14:schemeClr w14:val="tx1"/>
                  </w14:solidFill>
                </w14:textFill>
              </w:rPr>
              <w:t>（中国计量科学研究院），</w:t>
            </w:r>
            <w:r>
              <w:rPr>
                <w:rFonts w:hint="eastAsia" w:ascii="Times New Roman" w:hAnsi="Times New Roman" w:eastAsia="宋体" w:cs="Times New Roman"/>
                <w:bCs/>
                <w:color w:val="000000" w:themeColor="text1"/>
                <w14:textFill>
                  <w14:solidFill>
                    <w14:schemeClr w14:val="tx1"/>
                  </w14:solidFill>
                </w14:textFill>
              </w:rPr>
              <w:t>发布日期</w:t>
            </w:r>
            <w:r>
              <w:rPr>
                <w:rFonts w:ascii="Times New Roman" w:hAnsi="Times New Roman" w:eastAsia="宋体" w:cs="Times New Roman"/>
                <w:bCs/>
                <w:color w:val="000000" w:themeColor="text1"/>
                <w14:textFill>
                  <w14:solidFill>
                    <w14:schemeClr w14:val="tx1"/>
                  </w14:solidFill>
                </w14:textFill>
              </w:rPr>
              <w:t>：202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19</w:t>
            </w:r>
            <w:r>
              <w:rPr>
                <w:rFonts w:ascii="Times New Roman" w:hAnsi="Times New Roman" w:eastAsia="宋体" w:cs="Times New Roman"/>
                <w:bCs/>
                <w:color w:val="000000" w:themeColor="text1"/>
                <w14:textFill>
                  <w14:solidFill>
                    <w14:schemeClr w14:val="tx1"/>
                  </w14:solidFill>
                </w14:textFill>
              </w:rPr>
              <w:t>日。</w:t>
            </w:r>
          </w:p>
        </w:tc>
      </w:tr>
      <w:tr w14:paraId="78FE3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continue"/>
            <w:vAlign w:val="center"/>
          </w:tcPr>
          <w:p w14:paraId="2ED27A52">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5BAB69CA">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5A064798">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3DF56A8F">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NRM-P01型便携式测氡仪（NRM02A03</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0B05CFB6">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4592</w:t>
            </w:r>
            <w:r>
              <w:rPr>
                <w:rFonts w:ascii="Times New Roman" w:hAnsi="Times New Roman" w:eastAsia="宋体" w:cs="Times New Roman"/>
                <w:bCs/>
                <w:color w:val="000000" w:themeColor="text1"/>
                <w14:textFill>
                  <w14:solidFill>
                    <w14:schemeClr w14:val="tx1"/>
                  </w14:solidFill>
                </w14:textFill>
              </w:rPr>
              <w:t>（中国计量科学研究院），有效期：202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8</w:t>
            </w:r>
            <w:r>
              <w:rPr>
                <w:rFonts w:ascii="Times New Roman" w:hAnsi="Times New Roman" w:eastAsia="宋体" w:cs="Times New Roman"/>
                <w:bCs/>
                <w:color w:val="000000" w:themeColor="text1"/>
                <w14:textFill>
                  <w14:solidFill>
                    <w14:schemeClr w14:val="tx1"/>
                  </w14:solidFill>
                </w14:textFill>
              </w:rPr>
              <w:t>日。</w:t>
            </w:r>
          </w:p>
        </w:tc>
      </w:tr>
      <w:tr w14:paraId="73856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Merge w:val="continue"/>
            <w:vAlign w:val="center"/>
          </w:tcPr>
          <w:p w14:paraId="4ACACBD6">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60FABC90">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0E20C8C4">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1AC2C2A0">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w:t>
            </w:r>
            <w:r>
              <w:rPr>
                <w:rFonts w:hint="eastAsia" w:ascii="Times New Roman" w:hAnsi="Times New Roman" w:eastAsia="宋体" w:cs="Times New Roman"/>
                <w:color w:val="000000" w:themeColor="text1"/>
                <w14:textFill>
                  <w14:solidFill>
                    <w14:schemeClr w14:val="tx1"/>
                  </w14:solidFill>
                </w14:textFill>
              </w:rPr>
              <w:t>30</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3CB1292D">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4766</w:t>
            </w:r>
            <w:r>
              <w:rPr>
                <w:rFonts w:ascii="Times New Roman" w:hAnsi="Times New Roman" w:eastAsia="宋体" w:cs="Times New Roman"/>
                <w:bCs/>
                <w:color w:val="000000" w:themeColor="text1"/>
                <w14:textFill>
                  <w14:solidFill>
                    <w14:schemeClr w14:val="tx1"/>
                  </w14:solidFill>
                </w14:textFill>
              </w:rPr>
              <w:t>（中国计量科学研究院），有效期：202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17</w:t>
            </w:r>
            <w:r>
              <w:rPr>
                <w:rFonts w:ascii="Times New Roman" w:hAnsi="Times New Roman" w:eastAsia="宋体" w:cs="Times New Roman"/>
                <w:bCs/>
                <w:color w:val="000000" w:themeColor="text1"/>
                <w14:textFill>
                  <w14:solidFill>
                    <w14:schemeClr w14:val="tx1"/>
                  </w14:solidFill>
                </w14:textFill>
              </w:rPr>
              <w:t>日。</w:t>
            </w:r>
          </w:p>
        </w:tc>
      </w:tr>
      <w:tr w14:paraId="2C3BD1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0" w:hRule="atLeast"/>
          <w:jc w:val="center"/>
        </w:trPr>
        <w:tc>
          <w:tcPr>
            <w:tcW w:w="497" w:type="pct"/>
            <w:vMerge w:val="continue"/>
            <w:vAlign w:val="center"/>
          </w:tcPr>
          <w:p w14:paraId="60D6067D">
            <w:pPr>
              <w:spacing w:after="0" w:line="276" w:lineRule="auto"/>
              <w:jc w:val="center"/>
              <w:rPr>
                <w:rFonts w:ascii="Times New Roman" w:hAnsi="Times New Roman" w:eastAsia="宋体" w:cs="Times New Roman"/>
                <w:b/>
                <w:color w:val="000000" w:themeColor="text1"/>
                <w14:textFill>
                  <w14:solidFill>
                    <w14:schemeClr w14:val="tx1"/>
                  </w14:solidFill>
                </w14:textFill>
              </w:rPr>
            </w:pPr>
          </w:p>
        </w:tc>
        <w:tc>
          <w:tcPr>
            <w:tcW w:w="503" w:type="pct"/>
            <w:vMerge w:val="continue"/>
            <w:vAlign w:val="center"/>
          </w:tcPr>
          <w:p w14:paraId="0DC3E605">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Merge w:val="continue"/>
            <w:vAlign w:val="center"/>
          </w:tcPr>
          <w:p w14:paraId="2F5C03EA">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1021" w:type="pct"/>
            <w:vAlign w:val="center"/>
          </w:tcPr>
          <w:p w14:paraId="780F0763">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NRM-P01型便携式测氡仪（NRM02A0</w:t>
            </w:r>
            <w:r>
              <w:rPr>
                <w:rFonts w:hint="eastAsia" w:ascii="Times New Roman" w:hAnsi="Times New Roman" w:eastAsia="宋体" w:cs="Times New Roman"/>
                <w:color w:val="000000" w:themeColor="text1"/>
                <w14:textFill>
                  <w14:solidFill>
                    <w14:schemeClr w14:val="tx1"/>
                  </w14:solidFill>
                </w14:textFill>
              </w:rPr>
              <w:t>29</w:t>
            </w:r>
            <w:r>
              <w:rPr>
                <w:rFonts w:ascii="Times New Roman" w:hAnsi="Times New Roman" w:eastAsia="宋体" w:cs="Times New Roman"/>
                <w:color w:val="000000" w:themeColor="text1"/>
                <w14:textFill>
                  <w14:solidFill>
                    <w14:schemeClr w14:val="tx1"/>
                  </w14:solidFill>
                </w14:textFill>
              </w:rPr>
              <w:t>）</w:t>
            </w:r>
          </w:p>
        </w:tc>
        <w:tc>
          <w:tcPr>
            <w:tcW w:w="2117" w:type="pct"/>
            <w:vAlign w:val="center"/>
          </w:tcPr>
          <w:p w14:paraId="739B69E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校准证书编号：DLhd202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4767</w:t>
            </w:r>
            <w:r>
              <w:rPr>
                <w:rFonts w:ascii="Times New Roman" w:hAnsi="Times New Roman" w:eastAsia="宋体" w:cs="Times New Roman"/>
                <w:bCs/>
                <w:color w:val="000000" w:themeColor="text1"/>
                <w14:textFill>
                  <w14:solidFill>
                    <w14:schemeClr w14:val="tx1"/>
                  </w14:solidFill>
                </w14:textFill>
              </w:rPr>
              <w:t>（中国计量科学研究院），发布日期：202</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19</w:t>
            </w:r>
            <w:r>
              <w:rPr>
                <w:rFonts w:ascii="Times New Roman" w:hAnsi="Times New Roman" w:eastAsia="宋体" w:cs="Times New Roman"/>
                <w:bCs/>
                <w:color w:val="000000" w:themeColor="text1"/>
                <w14:textFill>
                  <w14:solidFill>
                    <w14:schemeClr w14:val="tx1"/>
                  </w14:solidFill>
                </w14:textFill>
              </w:rPr>
              <w:t>日。</w:t>
            </w:r>
          </w:p>
        </w:tc>
      </w:tr>
      <w:tr w14:paraId="57BBB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0DD3FBEC">
            <w:pPr>
              <w:spacing w:after="0" w:line="276"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总α、总β</w:t>
            </w:r>
          </w:p>
        </w:tc>
        <w:tc>
          <w:tcPr>
            <w:tcW w:w="503" w:type="pct"/>
            <w:vMerge w:val="restart"/>
            <w:vAlign w:val="center"/>
          </w:tcPr>
          <w:p w14:paraId="18744109">
            <w:pPr>
              <w:spacing w:after="0" w:line="276"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气溶</w:t>
            </w:r>
            <w:r>
              <w:rPr>
                <w:rFonts w:ascii="Times New Roman" w:hAnsi="Times New Roman" w:eastAsia="宋体" w:cs="Times New Roman"/>
                <w:bCs/>
                <w:color w:val="000000" w:themeColor="text1"/>
                <w14:textFill>
                  <w14:solidFill>
                    <w14:schemeClr w14:val="tx1"/>
                  </w14:solidFill>
                </w14:textFill>
              </w:rPr>
              <w:t>胶</w:t>
            </w:r>
          </w:p>
        </w:tc>
        <w:tc>
          <w:tcPr>
            <w:tcW w:w="862" w:type="pct"/>
            <w:vAlign w:val="center"/>
          </w:tcPr>
          <w:p w14:paraId="3EEFC7D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气溶胶、沉降灰总α/总β分析实施细则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作业指导书GXFSZ/ZY-JC-036</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（参考HJ 898-2017)</w:t>
            </w:r>
          </w:p>
        </w:tc>
        <w:tc>
          <w:tcPr>
            <w:tcW w:w="1021" w:type="pct"/>
            <w:vAlign w:val="center"/>
          </w:tcPr>
          <w:p w14:paraId="0FD3621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LB4200型流气式</w:t>
            </w:r>
            <w:r>
              <w:rPr>
                <w:rFonts w:hint="eastAsia" w:ascii="Times New Roman" w:hAnsi="Times New Roman" w:eastAsia="宋体" w:cs="Times New Roman"/>
                <w:bCs/>
                <w:color w:val="000000" w:themeColor="text1"/>
                <w14:textFill>
                  <w14:solidFill>
                    <w14:schemeClr w14:val="tx1"/>
                  </w14:solidFill>
                </w14:textFill>
              </w:rPr>
              <w:t>低本底</w:t>
            </w:r>
            <w:r>
              <w:rPr>
                <w:rFonts w:ascii="Times New Roman" w:hAnsi="Times New Roman" w:eastAsia="宋体" w:cs="Times New Roman"/>
                <w:bCs/>
                <w:color w:val="000000" w:themeColor="text1"/>
                <w14:textFill>
                  <w14:solidFill>
                    <w14:schemeClr w14:val="tx1"/>
                  </w14:solidFill>
                </w14:textFill>
              </w:rPr>
              <w:t>总α、总β测量仪</w:t>
            </w:r>
            <w:r>
              <w:rPr>
                <w:rFonts w:hint="eastAsia" w:ascii="Times New Roman" w:hAnsi="Times New Roman" w:eastAsia="宋体" w:cs="Times New Roman"/>
                <w:bCs/>
                <w:color w:val="000000" w:themeColor="text1"/>
                <w14:textFill>
                  <w14:solidFill>
                    <w14:schemeClr w14:val="tx1"/>
                  </w14:solidFill>
                </w14:textFill>
              </w:rPr>
              <w:t>（13000103）</w:t>
            </w:r>
          </w:p>
        </w:tc>
        <w:tc>
          <w:tcPr>
            <w:tcW w:w="2117" w:type="pct"/>
            <w:vAlign w:val="center"/>
          </w:tcPr>
          <w:p w14:paraId="3B661EE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检定证书编号：DLhd202</w:t>
            </w:r>
            <w:r>
              <w:rPr>
                <w:rFonts w:hint="eastAsia" w:ascii="Times New Roman" w:hAnsi="Times New Roman" w:eastAsia="宋体" w:cs="Times New Roman"/>
                <w:bCs/>
                <w:color w:val="000000" w:themeColor="text1"/>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0</w:t>
            </w:r>
            <w:r>
              <w:rPr>
                <w:rFonts w:hint="eastAsia" w:ascii="Times New Roman" w:hAnsi="Times New Roman" w:eastAsia="宋体" w:cs="Times New Roman"/>
                <w:bCs/>
                <w:color w:val="000000" w:themeColor="text1"/>
                <w14:textFill>
                  <w14:solidFill>
                    <w14:schemeClr w14:val="tx1"/>
                  </w14:solidFill>
                </w14:textFill>
              </w:rPr>
              <w:t>4260</w:t>
            </w:r>
            <w:r>
              <w:rPr>
                <w:rFonts w:ascii="Times New Roman" w:hAnsi="Times New Roman" w:eastAsia="宋体" w:cs="Times New Roman"/>
                <w:bCs/>
                <w:color w:val="000000" w:themeColor="text1"/>
                <w14:textFill>
                  <w14:solidFill>
                    <w14:schemeClr w14:val="tx1"/>
                  </w14:solidFill>
                </w14:textFill>
              </w:rPr>
              <w:t>（中国计量科学研究院），</w:t>
            </w:r>
            <w:r>
              <w:rPr>
                <w:rFonts w:hint="eastAsia" w:ascii="Times New Roman" w:hAnsi="Times New Roman" w:eastAsia="宋体" w:cs="Times New Roman"/>
                <w:bCs/>
                <w:color w:val="000000" w:themeColor="text1"/>
                <w14:textFill>
                  <w14:solidFill>
                    <w14:schemeClr w14:val="tx1"/>
                  </w14:solidFill>
                </w14:textFill>
              </w:rPr>
              <w:t>有效期</w:t>
            </w:r>
            <w:r>
              <w:rPr>
                <w:rFonts w:ascii="Times New Roman" w:hAnsi="Times New Roman" w:eastAsia="宋体" w:cs="Times New Roman"/>
                <w:bCs/>
                <w:color w:val="000000" w:themeColor="text1"/>
                <w14:textFill>
                  <w14:solidFill>
                    <w14:schemeClr w14:val="tx1"/>
                  </w14:solidFill>
                </w14:textFill>
              </w:rPr>
              <w:t>：202</w:t>
            </w:r>
            <w:r>
              <w:rPr>
                <w:rFonts w:hint="eastAsia" w:ascii="Times New Roman" w:hAnsi="Times New Roman" w:eastAsia="宋体" w:cs="Times New Roman"/>
                <w:bCs/>
                <w:color w:val="000000" w:themeColor="text1"/>
                <w14:textFill>
                  <w14:solidFill>
                    <w14:schemeClr w14:val="tx1"/>
                  </w14:solidFill>
                </w14:textFill>
              </w:rPr>
              <w:t>3</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7</w:t>
            </w:r>
            <w:r>
              <w:rPr>
                <w:rFonts w:ascii="Times New Roman" w:hAnsi="Times New Roman" w:eastAsia="宋体" w:cs="Times New Roman"/>
                <w:bCs/>
                <w:color w:val="000000" w:themeColor="text1"/>
                <w14:textFill>
                  <w14:solidFill>
                    <w14:schemeClr w14:val="tx1"/>
                  </w14:solidFill>
                </w14:textFill>
              </w:rPr>
              <w:t>日～202</w:t>
            </w:r>
            <w:r>
              <w:rPr>
                <w:rFonts w:hint="eastAsia" w:ascii="Times New Roman" w:hAnsi="Times New Roman" w:eastAsia="宋体" w:cs="Times New Roman"/>
                <w:bCs/>
                <w:color w:val="000000" w:themeColor="text1"/>
                <w14:textFill>
                  <w14:solidFill>
                    <w14:schemeClr w14:val="tx1"/>
                  </w14:solidFill>
                </w14:textFill>
              </w:rPr>
              <w:t>5</w:t>
            </w:r>
            <w:r>
              <w:rPr>
                <w:rFonts w:ascii="Times New Roman" w:hAnsi="Times New Roman" w:eastAsia="宋体" w:cs="Times New Roman"/>
                <w:bCs/>
                <w:color w:val="000000" w:themeColor="text1"/>
                <w14:textFill>
                  <w14:solidFill>
                    <w14:schemeClr w14:val="tx1"/>
                  </w14:solidFill>
                </w14:textFill>
              </w:rPr>
              <w:t>年</w:t>
            </w:r>
            <w:r>
              <w:rPr>
                <w:rFonts w:hint="eastAsia" w:ascii="Times New Roman" w:hAnsi="Times New Roman" w:eastAsia="宋体" w:cs="Times New Roman"/>
                <w:bCs/>
                <w:color w:val="000000" w:themeColor="text1"/>
                <w14:textFill>
                  <w14:solidFill>
                    <w14:schemeClr w14:val="tx1"/>
                  </w14:solidFill>
                </w14:textFill>
              </w:rPr>
              <w:t>9</w:t>
            </w:r>
            <w:r>
              <w:rPr>
                <w:rFonts w:ascii="Times New Roman" w:hAnsi="Times New Roman" w:eastAsia="宋体" w:cs="Times New Roman"/>
                <w:bCs/>
                <w:color w:val="000000" w:themeColor="text1"/>
                <w14:textFill>
                  <w14:solidFill>
                    <w14:schemeClr w14:val="tx1"/>
                  </w14:solidFill>
                </w14:textFill>
              </w:rPr>
              <w:t>月</w:t>
            </w:r>
            <w:r>
              <w:rPr>
                <w:rFonts w:hint="eastAsia" w:ascii="Times New Roman" w:hAnsi="Times New Roman" w:eastAsia="宋体" w:cs="Times New Roman"/>
                <w:bCs/>
                <w:color w:val="000000" w:themeColor="text1"/>
                <w14:textFill>
                  <w14:solidFill>
                    <w14:schemeClr w14:val="tx1"/>
                  </w14:solidFill>
                </w14:textFill>
              </w:rPr>
              <w:t>6</w:t>
            </w:r>
            <w:r>
              <w:rPr>
                <w:rFonts w:ascii="Times New Roman" w:hAnsi="Times New Roman" w:eastAsia="宋体" w:cs="Times New Roman"/>
                <w:bCs/>
                <w:color w:val="000000" w:themeColor="text1"/>
                <w14:textFill>
                  <w14:solidFill>
                    <w14:schemeClr w14:val="tx1"/>
                  </w14:solidFill>
                </w14:textFill>
              </w:rPr>
              <w:t>日。</w:t>
            </w:r>
          </w:p>
        </w:tc>
      </w:tr>
      <w:tr w14:paraId="2689B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573BEEF7">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vertAlign w:val="superscript"/>
                <w14:textFill>
                  <w14:solidFill>
                    <w14:schemeClr w14:val="tx1"/>
                  </w14:solidFill>
                </w14:textFill>
              </w:rPr>
              <w:t>210</w:t>
            </w:r>
            <w:r>
              <w:rPr>
                <w:rFonts w:hint="eastAsia" w:ascii="Times New Roman" w:hAnsi="Times New Roman" w:eastAsia="宋体" w:cs="Times New Roman"/>
                <w:bCs/>
                <w:color w:val="000000" w:themeColor="text1"/>
                <w14:textFill>
                  <w14:solidFill>
                    <w14:schemeClr w14:val="tx1"/>
                  </w14:solidFill>
                </w14:textFill>
              </w:rPr>
              <w:t>Pb</w:t>
            </w:r>
          </w:p>
        </w:tc>
        <w:tc>
          <w:tcPr>
            <w:tcW w:w="503" w:type="pct"/>
            <w:vMerge w:val="continue"/>
            <w:vAlign w:val="center"/>
          </w:tcPr>
          <w:p w14:paraId="314B6F38">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Align w:val="center"/>
          </w:tcPr>
          <w:p w14:paraId="35F689FE">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土壤、生物样、气溶胶中Pb-210监测实施细则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JC-05</w:t>
            </w:r>
            <w:r>
              <w:rPr>
                <w:rFonts w:hint="eastAsia" w:ascii="Times New Roman" w:hAnsi="Times New Roman" w:eastAsia="宋体" w:cs="Times New Roman"/>
                <w:bCs/>
                <w:color w:val="000000" w:themeColor="text1"/>
                <w14:textFill>
                  <w14:solidFill>
                    <w14:schemeClr w14:val="tx1"/>
                  </w14:solidFill>
                </w14:textFill>
              </w:rPr>
              <w:t>4）</w:t>
            </w:r>
            <w:r>
              <w:rPr>
                <w:rFonts w:ascii="Times New Roman" w:hAnsi="Times New Roman" w:eastAsia="宋体" w:cs="Times New Roman"/>
                <w:bCs/>
                <w:color w:val="000000" w:themeColor="text1"/>
                <w14:textFill>
                  <w14:solidFill>
                    <w14:schemeClr w14:val="tx1"/>
                  </w14:solidFill>
                </w14:textFill>
              </w:rPr>
              <w:t>（参考EJ/T859-94</w:t>
            </w:r>
            <w:r>
              <w:rPr>
                <w:rFonts w:hint="eastAsia" w:ascii="Times New Roman" w:hAnsi="Times New Roman" w:eastAsia="宋体" w:cs="Times New Roman"/>
                <w:bCs/>
                <w:color w:val="000000" w:themeColor="text1"/>
                <w14:textFill>
                  <w14:solidFill>
                    <w14:schemeClr w14:val="tx1"/>
                  </w14:solidFill>
                </w14:textFill>
              </w:rPr>
              <w:t>）</w:t>
            </w:r>
          </w:p>
        </w:tc>
        <w:tc>
          <w:tcPr>
            <w:tcW w:w="1021" w:type="pct"/>
            <w:vAlign w:val="center"/>
          </w:tcPr>
          <w:p w14:paraId="4E189629">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14:textFill>
                  <w14:solidFill>
                    <w14:schemeClr w14:val="tx1"/>
                  </w14:solidFill>
                </w14:textFill>
              </w:rPr>
              <w:t>LB4200型流气式</w:t>
            </w:r>
            <w:r>
              <w:rPr>
                <w:rFonts w:hint="eastAsia" w:ascii="Times New Roman" w:hAnsi="Times New Roman" w:eastAsia="宋体" w:cs="Times New Roman"/>
                <w:bCs/>
                <w:color w:val="000000" w:themeColor="text1"/>
                <w14:textFill>
                  <w14:solidFill>
                    <w14:schemeClr w14:val="tx1"/>
                  </w14:solidFill>
                </w14:textFill>
              </w:rPr>
              <w:t>低本底</w:t>
            </w:r>
            <w:r>
              <w:rPr>
                <w:rFonts w:ascii="Times New Roman" w:hAnsi="Times New Roman" w:eastAsia="宋体" w:cs="Times New Roman"/>
                <w:bCs/>
                <w:color w:val="000000" w:themeColor="text1"/>
                <w14:textFill>
                  <w14:solidFill>
                    <w14:schemeClr w14:val="tx1"/>
                  </w14:solidFill>
                </w14:textFill>
              </w:rPr>
              <w:t>总α、总β测量仪</w:t>
            </w:r>
            <w:r>
              <w:rPr>
                <w:rFonts w:hint="eastAsia" w:ascii="Times New Roman" w:hAnsi="Times New Roman" w:eastAsia="宋体" w:cs="Times New Roman"/>
                <w:bCs/>
                <w:color w:val="000000" w:themeColor="text1"/>
                <w14:textFill>
                  <w14:solidFill>
                    <w14:schemeClr w14:val="tx1"/>
                  </w14:solidFill>
                </w14:textFill>
              </w:rPr>
              <w:t>（13000102）</w:t>
            </w:r>
          </w:p>
        </w:tc>
        <w:tc>
          <w:tcPr>
            <w:tcW w:w="2117" w:type="pct"/>
            <w:vAlign w:val="center"/>
          </w:tcPr>
          <w:p w14:paraId="20458846">
            <w:pPr>
              <w:spacing w:after="0" w:line="276" w:lineRule="auto"/>
              <w:jc w:val="center"/>
              <w:rPr>
                <w:rFonts w:ascii="Times New Roman" w:hAnsi="Times New Roman" w:eastAsia="宋体" w:cs="Times New Roman"/>
                <w:bCs/>
                <w:color w:val="000000" w:themeColor="text1"/>
                <w14:textFill>
                  <w14:solidFill>
                    <w14:schemeClr w14:val="tx1"/>
                  </w14:solidFill>
                </w14:textFill>
              </w:rPr>
            </w:pPr>
            <w:bookmarkStart w:id="85" w:name="OLE_LINK3"/>
            <w:r>
              <w:rPr>
                <w:rFonts w:hint="eastAsia" w:ascii="Times New Roman" w:hAnsi="Times New Roman" w:eastAsia="宋体" w:cs="Times New Roman"/>
                <w:bCs/>
                <w:color w:val="000000" w:themeColor="text1"/>
                <w14:textFill>
                  <w14:solidFill>
                    <w14:schemeClr w14:val="tx1"/>
                  </w14:solidFill>
                </w14:textFill>
              </w:rPr>
              <w:t>检定证书编号：DLhd2023-04259（中国计量科学研究院），有效期：2023年9月7日～2025年9月6日</w:t>
            </w:r>
            <w:r>
              <w:rPr>
                <w:rFonts w:ascii="Times New Roman" w:hAnsi="Times New Roman" w:eastAsia="宋体" w:cs="Times New Roman"/>
                <w:bCs/>
                <w:color w:val="000000" w:themeColor="text1"/>
                <w14:textFill>
                  <w14:solidFill>
                    <w14:schemeClr w14:val="tx1"/>
                  </w14:solidFill>
                </w14:textFill>
              </w:rPr>
              <w:t>。</w:t>
            </w:r>
            <w:bookmarkEnd w:id="85"/>
          </w:p>
        </w:tc>
      </w:tr>
      <w:tr w14:paraId="128F7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97" w:type="pct"/>
            <w:vAlign w:val="center"/>
          </w:tcPr>
          <w:p w14:paraId="0C19FBA6">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ascii="Times New Roman" w:hAnsi="Times New Roman" w:eastAsia="宋体" w:cs="Times New Roman"/>
                <w:bCs/>
                <w:color w:val="000000" w:themeColor="text1"/>
                <w:vertAlign w:val="superscript"/>
                <w14:textFill>
                  <w14:solidFill>
                    <w14:schemeClr w14:val="tx1"/>
                  </w14:solidFill>
                </w14:textFill>
              </w:rPr>
              <w:t>210</w:t>
            </w:r>
            <w:r>
              <w:rPr>
                <w:rFonts w:hint="eastAsia" w:ascii="Times New Roman" w:hAnsi="Times New Roman" w:eastAsia="宋体" w:cs="Times New Roman"/>
                <w:bCs/>
                <w:color w:val="000000" w:themeColor="text1"/>
                <w14:textFill>
                  <w14:solidFill>
                    <w14:schemeClr w14:val="tx1"/>
                  </w14:solidFill>
                </w14:textFill>
              </w:rPr>
              <w:t>Po</w:t>
            </w:r>
          </w:p>
        </w:tc>
        <w:tc>
          <w:tcPr>
            <w:tcW w:w="503" w:type="pct"/>
            <w:vMerge w:val="continue"/>
            <w:vAlign w:val="center"/>
          </w:tcPr>
          <w:p w14:paraId="5BD7CA7F">
            <w:pPr>
              <w:spacing w:after="0" w:line="276" w:lineRule="auto"/>
              <w:jc w:val="center"/>
              <w:rPr>
                <w:rFonts w:ascii="Times New Roman" w:hAnsi="Times New Roman" w:eastAsia="宋体" w:cs="Times New Roman"/>
                <w:color w:val="000000" w:themeColor="text1"/>
                <w14:textFill>
                  <w14:solidFill>
                    <w14:schemeClr w14:val="tx1"/>
                  </w14:solidFill>
                </w14:textFill>
              </w:rPr>
            </w:pPr>
          </w:p>
        </w:tc>
        <w:tc>
          <w:tcPr>
            <w:tcW w:w="862" w:type="pct"/>
            <w:vAlign w:val="center"/>
          </w:tcPr>
          <w:p w14:paraId="00805703">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气溶胶中Po-210监测实施细则</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作业指导书GXFSZ/ZY</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JC-053</w:t>
            </w:r>
            <w:r>
              <w:rPr>
                <w:rFonts w:hint="eastAsia" w:ascii="Times New Roman" w:hAnsi="Times New Roman" w:eastAsia="宋体" w:cs="Times New Roman"/>
                <w:bCs/>
                <w:color w:val="000000" w:themeColor="text1"/>
                <w14:textFill>
                  <w14:solidFill>
                    <w14:schemeClr w14:val="tx1"/>
                  </w14:solidFill>
                </w14:textFill>
              </w:rPr>
              <w:t>）</w:t>
            </w:r>
            <w:r>
              <w:rPr>
                <w:rFonts w:ascii="Times New Roman" w:hAnsi="Times New Roman" w:eastAsia="宋体" w:cs="Times New Roman"/>
                <w:bCs/>
                <w:color w:val="000000" w:themeColor="text1"/>
                <w14:textFill>
                  <w14:solidFill>
                    <w14:schemeClr w14:val="tx1"/>
                  </w14:solidFill>
                </w14:textFill>
              </w:rPr>
              <w:t>（参考HJ</w:t>
            </w:r>
            <w:r>
              <w:rPr>
                <w:rFonts w:hint="eastAsia" w:ascii="Times New Roman" w:hAnsi="Times New Roman" w:eastAsia="宋体" w:cs="Times New Roman"/>
                <w:bCs/>
                <w:color w:val="000000" w:themeColor="text1"/>
                <w14:textFill>
                  <w14:solidFill>
                    <w14:schemeClr w14:val="tx1"/>
                  </w14:solidFill>
                </w14:textFill>
              </w:rPr>
              <w:t xml:space="preserve"> </w:t>
            </w:r>
            <w:r>
              <w:rPr>
                <w:rFonts w:ascii="Times New Roman" w:hAnsi="Times New Roman" w:eastAsia="宋体" w:cs="Times New Roman"/>
                <w:bCs/>
                <w:color w:val="000000" w:themeColor="text1"/>
                <w14:textFill>
                  <w14:solidFill>
                    <w14:schemeClr w14:val="tx1"/>
                  </w14:solidFill>
                </w14:textFill>
              </w:rPr>
              <w:t>813-2016)</w:t>
            </w:r>
          </w:p>
        </w:tc>
        <w:tc>
          <w:tcPr>
            <w:tcW w:w="1021" w:type="pct"/>
            <w:vAlign w:val="center"/>
          </w:tcPr>
          <w:p w14:paraId="5696BEA4">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Alpha-Ensemble-4型</w:t>
            </w:r>
            <w:r>
              <w:rPr>
                <w:rFonts w:ascii="Times New Roman" w:hAnsi="Times New Roman" w:eastAsia="宋体" w:cs="Times New Roman"/>
                <w:bCs/>
                <w:color w:val="000000" w:themeColor="text1"/>
                <w14:textFill>
                  <w14:solidFill>
                    <w14:schemeClr w14:val="tx1"/>
                  </w14:solidFill>
                </w14:textFill>
              </w:rPr>
              <w:t>α谱仪</w:t>
            </w:r>
            <w:r>
              <w:rPr>
                <w:rFonts w:hint="eastAsia" w:ascii="Times New Roman" w:hAnsi="Times New Roman" w:eastAsia="宋体" w:cs="Times New Roman"/>
                <w:bCs/>
                <w:color w:val="000000" w:themeColor="text1"/>
                <w14:textFill>
                  <w14:solidFill>
                    <w14:schemeClr w14:val="tx1"/>
                  </w14:solidFill>
                </w14:textFill>
              </w:rPr>
              <w:t>（14128265）</w:t>
            </w:r>
          </w:p>
        </w:tc>
        <w:tc>
          <w:tcPr>
            <w:tcW w:w="2117" w:type="pct"/>
            <w:vAlign w:val="center"/>
          </w:tcPr>
          <w:p w14:paraId="701C8E64">
            <w:pPr>
              <w:spacing w:after="0" w:line="276" w:lineRule="auto"/>
              <w:jc w:val="center"/>
              <w:rPr>
                <w:rFonts w:ascii="Times New Roman" w:hAnsi="Times New Roman" w:eastAsia="宋体" w:cs="Times New Roman"/>
                <w:bCs/>
                <w:color w:val="000000" w:themeColor="text1"/>
                <w14:textFill>
                  <w14:solidFill>
                    <w14:schemeClr w14:val="tx1"/>
                  </w14:solidFill>
                </w14:textFill>
              </w:rPr>
            </w:pPr>
            <w:r>
              <w:rPr>
                <w:rFonts w:hint="eastAsia" w:ascii="Times New Roman" w:hAnsi="Times New Roman" w:eastAsia="宋体" w:cs="Times New Roman"/>
                <w:bCs/>
                <w:color w:val="000000" w:themeColor="text1"/>
                <w14:textFill>
                  <w14:solidFill>
                    <w14:schemeClr w14:val="tx1"/>
                  </w14:solidFill>
                </w14:textFill>
              </w:rPr>
              <w:t>检定证书编号：DLhd2023-04262（中国计量科学研究院），发布日期：2023年9月15日</w:t>
            </w:r>
            <w:r>
              <w:rPr>
                <w:rFonts w:ascii="Times New Roman" w:hAnsi="Times New Roman" w:eastAsia="宋体" w:cs="Times New Roman"/>
                <w:bCs/>
                <w:color w:val="000000" w:themeColor="text1"/>
                <w14:textFill>
                  <w14:solidFill>
                    <w14:schemeClr w14:val="tx1"/>
                  </w14:solidFill>
                </w14:textFill>
              </w:rPr>
              <w:t>。</w:t>
            </w:r>
          </w:p>
        </w:tc>
      </w:tr>
      <w:bookmarkEnd w:id="83"/>
    </w:tbl>
    <w:p w14:paraId="25F2DFD0">
      <w:pPr>
        <w:widowControl w:val="0"/>
        <w:spacing w:after="0" w:line="360" w:lineRule="auto"/>
        <w:ind w:firstLine="482" w:firstLineChars="200"/>
        <w:jc w:val="both"/>
        <w:rPr>
          <w:rFonts w:ascii="Times New Roman" w:hAnsi="Times New Roman" w:cs="Times New Roman"/>
          <w:b/>
          <w:bCs/>
          <w:color w:val="000000" w:themeColor="text1"/>
          <w:sz w:val="24"/>
          <w:szCs w:val="24"/>
          <w14:textFill>
            <w14:solidFill>
              <w14:schemeClr w14:val="tx1"/>
            </w14:solidFill>
          </w14:textFill>
        </w:rPr>
      </w:pPr>
      <w:bookmarkStart w:id="86" w:name="_Toc78822660"/>
      <w:bookmarkStart w:id="87" w:name="_Toc162360790"/>
      <w:bookmarkStart w:id="88" w:name="_Toc230317813"/>
      <w:bookmarkStart w:id="89" w:name="_Toc214525291"/>
    </w:p>
    <w:p w14:paraId="718106D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监测结果</w:t>
      </w:r>
      <w:bookmarkEnd w:id="86"/>
    </w:p>
    <w:p w14:paraId="7DEFCBCD">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90" w:name="_Hlk64899217"/>
      <w:r>
        <w:rPr>
          <w:rFonts w:ascii="Times New Roman" w:hAnsi="Times New Roman" w:eastAsia="黑体" w:cs="Times New Roman"/>
          <w:bCs/>
          <w:i w:val="0"/>
          <w:iCs w:val="0"/>
          <w:color w:val="000000" w:themeColor="text1"/>
          <w:kern w:val="2"/>
          <w:sz w:val="24"/>
          <w14:textFill>
            <w14:solidFill>
              <w14:schemeClr w14:val="tx1"/>
            </w14:solidFill>
          </w14:textFill>
        </w:rPr>
        <w:t>辐射空气吸收剂量率</w:t>
      </w:r>
      <w:bookmarkEnd w:id="90"/>
      <w:r>
        <w:rPr>
          <w:rFonts w:hint="eastAsia" w:ascii="Times New Roman" w:hAnsi="Times New Roman" w:eastAsia="黑体" w:cs="Times New Roman"/>
          <w:bCs/>
          <w:i w:val="0"/>
          <w:iCs w:val="0"/>
          <w:color w:val="000000" w:themeColor="text1"/>
          <w:kern w:val="2"/>
          <w:sz w:val="24"/>
          <w14:textFill>
            <w14:solidFill>
              <w14:schemeClr w14:val="tx1"/>
            </w14:solidFill>
          </w14:textFill>
        </w:rPr>
        <w:t>监测结果</w:t>
      </w:r>
    </w:p>
    <w:p w14:paraId="736A811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项目场址</w:t>
      </w:r>
      <w:r>
        <w:rPr>
          <w:rFonts w:hint="eastAsia" w:ascii="Times New Roman" w:hAnsi="Times New Roman" w:cs="Times New Roman"/>
          <w:color w:val="000000" w:themeColor="text1"/>
          <w:sz w:val="24"/>
          <w:szCs w:val="24"/>
          <w14:textFill>
            <w14:solidFill>
              <w14:schemeClr w14:val="tx1"/>
            </w14:solidFill>
          </w14:textFill>
        </w:rPr>
        <w:t>及</w:t>
      </w:r>
      <w:r>
        <w:rPr>
          <w:rFonts w:ascii="Times New Roman" w:hAnsi="Times New Roman" w:cs="Times New Roman"/>
          <w:color w:val="000000" w:themeColor="text1"/>
          <w:sz w:val="24"/>
          <w:szCs w:val="24"/>
          <w14:textFill>
            <w14:solidFill>
              <w14:schemeClr w14:val="tx1"/>
            </w14:solidFill>
          </w14:textFill>
        </w:rPr>
        <w:t>周围环境现状γ辐射空气吸收剂量率监测结果见表3.1-</w:t>
      </w: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57E8294C">
      <w:pPr>
        <w:widowControl w:val="0"/>
        <w:spacing w:after="0" w:line="360" w:lineRule="auto"/>
        <w:jc w:val="center"/>
        <w:rPr>
          <w:rFonts w:ascii="Times New Roman" w:hAnsi="Times New Roman"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表3.1-3 项目场址</w:t>
      </w:r>
      <w:r>
        <w:rPr>
          <w:rFonts w:hint="eastAsia" w:ascii="Times New Roman" w:hAnsi="Times New Roman" w:eastAsia="宋体" w:cs="Times New Roman"/>
          <w:b/>
          <w:bCs/>
          <w:color w:val="000000" w:themeColor="text1"/>
          <w:spacing w:val="-2"/>
          <w:sz w:val="24"/>
          <w:szCs w:val="20"/>
          <w14:textFill>
            <w14:solidFill>
              <w14:schemeClr w14:val="tx1"/>
            </w14:solidFill>
          </w14:textFill>
        </w:rPr>
        <w:t>及周边</w:t>
      </w:r>
      <w:r>
        <w:rPr>
          <w:rFonts w:ascii="Times New Roman" w:hAnsi="Times New Roman" w:eastAsia="宋体" w:cs="Times New Roman"/>
          <w:b/>
          <w:bCs/>
          <w:color w:val="000000" w:themeColor="text1"/>
          <w:spacing w:val="-2"/>
          <w:sz w:val="24"/>
          <w:szCs w:val="20"/>
          <w14:textFill>
            <w14:solidFill>
              <w14:schemeClr w14:val="tx1"/>
            </w14:solidFill>
          </w14:textFill>
        </w:rPr>
        <w:t>环境现状γ辐射空气吸收剂量率监测结果</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9"/>
        <w:gridCol w:w="2913"/>
        <w:gridCol w:w="1384"/>
        <w:gridCol w:w="1384"/>
        <w:gridCol w:w="1972"/>
      </w:tblGrid>
      <w:tr w14:paraId="604D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Merge w:val="restart"/>
            <w:shd w:val="clear" w:color="auto" w:fill="auto"/>
            <w:vAlign w:val="center"/>
          </w:tcPr>
          <w:p w14:paraId="00853AE1">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w:t>
            </w:r>
          </w:p>
        </w:tc>
        <w:tc>
          <w:tcPr>
            <w:tcW w:w="1709" w:type="pct"/>
            <w:vMerge w:val="restart"/>
            <w:shd w:val="clear" w:color="auto" w:fill="auto"/>
            <w:vAlign w:val="center"/>
          </w:tcPr>
          <w:p w14:paraId="12307D4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1624" w:type="pct"/>
            <w:gridSpan w:val="2"/>
            <w:shd w:val="clear" w:color="auto" w:fill="auto"/>
            <w:vAlign w:val="center"/>
          </w:tcPr>
          <w:p w14:paraId="69435886">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γ辐射剂量率</w:t>
            </w:r>
            <w:r>
              <w:rPr>
                <w:rFonts w:hint="eastAsia"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nGy/h</w:t>
            </w:r>
            <w:r>
              <w:rPr>
                <w:rFonts w:hint="eastAsia" w:ascii="Times New Roman" w:hAnsi="Times New Roman" w:eastAsia="宋体" w:cs="Times New Roman"/>
                <w:b/>
                <w:bCs/>
                <w:color w:val="000000" w:themeColor="text1"/>
                <w14:textFill>
                  <w14:solidFill>
                    <w14:schemeClr w14:val="tx1"/>
                  </w14:solidFill>
                </w14:textFill>
              </w:rPr>
              <w:t>）</w:t>
            </w:r>
          </w:p>
        </w:tc>
        <w:tc>
          <w:tcPr>
            <w:tcW w:w="1157" w:type="pct"/>
            <w:vMerge w:val="restart"/>
            <w:shd w:val="clear" w:color="auto" w:fill="auto"/>
            <w:vAlign w:val="center"/>
          </w:tcPr>
          <w:p w14:paraId="57A7ED73">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备注</w:t>
            </w:r>
          </w:p>
        </w:tc>
      </w:tr>
      <w:tr w14:paraId="0BF8B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510" w:type="pct"/>
            <w:vMerge w:val="continue"/>
            <w:shd w:val="clear" w:color="auto" w:fill="auto"/>
            <w:vAlign w:val="center"/>
          </w:tcPr>
          <w:p w14:paraId="0C838F41">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1709" w:type="pct"/>
            <w:vMerge w:val="continue"/>
            <w:shd w:val="clear" w:color="auto" w:fill="auto"/>
            <w:vAlign w:val="center"/>
          </w:tcPr>
          <w:p w14:paraId="2E1B6A03">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812" w:type="pct"/>
            <w:shd w:val="clear" w:color="auto" w:fill="auto"/>
            <w:vAlign w:val="center"/>
          </w:tcPr>
          <w:p w14:paraId="6CBEADC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平均值</w:t>
            </w:r>
          </w:p>
        </w:tc>
        <w:tc>
          <w:tcPr>
            <w:tcW w:w="812" w:type="pct"/>
            <w:shd w:val="clear" w:color="auto" w:fill="auto"/>
            <w:vAlign w:val="center"/>
          </w:tcPr>
          <w:p w14:paraId="6A1ECB4B">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标准差</w:t>
            </w:r>
          </w:p>
        </w:tc>
        <w:tc>
          <w:tcPr>
            <w:tcW w:w="1157" w:type="pct"/>
            <w:vMerge w:val="continue"/>
            <w:shd w:val="clear" w:color="auto" w:fill="auto"/>
            <w:vAlign w:val="center"/>
          </w:tcPr>
          <w:p w14:paraId="3A69E812">
            <w:pPr>
              <w:spacing w:after="0" w:line="240" w:lineRule="auto"/>
              <w:rPr>
                <w:rFonts w:ascii="Times New Roman" w:hAnsi="Times New Roman" w:eastAsia="宋体" w:cs="Times New Roman"/>
                <w:b/>
                <w:bCs/>
                <w:color w:val="000000" w:themeColor="text1"/>
                <w14:textFill>
                  <w14:solidFill>
                    <w14:schemeClr w14:val="tx1"/>
                  </w14:solidFill>
                </w14:textFill>
              </w:rPr>
            </w:pPr>
          </w:p>
        </w:tc>
      </w:tr>
      <w:tr w14:paraId="3D676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06927E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709" w:type="pct"/>
            <w:shd w:val="clear" w:color="auto" w:fill="auto"/>
            <w:vAlign w:val="center"/>
          </w:tcPr>
          <w:p w14:paraId="3D2CCA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车间内东侧</w:t>
            </w:r>
          </w:p>
        </w:tc>
        <w:tc>
          <w:tcPr>
            <w:tcW w:w="812" w:type="pct"/>
            <w:shd w:val="clear" w:color="auto" w:fill="auto"/>
            <w:vAlign w:val="center"/>
          </w:tcPr>
          <w:p w14:paraId="7A68D93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36208EB">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02FCF5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一层建筑</w:t>
            </w:r>
          </w:p>
        </w:tc>
      </w:tr>
      <w:tr w14:paraId="4A8D0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42873B8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1709" w:type="pct"/>
            <w:shd w:val="clear" w:color="auto" w:fill="auto"/>
            <w:vAlign w:val="center"/>
          </w:tcPr>
          <w:p w14:paraId="590356E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车间内西侧</w:t>
            </w:r>
          </w:p>
        </w:tc>
        <w:tc>
          <w:tcPr>
            <w:tcW w:w="812" w:type="pct"/>
            <w:shd w:val="clear" w:color="auto" w:fill="auto"/>
            <w:vAlign w:val="center"/>
          </w:tcPr>
          <w:p w14:paraId="702A945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C8AC4E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62B1656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一层建筑</w:t>
            </w:r>
          </w:p>
        </w:tc>
      </w:tr>
      <w:tr w14:paraId="7C2AF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1EAC9F4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1709" w:type="pct"/>
            <w:shd w:val="clear" w:color="auto" w:fill="auto"/>
            <w:vAlign w:val="center"/>
          </w:tcPr>
          <w:p w14:paraId="5F667C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厂界东侧</w:t>
            </w:r>
          </w:p>
        </w:tc>
        <w:tc>
          <w:tcPr>
            <w:tcW w:w="812" w:type="pct"/>
            <w:shd w:val="clear" w:color="auto" w:fill="auto"/>
            <w:vAlign w:val="center"/>
          </w:tcPr>
          <w:p w14:paraId="79D04A7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6C511C4">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11476C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60BE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17BCD87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1709" w:type="pct"/>
            <w:shd w:val="clear" w:color="auto" w:fill="auto"/>
            <w:vAlign w:val="center"/>
          </w:tcPr>
          <w:p w14:paraId="42C8A48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厂界南侧（建筑物内）</w:t>
            </w:r>
          </w:p>
        </w:tc>
        <w:tc>
          <w:tcPr>
            <w:tcW w:w="812" w:type="pct"/>
            <w:shd w:val="clear" w:color="auto" w:fill="auto"/>
            <w:vAlign w:val="center"/>
          </w:tcPr>
          <w:p w14:paraId="265D5080">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64E5F678">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652D4DB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南侧为二层建筑，监测点位位于1楼</w:t>
            </w:r>
          </w:p>
        </w:tc>
      </w:tr>
      <w:tr w14:paraId="0282B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2A711A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5</w:t>
            </w:r>
          </w:p>
        </w:tc>
        <w:tc>
          <w:tcPr>
            <w:tcW w:w="1709" w:type="pct"/>
            <w:shd w:val="clear" w:color="auto" w:fill="auto"/>
            <w:vAlign w:val="center"/>
          </w:tcPr>
          <w:p w14:paraId="3E5CEBF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厂界北侧</w:t>
            </w:r>
          </w:p>
        </w:tc>
        <w:tc>
          <w:tcPr>
            <w:tcW w:w="812" w:type="pct"/>
            <w:shd w:val="clear" w:color="auto" w:fill="auto"/>
            <w:vAlign w:val="center"/>
          </w:tcPr>
          <w:p w14:paraId="0DD43FD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22A1D2E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525B44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278A6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6CD3D84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p>
        </w:tc>
        <w:tc>
          <w:tcPr>
            <w:tcW w:w="1709" w:type="pct"/>
            <w:shd w:val="clear" w:color="auto" w:fill="auto"/>
            <w:vAlign w:val="center"/>
          </w:tcPr>
          <w:p w14:paraId="161CB4C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厂界西侧</w:t>
            </w:r>
          </w:p>
        </w:tc>
        <w:tc>
          <w:tcPr>
            <w:tcW w:w="812" w:type="pct"/>
            <w:shd w:val="clear" w:color="auto" w:fill="auto"/>
            <w:vAlign w:val="center"/>
          </w:tcPr>
          <w:p w14:paraId="664EE085">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7B08460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0774449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4E618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510" w:type="pct"/>
            <w:shd w:val="clear" w:color="auto" w:fill="auto"/>
            <w:vAlign w:val="center"/>
          </w:tcPr>
          <w:p w14:paraId="39A1252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w:t>
            </w:r>
          </w:p>
        </w:tc>
        <w:tc>
          <w:tcPr>
            <w:tcW w:w="1709" w:type="pct"/>
            <w:shd w:val="clear" w:color="auto" w:fill="auto"/>
            <w:vAlign w:val="center"/>
          </w:tcPr>
          <w:p w14:paraId="761B457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广西钦州保税港区桂吉冷链物流有限公司门口</w:t>
            </w:r>
          </w:p>
        </w:tc>
        <w:tc>
          <w:tcPr>
            <w:tcW w:w="812" w:type="pct"/>
            <w:shd w:val="clear" w:color="auto" w:fill="auto"/>
            <w:vAlign w:val="center"/>
          </w:tcPr>
          <w:p w14:paraId="0F4519E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68FFC94C">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7DA57A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682D47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0DE5AF3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1709" w:type="pct"/>
            <w:shd w:val="clear" w:color="auto" w:fill="auto"/>
            <w:vAlign w:val="center"/>
          </w:tcPr>
          <w:p w14:paraId="3F80093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星火物流园门口</w:t>
            </w:r>
          </w:p>
        </w:tc>
        <w:tc>
          <w:tcPr>
            <w:tcW w:w="812" w:type="pct"/>
            <w:shd w:val="clear" w:color="auto" w:fill="auto"/>
            <w:vAlign w:val="center"/>
          </w:tcPr>
          <w:p w14:paraId="2DEEE90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16DE3FE">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2FD0613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r w14:paraId="1292A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0" w:type="pct"/>
            <w:shd w:val="clear" w:color="auto" w:fill="auto"/>
            <w:vAlign w:val="center"/>
          </w:tcPr>
          <w:p w14:paraId="2C0C9F8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1709" w:type="pct"/>
            <w:shd w:val="clear" w:color="auto" w:fill="auto"/>
            <w:vAlign w:val="center"/>
          </w:tcPr>
          <w:p w14:paraId="7B51195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北部湾（钦州湾）冷链保税交易中心大门口</w:t>
            </w:r>
          </w:p>
        </w:tc>
        <w:tc>
          <w:tcPr>
            <w:tcW w:w="812" w:type="pct"/>
            <w:shd w:val="clear" w:color="auto" w:fill="auto"/>
            <w:vAlign w:val="center"/>
          </w:tcPr>
          <w:p w14:paraId="714719BD">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2" w:type="pct"/>
            <w:shd w:val="clear" w:color="auto" w:fill="auto"/>
            <w:vAlign w:val="center"/>
          </w:tcPr>
          <w:p w14:paraId="4FB36BC2">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157" w:type="pct"/>
            <w:shd w:val="clear" w:color="auto" w:fill="auto"/>
            <w:vAlign w:val="center"/>
          </w:tcPr>
          <w:p w14:paraId="3139D44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室外</w:t>
            </w:r>
          </w:p>
        </w:tc>
      </w:tr>
    </w:tbl>
    <w:p w14:paraId="1EC09F5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5EAE1483">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由表3.1-3监测结果可知</w:t>
      </w:r>
      <w:r>
        <w:rPr>
          <w:rFonts w:hint="eastAsia" w:ascii="Times New Roman" w:hAnsi="Times New Roman" w:cs="Times New Roman"/>
          <w:color w:val="000000" w:themeColor="text1"/>
          <w:sz w:val="24"/>
          <w:szCs w:val="24"/>
          <w14:textFill>
            <w14:solidFill>
              <w14:schemeClr w14:val="tx1"/>
            </w14:solidFill>
          </w14:textFill>
        </w:rPr>
        <w:t>，项目车间内的</w:t>
      </w:r>
      <w:r>
        <w:rPr>
          <w:rFonts w:ascii="Times New Roman" w:hAnsi="Times New Roman" w:cs="Times New Roman"/>
          <w:color w:val="000000" w:themeColor="text1"/>
          <w:sz w:val="24"/>
          <w:szCs w:val="24"/>
          <w14:textFill>
            <w14:solidFill>
              <w14:schemeClr w14:val="tx1"/>
            </w14:solidFill>
          </w14:textFill>
        </w:rPr>
        <w:t>γ辐射空气吸收剂量率范围为</w:t>
      </w:r>
      <w:r>
        <w:rPr>
          <w:rFonts w:hint="eastAsia" w:ascii="Times New Roman" w:hAnsi="Times New Roman" w:cs="Times New Roman"/>
          <w:color w:val="000000" w:themeColor="text1"/>
          <w:sz w:val="24"/>
          <w:szCs w:val="24"/>
          <w14:textFill>
            <w14:solidFill>
              <w14:schemeClr w14:val="tx1"/>
            </w14:solidFill>
          </w14:textFill>
        </w:rPr>
        <w:t>97.5</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97.8</w:t>
      </w:r>
      <w:r>
        <w:rPr>
          <w:rFonts w:ascii="Times New Roman" w:hAnsi="Times New Roman" w:cs="Times New Roman"/>
          <w:color w:val="000000" w:themeColor="text1"/>
          <w:sz w:val="24"/>
          <w:szCs w:val="24"/>
          <w14:textFill>
            <w14:solidFill>
              <w14:schemeClr w14:val="tx1"/>
            </w14:solidFill>
          </w14:textFill>
        </w:rPr>
        <w:t>nGy/h；</w:t>
      </w:r>
      <w:r>
        <w:rPr>
          <w:rFonts w:hint="eastAsia" w:ascii="Times New Roman" w:hAnsi="Times New Roman" w:cs="Times New Roman"/>
          <w:color w:val="000000" w:themeColor="text1"/>
          <w:sz w:val="24"/>
          <w:szCs w:val="24"/>
          <w14:textFill>
            <w14:solidFill>
              <w14:schemeClr w14:val="tx1"/>
            </w14:solidFill>
          </w14:textFill>
        </w:rPr>
        <w:t>车间四周厂界处的</w:t>
      </w:r>
      <w:r>
        <w:rPr>
          <w:rFonts w:ascii="Times New Roman" w:hAnsi="Times New Roman" w:cs="Times New Roman"/>
          <w:color w:val="000000" w:themeColor="text1"/>
          <w:sz w:val="24"/>
          <w:szCs w:val="24"/>
          <w14:textFill>
            <w14:solidFill>
              <w14:schemeClr w14:val="tx1"/>
            </w14:solidFill>
          </w14:textFill>
        </w:rPr>
        <w:t>γ辐射空气吸收剂量率范围为</w:t>
      </w:r>
      <w:r>
        <w:rPr>
          <w:rFonts w:hint="eastAsia" w:ascii="Times New Roman" w:hAnsi="Times New Roman" w:cs="Times New Roman"/>
          <w:color w:val="000000" w:themeColor="text1"/>
          <w:sz w:val="24"/>
          <w:szCs w:val="24"/>
          <w14:textFill>
            <w14:solidFill>
              <w14:schemeClr w14:val="tx1"/>
            </w14:solidFill>
          </w14:textFill>
        </w:rPr>
        <w:t>91.2</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127</w:t>
      </w:r>
      <w:r>
        <w:rPr>
          <w:rFonts w:ascii="Times New Roman" w:hAnsi="Times New Roman" w:cs="Times New Roman"/>
          <w:color w:val="000000" w:themeColor="text1"/>
          <w:sz w:val="24"/>
          <w:szCs w:val="24"/>
          <w14:textFill>
            <w14:solidFill>
              <w14:schemeClr w14:val="tx1"/>
            </w14:solidFill>
          </w14:textFill>
        </w:rPr>
        <w:t>nGy/h；</w:t>
      </w:r>
      <w:r>
        <w:rPr>
          <w:rFonts w:hint="eastAsia" w:ascii="Times New Roman" w:hAnsi="Times New Roman" w:cs="Times New Roman"/>
          <w:color w:val="000000" w:themeColor="text1"/>
          <w:sz w:val="24"/>
          <w:szCs w:val="24"/>
          <w14:textFill>
            <w14:solidFill>
              <w14:schemeClr w14:val="tx1"/>
            </w14:solidFill>
          </w14:textFill>
        </w:rPr>
        <w:t>项目所在区域周边</w:t>
      </w:r>
      <w:r>
        <w:rPr>
          <w:rFonts w:ascii="Times New Roman" w:hAnsi="Times New Roman" w:cs="Times New Roman"/>
          <w:color w:val="000000" w:themeColor="text1"/>
          <w:sz w:val="24"/>
          <w:szCs w:val="24"/>
          <w14:textFill>
            <w14:solidFill>
              <w14:schemeClr w14:val="tx1"/>
            </w14:solidFill>
          </w14:textFill>
        </w:rPr>
        <w:t>环境γ辐射空气吸收剂量率为</w:t>
      </w:r>
      <w:r>
        <w:rPr>
          <w:rFonts w:hint="eastAsia" w:ascii="Times New Roman" w:hAnsi="Times New Roman" w:cs="Times New Roman"/>
          <w:color w:val="000000" w:themeColor="text1"/>
          <w:sz w:val="24"/>
          <w:szCs w:val="24"/>
          <w14:textFill>
            <w14:solidFill>
              <w14:schemeClr w14:val="tx1"/>
            </w14:solidFill>
          </w14:textFill>
        </w:rPr>
        <w:t>66.8</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93</w:t>
      </w:r>
      <w:r>
        <w:rPr>
          <w:rFonts w:ascii="Times New Roman" w:hAnsi="Times New Roman" w:cs="Times New Roman"/>
          <w:color w:val="000000" w:themeColor="text1"/>
          <w:sz w:val="24"/>
          <w:szCs w:val="24"/>
          <w14:textFill>
            <w14:solidFill>
              <w14:schemeClr w14:val="tx1"/>
            </w14:solidFill>
          </w14:textFill>
        </w:rPr>
        <w:t>nGy/h。根据《中国环境天然放射性水平》可知，广西原野γ辐射空气吸收剂量率在10.7～238.7nGy/h范围。可见，本项目建设场址各监测点位γ辐射空气吸收剂量率在其范围内，辐射环境质量状况未见异常。</w:t>
      </w:r>
    </w:p>
    <w:p w14:paraId="5755D71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环境氡监测结果</w:t>
      </w:r>
    </w:p>
    <w:p w14:paraId="132A07C5">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项目建设场所及周围环境现状空气中氡浓度监测结果见表3.1-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w:t>
      </w:r>
    </w:p>
    <w:p w14:paraId="4E78C5B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w:t>
      </w:r>
      <w:r>
        <w:rPr>
          <w:rFonts w:hint="eastAsia" w:ascii="Times New Roman" w:hAnsi="Times New Roman" w:eastAsia="宋体" w:cs="Times New Roman"/>
          <w:b/>
          <w:bCs/>
          <w:color w:val="000000" w:themeColor="text1"/>
          <w:spacing w:val="-2"/>
          <w:sz w:val="24"/>
          <w:szCs w:val="20"/>
          <w14:textFill>
            <w14:solidFill>
              <w14:schemeClr w14:val="tx1"/>
            </w14:solidFill>
          </w14:textFill>
        </w:rPr>
        <w:t>4</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项目建设场所及周围环境现状空气中氡浓度监测结果</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2"/>
        <w:gridCol w:w="3934"/>
        <w:gridCol w:w="3136"/>
      </w:tblGrid>
      <w:tr w14:paraId="687F4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852" w:type="pct"/>
            <w:shd w:val="clear" w:color="auto" w:fill="auto"/>
            <w:vAlign w:val="center"/>
          </w:tcPr>
          <w:p w14:paraId="0A44E8D4">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序号</w:t>
            </w:r>
          </w:p>
        </w:tc>
        <w:tc>
          <w:tcPr>
            <w:tcW w:w="2308" w:type="pct"/>
            <w:shd w:val="clear" w:color="auto" w:fill="auto"/>
            <w:vAlign w:val="center"/>
          </w:tcPr>
          <w:p w14:paraId="10A4B21C">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1840" w:type="pct"/>
            <w:shd w:val="clear" w:color="auto" w:fill="auto"/>
            <w:vAlign w:val="center"/>
          </w:tcPr>
          <w:p w14:paraId="19518C4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氡浓度</w:t>
            </w:r>
            <w:r>
              <w:rPr>
                <w:rFonts w:hint="eastAsia" w:ascii="Times New Roman" w:hAnsi="Times New Roman" w:eastAsia="宋体" w:cs="Times New Roman"/>
                <w:b/>
                <w:bCs/>
                <w:color w:val="000000" w:themeColor="text1"/>
                <w14:textFill>
                  <w14:solidFill>
                    <w14:schemeClr w14:val="tx1"/>
                  </w14:solidFill>
                </w14:textFill>
              </w:rPr>
              <w:t>（</w:t>
            </w:r>
            <w:r>
              <w:rPr>
                <w:rFonts w:ascii="Times New Roman" w:hAnsi="Times New Roman" w:eastAsia="宋体" w:cs="Times New Roman"/>
                <w:b/>
                <w:bCs/>
                <w:color w:val="000000" w:themeColor="text1"/>
                <w14:textFill>
                  <w14:solidFill>
                    <w14:schemeClr w14:val="tx1"/>
                  </w14:solidFill>
                </w14:textFill>
              </w:rPr>
              <w:t>Bq/m</w:t>
            </w:r>
            <w:r>
              <w:rPr>
                <w:rFonts w:ascii="Times New Roman" w:hAnsi="Times New Roman" w:eastAsia="宋体" w:cs="Times New Roman"/>
                <w:b/>
                <w:bCs/>
                <w:color w:val="000000" w:themeColor="text1"/>
                <w:vertAlign w:val="superscript"/>
                <w14:textFill>
                  <w14:solidFill>
                    <w14:schemeClr w14:val="tx1"/>
                  </w14:solidFill>
                </w14:textFill>
              </w:rPr>
              <w:t>3</w:t>
            </w:r>
            <w:r>
              <w:rPr>
                <w:rFonts w:hint="eastAsia" w:ascii="Times New Roman" w:hAnsi="Times New Roman" w:eastAsia="宋体" w:cs="Times New Roman"/>
                <w:b/>
                <w:bCs/>
                <w:color w:val="000000" w:themeColor="text1"/>
                <w14:textFill>
                  <w14:solidFill>
                    <w14:schemeClr w14:val="tx1"/>
                  </w14:solidFill>
                </w14:textFill>
              </w:rPr>
              <w:t>）</w:t>
            </w:r>
          </w:p>
        </w:tc>
      </w:tr>
      <w:tr w14:paraId="4238F6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7665472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2308" w:type="pct"/>
            <w:shd w:val="clear" w:color="auto" w:fill="auto"/>
            <w:vAlign w:val="center"/>
          </w:tcPr>
          <w:p w14:paraId="2666A0B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厂界南侧（室内）</w:t>
            </w:r>
          </w:p>
        </w:tc>
        <w:tc>
          <w:tcPr>
            <w:tcW w:w="1840" w:type="pct"/>
            <w:shd w:val="clear" w:color="auto" w:fill="auto"/>
            <w:vAlign w:val="center"/>
          </w:tcPr>
          <w:p w14:paraId="4A3083B1">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51A15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1E5F926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2308" w:type="pct"/>
            <w:shd w:val="clear" w:color="auto" w:fill="auto"/>
            <w:vAlign w:val="center"/>
          </w:tcPr>
          <w:p w14:paraId="53801AA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厂界西侧</w:t>
            </w:r>
          </w:p>
        </w:tc>
        <w:tc>
          <w:tcPr>
            <w:tcW w:w="1840" w:type="pct"/>
            <w:shd w:val="clear" w:color="auto" w:fill="auto"/>
            <w:vAlign w:val="center"/>
          </w:tcPr>
          <w:p w14:paraId="748C9E4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78B0B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360FE2F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w:t>
            </w:r>
          </w:p>
        </w:tc>
        <w:tc>
          <w:tcPr>
            <w:tcW w:w="2308" w:type="pct"/>
            <w:shd w:val="clear" w:color="auto" w:fill="auto"/>
            <w:vAlign w:val="center"/>
          </w:tcPr>
          <w:p w14:paraId="1A8269B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厂界北侧</w:t>
            </w:r>
          </w:p>
        </w:tc>
        <w:tc>
          <w:tcPr>
            <w:tcW w:w="1840" w:type="pct"/>
            <w:shd w:val="clear" w:color="auto" w:fill="auto"/>
            <w:vAlign w:val="center"/>
          </w:tcPr>
          <w:p w14:paraId="181F0287">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r w14:paraId="70735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2" w:type="pct"/>
            <w:shd w:val="clear" w:color="auto" w:fill="auto"/>
            <w:vAlign w:val="center"/>
          </w:tcPr>
          <w:p w14:paraId="2E2F119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4</w:t>
            </w:r>
          </w:p>
        </w:tc>
        <w:tc>
          <w:tcPr>
            <w:tcW w:w="2308" w:type="pct"/>
            <w:shd w:val="clear" w:color="auto" w:fill="auto"/>
            <w:vAlign w:val="center"/>
          </w:tcPr>
          <w:p w14:paraId="5EC39D7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厂界东侧</w:t>
            </w:r>
          </w:p>
        </w:tc>
        <w:tc>
          <w:tcPr>
            <w:tcW w:w="1840" w:type="pct"/>
            <w:shd w:val="clear" w:color="auto" w:fill="auto"/>
            <w:vAlign w:val="center"/>
          </w:tcPr>
          <w:p w14:paraId="117C812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bl>
    <w:p w14:paraId="14772B27">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p>
    <w:p w14:paraId="3ABF3F53">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从表3.1-</w:t>
      </w: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监测结果可知，</w:t>
      </w:r>
      <w:r>
        <w:rPr>
          <w:rFonts w:hint="eastAsia" w:ascii="Times New Roman" w:hAnsi="Times New Roman" w:cs="Times New Roman"/>
          <w:color w:val="000000" w:themeColor="text1"/>
          <w:sz w:val="24"/>
          <w:szCs w:val="24"/>
          <w14:textFill>
            <w14:solidFill>
              <w14:schemeClr w14:val="tx1"/>
            </w14:solidFill>
          </w14:textFill>
        </w:rPr>
        <w:t>项目</w:t>
      </w:r>
      <w:r>
        <w:rPr>
          <w:rFonts w:ascii="Times New Roman" w:hAnsi="Times New Roman" w:cs="Times New Roman"/>
          <w:color w:val="000000" w:themeColor="text1"/>
          <w:sz w:val="24"/>
          <w:szCs w:val="24"/>
          <w14:textFill>
            <w14:solidFill>
              <w14:schemeClr w14:val="tx1"/>
            </w14:solidFill>
          </w14:textFill>
        </w:rPr>
        <w:t>厂区</w:t>
      </w:r>
      <w:r>
        <w:rPr>
          <w:rFonts w:hint="eastAsia" w:ascii="Times New Roman" w:hAnsi="Times New Roman" w:cs="Times New Roman"/>
          <w:color w:val="000000" w:themeColor="text1"/>
          <w:sz w:val="24"/>
          <w:szCs w:val="24"/>
          <w14:textFill>
            <w14:solidFill>
              <w14:schemeClr w14:val="tx1"/>
            </w14:solidFill>
          </w14:textFill>
        </w:rPr>
        <w:t>周边</w:t>
      </w:r>
      <w:r>
        <w:rPr>
          <w:rFonts w:ascii="Times New Roman" w:hAnsi="Times New Roman" w:cs="Times New Roman"/>
          <w:color w:val="000000" w:themeColor="text1"/>
          <w:sz w:val="24"/>
          <w:szCs w:val="24"/>
          <w14:textFill>
            <w14:solidFill>
              <w14:schemeClr w14:val="tx1"/>
            </w14:solidFill>
          </w14:textFill>
        </w:rPr>
        <w:t>环境空气中氡浓度范围为</w:t>
      </w:r>
      <w:r>
        <w:rPr>
          <w:rFonts w:hint="eastAsia" w:ascii="Times New Roman" w:hAnsi="Times New Roman" w:cs="Times New Roman"/>
          <w:color w:val="000000" w:themeColor="text1"/>
          <w:sz w:val="24"/>
          <w:szCs w:val="24"/>
          <w14:textFill>
            <w14:solidFill>
              <w14:schemeClr w14:val="tx1"/>
            </w14:solidFill>
          </w14:textFill>
        </w:rPr>
        <w:t>27.37</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79.43.</w:t>
      </w:r>
      <w:r>
        <w:rPr>
          <w:rFonts w:ascii="Times New Roman" w:hAnsi="Times New Roman" w:cs="Times New Roman"/>
          <w:color w:val="000000" w:themeColor="text1"/>
          <w:sz w:val="24"/>
          <w:szCs w:val="24"/>
          <w14:textFill>
            <w14:solidFill>
              <w14:schemeClr w14:val="tx1"/>
            </w14:solidFill>
          </w14:textFill>
        </w:rPr>
        <w:t>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对比</w:t>
      </w:r>
      <w:r>
        <w:rPr>
          <w:rFonts w:ascii="Times New Roman" w:hAnsi="Times New Roman" w:cs="Times New Roman"/>
          <w:color w:val="000000" w:themeColor="text1"/>
          <w:sz w:val="24"/>
          <w:szCs w:val="24"/>
          <w14:textFill>
            <w14:solidFill>
              <w14:schemeClr w14:val="tx1"/>
            </w14:solidFill>
          </w14:textFill>
        </w:rPr>
        <w:t>《中国环境天然放射性水平》中全国城市空气中氡平均浓度变化范围值（3.3～40.6 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，项目厂界西侧、南侧氡浓度</w:t>
      </w:r>
      <w:r>
        <w:rPr>
          <w:rFonts w:hint="eastAsia" w:ascii="Times New Roman" w:hAnsi="Times New Roman" w:cs="Times New Roman"/>
          <w:color w:val="000000" w:themeColor="text1"/>
          <w:sz w:val="24"/>
          <w:szCs w:val="24"/>
          <w:lang w:eastAsia="zh-CN"/>
          <w14:textFill>
            <w14:solidFill>
              <w14:schemeClr w14:val="tx1"/>
            </w14:solidFill>
          </w14:textFill>
        </w:rPr>
        <w:t>高于</w:t>
      </w:r>
      <w:r>
        <w:rPr>
          <w:rFonts w:ascii="Times New Roman" w:hAnsi="Times New Roman" w:cs="Times New Roman"/>
          <w:color w:val="000000" w:themeColor="text1"/>
          <w:sz w:val="24"/>
          <w:szCs w:val="24"/>
          <w14:textFill>
            <w14:solidFill>
              <w14:schemeClr w14:val="tx1"/>
            </w14:solidFill>
          </w14:textFill>
        </w:rPr>
        <w:t>全国城市空气中氡平均浓度</w:t>
      </w:r>
      <w:r>
        <w:rPr>
          <w:rFonts w:hint="eastAsia" w:ascii="Times New Roman" w:hAnsi="Times New Roman" w:cs="Times New Roman"/>
          <w:color w:val="000000" w:themeColor="text1"/>
          <w:sz w:val="24"/>
          <w:szCs w:val="24"/>
          <w14:textFill>
            <w14:solidFill>
              <w14:schemeClr w14:val="tx1"/>
            </w14:solidFill>
          </w14:textFill>
        </w:rPr>
        <w:t>，目前项目尚未建设投运，西面、南面出现氡浓度水平较高的情况</w:t>
      </w:r>
      <w:r>
        <w:rPr>
          <w:rFonts w:hint="eastAsia" w:ascii="Times New Roman" w:hAnsi="Times New Roman"/>
          <w:color w:val="000000" w:themeColor="text1"/>
          <w:sz w:val="24"/>
          <w:szCs w:val="24"/>
          <w:u w:val="single"/>
          <w14:textFill>
            <w14:solidFill>
              <w14:schemeClr w14:val="tx1"/>
            </w14:solidFill>
          </w14:textFill>
        </w:rPr>
        <w:t>可能是受填海区域吹填土土质背景值的影响</w:t>
      </w:r>
      <w:r>
        <w:rPr>
          <w:rFonts w:ascii="Times New Roman" w:hAnsi="Times New Roman" w:cs="Times New Roman"/>
          <w:color w:val="000000" w:themeColor="text1"/>
          <w:sz w:val="24"/>
          <w:szCs w:val="24"/>
          <w:u w:val="single"/>
          <w14:textFill>
            <w14:solidFill>
              <w14:schemeClr w14:val="tx1"/>
            </w14:solidFill>
          </w14:textFill>
        </w:rPr>
        <w:t>。</w:t>
      </w:r>
    </w:p>
    <w:p w14:paraId="55ED29E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气溶胶监测结果</w:t>
      </w:r>
    </w:p>
    <w:p w14:paraId="066E0340">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项目建设场所周围环境地气溶胶结果见表3.1-</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w:t>
      </w:r>
    </w:p>
    <w:p w14:paraId="130DBDF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表3.1-</w:t>
      </w:r>
      <w:r>
        <w:rPr>
          <w:rFonts w:hint="eastAsia" w:ascii="Times New Roman" w:hAnsi="Times New Roman" w:eastAsia="宋体" w:cs="Times New Roman"/>
          <w:b/>
          <w:bCs/>
          <w:color w:val="000000" w:themeColor="text1"/>
          <w:spacing w:val="-2"/>
          <w:sz w:val="24"/>
          <w:szCs w:val="20"/>
          <w14:textFill>
            <w14:solidFill>
              <w14:schemeClr w14:val="tx1"/>
            </w14:solidFill>
          </w14:textFill>
        </w:rPr>
        <w:t>5</w:t>
      </w:r>
      <w:r>
        <w:rPr>
          <w:rFonts w:ascii="Times New Roman" w:hAnsi="Times New Roman" w:eastAsia="宋体" w:cs="Times New Roman"/>
          <w:b/>
          <w:bCs/>
          <w:color w:val="000000" w:themeColor="text1"/>
          <w:spacing w:val="-2"/>
          <w:sz w:val="24"/>
          <w:szCs w:val="20"/>
          <w14:textFill>
            <w14:solidFill>
              <w14:schemeClr w14:val="tx1"/>
            </w14:solidFill>
          </w14:textFill>
        </w:rPr>
        <w:t xml:space="preserve"> 项目建设场所周围环境地气溶胶结果</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2083"/>
        <w:gridCol w:w="1392"/>
        <w:gridCol w:w="1392"/>
        <w:gridCol w:w="1392"/>
        <w:gridCol w:w="1392"/>
      </w:tblGrid>
      <w:tr w14:paraId="15979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vMerge w:val="restart"/>
            <w:shd w:val="clear" w:color="auto" w:fill="auto"/>
            <w:vAlign w:val="center"/>
          </w:tcPr>
          <w:p w14:paraId="113C6CF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w:t>
            </w:r>
          </w:p>
        </w:tc>
        <w:tc>
          <w:tcPr>
            <w:tcW w:w="1222" w:type="pct"/>
            <w:vMerge w:val="restart"/>
            <w:shd w:val="clear" w:color="auto" w:fill="auto"/>
            <w:vAlign w:val="center"/>
          </w:tcPr>
          <w:p w14:paraId="562E06B7">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点位描述</w:t>
            </w:r>
          </w:p>
        </w:tc>
        <w:tc>
          <w:tcPr>
            <w:tcW w:w="3267" w:type="pct"/>
            <w:gridSpan w:val="4"/>
            <w:shd w:val="clear" w:color="auto" w:fill="auto"/>
            <w:vAlign w:val="center"/>
          </w:tcPr>
          <w:p w14:paraId="3EC48E65">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放射性核素含量（mBq/m</w:t>
            </w:r>
            <w:r>
              <w:rPr>
                <w:rFonts w:ascii="Times New Roman" w:hAnsi="Times New Roman" w:eastAsia="宋体" w:cs="Times New Roman"/>
                <w:b/>
                <w:bCs/>
                <w:color w:val="000000" w:themeColor="text1"/>
                <w:vertAlign w:val="superscript"/>
                <w14:textFill>
                  <w14:solidFill>
                    <w14:schemeClr w14:val="tx1"/>
                  </w14:solidFill>
                </w14:textFill>
              </w:rPr>
              <w:t>3</w:t>
            </w:r>
            <w:r>
              <w:rPr>
                <w:rFonts w:ascii="Times New Roman" w:hAnsi="Times New Roman" w:eastAsia="宋体" w:cs="Times New Roman"/>
                <w:b/>
                <w:bCs/>
                <w:color w:val="000000" w:themeColor="text1"/>
                <w14:textFill>
                  <w14:solidFill>
                    <w14:schemeClr w14:val="tx1"/>
                  </w14:solidFill>
                </w14:textFill>
              </w:rPr>
              <w:t>）</w:t>
            </w:r>
          </w:p>
        </w:tc>
      </w:tr>
      <w:tr w14:paraId="26877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vMerge w:val="continue"/>
            <w:shd w:val="clear" w:color="auto" w:fill="auto"/>
            <w:vAlign w:val="center"/>
          </w:tcPr>
          <w:p w14:paraId="72DA5D34">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1222" w:type="pct"/>
            <w:vMerge w:val="continue"/>
            <w:shd w:val="clear" w:color="auto" w:fill="auto"/>
            <w:vAlign w:val="center"/>
          </w:tcPr>
          <w:p w14:paraId="3E3697C4">
            <w:pPr>
              <w:spacing w:after="0" w:line="240" w:lineRule="auto"/>
              <w:rPr>
                <w:rFonts w:ascii="Times New Roman" w:hAnsi="Times New Roman" w:eastAsia="宋体" w:cs="Times New Roman"/>
                <w:b/>
                <w:bCs/>
                <w:color w:val="000000" w:themeColor="text1"/>
                <w14:textFill>
                  <w14:solidFill>
                    <w14:schemeClr w14:val="tx1"/>
                  </w14:solidFill>
                </w14:textFill>
              </w:rPr>
            </w:pPr>
          </w:p>
        </w:tc>
        <w:tc>
          <w:tcPr>
            <w:tcW w:w="817" w:type="pct"/>
            <w:shd w:val="clear" w:color="auto" w:fill="auto"/>
            <w:noWrap/>
            <w:vAlign w:val="center"/>
          </w:tcPr>
          <w:p w14:paraId="4F69080E">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总α</w:t>
            </w:r>
          </w:p>
        </w:tc>
        <w:tc>
          <w:tcPr>
            <w:tcW w:w="817" w:type="pct"/>
            <w:shd w:val="clear" w:color="auto" w:fill="auto"/>
            <w:noWrap/>
            <w:vAlign w:val="center"/>
          </w:tcPr>
          <w:p w14:paraId="0B66D05D">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14:textFill>
                  <w14:solidFill>
                    <w14:schemeClr w14:val="tx1"/>
                  </w14:solidFill>
                </w14:textFill>
              </w:rPr>
              <w:t>总β</w:t>
            </w:r>
          </w:p>
        </w:tc>
        <w:tc>
          <w:tcPr>
            <w:tcW w:w="817" w:type="pct"/>
            <w:shd w:val="clear" w:color="auto" w:fill="auto"/>
            <w:noWrap/>
            <w:vAlign w:val="center"/>
          </w:tcPr>
          <w:p w14:paraId="02543A02">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210</w:t>
            </w:r>
            <w:r>
              <w:rPr>
                <w:rFonts w:ascii="Times New Roman" w:hAnsi="Times New Roman" w:eastAsia="宋体" w:cs="Times New Roman"/>
                <w:b/>
                <w:bCs/>
                <w:color w:val="000000" w:themeColor="text1"/>
                <w14:textFill>
                  <w14:solidFill>
                    <w14:schemeClr w14:val="tx1"/>
                  </w14:solidFill>
                </w14:textFill>
              </w:rPr>
              <w:t>Po</w:t>
            </w:r>
          </w:p>
        </w:tc>
        <w:tc>
          <w:tcPr>
            <w:tcW w:w="817" w:type="pct"/>
            <w:shd w:val="clear" w:color="auto" w:fill="auto"/>
            <w:noWrap/>
            <w:vAlign w:val="center"/>
          </w:tcPr>
          <w:p w14:paraId="7442175F">
            <w:pPr>
              <w:spacing w:after="0" w:line="240" w:lineRule="auto"/>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vertAlign w:val="superscript"/>
                <w14:textFill>
                  <w14:solidFill>
                    <w14:schemeClr w14:val="tx1"/>
                  </w14:solidFill>
                </w14:textFill>
              </w:rPr>
              <w:t>210</w:t>
            </w:r>
            <w:r>
              <w:rPr>
                <w:rFonts w:ascii="Times New Roman" w:hAnsi="Times New Roman" w:eastAsia="宋体" w:cs="Times New Roman"/>
                <w:b/>
                <w:bCs/>
                <w:color w:val="000000" w:themeColor="text1"/>
                <w14:textFill>
                  <w14:solidFill>
                    <w14:schemeClr w14:val="tx1"/>
                  </w14:solidFill>
                </w14:textFill>
              </w:rPr>
              <w:t>Pb</w:t>
            </w:r>
          </w:p>
        </w:tc>
      </w:tr>
      <w:tr w14:paraId="15F47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1" w:type="pct"/>
            <w:shd w:val="clear" w:color="auto" w:fill="auto"/>
            <w:vAlign w:val="center"/>
          </w:tcPr>
          <w:p w14:paraId="36EBDD2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1222" w:type="pct"/>
            <w:shd w:val="clear" w:color="auto" w:fill="auto"/>
            <w:vAlign w:val="center"/>
          </w:tcPr>
          <w:p w14:paraId="11904CE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厂区北侧</w:t>
            </w:r>
          </w:p>
        </w:tc>
        <w:tc>
          <w:tcPr>
            <w:tcW w:w="817" w:type="pct"/>
            <w:shd w:val="clear" w:color="auto" w:fill="auto"/>
            <w:vAlign w:val="center"/>
          </w:tcPr>
          <w:p w14:paraId="67E3200B">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0F5135F1">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398F2043">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817" w:type="pct"/>
            <w:shd w:val="clear" w:color="auto" w:fill="auto"/>
            <w:vAlign w:val="center"/>
          </w:tcPr>
          <w:p w14:paraId="42D58FA5">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r>
    </w:tbl>
    <w:p w14:paraId="5E76944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622AF87">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从表3.1-</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监测结果可知，气溶胶中的总α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Po和</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Pb的含量极低。</w:t>
      </w:r>
      <w:bookmarkEnd w:id="84"/>
      <w:bookmarkEnd w:id="87"/>
      <w:bookmarkEnd w:id="88"/>
      <w:bookmarkEnd w:id="89"/>
      <w:r>
        <w:rPr>
          <w:rFonts w:hint="eastAsia" w:ascii="Times New Roman" w:hAnsi="Times New Roman" w:cs="Times New Roman"/>
          <w:color w:val="000000" w:themeColor="text1"/>
          <w:sz w:val="24"/>
          <w:szCs w:val="24"/>
          <w14:textFill>
            <w14:solidFill>
              <w14:schemeClr w14:val="tx1"/>
            </w14:solidFill>
          </w14:textFill>
        </w:rPr>
        <w:t xml:space="preserve"> </w:t>
      </w:r>
    </w:p>
    <w:p w14:paraId="7BB471B5">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91" w:name="_Toc78822661"/>
      <w:bookmarkStart w:id="92" w:name="_Toc187653468"/>
      <w:r>
        <w:rPr>
          <w:rFonts w:ascii="Times New Roman" w:hAnsi="Times New Roman" w:eastAsia="黑体" w:cs="Times New Roman"/>
          <w:b/>
          <w:bCs/>
          <w:color w:val="000000" w:themeColor="text1"/>
          <w:kern w:val="2"/>
          <w:sz w:val="28"/>
          <w:szCs w:val="32"/>
          <w14:textFill>
            <w14:solidFill>
              <w14:schemeClr w14:val="tx1"/>
            </w14:solidFill>
          </w14:textFill>
        </w:rPr>
        <w:t>辐射环境质量现状分析</w:t>
      </w:r>
      <w:bookmarkEnd w:id="91"/>
      <w:bookmarkEnd w:id="92"/>
    </w:p>
    <w:p w14:paraId="547B1846">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bookmarkStart w:id="93" w:name="_Hlk37327514"/>
      <w:bookmarkStart w:id="94" w:name="_Hlk42156137"/>
      <w:r>
        <w:rPr>
          <w:rFonts w:ascii="Times New Roman" w:hAnsi="Times New Roman" w:cs="Times New Roman"/>
          <w:color w:val="000000" w:themeColor="text1"/>
          <w:sz w:val="24"/>
          <w:szCs w:val="24"/>
          <w14:textFill>
            <w14:solidFill>
              <w14:schemeClr w14:val="tx1"/>
            </w14:solidFill>
          </w14:textFill>
        </w:rPr>
        <w:t>现场监测及采集样品分析结果表明，拟建厂址及周围辐射环境质量状况未见异常。</w:t>
      </w:r>
    </w:p>
    <w:p w14:paraId="115F287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项目周边环境中γ辐射剂量率与</w:t>
      </w:r>
      <w:r>
        <w:rPr>
          <w:rFonts w:hint="eastAsia" w:ascii="Times New Roman" w:hAnsi="Times New Roman" w:cs="Times New Roman"/>
          <w:color w:val="000000" w:themeColor="text1"/>
          <w:sz w:val="24"/>
          <w:szCs w:val="24"/>
          <w:lang w:eastAsia="zh-CN"/>
          <w14:textFill>
            <w14:solidFill>
              <w14:schemeClr w14:val="tx1"/>
            </w14:solidFill>
          </w14:textFill>
        </w:rPr>
        <w:t>广西壮族自治区</w:t>
      </w:r>
      <w:r>
        <w:rPr>
          <w:rFonts w:ascii="Times New Roman" w:hAnsi="Times New Roman" w:cs="Times New Roman"/>
          <w:color w:val="000000" w:themeColor="text1"/>
          <w:sz w:val="24"/>
          <w:szCs w:val="24"/>
          <w14:textFill>
            <w14:solidFill>
              <w14:schemeClr w14:val="tx1"/>
            </w14:solidFill>
          </w14:textFill>
        </w:rPr>
        <w:t>钦州地区γ辐射剂量率处于同一水平。</w:t>
      </w:r>
    </w:p>
    <w:bookmarkEnd w:id="93"/>
    <w:p w14:paraId="0A9F704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项目</w:t>
      </w:r>
      <w:r>
        <w:rPr>
          <w:rFonts w:hint="eastAsia" w:ascii="Times New Roman" w:hAnsi="Times New Roman" w:cs="Times New Roman"/>
          <w:color w:val="000000" w:themeColor="text1"/>
          <w:sz w:val="24"/>
          <w:szCs w:val="24"/>
          <w14:textFill>
            <w14:solidFill>
              <w14:schemeClr w14:val="tx1"/>
            </w14:solidFill>
          </w14:textFill>
        </w:rPr>
        <w:t>西面、南面</w:t>
      </w:r>
      <w:r>
        <w:rPr>
          <w:rFonts w:ascii="Times New Roman" w:hAnsi="Times New Roman" w:cs="Times New Roman"/>
          <w:color w:val="000000" w:themeColor="text1"/>
          <w:sz w:val="24"/>
          <w:szCs w:val="24"/>
          <w14:textFill>
            <w14:solidFill>
              <w14:schemeClr w14:val="tx1"/>
            </w14:solidFill>
          </w14:textFill>
        </w:rPr>
        <w:t>空气中</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w:t>
      </w:r>
      <w:r>
        <w:rPr>
          <w:rFonts w:hint="eastAsia" w:ascii="Times New Roman" w:hAnsi="Times New Roman" w:cs="Times New Roman"/>
          <w:color w:val="000000" w:themeColor="text1"/>
          <w:sz w:val="24"/>
          <w:szCs w:val="24"/>
          <w14:textFill>
            <w14:solidFill>
              <w14:schemeClr w14:val="tx1"/>
            </w14:solidFill>
          </w14:textFill>
        </w:rPr>
        <w:t>出现高于</w:t>
      </w:r>
      <w:r>
        <w:rPr>
          <w:rFonts w:ascii="Times New Roman" w:hAnsi="Times New Roman" w:cs="Times New Roman"/>
          <w:color w:val="000000" w:themeColor="text1"/>
          <w:sz w:val="24"/>
          <w:szCs w:val="24"/>
          <w14:textFill>
            <w14:solidFill>
              <w14:schemeClr w14:val="tx1"/>
            </w14:solidFill>
          </w14:textFill>
        </w:rPr>
        <w:t>《中国环境天然放射性水平》中全国城市空气中氡平均浓度</w:t>
      </w:r>
      <w:r>
        <w:rPr>
          <w:rFonts w:hint="eastAsia" w:ascii="Times New Roman" w:hAnsi="Times New Roman" w:cs="Times New Roman"/>
          <w:color w:val="000000" w:themeColor="text1"/>
          <w:sz w:val="24"/>
          <w:szCs w:val="24"/>
          <w14:textFill>
            <w14:solidFill>
              <w14:schemeClr w14:val="tx1"/>
            </w14:solidFill>
          </w14:textFill>
        </w:rPr>
        <w:t>的情况，可能是受广西钦州保税区创大冷链物流公司3号仓库南部区域生产影响</w:t>
      </w:r>
      <w:r>
        <w:rPr>
          <w:rFonts w:ascii="Times New Roman" w:hAnsi="Times New Roman" w:cs="Times New Roman"/>
          <w:color w:val="000000" w:themeColor="text1"/>
          <w:sz w:val="24"/>
          <w:szCs w:val="24"/>
          <w14:textFill>
            <w14:solidFill>
              <w14:schemeClr w14:val="tx1"/>
            </w14:solidFill>
          </w14:textFill>
        </w:rPr>
        <w:t>。</w:t>
      </w:r>
    </w:p>
    <w:p w14:paraId="21A37651">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气溶胶中核素总α</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总β</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Po和</w:t>
      </w:r>
      <w:r>
        <w:rPr>
          <w:rFonts w:ascii="Times New Roman" w:hAnsi="Times New Roman" w:cs="Times New Roman"/>
          <w:color w:val="000000" w:themeColor="text1"/>
          <w:sz w:val="24"/>
          <w:szCs w:val="24"/>
          <w:vertAlign w:val="superscript"/>
          <w14:textFill>
            <w14:solidFill>
              <w14:schemeClr w14:val="tx1"/>
            </w14:solidFill>
          </w14:textFill>
        </w:rPr>
        <w:t>210</w:t>
      </w:r>
      <w:r>
        <w:rPr>
          <w:rFonts w:ascii="Times New Roman" w:hAnsi="Times New Roman" w:cs="Times New Roman"/>
          <w:color w:val="000000" w:themeColor="text1"/>
          <w:sz w:val="24"/>
          <w:szCs w:val="24"/>
          <w14:textFill>
            <w14:solidFill>
              <w14:schemeClr w14:val="tx1"/>
            </w14:solidFill>
          </w14:textFill>
        </w:rPr>
        <w:t>Pb的含量较低。</w:t>
      </w:r>
    </w:p>
    <w:bookmarkEnd w:id="94"/>
    <w:p w14:paraId="1098C9E2">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5085AF3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6268836D">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95" w:name="_Toc78822662"/>
    </w:p>
    <w:p w14:paraId="23CD211B">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96" w:name="_Toc187653469"/>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辐射环境影响分析</w:t>
      </w:r>
      <w:bookmarkEnd w:id="95"/>
      <w:bookmarkEnd w:id="96"/>
    </w:p>
    <w:p w14:paraId="0F7BDF3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97" w:name="_Toc187653470"/>
      <w:bookmarkStart w:id="98" w:name="_Toc78822663"/>
      <w:r>
        <w:rPr>
          <w:rFonts w:ascii="Times New Roman" w:hAnsi="Times New Roman" w:eastAsia="黑体" w:cs="Times New Roman"/>
          <w:b/>
          <w:bCs/>
          <w:color w:val="000000" w:themeColor="text1"/>
          <w:kern w:val="2"/>
          <w:sz w:val="28"/>
          <w:szCs w:val="32"/>
          <w14:textFill>
            <w14:solidFill>
              <w14:schemeClr w14:val="tx1"/>
            </w14:solidFill>
          </w14:textFill>
        </w:rPr>
        <w:t>厂址特征参数</w:t>
      </w:r>
      <w:bookmarkEnd w:id="97"/>
      <w:bookmarkEnd w:id="98"/>
    </w:p>
    <w:p w14:paraId="1E2E91E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99" w:name="_Toc78822664"/>
      <w:r>
        <w:rPr>
          <w:rFonts w:ascii="Times New Roman" w:hAnsi="Times New Roman" w:eastAsia="黑体" w:cs="Times New Roman"/>
          <w:b/>
          <w:bCs/>
          <w:caps w:val="0"/>
          <w:color w:val="000000" w:themeColor="text1"/>
          <w:kern w:val="2"/>
          <w:sz w:val="24"/>
          <w:szCs w:val="32"/>
          <w14:textFill>
            <w14:solidFill>
              <w14:schemeClr w14:val="tx1"/>
            </w14:solidFill>
          </w14:textFill>
        </w:rPr>
        <w:t>气象</w:t>
      </w:r>
      <w:bookmarkEnd w:id="99"/>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与气候</w:t>
      </w:r>
    </w:p>
    <w:p w14:paraId="7BA1083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钦州湾属南亚亚热带海洋性季风气候。钦州湾的天气特点是：春季天气多变，多阴雨和强对流天气，偶有春旱；夏季高温多雨，多台风、雷暴；秋季多晴天、少雨，秋旱时有发生；冬季少旱少雨，气温较低。</w:t>
      </w:r>
    </w:p>
    <w:p w14:paraId="6BC5EF8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（1）气温</w:t>
      </w:r>
    </w:p>
    <w:p w14:paraId="23826F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根据钦</w:t>
      </w:r>
      <w:r>
        <w:rPr>
          <w:rFonts w:ascii="Times New Roman" w:hAnsi="Times New Roman" w:eastAsia="宋体" w:cs="Times New Roman"/>
          <w:color w:val="000000" w:themeColor="text1"/>
          <w:spacing w:val="-2"/>
          <w:sz w:val="24"/>
          <w:szCs w:val="20"/>
          <w14:textFill>
            <w14:solidFill>
              <w14:schemeClr w14:val="tx1"/>
            </w14:solidFill>
          </w14:textFill>
        </w:rPr>
        <w:t>州气象站的统计资料（2001年至2020年），钦州气象站累年月平均气温7月气温最高（28.84℃），1月气温最低（14.07℃）。累年极端最高气温为36.8℃，极值出现在2005年7月19日（37.9℃），累年极端最低气温为5.0℃，极值出现在2016年1月24日（1.6℃）。近20年气温无明显变化趋势，2015年年平均气温最高（23.80℃），2011年年平均气温最低（22.20℃），周期为5年。</w:t>
      </w:r>
    </w:p>
    <w:p w14:paraId="5DF86AC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（2）降水</w:t>
      </w:r>
    </w:p>
    <w:p w14:paraId="1E26370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本项目所在的区域雨量充沛，多年平均降水量为2057.7 mm，平均降水日数在169.8 d至135.5 d。降水量的季节变化很大，全年降水量多集中在4～10月份，约占全年雨量的90%，雨量高峰期相对集中在6～8月，这三个月的雨量占全年雨量的57%。据多年钦州市气象站降水资料统计可知，历史年最大降水量为2807.7 mm（1970年），月最大降雨量为848.7mm，一日最大降雨量为313mm（出现在1985年8月28日），一小时降水量最大达99.6mm（1962年6月7日）。年最小降水量为1255.2mm（1977年）。犀牛脚最大年降雨量为2824.7mm（1987年），最少年降雨量为1232.6 mm（1962年）。</w:t>
      </w:r>
    </w:p>
    <w:p w14:paraId="3B18F6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（3）风况</w:t>
      </w:r>
    </w:p>
    <w:p w14:paraId="47C3131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常年盛行风以N为主，S风次之。风向随季节变化明显，9月至次年4月多偏北风，以11月、12月最多；5月至7月多偏南风，以6月、7月最多。常风向为N，频率为22%，强风向为S，频率为13%。夏秋两季（6月至11月）受台风影响，年平均2.4次，最多年份为4次。台风一般由南海进入北部湾，因受到海南岛和雷州半岛的阻挡，风力一般减弱至5-6级，平均每年大于8级的大风日数为12天。多年平均风速2.2m/s，极大风速24.6m/s。</w:t>
      </w:r>
      <w:r>
        <w:rPr>
          <w:rFonts w:ascii="Times New Roman" w:hAnsi="Times New Roman" w:eastAsia="宋体" w:cs="Times New Roman"/>
          <w:color w:val="000000" w:themeColor="text1"/>
          <w:spacing w:val="-2"/>
          <w:sz w:val="24"/>
          <w:szCs w:val="20"/>
          <w14:textFill>
            <w14:solidFill>
              <w14:schemeClr w14:val="tx1"/>
            </w14:solidFill>
          </w14:textFill>
        </w:rPr>
        <w:t xml:space="preserve"> </w:t>
      </w:r>
    </w:p>
    <w:p w14:paraId="21BF2F0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（4）相对湿度</w:t>
      </w:r>
    </w:p>
    <w:p w14:paraId="3E7C97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的雾以锋面雾和平流雾为主，辐射雾次之。钦州湾的雾日与廉州湾相近，多年平均为13.4d，历年最多雾日达30d，最少为6d。一年中多雾日时段为12月至翌年3月，在此期间月平均雾日为2d至3d。一天中雾主要出现在傍晚至次日清晨。冬春季节，大雾常出现在冷空气南下之前。</w:t>
      </w:r>
    </w:p>
    <w:p w14:paraId="4CDA84C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区域相对湿度以春季3月和雨季6～8月为最大，10月到次年1月为相对湿度低值期。多年平均相对湿度为82%，历史最大相对湿度达100%，历史最小相对湿度为22%。</w:t>
      </w:r>
    </w:p>
    <w:p w14:paraId="76238B9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钦州湾历年平均年蒸发量：1502.9mm，极端最低年蒸发量：1260.5mm。</w:t>
      </w:r>
    </w:p>
    <w:p w14:paraId="4CAE475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0" w:name="_Toc78822665"/>
      <w:r>
        <w:rPr>
          <w:rFonts w:ascii="Times New Roman" w:hAnsi="Times New Roman" w:eastAsia="黑体" w:cs="Times New Roman"/>
          <w:b/>
          <w:bCs/>
          <w:caps w:val="0"/>
          <w:color w:val="000000" w:themeColor="text1"/>
          <w:kern w:val="2"/>
          <w:sz w:val="24"/>
          <w:szCs w:val="32"/>
          <w14:textFill>
            <w14:solidFill>
              <w14:schemeClr w14:val="tx1"/>
            </w14:solidFill>
          </w14:textFill>
        </w:rPr>
        <w:t>水文</w:t>
      </w:r>
      <w:bookmarkEnd w:id="100"/>
    </w:p>
    <w:p w14:paraId="54F4A73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（1）潮汐潮流</w:t>
      </w:r>
    </w:p>
    <w:p w14:paraId="48BF6FB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水域潮汐属不正规全日潮，潮流运动形式为往复流，流向基本与岸线和深槽走向一致，基本沿湾岸流动。涨潮流方向主要为270°～360°之间；落潮流方向在90°～180°之间。根据实测资料，落潮历时大于涨潮历时，夏季大潮落潮历时、涨潮历时分别为13h50min和11h11min，中潮分别为7h50min和6h28min，小潮分别为6h03min和6h07min。冬季大潮分别为14h01min和10h50min，中潮分别为15h09min和9h36min，小潮分别为6h02min和6h20min。多年平均涨潮历时10h29 min，多年平均落潮历时7h47 min。</w:t>
      </w:r>
    </w:p>
    <w:p w14:paraId="732DF36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落潮平均流速大于涨潮平均流速，其平均比值为1.3。平均流速，自北向南水流强度逐渐减弱。钦州湾内涨潮平均流速为0.08～0.28m/s；落潮平均流速为0.09～0.55m/s。实测最大涨潮流流速83cm/s，流向339；实测最大落潮流速为140cm/s，流向为152，均出现在青菜头附近。</w:t>
      </w:r>
    </w:p>
    <w:p w14:paraId="44DED5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涨潮流速，呈现从表层至底层逐渐减小的趋势，落潮流速呈现中间最大，表层次之，底层最小的分布趋势，流速垂向的梯度，涨潮大于落潮。</w:t>
      </w:r>
    </w:p>
    <w:p w14:paraId="339EA8D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（2）波浪</w:t>
      </w:r>
    </w:p>
    <w:p w14:paraId="68BFDDE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北部湾海域是一个半封闭海域，西临中南半岛，北面为广西大陆，东、南面分别受雷州半岛和海南掩护，海域掩护条件较好，波动能力相对较弱。根据广西水文局钦州分局设在三娘湾的波浪站（108°46′E，20°36′N）1991年～2002年海浪观测资料，本海区波浪以风浪为主，常浪向为SSW向、频率占17.67%，其次是NNE向、频率为17.2%；强浪向为SSW向，次强浪向为S向和NE向；本海区实测最大波高为3.4m，波向为ESE向；实测最大周期为6.8s。据统计，本区波级小于0.5m的发生频率为66.37%，波高小于1.0m发生频率为96.21%，大于1.5m波高出现频率仅为1.1%。</w:t>
      </w:r>
    </w:p>
    <w:p w14:paraId="23B1B22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（3）泥沙</w:t>
      </w:r>
    </w:p>
    <w:p w14:paraId="730D437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钦州湾悬沙来源于陆相来沙和海相来沙。</w:t>
      </w:r>
    </w:p>
    <w:p w14:paraId="5EE1DA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陆相来沙数量取决于注入钦州湾的茅岭江和钦江径流输沙量。入湾江河来沙量表现出明显的季节性变化，夏季大冬季小：以注入茅尾海的钦江为例，夏季输沙年均30.14万吨，冬季输沙年均仅为0.52万吨。茅尾海实际上为以钦江、茅岭江为主要入湾径流的共同河口海滨区，入</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湾</w:t>
      </w:r>
      <w:r>
        <w:rPr>
          <w:rFonts w:hint="eastAsia" w:ascii="Times New Roman" w:hAnsi="Times New Roman" w:eastAsia="宋体" w:cs="Times New Roman"/>
          <w:color w:val="000000" w:themeColor="text1"/>
          <w:spacing w:val="-2"/>
          <w:sz w:val="24"/>
          <w:szCs w:val="20"/>
          <w14:textFill>
            <w14:solidFill>
              <w14:schemeClr w14:val="tx1"/>
            </w14:solidFill>
          </w14:textFill>
        </w:rPr>
        <w:t>径流受到潮汐通道的海水顶托并与之混合，所携悬沙大部分沉积在内湾，而不易向外湾及湾外海区扩散。</w:t>
      </w:r>
    </w:p>
    <w:p w14:paraId="1997FCC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浅海区域的泥沙以海相来沙为主。夏季盛行偏南风（向岸），波浪掀沙作用在浅海区域较为强烈，在风浪及潮流的共同作用下，形成含沙量较高的水体并使泥沙不断向近岸输移。冬季盛行偏北风（离岸），波浪掀沙作用较弱，水体含沙量明显小于夏季，其值相差一个量级。此外，以潮流脊（槽）体系为主的水下浅滩和近岸浅滩，其床面物质中的细颗粒成份在（风）浪、潮作用下，亦可被掀动并随潮流迁移。</w:t>
      </w:r>
    </w:p>
    <w:p w14:paraId="76C939DA">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在上述风浪、潮流和径流的动力背景下，钦州湾的水体悬移质含量在时空分布上有明显的特点。夏季，径流携沙量大，自茅尾海中部至潮汐通道汇合口，水体含沙量略减（由涨潮时0.090g/L、落潮时0.114g/L，减为涨潮时0.055g/L、落潮时0.078g/L）。据海岸带调查资料，最大含沙量由潮汐通道至外湾近湾顶处几乎不变甚至稍有增大（涨潮时0.058g/L、落潮时0.075g/L）；自外湾湾顶向外（以西水道附近为例）至5m水深处，含沙量又有所增加（底层涨潮时0.065g/L、落潮时0.095g/L）；再向海含沙量又下降且涨潮时比落潮时含沙量大（15m水深处，底层涨潮时0.056g/L、落潮时0.042g/L）。冬季，径流携沙量少，自茅尾海上部至潮汐通道汇合口，水流束窄，水体含沙量略增（由涨潮时0.0070g/L、落潮时0.013g/L，增为涨潮时0.0112g/L、落潮时0.0138g/L），含沙量自潮汐通道向外湾近湾顶处锐减，且涨、落潮含沙量接近（涨潮时0.0013g/L、落潮时0.0016g/L）；自外湾湾顶向外（以西水道附近为例）至5m水深处，含沙量有较大增幅（底层涨潮时0.0023g/L、落潮时0.0080g/L）；再向海含沙量又下降（15m水深处，底层涨潮时0.0009g/L、落潮时0.0044g/L）。</w:t>
      </w:r>
    </w:p>
    <w:p w14:paraId="20BD5F0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（4）地表水</w:t>
      </w:r>
    </w:p>
    <w:p w14:paraId="1BF43D2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钦州境内河流众多，计有大小独流入海河流32条，河流总长2794 km，河网密度为0.6 km/km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。流域面积在1800km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以上的河流主要有钦江、茅岭江和大风江，均属桂南沿海独流入海水系。三条江在市境内干流总长307.4 km，市内流域面积4164km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w:t>
      </w:r>
      <w:r>
        <w:rPr>
          <w:rFonts w:hint="eastAsia" w:ascii="Times New Roman" w:hAnsi="Times New Roman" w:eastAsia="宋体" w:cs="Times New Roman"/>
          <w:color w:val="000000" w:themeColor="text1"/>
          <w:spacing w:val="-2"/>
          <w:sz w:val="24"/>
          <w:szCs w:val="20"/>
          <w14:textFill>
            <w14:solidFill>
              <w14:schemeClr w14:val="tx1"/>
            </w14:solidFill>
          </w14:textFill>
        </w:rPr>
        <w:t>，年总径流量64.8亿m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/年。</w:t>
      </w:r>
    </w:p>
    <w:p w14:paraId="03D9F8C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流入钦州湾的河流有钦江、茅岭江、金鼓江、鹿耳环江等。其中，钦江和茅岭江为流入钦州湾的主要河流，且为常年河流，它们分别从东北、西北向汇入钦州湾海域，对钦州湾及其邻近水域的泥沙来源、航道、污染和水文环境等都有重要的影响。金鼓江、鹿耳环江为海岔，其水文状况受海洋潮汐影响极大。项目位于大榄坪海岛内，大榄坪海岛属波状丘陵地貌区，四周均为地表水体环绕，鹿耳环江和金鼓江分别位于东西两侧，项目评价区东面800m为鹿耳环江，鹿耳环江流入钦州湾海域。鹿耳环江属感潮河段，河水明显受钦州湾潮汐影响。</w:t>
      </w:r>
    </w:p>
    <w:p w14:paraId="5C2A93D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（5）地下水</w:t>
      </w:r>
    </w:p>
    <w:p w14:paraId="68763788">
      <w:pPr>
        <w:widowControl w:val="0"/>
        <w:spacing w:after="0" w:line="360" w:lineRule="auto"/>
        <w:ind w:firstLine="472" w:firstLineChars="200"/>
        <w:jc w:val="both"/>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所在地的广西钦州保税港区用地原为海域，现状地形是经人工吹填砂形成，水文地质条件受吹填施工过程的影响较大，水文地质发展规律与自然地貌形成规律相关性很低，填海区亦无水文地质历史资料。区域的水文地质概况参考目前与填海成陆区相接壤的区域的水文地质资料，根据区域1/20万钦州幅水文地图分析，钦州市地下水类型主要为松散岩类孔隙水、碎屑岩类裂隙孔隙水、泥质粉砂岩类构造裂隙水和基岩裂隙水等四大类型。区域地下水主要为碎屑岩类裂隙孔隙水，地下水补给主要是降雨的垂直补给和地表水侧向补给，其径流排泄总体上是由北向南。</w:t>
      </w:r>
    </w:p>
    <w:p w14:paraId="1A3D3E7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1" w:name="_Toc78822666"/>
      <w:r>
        <w:rPr>
          <w:rFonts w:ascii="Times New Roman" w:hAnsi="Times New Roman" w:eastAsia="黑体" w:cs="Times New Roman"/>
          <w:b/>
          <w:bCs/>
          <w:caps w:val="0"/>
          <w:color w:val="000000" w:themeColor="text1"/>
          <w:kern w:val="2"/>
          <w:sz w:val="24"/>
          <w:szCs w:val="32"/>
          <w14:textFill>
            <w14:solidFill>
              <w14:schemeClr w14:val="tx1"/>
            </w14:solidFill>
          </w14:textFill>
        </w:rPr>
        <w:t>人口和食谱</w:t>
      </w:r>
      <w:bookmarkEnd w:id="101"/>
    </w:p>
    <w:p w14:paraId="3A931255">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根据2019年</w:t>
      </w:r>
      <w:r>
        <w:rPr>
          <w:rFonts w:hint="eastAsia" w:ascii="Times New Roman" w:hAnsi="Times New Roman" w:cs="Times New Roman"/>
          <w:color w:val="000000" w:themeColor="text1"/>
          <w:spacing w:val="-2"/>
          <w:sz w:val="24"/>
          <w:szCs w:val="24"/>
          <w:lang w:eastAsia="zh-CN"/>
          <w14:textFill>
            <w14:solidFill>
              <w14:schemeClr w14:val="tx1"/>
            </w14:solidFill>
          </w14:textFill>
        </w:rPr>
        <w:t>广西壮族自治区</w:t>
      </w:r>
      <w:r>
        <w:rPr>
          <w:rFonts w:ascii="Times New Roman" w:hAnsi="Times New Roman" w:cs="Times New Roman"/>
          <w:color w:val="000000" w:themeColor="text1"/>
          <w:spacing w:val="-2"/>
          <w:sz w:val="24"/>
          <w:szCs w:val="24"/>
          <w14:textFill>
            <w14:solidFill>
              <w14:schemeClr w14:val="tx1"/>
            </w14:solidFill>
          </w14:textFill>
        </w:rPr>
        <w:t>统计局数据，区域内人口的年龄结构为：婴儿（≤1岁）2.0%，幼儿（1</w:t>
      </w:r>
      <w:r>
        <w:rPr>
          <w:rFonts w:hint="eastAsia" w:ascii="Times New Roman" w:hAnsi="Times New Roman" w:cs="Times New Roman"/>
          <w:color w:val="000000" w:themeColor="text1"/>
          <w:spacing w:val="-2"/>
          <w:sz w:val="24"/>
          <w:szCs w:val="24"/>
          <w14:textFill>
            <w14:solidFill>
              <w14:schemeClr w14:val="tx1"/>
            </w14:solidFill>
          </w14:textFill>
        </w:rPr>
        <w:t>～</w:t>
      </w:r>
      <w:r>
        <w:rPr>
          <w:rFonts w:ascii="Times New Roman" w:hAnsi="Times New Roman" w:cs="Times New Roman"/>
          <w:color w:val="000000" w:themeColor="text1"/>
          <w:spacing w:val="-2"/>
          <w:sz w:val="24"/>
          <w:szCs w:val="24"/>
          <w14:textFill>
            <w14:solidFill>
              <w14:schemeClr w14:val="tx1"/>
            </w14:solidFill>
          </w14:textFill>
        </w:rPr>
        <w:t>7岁）8.29%，少年（7</w:t>
      </w:r>
      <w:r>
        <w:rPr>
          <w:rFonts w:hint="eastAsia" w:ascii="Times New Roman" w:hAnsi="Times New Roman" w:cs="Times New Roman"/>
          <w:color w:val="000000" w:themeColor="text1"/>
          <w:spacing w:val="-2"/>
          <w:sz w:val="24"/>
          <w:szCs w:val="24"/>
          <w14:textFill>
            <w14:solidFill>
              <w14:schemeClr w14:val="tx1"/>
            </w14:solidFill>
          </w14:textFill>
        </w:rPr>
        <w:t>～</w:t>
      </w:r>
      <w:r>
        <w:rPr>
          <w:rFonts w:ascii="Times New Roman" w:hAnsi="Times New Roman" w:cs="Times New Roman"/>
          <w:color w:val="000000" w:themeColor="text1"/>
          <w:spacing w:val="-2"/>
          <w:sz w:val="24"/>
          <w:szCs w:val="24"/>
          <w14:textFill>
            <w14:solidFill>
              <w14:schemeClr w14:val="tx1"/>
            </w14:solidFill>
          </w14:textFill>
        </w:rPr>
        <w:t>17岁）14.46%，成人（&gt;18岁）75.25%。</w:t>
      </w:r>
    </w:p>
    <w:p w14:paraId="37332750">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本次评价选取以广西瑞腾贸易有限公司厂区中心为中心，半径1.0km的圆形区域作为评价区。从现场调查得出，本项目评价范围内主要为企业，其人口主要为企业职工，均为成年人，没有婴幼儿和儿童。</w:t>
      </w:r>
    </w:p>
    <w:p w14:paraId="4077F923">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r>
        <w:rPr>
          <w:rFonts w:ascii="Times New Roman" w:hAnsi="Times New Roman" w:cs="Times New Roman"/>
          <w:color w:val="000000" w:themeColor="text1"/>
          <w:spacing w:val="-2"/>
          <w:sz w:val="24"/>
          <w:szCs w:val="24"/>
          <w14:textFill>
            <w14:solidFill>
              <w14:schemeClr w14:val="tx1"/>
            </w14:solidFill>
          </w14:textFill>
        </w:rPr>
        <w:t>评价区域内居民主食以大米为主，副食有肉类、鸡蛋、鱼、海鲜及各种蔬菜等。根据环评单位对厂区周围居民点实地调查结果，参考《中国居民膳食指南》（2016年）等统计资料，确定评价区域内人群主要食谱及食物消费量见表4.1-1</w:t>
      </w:r>
      <w:r>
        <w:rPr>
          <w:rFonts w:hint="eastAsia" w:ascii="Times New Roman" w:hAnsi="Times New Roman" w:cs="Times New Roman"/>
          <w:color w:val="000000" w:themeColor="text1"/>
          <w:spacing w:val="-2"/>
          <w:sz w:val="24"/>
          <w:szCs w:val="24"/>
          <w14:textFill>
            <w14:solidFill>
              <w14:schemeClr w14:val="tx1"/>
            </w14:solidFill>
          </w14:textFill>
        </w:rPr>
        <w:t>，与动物产品有关的参数见表4.1-2</w:t>
      </w:r>
      <w:r>
        <w:rPr>
          <w:rFonts w:ascii="Times New Roman" w:hAnsi="Times New Roman" w:cs="Times New Roman"/>
          <w:color w:val="000000" w:themeColor="text1"/>
          <w:spacing w:val="-2"/>
          <w:sz w:val="24"/>
          <w:szCs w:val="24"/>
          <w14:textFill>
            <w14:solidFill>
              <w14:schemeClr w14:val="tx1"/>
            </w14:solidFill>
          </w14:textFill>
        </w:rPr>
        <w:t>。</w:t>
      </w:r>
    </w:p>
    <w:p w14:paraId="559D7BB8">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表4.1-1  各年龄组对食物的消费量及自给份额</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28"/>
        <w:gridCol w:w="1217"/>
        <w:gridCol w:w="772"/>
        <w:gridCol w:w="772"/>
        <w:gridCol w:w="772"/>
        <w:gridCol w:w="772"/>
        <w:gridCol w:w="772"/>
        <w:gridCol w:w="772"/>
        <w:gridCol w:w="772"/>
        <w:gridCol w:w="773"/>
      </w:tblGrid>
      <w:tr w14:paraId="24336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15A0310A">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食物种类</w:t>
            </w:r>
          </w:p>
        </w:tc>
        <w:tc>
          <w:tcPr>
            <w:tcW w:w="453" w:type="pct"/>
            <w:vAlign w:val="center"/>
          </w:tcPr>
          <w:p w14:paraId="3D861563">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谷物</w:t>
            </w:r>
          </w:p>
        </w:tc>
        <w:tc>
          <w:tcPr>
            <w:tcW w:w="453" w:type="pct"/>
            <w:vAlign w:val="center"/>
          </w:tcPr>
          <w:p w14:paraId="5BEF5F1D">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蔬菜</w:t>
            </w:r>
          </w:p>
        </w:tc>
        <w:tc>
          <w:tcPr>
            <w:tcW w:w="453" w:type="pct"/>
            <w:vAlign w:val="center"/>
          </w:tcPr>
          <w:p w14:paraId="0920C7CF">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水果</w:t>
            </w:r>
          </w:p>
        </w:tc>
        <w:tc>
          <w:tcPr>
            <w:tcW w:w="453" w:type="pct"/>
            <w:vAlign w:val="center"/>
          </w:tcPr>
          <w:p w14:paraId="499E15BB">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肉类</w:t>
            </w:r>
          </w:p>
        </w:tc>
        <w:tc>
          <w:tcPr>
            <w:tcW w:w="453" w:type="pct"/>
            <w:vAlign w:val="center"/>
          </w:tcPr>
          <w:p w14:paraId="50B4965A">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海鲜</w:t>
            </w:r>
          </w:p>
        </w:tc>
        <w:tc>
          <w:tcPr>
            <w:tcW w:w="453" w:type="pct"/>
            <w:vAlign w:val="center"/>
          </w:tcPr>
          <w:p w14:paraId="3AF8D85B">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家禽</w:t>
            </w:r>
          </w:p>
        </w:tc>
        <w:tc>
          <w:tcPr>
            <w:tcW w:w="453" w:type="pct"/>
            <w:vAlign w:val="center"/>
          </w:tcPr>
          <w:p w14:paraId="7790F6D8">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蛋</w:t>
            </w:r>
          </w:p>
        </w:tc>
        <w:tc>
          <w:tcPr>
            <w:tcW w:w="453" w:type="pct"/>
            <w:vAlign w:val="center"/>
          </w:tcPr>
          <w:p w14:paraId="0F5AA9DE">
            <w:pPr>
              <w:pStyle w:val="242"/>
              <w:rPr>
                <w:rFonts w:ascii="Times New Roman" w:hAnsi="Times New Roman" w:eastAsia="宋体" w:cs="Times New Roman"/>
                <w:b/>
                <w:color w:val="000000" w:themeColor="text1"/>
                <w:szCs w:val="21"/>
                <w:lang w:val="zh-CN"/>
                <w14:textFill>
                  <w14:solidFill>
                    <w14:schemeClr w14:val="tx1"/>
                  </w14:solidFill>
                </w14:textFill>
              </w:rPr>
            </w:pPr>
            <w:r>
              <w:rPr>
                <w:rFonts w:ascii="Times New Roman" w:hAnsi="Times New Roman" w:eastAsia="宋体" w:cs="Times New Roman"/>
                <w:b/>
                <w:color w:val="000000" w:themeColor="text1"/>
                <w:szCs w:val="21"/>
                <w:lang w:val="zh-CN"/>
                <w14:textFill>
                  <w14:solidFill>
                    <w14:schemeClr w14:val="tx1"/>
                  </w14:solidFill>
                </w14:textFill>
              </w:rPr>
              <w:t>奶</w:t>
            </w:r>
          </w:p>
        </w:tc>
      </w:tr>
      <w:tr w14:paraId="1BCB6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restart"/>
            <w:vAlign w:val="center"/>
          </w:tcPr>
          <w:p w14:paraId="62A7D95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消费量（kg/a）</w:t>
            </w:r>
          </w:p>
        </w:tc>
        <w:tc>
          <w:tcPr>
            <w:tcW w:w="714" w:type="pct"/>
            <w:vAlign w:val="center"/>
          </w:tcPr>
          <w:p w14:paraId="5C4AA81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幼儿</w:t>
            </w:r>
          </w:p>
        </w:tc>
        <w:tc>
          <w:tcPr>
            <w:tcW w:w="453" w:type="pct"/>
            <w:vAlign w:val="center"/>
          </w:tcPr>
          <w:p w14:paraId="371E618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60</w:t>
            </w:r>
          </w:p>
        </w:tc>
        <w:tc>
          <w:tcPr>
            <w:tcW w:w="453" w:type="pct"/>
            <w:vAlign w:val="center"/>
          </w:tcPr>
          <w:p w14:paraId="238F56B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55</w:t>
            </w:r>
          </w:p>
        </w:tc>
        <w:tc>
          <w:tcPr>
            <w:tcW w:w="453" w:type="pct"/>
            <w:vAlign w:val="center"/>
          </w:tcPr>
          <w:p w14:paraId="4CFECE4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15</w:t>
            </w:r>
          </w:p>
        </w:tc>
        <w:tc>
          <w:tcPr>
            <w:tcW w:w="453" w:type="pct"/>
            <w:vAlign w:val="center"/>
          </w:tcPr>
          <w:p w14:paraId="663C2FD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2E033D5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6</w:t>
            </w:r>
          </w:p>
        </w:tc>
        <w:tc>
          <w:tcPr>
            <w:tcW w:w="453" w:type="pct"/>
            <w:vAlign w:val="center"/>
          </w:tcPr>
          <w:p w14:paraId="4D55195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54B9ACD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10</w:t>
            </w:r>
          </w:p>
        </w:tc>
        <w:tc>
          <w:tcPr>
            <w:tcW w:w="453" w:type="pct"/>
            <w:vAlign w:val="center"/>
          </w:tcPr>
          <w:p w14:paraId="7228A19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r>
      <w:tr w14:paraId="6F306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6616093C">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766D267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少年</w:t>
            </w:r>
          </w:p>
        </w:tc>
        <w:tc>
          <w:tcPr>
            <w:tcW w:w="453" w:type="pct"/>
            <w:vAlign w:val="center"/>
          </w:tcPr>
          <w:p w14:paraId="5468F9F2">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150</w:t>
            </w:r>
          </w:p>
        </w:tc>
        <w:tc>
          <w:tcPr>
            <w:tcW w:w="453" w:type="pct"/>
            <w:vAlign w:val="center"/>
          </w:tcPr>
          <w:p w14:paraId="5A498F9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90</w:t>
            </w:r>
          </w:p>
        </w:tc>
        <w:tc>
          <w:tcPr>
            <w:tcW w:w="453" w:type="pct"/>
            <w:vAlign w:val="center"/>
          </w:tcPr>
          <w:p w14:paraId="53170D3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c>
          <w:tcPr>
            <w:tcW w:w="453" w:type="pct"/>
            <w:vAlign w:val="center"/>
          </w:tcPr>
          <w:p w14:paraId="3662E40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0AD1B8D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16</w:t>
            </w:r>
          </w:p>
        </w:tc>
        <w:tc>
          <w:tcPr>
            <w:tcW w:w="453" w:type="pct"/>
            <w:vAlign w:val="center"/>
          </w:tcPr>
          <w:p w14:paraId="2AAD6FC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5AA5939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1D1CA69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16</w:t>
            </w:r>
          </w:p>
        </w:tc>
      </w:tr>
      <w:tr w14:paraId="6A5A8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2EFE344C">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6929090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成人</w:t>
            </w:r>
          </w:p>
        </w:tc>
        <w:tc>
          <w:tcPr>
            <w:tcW w:w="453" w:type="pct"/>
            <w:vAlign w:val="center"/>
          </w:tcPr>
          <w:p w14:paraId="664BF49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0AF3DED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135</w:t>
            </w:r>
          </w:p>
        </w:tc>
        <w:tc>
          <w:tcPr>
            <w:tcW w:w="453" w:type="pct"/>
            <w:vAlign w:val="center"/>
          </w:tcPr>
          <w:p w14:paraId="48B798B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w:t>
            </w:r>
          </w:p>
        </w:tc>
        <w:tc>
          <w:tcPr>
            <w:tcW w:w="453" w:type="pct"/>
            <w:vAlign w:val="center"/>
          </w:tcPr>
          <w:p w14:paraId="466BA04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22</w:t>
            </w:r>
          </w:p>
        </w:tc>
        <w:tc>
          <w:tcPr>
            <w:tcW w:w="453" w:type="pct"/>
            <w:vAlign w:val="center"/>
          </w:tcPr>
          <w:p w14:paraId="29F12CF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20</w:t>
            </w:r>
          </w:p>
        </w:tc>
        <w:tc>
          <w:tcPr>
            <w:tcW w:w="453" w:type="pct"/>
            <w:vAlign w:val="center"/>
          </w:tcPr>
          <w:p w14:paraId="24570A20">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c>
          <w:tcPr>
            <w:tcW w:w="453" w:type="pct"/>
            <w:vAlign w:val="center"/>
          </w:tcPr>
          <w:p w14:paraId="3A2C33E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8</w:t>
            </w:r>
          </w:p>
        </w:tc>
        <w:tc>
          <w:tcPr>
            <w:tcW w:w="453" w:type="pct"/>
            <w:vAlign w:val="center"/>
          </w:tcPr>
          <w:p w14:paraId="4CD033A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w:t>
            </w:r>
          </w:p>
        </w:tc>
      </w:tr>
      <w:tr w14:paraId="0E8D4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2F26D40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自给份额</w:t>
            </w:r>
          </w:p>
        </w:tc>
        <w:tc>
          <w:tcPr>
            <w:tcW w:w="453" w:type="pct"/>
            <w:vAlign w:val="center"/>
          </w:tcPr>
          <w:p w14:paraId="7F9FF48A">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0.85</w:t>
            </w:r>
          </w:p>
        </w:tc>
        <w:tc>
          <w:tcPr>
            <w:tcW w:w="453" w:type="pct"/>
            <w:vAlign w:val="center"/>
          </w:tcPr>
          <w:p w14:paraId="36754B9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0.85</w:t>
            </w:r>
          </w:p>
        </w:tc>
        <w:tc>
          <w:tcPr>
            <w:tcW w:w="453" w:type="pct"/>
            <w:vAlign w:val="center"/>
          </w:tcPr>
          <w:p w14:paraId="4CE1CAA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0.7</w:t>
            </w:r>
          </w:p>
        </w:tc>
        <w:tc>
          <w:tcPr>
            <w:tcW w:w="453" w:type="pct"/>
            <w:vAlign w:val="center"/>
          </w:tcPr>
          <w:p w14:paraId="0D27561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c>
          <w:tcPr>
            <w:tcW w:w="453" w:type="pct"/>
            <w:vAlign w:val="center"/>
          </w:tcPr>
          <w:p w14:paraId="391F3EE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c>
          <w:tcPr>
            <w:tcW w:w="453" w:type="pct"/>
            <w:vAlign w:val="center"/>
          </w:tcPr>
          <w:p w14:paraId="7EBDB9E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0.9</w:t>
            </w:r>
          </w:p>
        </w:tc>
        <w:tc>
          <w:tcPr>
            <w:tcW w:w="453" w:type="pct"/>
            <w:vAlign w:val="center"/>
          </w:tcPr>
          <w:p w14:paraId="4F91A86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0.9</w:t>
            </w:r>
          </w:p>
        </w:tc>
        <w:tc>
          <w:tcPr>
            <w:tcW w:w="453" w:type="pct"/>
            <w:vAlign w:val="center"/>
          </w:tcPr>
          <w:p w14:paraId="21F6A7BA">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0.8</w:t>
            </w:r>
          </w:p>
        </w:tc>
      </w:tr>
      <w:tr w14:paraId="0B644D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restart"/>
            <w:vAlign w:val="center"/>
          </w:tcPr>
          <w:p w14:paraId="5DDF698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贮存时间（d）</w:t>
            </w:r>
          </w:p>
        </w:tc>
        <w:tc>
          <w:tcPr>
            <w:tcW w:w="714" w:type="pct"/>
            <w:vAlign w:val="center"/>
          </w:tcPr>
          <w:p w14:paraId="5EDFEBE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最大个人</w:t>
            </w:r>
          </w:p>
        </w:tc>
        <w:tc>
          <w:tcPr>
            <w:tcW w:w="453" w:type="pct"/>
            <w:vAlign w:val="center"/>
          </w:tcPr>
          <w:p w14:paraId="4F690B6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30</w:t>
            </w:r>
          </w:p>
        </w:tc>
        <w:tc>
          <w:tcPr>
            <w:tcW w:w="453" w:type="pct"/>
            <w:vAlign w:val="center"/>
          </w:tcPr>
          <w:p w14:paraId="0BE74124">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41BAC9E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35E1B71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2F3971A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49C8EE87">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3C737DF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c>
          <w:tcPr>
            <w:tcW w:w="453" w:type="pct"/>
            <w:vAlign w:val="center"/>
          </w:tcPr>
          <w:p w14:paraId="35B56805">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w:t>
            </w:r>
          </w:p>
        </w:tc>
      </w:tr>
      <w:tr w14:paraId="0E4D6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2" w:type="pct"/>
            <w:vMerge w:val="continue"/>
            <w:vAlign w:val="center"/>
          </w:tcPr>
          <w:p w14:paraId="21EF9F24">
            <w:pPr>
              <w:pStyle w:val="242"/>
              <w:rPr>
                <w:rFonts w:ascii="Times New Roman" w:hAnsi="Times New Roman" w:eastAsia="宋体" w:cs="Times New Roman"/>
                <w:color w:val="000000" w:themeColor="text1"/>
                <w:szCs w:val="21"/>
                <w:lang w:val="zh-CN"/>
                <w14:textFill>
                  <w14:solidFill>
                    <w14:schemeClr w14:val="tx1"/>
                  </w14:solidFill>
                </w14:textFill>
              </w:rPr>
            </w:pPr>
          </w:p>
        </w:tc>
        <w:tc>
          <w:tcPr>
            <w:tcW w:w="714" w:type="pct"/>
            <w:vAlign w:val="center"/>
          </w:tcPr>
          <w:p w14:paraId="00B8EBB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平均个人</w:t>
            </w:r>
          </w:p>
        </w:tc>
        <w:tc>
          <w:tcPr>
            <w:tcW w:w="453" w:type="pct"/>
            <w:vAlign w:val="center"/>
          </w:tcPr>
          <w:p w14:paraId="51388C5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016C1DC1">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2BBE2CA3">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30</w:t>
            </w:r>
          </w:p>
        </w:tc>
        <w:tc>
          <w:tcPr>
            <w:tcW w:w="453" w:type="pct"/>
            <w:vAlign w:val="center"/>
          </w:tcPr>
          <w:p w14:paraId="39C3338C">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109D480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2</w:t>
            </w:r>
          </w:p>
        </w:tc>
        <w:tc>
          <w:tcPr>
            <w:tcW w:w="453" w:type="pct"/>
            <w:vAlign w:val="center"/>
          </w:tcPr>
          <w:p w14:paraId="7CE125A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5</w:t>
            </w:r>
          </w:p>
        </w:tc>
        <w:tc>
          <w:tcPr>
            <w:tcW w:w="453" w:type="pct"/>
            <w:vAlign w:val="center"/>
          </w:tcPr>
          <w:p w14:paraId="646F8F0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10</w:t>
            </w:r>
          </w:p>
        </w:tc>
        <w:tc>
          <w:tcPr>
            <w:tcW w:w="453" w:type="pct"/>
            <w:vAlign w:val="center"/>
          </w:tcPr>
          <w:p w14:paraId="26CFD5E4">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7</w:t>
            </w:r>
          </w:p>
        </w:tc>
      </w:tr>
      <w:tr w14:paraId="36CB5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76" w:type="pct"/>
            <w:gridSpan w:val="2"/>
            <w:vAlign w:val="center"/>
          </w:tcPr>
          <w:p w14:paraId="49C6885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生长期（d）</w:t>
            </w:r>
          </w:p>
        </w:tc>
        <w:tc>
          <w:tcPr>
            <w:tcW w:w="453" w:type="pct"/>
            <w:vAlign w:val="center"/>
          </w:tcPr>
          <w:p w14:paraId="6069D5D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120</w:t>
            </w:r>
          </w:p>
        </w:tc>
        <w:tc>
          <w:tcPr>
            <w:tcW w:w="453" w:type="pct"/>
            <w:vAlign w:val="center"/>
          </w:tcPr>
          <w:p w14:paraId="573D5738">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90</w:t>
            </w:r>
          </w:p>
        </w:tc>
        <w:tc>
          <w:tcPr>
            <w:tcW w:w="453" w:type="pct"/>
            <w:vAlign w:val="center"/>
          </w:tcPr>
          <w:p w14:paraId="6747EF6F">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180</w:t>
            </w:r>
          </w:p>
        </w:tc>
        <w:tc>
          <w:tcPr>
            <w:tcW w:w="453" w:type="pct"/>
            <w:vAlign w:val="center"/>
          </w:tcPr>
          <w:p w14:paraId="4DB96B56">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5D579F4D">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05873DBE">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305863A9">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c>
          <w:tcPr>
            <w:tcW w:w="453" w:type="pct"/>
            <w:vAlign w:val="center"/>
          </w:tcPr>
          <w:p w14:paraId="49F428BB">
            <w:pPr>
              <w:pStyle w:val="242"/>
              <w:rPr>
                <w:rFonts w:ascii="Times New Roman" w:hAnsi="Times New Roman" w:eastAsia="宋体" w:cs="Times New Roman"/>
                <w:color w:val="000000" w:themeColor="text1"/>
                <w:szCs w:val="21"/>
                <w:lang w:val="zh-CN"/>
                <w14:textFill>
                  <w14:solidFill>
                    <w14:schemeClr w14:val="tx1"/>
                  </w14:solidFill>
                </w14:textFill>
              </w:rPr>
            </w:pPr>
            <w:r>
              <w:rPr>
                <w:rFonts w:ascii="Times New Roman" w:hAnsi="Times New Roman" w:eastAsia="宋体" w:cs="Times New Roman"/>
                <w:color w:val="000000" w:themeColor="text1"/>
                <w:szCs w:val="21"/>
                <w:lang w:val="zh-CN"/>
                <w14:textFill>
                  <w14:solidFill>
                    <w14:schemeClr w14:val="tx1"/>
                  </w14:solidFill>
                </w14:textFill>
              </w:rPr>
              <w:t>—</w:t>
            </w:r>
          </w:p>
        </w:tc>
      </w:tr>
    </w:tbl>
    <w:p w14:paraId="328A1D6D">
      <w:pPr>
        <w:spacing w:after="0" w:line="360" w:lineRule="auto"/>
        <w:ind w:firstLine="471"/>
        <w:rPr>
          <w:rFonts w:ascii="Times New Roman" w:hAnsi="Times New Roman" w:cs="Times New Roman"/>
          <w:color w:val="000000" w:themeColor="text1"/>
          <w:spacing w:val="-2"/>
          <w:sz w:val="24"/>
          <w:szCs w:val="24"/>
          <w14:textFill>
            <w14:solidFill>
              <w14:schemeClr w14:val="tx1"/>
            </w14:solidFill>
          </w14:textFill>
        </w:rPr>
      </w:pPr>
    </w:p>
    <w:p w14:paraId="77979CEF">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4.1</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2 与动物产品有关的参数</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97"/>
        <w:gridCol w:w="1331"/>
        <w:gridCol w:w="1331"/>
        <w:gridCol w:w="1331"/>
        <w:gridCol w:w="1332"/>
      </w:tblGrid>
      <w:tr w14:paraId="221D3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0E6C81D3">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动物产品种类</w:t>
            </w:r>
          </w:p>
        </w:tc>
        <w:tc>
          <w:tcPr>
            <w:tcW w:w="781" w:type="pct"/>
            <w:vAlign w:val="center"/>
          </w:tcPr>
          <w:p w14:paraId="73BD3F03">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猪</w:t>
            </w:r>
          </w:p>
        </w:tc>
        <w:tc>
          <w:tcPr>
            <w:tcW w:w="781" w:type="pct"/>
            <w:vAlign w:val="center"/>
          </w:tcPr>
          <w:p w14:paraId="3E273B3E">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家禽</w:t>
            </w:r>
          </w:p>
        </w:tc>
        <w:tc>
          <w:tcPr>
            <w:tcW w:w="781" w:type="pct"/>
            <w:vAlign w:val="center"/>
          </w:tcPr>
          <w:p w14:paraId="02189BC2">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蛋</w:t>
            </w:r>
          </w:p>
        </w:tc>
        <w:tc>
          <w:tcPr>
            <w:tcW w:w="781" w:type="pct"/>
            <w:vAlign w:val="center"/>
          </w:tcPr>
          <w:p w14:paraId="051C19FA">
            <w:pPr>
              <w:pStyle w:val="242"/>
              <w:rPr>
                <w:rFonts w:ascii="Times New Roman" w:hAnsi="Times New Roman" w:eastAsia="宋体" w:cs="Times New Roman"/>
                <w:b/>
                <w:color w:val="000000" w:themeColor="text1"/>
                <w:lang w:val="zh-CN"/>
                <w14:textFill>
                  <w14:solidFill>
                    <w14:schemeClr w14:val="tx1"/>
                  </w14:solidFill>
                </w14:textFill>
              </w:rPr>
            </w:pPr>
            <w:r>
              <w:rPr>
                <w:rFonts w:ascii="Times New Roman" w:hAnsi="Times New Roman" w:eastAsia="宋体" w:cs="Times New Roman"/>
                <w:b/>
                <w:color w:val="000000" w:themeColor="text1"/>
                <w:lang w:val="zh-CN"/>
                <w14:textFill>
                  <w14:solidFill>
                    <w14:schemeClr w14:val="tx1"/>
                  </w14:solidFill>
                </w14:textFill>
              </w:rPr>
              <w:t>奶</w:t>
            </w:r>
          </w:p>
        </w:tc>
      </w:tr>
      <w:tr w14:paraId="6EE20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56D2F21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饲料消费量（kg/a）</w:t>
            </w:r>
          </w:p>
        </w:tc>
        <w:tc>
          <w:tcPr>
            <w:tcW w:w="781" w:type="pct"/>
            <w:vAlign w:val="center"/>
          </w:tcPr>
          <w:p w14:paraId="759F5E4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w:t>
            </w:r>
          </w:p>
        </w:tc>
        <w:tc>
          <w:tcPr>
            <w:tcW w:w="781" w:type="pct"/>
            <w:vAlign w:val="center"/>
          </w:tcPr>
          <w:p w14:paraId="7DF07ED7">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0.25</w:t>
            </w:r>
          </w:p>
        </w:tc>
        <w:tc>
          <w:tcPr>
            <w:tcW w:w="781" w:type="pct"/>
            <w:vAlign w:val="center"/>
          </w:tcPr>
          <w:p w14:paraId="0E3EEF07">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0.25</w:t>
            </w:r>
          </w:p>
        </w:tc>
        <w:tc>
          <w:tcPr>
            <w:tcW w:w="781" w:type="pct"/>
            <w:vAlign w:val="center"/>
          </w:tcPr>
          <w:p w14:paraId="1F6488D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w:t>
            </w:r>
          </w:p>
        </w:tc>
      </w:tr>
      <w:tr w14:paraId="6FA811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70A96BA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饲料贮存时间（d）</w:t>
            </w:r>
          </w:p>
        </w:tc>
        <w:tc>
          <w:tcPr>
            <w:tcW w:w="781" w:type="pct"/>
            <w:vAlign w:val="center"/>
          </w:tcPr>
          <w:p w14:paraId="2E946733">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90</w:t>
            </w:r>
          </w:p>
        </w:tc>
        <w:tc>
          <w:tcPr>
            <w:tcW w:w="781" w:type="pct"/>
            <w:vAlign w:val="center"/>
          </w:tcPr>
          <w:p w14:paraId="0E47CE8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c>
          <w:tcPr>
            <w:tcW w:w="781" w:type="pct"/>
            <w:vAlign w:val="center"/>
          </w:tcPr>
          <w:p w14:paraId="73CB7B1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c>
          <w:tcPr>
            <w:tcW w:w="781" w:type="pct"/>
            <w:vAlign w:val="center"/>
          </w:tcPr>
          <w:p w14:paraId="603F18D2">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60</w:t>
            </w:r>
          </w:p>
        </w:tc>
      </w:tr>
      <w:tr w14:paraId="384B9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1DC45836">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放牧季节鲜草份额</w:t>
            </w:r>
          </w:p>
        </w:tc>
        <w:tc>
          <w:tcPr>
            <w:tcW w:w="781" w:type="pct"/>
            <w:vAlign w:val="center"/>
          </w:tcPr>
          <w:p w14:paraId="1078E291">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08988B14">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5F1C2CC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56EF603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0.9</w:t>
            </w:r>
          </w:p>
        </w:tc>
      </w:tr>
      <w:tr w14:paraId="0DD935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4683F6E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放牧季节时间份额</w:t>
            </w:r>
          </w:p>
        </w:tc>
        <w:tc>
          <w:tcPr>
            <w:tcW w:w="781" w:type="pct"/>
            <w:vAlign w:val="center"/>
          </w:tcPr>
          <w:p w14:paraId="4FA4D676">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01C44A15">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625AB99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c>
          <w:tcPr>
            <w:tcW w:w="781" w:type="pct"/>
            <w:vAlign w:val="center"/>
          </w:tcPr>
          <w:p w14:paraId="4D8F4F12">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0.8</w:t>
            </w:r>
          </w:p>
        </w:tc>
      </w:tr>
      <w:tr w14:paraId="5AFCB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60DD2F5E">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牧草生长期（d）</w:t>
            </w:r>
          </w:p>
        </w:tc>
        <w:tc>
          <w:tcPr>
            <w:tcW w:w="781" w:type="pct"/>
            <w:vAlign w:val="center"/>
          </w:tcPr>
          <w:p w14:paraId="206F15C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60A3F51F">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0CFF8114">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c>
          <w:tcPr>
            <w:tcW w:w="781" w:type="pct"/>
            <w:vAlign w:val="center"/>
          </w:tcPr>
          <w:p w14:paraId="41079570">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30</w:t>
            </w:r>
          </w:p>
        </w:tc>
      </w:tr>
      <w:tr w14:paraId="1A91F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875" w:type="pct"/>
            <w:vAlign w:val="center"/>
          </w:tcPr>
          <w:p w14:paraId="2B8D1EBF">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饲料生长期（d）</w:t>
            </w:r>
          </w:p>
        </w:tc>
        <w:tc>
          <w:tcPr>
            <w:tcW w:w="781" w:type="pct"/>
            <w:vAlign w:val="center"/>
          </w:tcPr>
          <w:p w14:paraId="5FE149B8">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60D60ADB">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0E6B6CCC">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c>
          <w:tcPr>
            <w:tcW w:w="781" w:type="pct"/>
            <w:vAlign w:val="center"/>
          </w:tcPr>
          <w:p w14:paraId="4A397D8A">
            <w:pPr>
              <w:pStyle w:val="242"/>
              <w:rPr>
                <w:rFonts w:ascii="Times New Roman" w:hAnsi="Times New Roman" w:eastAsia="宋体" w:cs="Times New Roman"/>
                <w:color w:val="000000" w:themeColor="text1"/>
                <w:lang w:val="zh-CN"/>
                <w14:textFill>
                  <w14:solidFill>
                    <w14:schemeClr w14:val="tx1"/>
                  </w14:solidFill>
                </w14:textFill>
              </w:rPr>
            </w:pPr>
            <w:r>
              <w:rPr>
                <w:rFonts w:ascii="Times New Roman" w:hAnsi="Times New Roman" w:eastAsia="宋体" w:cs="Times New Roman"/>
                <w:color w:val="000000" w:themeColor="text1"/>
                <w:lang w:val="zh-CN"/>
                <w14:textFill>
                  <w14:solidFill>
                    <w14:schemeClr w14:val="tx1"/>
                  </w14:solidFill>
                </w14:textFill>
              </w:rPr>
              <w:t>100</w:t>
            </w:r>
          </w:p>
        </w:tc>
      </w:tr>
    </w:tbl>
    <w:p w14:paraId="6BB6B38D">
      <w:pPr>
        <w:spacing w:after="0" w:line="360" w:lineRule="auto"/>
        <w:ind w:firstLine="471"/>
        <w:rPr>
          <w:rFonts w:ascii="Times New Roman" w:hAnsi="Times New Roman" w:cs="Times New Roman"/>
          <w:b/>
          <w:color w:val="000000" w:themeColor="text1"/>
          <w:sz w:val="28"/>
          <w:szCs w:val="28"/>
          <w14:textFill>
            <w14:solidFill>
              <w14:schemeClr w14:val="tx1"/>
            </w14:solidFill>
          </w14:textFill>
        </w:rPr>
      </w:pPr>
      <w:bookmarkStart w:id="102" w:name="_Toc78822667"/>
    </w:p>
    <w:p w14:paraId="5B130894">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03" w:name="_Toc187653471"/>
      <w:r>
        <w:rPr>
          <w:rFonts w:ascii="Times New Roman" w:hAnsi="Times New Roman" w:eastAsia="黑体" w:cs="Times New Roman"/>
          <w:b/>
          <w:bCs/>
          <w:color w:val="000000" w:themeColor="text1"/>
          <w:kern w:val="2"/>
          <w:sz w:val="28"/>
          <w:szCs w:val="32"/>
          <w14:textFill>
            <w14:solidFill>
              <w14:schemeClr w14:val="tx1"/>
            </w14:solidFill>
          </w14:textFill>
        </w:rPr>
        <w:t>正常工况气载流出物辐射环境影响分析</w:t>
      </w:r>
      <w:bookmarkEnd w:id="102"/>
      <w:bookmarkEnd w:id="103"/>
    </w:p>
    <w:p w14:paraId="043D066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辐射环境影响评价的基本评价指标是以拟建厂区中心为中心点的公众最大个人有效剂量当量。评价方法以模式计算为主，选择放射性核素在环境中迁移和剂量估算模式以及相应计算参数，并对设施所致最大个人剂量进行分析。基于偏保守原则，所有源项按源强最大时考虑。</w:t>
      </w:r>
    </w:p>
    <w:p w14:paraId="342AB7AB">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4" w:name="_Toc78822668"/>
      <w:r>
        <w:rPr>
          <w:rFonts w:ascii="Times New Roman" w:hAnsi="Times New Roman" w:eastAsia="黑体" w:cs="Times New Roman"/>
          <w:b/>
          <w:bCs/>
          <w:caps w:val="0"/>
          <w:color w:val="000000" w:themeColor="text1"/>
          <w:kern w:val="2"/>
          <w:sz w:val="24"/>
          <w:szCs w:val="32"/>
          <w14:textFill>
            <w14:solidFill>
              <w14:schemeClr w14:val="tx1"/>
            </w14:solidFill>
          </w14:textFill>
        </w:rPr>
        <w:t>气载流出物对公众的辐射影响估算</w:t>
      </w:r>
      <w:bookmarkEnd w:id="104"/>
    </w:p>
    <w:p w14:paraId="65D4DB55">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剂量估算公式</w:t>
      </w:r>
    </w:p>
    <w:p w14:paraId="31EF3F45">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根据公众所接受的放射性照射途径，本次公众个人有效剂量估算公式可以简化为：</w:t>
      </w:r>
    </w:p>
    <w:p w14:paraId="425B096A">
      <w:pPr>
        <w:spacing w:after="0" w:line="360" w:lineRule="auto"/>
        <w:jc w:val="center"/>
        <w:rPr>
          <w:rFonts w:ascii="Times New Roman" w:hAnsi="Times New Roman" w:cs="Times New Roman"/>
          <w:i/>
          <w:iCs/>
          <w:color w:val="000000" w:themeColor="text1"/>
          <w:sz w:val="24"/>
          <w:szCs w:val="24"/>
          <w:vertAlign w:val="subscript"/>
          <w14:textFill>
            <w14:solidFill>
              <w14:schemeClr w14:val="tx1"/>
            </w14:solidFill>
          </w14:textFill>
        </w:rPr>
      </w:pPr>
      <w:r>
        <w:rPr>
          <w:rFonts w:hint="eastAsia" w:ascii="Times New Roman" w:hAnsi="Times New Roman" w:cs="Times New Roman"/>
          <w:i/>
          <w:iCs/>
          <w:color w:val="000000" w:themeColor="text1"/>
          <w:sz w:val="24"/>
          <w:szCs w:val="24"/>
          <w14:textFill>
            <w14:solidFill>
              <w14:schemeClr w14:val="tx1"/>
            </w14:solidFill>
          </w14:textFill>
        </w:rPr>
        <w:t xml:space="preserve">                   </w:t>
      </w:r>
      <w:r>
        <w:rPr>
          <w:rFonts w:ascii="Times New Roman" w:hAnsi="Times New Roman" w:cs="Times New Roman"/>
          <w:i/>
          <w:iCs/>
          <w:color w:val="000000" w:themeColor="text1"/>
          <w:sz w:val="24"/>
          <w:szCs w:val="24"/>
          <w14:textFill>
            <w14:solidFill>
              <w14:schemeClr w14:val="tx1"/>
            </w14:solidFill>
          </w14:textFill>
        </w:rPr>
        <w:t>D=D</w:t>
      </w:r>
      <w:r>
        <w:rPr>
          <w:rFonts w:ascii="Times New Roman" w:hAnsi="Times New Roman" w:cs="Times New Roman"/>
          <w:i/>
          <w:iCs/>
          <w:color w:val="000000" w:themeColor="text1"/>
          <w:sz w:val="24"/>
          <w:szCs w:val="24"/>
          <w:vertAlign w:val="subscript"/>
          <w14:textFill>
            <w14:solidFill>
              <w14:schemeClr w14:val="tx1"/>
            </w14:solidFill>
          </w14:textFill>
        </w:rPr>
        <w:t>r</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Rn</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………………………（4.2-1）</w:t>
      </w:r>
    </w:p>
    <w:p w14:paraId="39850F0F">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14:textFill>
            <w14:solidFill>
              <w14:schemeClr w14:val="tx1"/>
            </w14:solidFill>
          </w14:textFill>
        </w:rPr>
        <w:t>——公众照射有效剂量，mSv/a；</w:t>
      </w:r>
    </w:p>
    <w:p w14:paraId="409F8D5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——外照射有效剂量，mSv/a；</w:t>
      </w:r>
    </w:p>
    <w:p w14:paraId="43FE02BF">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——氡吸入所致内照射有效剂量，mSv/a。</w:t>
      </w:r>
    </w:p>
    <w:p w14:paraId="02BC1F73">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D</w:t>
      </w:r>
      <w:r>
        <w:rPr>
          <w:rFonts w:ascii="Times New Roman" w:hAnsi="Times New Roman" w:cs="Times New Roman"/>
          <w:i/>
          <w:iCs/>
          <w:color w:val="000000" w:themeColor="text1"/>
          <w:sz w:val="24"/>
          <w:szCs w:val="24"/>
          <w:vertAlign w:val="subscript"/>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——第i种</w:t>
      </w:r>
      <w:bookmarkStart w:id="105" w:name="OLE_LINK33"/>
      <w:r>
        <w:rPr>
          <w:rFonts w:ascii="Times New Roman" w:hAnsi="Times New Roman" w:cs="Times New Roman"/>
          <w:color w:val="000000" w:themeColor="text1"/>
          <w:sz w:val="24"/>
          <w:szCs w:val="24"/>
          <w14:textFill>
            <w14:solidFill>
              <w14:schemeClr w14:val="tx1"/>
            </w14:solidFill>
          </w14:textFill>
        </w:rPr>
        <w:t>核素吸入所致内照射有效剂量</w:t>
      </w:r>
      <w:bookmarkEnd w:id="105"/>
      <w:r>
        <w:rPr>
          <w:rFonts w:ascii="Times New Roman" w:hAnsi="Times New Roman" w:cs="Times New Roman"/>
          <w:color w:val="000000" w:themeColor="text1"/>
          <w:sz w:val="24"/>
          <w:szCs w:val="24"/>
          <w14:textFill>
            <w14:solidFill>
              <w14:schemeClr w14:val="tx1"/>
            </w14:solidFill>
          </w14:textFill>
        </w:rPr>
        <w:t>，mSv/a。</w:t>
      </w:r>
    </w:p>
    <w:p w14:paraId="060F2BE3">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本次项目辐射环境评价中，公众所受到的放射性外照射主要表现为矿尘的浸没照射以及沉积在地表的矿尘所致的外照射。由于其量微乎其微，外照射剂量转换因子很小（对于</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U地表沉积为 5.5×10</w:t>
      </w:r>
      <w:r>
        <w:rPr>
          <w:rFonts w:ascii="Times New Roman" w:hAnsi="Times New Roman" w:cs="Times New Roman"/>
          <w:color w:val="000000" w:themeColor="text1"/>
          <w:sz w:val="24"/>
          <w:szCs w:val="24"/>
          <w:vertAlign w:val="superscript"/>
          <w14:textFill>
            <w14:solidFill>
              <w14:schemeClr w14:val="tx1"/>
            </w14:solidFill>
          </w14:textFill>
        </w:rPr>
        <w:t>-19</w:t>
      </w:r>
      <w:r>
        <w:rPr>
          <w:rFonts w:ascii="Times New Roman" w:hAnsi="Times New Roman" w:cs="Times New Roman"/>
          <w:color w:val="000000" w:themeColor="text1"/>
          <w:sz w:val="24"/>
          <w:szCs w:val="24"/>
          <w14:textFill>
            <w14:solidFill>
              <w14:schemeClr w14:val="tx1"/>
            </w14:solidFill>
          </w14:textFill>
        </w:rPr>
        <w:t>Sv/(S·Bq/m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)，空气浸没照射4.4×10</w:t>
      </w:r>
      <w:r>
        <w:rPr>
          <w:rFonts w:ascii="Times New Roman" w:hAnsi="Times New Roman" w:cs="Times New Roman"/>
          <w:color w:val="000000" w:themeColor="text1"/>
          <w:sz w:val="24"/>
          <w:szCs w:val="24"/>
          <w:vertAlign w:val="superscript"/>
          <w14:textFill>
            <w14:solidFill>
              <w14:schemeClr w14:val="tx1"/>
            </w14:solidFill>
          </w14:textFill>
        </w:rPr>
        <w:t>-18</w:t>
      </w:r>
      <w:r>
        <w:rPr>
          <w:rFonts w:ascii="Times New Roman" w:hAnsi="Times New Roman" w:cs="Times New Roman"/>
          <w:color w:val="000000" w:themeColor="text1"/>
          <w:sz w:val="24"/>
          <w:szCs w:val="24"/>
          <w14:textFill>
            <w14:solidFill>
              <w14:schemeClr w14:val="tx1"/>
            </w14:solidFill>
          </w14:textFill>
        </w:rPr>
        <w:t>Sv/</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S·Bq/m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)），难以获得重矿砂微尘沉积的相关参数。在评价中，考虑到矿尘浸没与沉积所致公众的有效剂量相对于吸入放射性核素途径所致有效剂量小很多，因此，评价中忽略其外照射有效剂量贡献。</w:t>
      </w:r>
    </w:p>
    <w:p w14:paraId="0F136449">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vertAlign w:val="superscript"/>
          <w14:textFill>
            <w14:solidFill>
              <w14:schemeClr w14:val="tx1"/>
            </w14:solidFill>
          </w14:textFill>
        </w:rPr>
        <w:t>222</w:t>
      </w:r>
      <w:r>
        <w:rPr>
          <w:rFonts w:ascii="Times New Roman" w:hAnsi="Times New Roman" w:eastAsia="黑体" w:cs="Times New Roman"/>
          <w:bCs/>
          <w:i w:val="0"/>
          <w:iCs w:val="0"/>
          <w:color w:val="000000" w:themeColor="text1"/>
          <w:kern w:val="2"/>
          <w:sz w:val="24"/>
          <w14:textFill>
            <w14:solidFill>
              <w14:schemeClr w14:val="tx1"/>
            </w14:solidFill>
          </w14:textFill>
        </w:rPr>
        <w:t>Rn所致个人有效剂量当量</w:t>
      </w:r>
    </w:p>
    <w:p w14:paraId="75FAED31">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bookmarkStart w:id="106" w:name="_Hlk15289313"/>
      <w:r>
        <w:rPr>
          <w:rFonts w:ascii="Times New Roman" w:hAnsi="Times New Roman" w:cs="Times New Roman"/>
          <w:color w:val="000000" w:themeColor="text1"/>
          <w:sz w:val="24"/>
          <w:szCs w:val="24"/>
          <w14:textFill>
            <w14:solidFill>
              <w14:schemeClr w14:val="tx1"/>
            </w14:solidFill>
          </w14:textFill>
        </w:rPr>
        <w:t>由于箱式模型适用于排出源分布较为均匀或系统内部扩散信息难以得到的场合，从广度上讲是一种广域的污染状态模型，因此本项目采用简单箱体模型计算场所氡析出率，再根据IAEA和ICRP剂量计算模式，计算氡吸入所致内照射有效剂量，箱体模型假设析出的氡在箱内均匀混合。</w:t>
      </w:r>
      <w:bookmarkEnd w:id="106"/>
      <w:r>
        <w:rPr>
          <w:rFonts w:ascii="Times New Roman" w:hAnsi="Times New Roman" w:cs="Times New Roman"/>
          <w:color w:val="000000" w:themeColor="text1"/>
          <w:sz w:val="24"/>
          <w:szCs w:val="24"/>
          <w14:textFill>
            <w14:solidFill>
              <w14:schemeClr w14:val="tx1"/>
            </w14:solidFill>
          </w14:textFill>
        </w:rPr>
        <w:t>箱式模型计算公式为：</w:t>
      </w:r>
    </w:p>
    <w:p w14:paraId="366A79F5">
      <w:pPr>
        <w:spacing w:after="0" w:line="360" w:lineRule="auto"/>
        <w:ind w:firstLine="960" w:firstLineChars="40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R=C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i/>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U*B*H</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i/>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14:textFill>
            <w14:solidFill>
              <w14:schemeClr w14:val="tx1"/>
            </w14:solidFill>
          </w14:textFill>
        </w:rPr>
        <w:t>……………………（4.2-2）</w:t>
      </w:r>
    </w:p>
    <w:p w14:paraId="2DD585B2">
      <w:pPr>
        <w:spacing w:after="0" w:line="360" w:lineRule="auto"/>
        <w:ind w:left="900" w:leftChars="200" w:hanging="480" w:hanging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：场地中氡析出率，Bq/(m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·s)；</w:t>
      </w:r>
    </w:p>
    <w:p w14:paraId="7376C165">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：场地中氡浓度，11.4Bq/m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（厂区生产车间平均计）；</w:t>
      </w:r>
    </w:p>
    <w:p w14:paraId="2DE647B0">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S</w:t>
      </w:r>
      <w:r>
        <w:rPr>
          <w:rFonts w:ascii="Times New Roman" w:hAnsi="Times New Roman" w:cs="Times New Roman"/>
          <w:color w:val="000000" w:themeColor="text1"/>
          <w:sz w:val="24"/>
          <w:szCs w:val="24"/>
          <w14:textFill>
            <w14:solidFill>
              <w14:schemeClr w14:val="tx1"/>
            </w14:solidFill>
          </w14:textFill>
        </w:rPr>
        <w:t>：场地面积工作场所，</w:t>
      </w:r>
      <w:r>
        <w:rPr>
          <w:rFonts w:hint="eastAsia" w:ascii="Times New Roman" w:hAnsi="Times New Roman" w:cs="Times New Roman"/>
          <w:color w:val="000000" w:themeColor="text1"/>
          <w:sz w:val="24"/>
          <w:szCs w:val="24"/>
          <w14:textFill>
            <w14:solidFill>
              <w14:schemeClr w14:val="tx1"/>
            </w14:solidFill>
          </w14:textFill>
        </w:rPr>
        <w:t>1#车间</w:t>
      </w:r>
      <w:r>
        <w:rPr>
          <w:rFonts w:ascii="Times New Roman" w:hAnsi="Times New Roman" w:cs="Times New Roman"/>
          <w:color w:val="000000" w:themeColor="text1"/>
          <w:sz w:val="24"/>
          <w:szCs w:val="24"/>
          <w14:textFill>
            <w14:solidFill>
              <w14:schemeClr w14:val="tx1"/>
            </w14:solidFill>
          </w14:textFill>
        </w:rPr>
        <w:t>1179.58m</w:t>
      </w:r>
      <w:r>
        <w:rPr>
          <w:rFonts w:ascii="Times New Roman" w:hAnsi="Times New Roman" w:cs="Times New Roman"/>
          <w:color w:val="000000" w:themeColor="text1"/>
          <w:sz w:val="24"/>
          <w:szCs w:val="24"/>
          <w:vertAlign w:val="superscript"/>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，2#车间</w:t>
      </w:r>
      <w:r>
        <w:rPr>
          <w:rFonts w:ascii="Times New Roman" w:hAnsi="Times New Roman" w:cs="Times New Roman"/>
          <w:color w:val="000000" w:themeColor="text1"/>
          <w:sz w:val="24"/>
          <w:szCs w:val="24"/>
          <w14:textFill>
            <w14:solidFill>
              <w14:schemeClr w14:val="tx1"/>
            </w14:solidFill>
          </w14:textFill>
        </w:rPr>
        <w:t>1179.</w:t>
      </w:r>
      <w:r>
        <w:rPr>
          <w:rFonts w:hint="eastAsia" w:ascii="Times New Roman" w:hAnsi="Times New Roman" w:cs="Times New Roman"/>
          <w:color w:val="000000" w:themeColor="text1"/>
          <w:sz w:val="24"/>
          <w:szCs w:val="24"/>
          <w14:textFill>
            <w14:solidFill>
              <w14:schemeClr w14:val="tx1"/>
            </w14:solidFill>
          </w14:textFill>
        </w:rPr>
        <w:t>36</w:t>
      </w:r>
      <w:r>
        <w:rPr>
          <w:rFonts w:ascii="Times New Roman" w:hAnsi="Times New Roman" w:cs="Times New Roman"/>
          <w:color w:val="000000" w:themeColor="text1"/>
          <w:sz w:val="24"/>
          <w:szCs w:val="24"/>
          <w14:textFill>
            <w14:solidFill>
              <w14:schemeClr w14:val="tx1"/>
            </w14:solidFill>
          </w14:textFill>
        </w:rPr>
        <w:t>m</w:t>
      </w:r>
      <w:r>
        <w:rPr>
          <w:rFonts w:ascii="Times New Roman" w:hAnsi="Times New Roman" w:cs="Times New Roman"/>
          <w:color w:val="000000" w:themeColor="text1"/>
          <w:sz w:val="24"/>
          <w:szCs w:val="24"/>
          <w:vertAlign w:val="superscript"/>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7658F87C">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14:textFill>
            <w14:solidFill>
              <w14:schemeClr w14:val="tx1"/>
            </w14:solidFill>
          </w14:textFill>
        </w:rPr>
        <w:t>：各风向年均风速，根据常规环评取2.6m/s；</w:t>
      </w:r>
    </w:p>
    <w:p w14:paraId="4E41AD2C">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B</w:t>
      </w:r>
      <w:r>
        <w:rPr>
          <w:rFonts w:ascii="Times New Roman" w:hAnsi="Times New Roman" w:cs="Times New Roman"/>
          <w:color w:val="000000" w:themeColor="text1"/>
          <w:sz w:val="24"/>
          <w:szCs w:val="24"/>
          <w14:textFill>
            <w14:solidFill>
              <w14:schemeClr w14:val="tx1"/>
            </w14:solidFill>
          </w14:textFill>
        </w:rPr>
        <w:t>：垂直最高概率风向的场地宽度，主导风向为北风，垂直于主导风向即东西向为220m；</w:t>
      </w:r>
    </w:p>
    <w:p w14:paraId="489D6233">
      <w:pPr>
        <w:spacing w:after="0" w:line="360" w:lineRule="auto"/>
        <w:ind w:left="840" w:leftChars="4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H</w:t>
      </w:r>
      <w:r>
        <w:rPr>
          <w:rFonts w:ascii="Times New Roman" w:hAnsi="Times New Roman" w:cs="Times New Roman"/>
          <w:color w:val="000000" w:themeColor="text1"/>
          <w:sz w:val="24"/>
          <w:szCs w:val="24"/>
          <w14:textFill>
            <w14:solidFill>
              <w14:schemeClr w14:val="tx1"/>
            </w14:solidFill>
          </w14:textFill>
        </w:rPr>
        <w:t xml:space="preserve">：箱体高度，取10m（建筑物顶面高度）。 </w:t>
      </w:r>
    </w:p>
    <w:p w14:paraId="58CD29F9">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氡浓度公众的剂量公式：</w:t>
      </w:r>
    </w:p>
    <w:p w14:paraId="51D0216E">
      <w:pPr>
        <w:spacing w:after="0" w:line="360" w:lineRule="auto"/>
        <w:ind w:firstLine="480"/>
        <w:jc w:val="center"/>
        <w:rPr>
          <w:rFonts w:ascii="Times New Roman" w:hAnsi="Times New Roman" w:cs="Times New Roman"/>
          <w:color w:val="000000" w:themeColor="text1"/>
          <w:sz w:val="24"/>
          <w:szCs w:val="24"/>
          <w:lang w:val="de-DE"/>
          <w14:textFill>
            <w14:solidFill>
              <w14:schemeClr w14:val="tx1"/>
            </w14:solidFill>
          </w14:textFill>
        </w:rPr>
      </w:pPr>
      <w:r>
        <w:rPr>
          <w:rFonts w:hint="eastAsia" w:ascii="Times New Roman" w:hAnsi="Times New Roman" w:cs="Times New Roman"/>
          <w:i/>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D</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i/>
          <w:color w:val="000000" w:themeColor="text1"/>
          <w:sz w:val="24"/>
          <w:szCs w:val="24"/>
          <w:lang w:val="de-DE"/>
          <w14:textFill>
            <w14:solidFill>
              <w14:schemeClr w14:val="tx1"/>
            </w14:solidFill>
          </w14:textFill>
        </w:rPr>
        <w:t>=g</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i/>
          <w:color w:val="000000" w:themeColor="text1"/>
          <w:sz w:val="24"/>
          <w:szCs w:val="24"/>
          <w:lang w:val="de-DE"/>
          <w14:textFill>
            <w14:solidFill>
              <w14:schemeClr w14:val="tx1"/>
            </w14:solidFill>
          </w14:textFill>
        </w:rPr>
        <w:t>·t·C</w:t>
      </w:r>
      <w:r>
        <w:rPr>
          <w:rFonts w:ascii="Times New Roman" w:hAnsi="Times New Roman" w:cs="Times New Roman"/>
          <w:i/>
          <w:color w:val="000000" w:themeColor="text1"/>
          <w:sz w:val="24"/>
          <w:szCs w:val="24"/>
          <w:vertAlign w:val="subscript"/>
          <w:lang w:val="de-DE"/>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……………………………（4.2-3）</w:t>
      </w:r>
    </w:p>
    <w:p w14:paraId="389F48FC">
      <w:pPr>
        <w:spacing w:after="0" w:line="360" w:lineRule="auto"/>
        <w:ind w:firstLine="480"/>
        <w:rPr>
          <w:rFonts w:ascii="Times New Roman" w:hAnsi="Times New Roman" w:cs="Times New Roman"/>
          <w:color w:val="000000" w:themeColor="text1"/>
          <w:sz w:val="24"/>
          <w:szCs w:val="24"/>
          <w:lang w:val="de-DE"/>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i/>
          <w:color w:val="000000" w:themeColor="text1"/>
          <w:sz w:val="24"/>
          <w:szCs w:val="24"/>
          <w:lang w:val="de-DE"/>
          <w14:textFill>
            <w14:solidFill>
              <w14:schemeClr w14:val="tx1"/>
            </w14:solidFill>
          </w14:textFill>
        </w:rPr>
        <w:t>D</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w:t>
      </w:r>
      <w:r>
        <w:rPr>
          <w:rFonts w:ascii="Times New Roman" w:hAnsi="Times New Roman" w:cs="Times New Roman"/>
          <w:color w:val="000000" w:themeColor="text1"/>
          <w:sz w:val="24"/>
          <w:szCs w:val="24"/>
          <w:vertAlign w:val="superscript"/>
          <w:lang w:val="de-DE"/>
          <w14:textFill>
            <w14:solidFill>
              <w14:schemeClr w14:val="tx1"/>
            </w14:solidFill>
          </w14:textFill>
        </w:rPr>
        <w:t>222</w:t>
      </w:r>
      <w:r>
        <w:rPr>
          <w:rFonts w:ascii="Times New Roman" w:hAnsi="Times New Roman" w:cs="Times New Roman"/>
          <w:color w:val="000000" w:themeColor="text1"/>
          <w:sz w:val="24"/>
          <w:szCs w:val="24"/>
          <w:lang w:val="de-DE"/>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内照射剂量</w:t>
      </w:r>
      <w:r>
        <w:rPr>
          <w:rFonts w:ascii="Times New Roman" w:hAnsi="Times New Roman" w:cs="Times New Roman"/>
          <w:color w:val="000000" w:themeColor="text1"/>
          <w:sz w:val="24"/>
          <w:szCs w:val="24"/>
          <w:lang w:val="de-DE"/>
          <w14:textFill>
            <w14:solidFill>
              <w14:schemeClr w14:val="tx1"/>
            </w14:solidFill>
          </w14:textFill>
        </w:rPr>
        <w:t>，Sv/a；</w:t>
      </w:r>
    </w:p>
    <w:p w14:paraId="51BFC516">
      <w:pPr>
        <w:spacing w:after="0" w:line="360" w:lineRule="auto"/>
        <w:ind w:firstLine="480"/>
        <w:rPr>
          <w:rFonts w:ascii="Times New Roman" w:hAnsi="Times New Roman" w:cs="Times New Roman"/>
          <w:color w:val="000000" w:themeColor="text1"/>
          <w:sz w:val="24"/>
          <w:szCs w:val="24"/>
          <w:lang w:val="de-DE"/>
          <w14:textFill>
            <w14:solidFill>
              <w14:schemeClr w14:val="tx1"/>
            </w14:solidFill>
          </w14:textFill>
        </w:rPr>
      </w:pPr>
      <w:r>
        <w:rPr>
          <w:rFonts w:ascii="Times New Roman" w:hAnsi="Times New Roman" w:cs="Times New Roman"/>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g</w:t>
      </w:r>
      <w:r>
        <w:rPr>
          <w:rFonts w:ascii="Times New Roman" w:hAnsi="Times New Roman" w:cs="Times New Roman"/>
          <w:i/>
          <w:color w:val="000000" w:themeColor="text1"/>
          <w:sz w:val="24"/>
          <w:szCs w:val="24"/>
          <w:vertAlign w:val="subscript"/>
          <w:lang w:val="de-DE"/>
          <w14:textFill>
            <w14:solidFill>
              <w14:schemeClr w14:val="tx1"/>
            </w14:solidFill>
          </w14:textFill>
        </w:rPr>
        <w:t>Rn</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w:t>
      </w:r>
      <w:r>
        <w:rPr>
          <w:rFonts w:ascii="Times New Roman" w:hAnsi="Times New Roman" w:cs="Times New Roman"/>
          <w:color w:val="000000" w:themeColor="text1"/>
          <w:sz w:val="24"/>
          <w:szCs w:val="24"/>
          <w:vertAlign w:val="superscript"/>
          <w:lang w:val="de-DE"/>
          <w14:textFill>
            <w14:solidFill>
              <w14:schemeClr w14:val="tx1"/>
            </w14:solidFill>
          </w14:textFill>
        </w:rPr>
        <w:t>222</w:t>
      </w:r>
      <w:r>
        <w:rPr>
          <w:rFonts w:ascii="Times New Roman" w:hAnsi="Times New Roman" w:cs="Times New Roman"/>
          <w:color w:val="000000" w:themeColor="text1"/>
          <w:sz w:val="24"/>
          <w:szCs w:val="24"/>
          <w:lang w:val="de-DE"/>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剂量转换因子</w:t>
      </w:r>
      <w:r>
        <w:rPr>
          <w:rFonts w:ascii="Times New Roman" w:hAnsi="Times New Roman" w:cs="Times New Roman"/>
          <w:color w:val="000000" w:themeColor="text1"/>
          <w:sz w:val="24"/>
          <w:szCs w:val="24"/>
          <w:lang w:val="de-DE"/>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根据</w:t>
      </w:r>
      <w:r>
        <w:rPr>
          <w:rFonts w:hint="eastAsia" w:ascii="Times New Roman" w:hAnsi="Times New Roman" w:cs="Times New Roman"/>
          <w:color w:val="000000" w:themeColor="text1"/>
          <w:sz w:val="24"/>
          <w:szCs w:val="24"/>
          <w14:textFill>
            <w14:solidFill>
              <w14:schemeClr w14:val="tx1"/>
            </w14:solidFill>
          </w14:textFill>
        </w:rPr>
        <w:t>《室内氡及其子体控制要求》</w:t>
      </w:r>
      <w:r>
        <w:rPr>
          <w:rFonts w:hint="eastAsia" w:ascii="Times New Roman" w:hAnsi="Times New Roman" w:cs="Times New Roman"/>
          <w:color w:val="000000" w:themeColor="text1"/>
          <w:sz w:val="24"/>
          <w:szCs w:val="24"/>
          <w:lang w:val="de-DE"/>
          <w14:textFill>
            <w14:solidFill>
              <w14:schemeClr w14:val="tx1"/>
            </w14:solidFill>
          </w14:textFill>
        </w:rPr>
        <w:t>（GBT 16146-2015）</w:t>
      </w:r>
      <w:r>
        <w:rPr>
          <w:rFonts w:ascii="Times New Roman" w:hAnsi="Times New Roman" w:cs="Times New Roman"/>
          <w:color w:val="000000" w:themeColor="text1"/>
          <w:sz w:val="24"/>
          <w:szCs w:val="24"/>
          <w14:textFill>
            <w14:solidFill>
              <w14:schemeClr w14:val="tx1"/>
            </w14:solidFill>
          </w14:textFill>
        </w:rPr>
        <w:t>取</w:t>
      </w:r>
      <w:r>
        <w:rPr>
          <w:rFonts w:hint="eastAsia" w:ascii="Times New Roman" w:hAnsi="Times New Roman" w:cs="Times New Roman"/>
          <w:color w:val="000000" w:themeColor="text1"/>
          <w:sz w:val="24"/>
          <w:szCs w:val="24"/>
          <w:lang w:val="de-DE"/>
          <w14:textFill>
            <w14:solidFill>
              <w14:schemeClr w14:val="tx1"/>
            </w14:solidFill>
          </w14:textFill>
        </w:rPr>
        <w:t>0</w:t>
      </w:r>
      <w:r>
        <w:rPr>
          <w:rFonts w:ascii="Times New Roman" w:hAnsi="Times New Roman" w:cs="Times New Roman"/>
          <w:color w:val="000000" w:themeColor="text1"/>
          <w:sz w:val="24"/>
          <w:szCs w:val="24"/>
          <w:lang w:val="de-DE"/>
          <w14:textFill>
            <w14:solidFill>
              <w14:schemeClr w14:val="tx1"/>
            </w14:solidFill>
          </w14:textFill>
        </w:rPr>
        <w:t>.17×10</w:t>
      </w:r>
      <w:r>
        <w:rPr>
          <w:rFonts w:ascii="Times New Roman" w:hAnsi="Times New Roman" w:cs="Times New Roman"/>
          <w:color w:val="000000" w:themeColor="text1"/>
          <w:sz w:val="24"/>
          <w:szCs w:val="24"/>
          <w:vertAlign w:val="superscript"/>
          <w:lang w:val="de-DE"/>
          <w14:textFill>
            <w14:solidFill>
              <w14:schemeClr w14:val="tx1"/>
            </w14:solidFill>
          </w14:textFill>
        </w:rPr>
        <w:t>-6</w:t>
      </w:r>
      <w:r>
        <w:rPr>
          <w:rFonts w:ascii="Times New Roman" w:hAnsi="Times New Roman" w:cs="Times New Roman"/>
          <w:color w:val="000000" w:themeColor="text1"/>
          <w:sz w:val="24"/>
          <w:szCs w:val="24"/>
          <w:lang w:val="de-DE"/>
          <w14:textFill>
            <w14:solidFill>
              <w14:schemeClr w14:val="tx1"/>
            </w14:solidFill>
          </w14:textFill>
        </w:rPr>
        <w:t>mSv/Bq·h·m</w:t>
      </w:r>
      <w:r>
        <w:rPr>
          <w:rFonts w:ascii="Times New Roman" w:hAnsi="Times New Roman" w:cs="Times New Roman"/>
          <w:color w:val="000000" w:themeColor="text1"/>
          <w:sz w:val="24"/>
          <w:szCs w:val="24"/>
          <w:vertAlign w:val="superscript"/>
          <w:lang w:val="de-DE"/>
          <w14:textFill>
            <w14:solidFill>
              <w14:schemeClr w14:val="tx1"/>
            </w14:solidFill>
          </w14:textFill>
        </w:rPr>
        <w:t>-3</w:t>
      </w:r>
      <w:r>
        <w:rPr>
          <w:rFonts w:hint="eastAsia" w:ascii="Times New Roman" w:hAnsi="Times New Roman" w:cs="Times New Roman"/>
          <w:color w:val="000000" w:themeColor="text1"/>
          <w:sz w:val="24"/>
          <w:szCs w:val="24"/>
          <w:lang w:val="de-DE"/>
          <w14:textFill>
            <w14:solidFill>
              <w14:schemeClr w14:val="tx1"/>
            </w14:solidFill>
          </w14:textFill>
        </w:rPr>
        <w:t>；</w:t>
      </w:r>
    </w:p>
    <w:p w14:paraId="44F8B927">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lang w:val="de-DE"/>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——时间，取7920h（330*24h）；</w:t>
      </w:r>
    </w:p>
    <w:p w14:paraId="14E3F70B">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i/>
          <w:color w:val="000000" w:themeColor="text1"/>
          <w:sz w:val="24"/>
          <w:szCs w:val="24"/>
          <w14:textFill>
            <w14:solidFill>
              <w14:schemeClr w14:val="tx1"/>
            </w14:solidFill>
          </w14:textFill>
        </w:rPr>
        <w:t>C</w:t>
      </w:r>
      <w:r>
        <w:rPr>
          <w:rFonts w:ascii="Times New Roman" w:hAnsi="Times New Roman" w:cs="Times New Roman"/>
          <w:i/>
          <w:color w:val="000000" w:themeColor="text1"/>
          <w:sz w:val="24"/>
          <w:szCs w:val="24"/>
          <w:vertAlign w:val="subscript"/>
          <w14:textFill>
            <w14:solidFill>
              <w14:schemeClr w14:val="tx1"/>
            </w14:solidFill>
          </w14:textFill>
        </w:rPr>
        <w:t>Rn</w:t>
      </w:r>
      <w:r>
        <w:rPr>
          <w:rFonts w:ascii="Times New Roman" w:hAnsi="Times New Roman" w:cs="Times New Roman"/>
          <w:color w:val="000000" w:themeColor="text1"/>
          <w:sz w:val="24"/>
          <w:szCs w:val="24"/>
          <w14:textFill>
            <w14:solidFill>
              <w14:schemeClr w14:val="tx1"/>
            </w14:solidFill>
          </w14:textFill>
        </w:rPr>
        <w:t>——环境中空气中</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08892DBA">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根据上述公式，计算出</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Rn析出率，根据</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Rn析出率计算得出工作场所氡气释放率。</w:t>
      </w:r>
    </w:p>
    <w:p w14:paraId="11ABEC0D">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根据工程特点，将工作场所作为地面连续释放源项且作为面源计算，剂量估算将面源划分为小点源做浓度叠加计算。根据高斯烟羽浓度公式，大气扩散中地面连续点源浓度公式为：</w:t>
      </w:r>
    </w:p>
    <w:p w14:paraId="0B8B5A09">
      <w:pPr>
        <w:spacing w:after="0" w:line="360" w:lineRule="auto"/>
        <w:ind w:firstLine="480"/>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position w:val="-34"/>
          <w:sz w:val="24"/>
          <w:szCs w:val="24"/>
          <w14:textFill>
            <w14:solidFill>
              <w14:schemeClr w14:val="tx1"/>
            </w14:solidFill>
          </w14:textFill>
        </w:rPr>
        <w:object>
          <v:shape id="_x0000_i1025" o:spt="75" type="#_x0000_t75" style="height:36pt;width:149.2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r>
        <w:rPr>
          <w:rFonts w:ascii="Times New Roman" w:hAnsi="Times New Roman" w:cs="Times New Roman"/>
          <w:color w:val="000000" w:themeColor="text1"/>
          <w:sz w:val="24"/>
          <w:szCs w:val="24"/>
          <w14:textFill>
            <w14:solidFill>
              <w14:schemeClr w14:val="tx1"/>
            </w14:solidFill>
          </w14:textFill>
        </w:rPr>
        <w:t>……………………（4.2-4）</w:t>
      </w:r>
    </w:p>
    <w:p w14:paraId="7C09BE4B">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式中：X（x,y,o）——点（x,y,o）处空气浓度，Bq/m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1CD637D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x</w:t>
      </w:r>
      <w:r>
        <w:rPr>
          <w:rFonts w:ascii="Times New Roman" w:hAnsi="Times New Roman" w:cs="Times New Roman"/>
          <w:color w:val="000000" w:themeColor="text1"/>
          <w:sz w:val="24"/>
          <w:szCs w:val="24"/>
          <w14:textFill>
            <w14:solidFill>
              <w14:schemeClr w14:val="tx1"/>
            </w14:solidFill>
          </w14:textFill>
        </w:rPr>
        <w:t>——下风向离源的距离，m；</w:t>
      </w:r>
    </w:p>
    <w:p w14:paraId="6128D87E">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y</w:t>
      </w:r>
      <w:r>
        <w:rPr>
          <w:rFonts w:ascii="Times New Roman" w:hAnsi="Times New Roman" w:cs="Times New Roman"/>
          <w:color w:val="000000" w:themeColor="text1"/>
          <w:sz w:val="24"/>
          <w:szCs w:val="24"/>
          <w14:textFill>
            <w14:solidFill>
              <w14:schemeClr w14:val="tx1"/>
            </w14:solidFill>
          </w14:textFill>
        </w:rPr>
        <w:t>——横截风向的距离，m；</w:t>
      </w:r>
    </w:p>
    <w:p w14:paraId="77064C1C">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Q——释放率，Bq/s；</w:t>
      </w:r>
    </w:p>
    <w:p w14:paraId="47A2D56B">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σ</w:t>
      </w:r>
      <w:r>
        <w:rPr>
          <w:rFonts w:ascii="Times New Roman" w:hAnsi="Times New Roman" w:cs="Times New Roman"/>
          <w:i/>
          <w:iCs/>
          <w:color w:val="000000" w:themeColor="text1"/>
          <w:sz w:val="24"/>
          <w:szCs w:val="24"/>
          <w:vertAlign w:val="subscript"/>
          <w14:textFill>
            <w14:solidFill>
              <w14:schemeClr w14:val="tx1"/>
            </w14:solidFill>
          </w14:textFill>
        </w:rPr>
        <w:t xml:space="preserve">y </w:t>
      </w:r>
      <w:r>
        <w:rPr>
          <w:rFonts w:ascii="Times New Roman" w:hAnsi="Times New Roman" w:cs="Times New Roman"/>
          <w:i/>
          <w:iCs/>
          <w:color w:val="000000" w:themeColor="text1"/>
          <w:sz w:val="24"/>
          <w:szCs w:val="24"/>
          <w14:textFill>
            <w14:solidFill>
              <w14:schemeClr w14:val="tx1"/>
            </w14:solidFill>
          </w14:textFill>
        </w:rPr>
        <w:t>、σ</w:t>
      </w:r>
      <w:r>
        <w:rPr>
          <w:rFonts w:ascii="Times New Roman" w:hAnsi="Times New Roman" w:cs="Times New Roman"/>
          <w:i/>
          <w:iCs/>
          <w:color w:val="000000" w:themeColor="text1"/>
          <w:sz w:val="24"/>
          <w:szCs w:val="24"/>
          <w:vertAlign w:val="subscript"/>
          <w14:textFill>
            <w14:solidFill>
              <w14:schemeClr w14:val="tx1"/>
            </w14:solidFill>
          </w14:textFill>
        </w:rPr>
        <w:t>z</w:t>
      </w:r>
      <w:r>
        <w:rPr>
          <w:rFonts w:ascii="Times New Roman" w:hAnsi="Times New Roman" w:cs="Times New Roman"/>
          <w:color w:val="000000" w:themeColor="text1"/>
          <w:sz w:val="24"/>
          <w:szCs w:val="24"/>
          <w14:textFill>
            <w14:solidFill>
              <w14:schemeClr w14:val="tx1"/>
            </w14:solidFill>
          </w14:textFill>
        </w:rPr>
        <w:t>——分别为侧向和垂直向的扩散系数，m；</w:t>
      </w:r>
    </w:p>
    <w:p w14:paraId="4CE23E77">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u——有效排放高度的风速，m/s。</w:t>
      </w:r>
    </w:p>
    <w:p w14:paraId="41B2CD8D">
      <w:pPr>
        <w:autoSpaceDE w:val="0"/>
        <w:autoSpaceDN w:val="0"/>
        <w:adjustRightInd w:val="0"/>
        <w:spacing w:after="0" w:line="360" w:lineRule="auto"/>
        <w:ind w:firstLine="480"/>
        <w:rPr>
          <w:rFonts w:ascii="Times New Roman" w:hAnsi="Times New Roman"/>
          <w:color w:val="000000" w:themeColor="text1"/>
          <w:spacing w:val="-2"/>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根据前文项目氡排放量的估算，</w:t>
      </w:r>
      <w:r>
        <w:rPr>
          <w:rFonts w:hint="eastAsia" w:ascii="Times New Roman" w:hAnsi="Times New Roman"/>
          <w:color w:val="000000" w:themeColor="text1"/>
          <w:spacing w:val="-2"/>
          <w:sz w:val="24"/>
          <w:szCs w:val="24"/>
          <w:u w:val="single"/>
          <w14:textFill>
            <w14:solidFill>
              <w14:schemeClr w14:val="tx1"/>
            </w14:solidFill>
          </w14:textFill>
        </w:rPr>
        <w:t>项目氡排放总量为4.83×10</w:t>
      </w:r>
      <w:r>
        <w:rPr>
          <w:rFonts w:hint="eastAsia" w:ascii="Times New Roman" w:hAnsi="Times New Roman"/>
          <w:color w:val="000000" w:themeColor="text1"/>
          <w:spacing w:val="-2"/>
          <w:sz w:val="24"/>
          <w:szCs w:val="24"/>
          <w:u w:val="single"/>
          <w:vertAlign w:val="superscript"/>
          <w14:textFill>
            <w14:solidFill>
              <w14:schemeClr w14:val="tx1"/>
            </w14:solidFill>
          </w14:textFill>
        </w:rPr>
        <w:t>10</w:t>
      </w:r>
      <w:r>
        <w:rPr>
          <w:rFonts w:hint="eastAsia" w:ascii="Times New Roman" w:hAnsi="Times New Roman"/>
          <w:color w:val="000000" w:themeColor="text1"/>
          <w:spacing w:val="-2"/>
          <w:sz w:val="24"/>
          <w:szCs w:val="24"/>
          <w:u w:val="single"/>
          <w14:textFill>
            <w14:solidFill>
              <w14:schemeClr w14:val="tx1"/>
            </w14:solidFill>
          </w14:textFill>
        </w:rPr>
        <w:t>Bq/a，即5588.15 Bq/s。由大气扩散模式计算的各评价子区地面氡浓度见表4.2-1。</w:t>
      </w:r>
    </w:p>
    <w:p w14:paraId="0AD881D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表4.2-1  气载流出物所致各子区空气中氡浓度贡献值</w:t>
      </w:r>
    </w:p>
    <w:tbl>
      <w:tblPr>
        <w:tblStyle w:val="46"/>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3"/>
        <w:gridCol w:w="3424"/>
        <w:gridCol w:w="2572"/>
      </w:tblGrid>
      <w:tr w14:paraId="2F41E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523" w:type="dxa"/>
            <w:vAlign w:val="center"/>
          </w:tcPr>
          <w:p w14:paraId="00ED252F">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方位</w:t>
            </w:r>
          </w:p>
        </w:tc>
        <w:tc>
          <w:tcPr>
            <w:tcW w:w="3424" w:type="dxa"/>
            <w:vAlign w:val="center"/>
          </w:tcPr>
          <w:p w14:paraId="24B83A0B">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0～0.5km氡浓度</w:t>
            </w:r>
            <w:r>
              <w:rPr>
                <w:rFonts w:hint="eastAsia" w:ascii="Times New Roman" w:hAnsi="Times New Roman" w:eastAsia="宋体" w:cs="Times New Roman"/>
                <w:b/>
                <w:bCs/>
                <w:color w:val="000000" w:themeColor="text1"/>
                <w:u w:val="single"/>
                <w14:textFill>
                  <w14:solidFill>
                    <w14:schemeClr w14:val="tx1"/>
                  </w14:solidFill>
                </w14:textFill>
              </w:rPr>
              <w:t>（Bq/m</w:t>
            </w:r>
            <w:r>
              <w:rPr>
                <w:rFonts w:hint="eastAsia" w:ascii="Times New Roman" w:hAnsi="Times New Roman" w:eastAsia="宋体" w:cs="Times New Roman"/>
                <w:b/>
                <w:bCs/>
                <w:color w:val="000000" w:themeColor="text1"/>
                <w:u w:val="single"/>
                <w:vertAlign w:val="superscript"/>
                <w14:textFill>
                  <w14:solidFill>
                    <w14:schemeClr w14:val="tx1"/>
                  </w14:solidFill>
                </w14:textFill>
              </w:rPr>
              <w:t>3</w:t>
            </w:r>
            <w:r>
              <w:rPr>
                <w:rFonts w:hint="eastAsia" w:ascii="Times New Roman" w:hAnsi="Times New Roman" w:eastAsia="宋体" w:cs="Times New Roman"/>
                <w:b/>
                <w:bCs/>
                <w:color w:val="000000" w:themeColor="text1"/>
                <w:u w:val="single"/>
                <w14:textFill>
                  <w14:solidFill>
                    <w14:schemeClr w14:val="tx1"/>
                  </w14:solidFill>
                </w14:textFill>
              </w:rPr>
              <w:t>）</w:t>
            </w:r>
          </w:p>
        </w:tc>
        <w:tc>
          <w:tcPr>
            <w:tcW w:w="2572" w:type="dxa"/>
            <w:vAlign w:val="center"/>
          </w:tcPr>
          <w:p w14:paraId="4A9773CA">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备注</w:t>
            </w:r>
          </w:p>
        </w:tc>
      </w:tr>
      <w:tr w14:paraId="03239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F9869E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t>
            </w:r>
          </w:p>
        </w:tc>
        <w:tc>
          <w:tcPr>
            <w:tcW w:w="3424" w:type="dxa"/>
            <w:vAlign w:val="center"/>
          </w:tcPr>
          <w:p w14:paraId="6524919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0.0786</w:t>
            </w:r>
          </w:p>
        </w:tc>
        <w:tc>
          <w:tcPr>
            <w:tcW w:w="2572" w:type="dxa"/>
          </w:tcPr>
          <w:p w14:paraId="46F3698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3CCC0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86CB20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NNE</w:t>
            </w:r>
          </w:p>
        </w:tc>
        <w:tc>
          <w:tcPr>
            <w:tcW w:w="3424" w:type="dxa"/>
            <w:vAlign w:val="center"/>
          </w:tcPr>
          <w:p w14:paraId="4CF6A8F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0.0717</w:t>
            </w:r>
          </w:p>
        </w:tc>
        <w:tc>
          <w:tcPr>
            <w:tcW w:w="2572" w:type="dxa"/>
          </w:tcPr>
          <w:p w14:paraId="2DBCBD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59D5D7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7AFE7B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NE</w:t>
            </w:r>
          </w:p>
        </w:tc>
        <w:tc>
          <w:tcPr>
            <w:tcW w:w="3424" w:type="dxa"/>
            <w:vAlign w:val="center"/>
          </w:tcPr>
          <w:p w14:paraId="0FCBCA4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0.0676</w:t>
            </w:r>
          </w:p>
        </w:tc>
        <w:tc>
          <w:tcPr>
            <w:tcW w:w="2572" w:type="dxa"/>
          </w:tcPr>
          <w:p w14:paraId="181ADE7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E8FFF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7BB4244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ENE</w:t>
            </w:r>
          </w:p>
        </w:tc>
        <w:tc>
          <w:tcPr>
            <w:tcW w:w="3424" w:type="dxa"/>
            <w:vAlign w:val="center"/>
          </w:tcPr>
          <w:p w14:paraId="48E1F1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0.0617</w:t>
            </w:r>
          </w:p>
        </w:tc>
        <w:tc>
          <w:tcPr>
            <w:tcW w:w="2572" w:type="dxa"/>
          </w:tcPr>
          <w:p w14:paraId="1F08C59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2D4B7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65396CF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w:t>
            </w:r>
          </w:p>
        </w:tc>
        <w:tc>
          <w:tcPr>
            <w:tcW w:w="3424" w:type="dxa"/>
            <w:vAlign w:val="center"/>
          </w:tcPr>
          <w:p w14:paraId="671643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0.0767</w:t>
            </w:r>
          </w:p>
        </w:tc>
        <w:tc>
          <w:tcPr>
            <w:tcW w:w="2572" w:type="dxa"/>
          </w:tcPr>
          <w:p w14:paraId="5C2C5F2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0B153E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43278D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ESE</w:t>
            </w:r>
          </w:p>
        </w:tc>
        <w:tc>
          <w:tcPr>
            <w:tcW w:w="3424" w:type="dxa"/>
            <w:vAlign w:val="center"/>
          </w:tcPr>
          <w:p w14:paraId="5F60E2E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572" w:type="dxa"/>
          </w:tcPr>
          <w:p w14:paraId="22ED77A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132F6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48FE46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SE</w:t>
            </w:r>
          </w:p>
        </w:tc>
        <w:tc>
          <w:tcPr>
            <w:tcW w:w="3424" w:type="dxa"/>
            <w:vAlign w:val="center"/>
          </w:tcPr>
          <w:p w14:paraId="5DD99DD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572" w:type="dxa"/>
          </w:tcPr>
          <w:p w14:paraId="008897A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71EE3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D08AE7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SSE</w:t>
            </w:r>
          </w:p>
        </w:tc>
        <w:tc>
          <w:tcPr>
            <w:tcW w:w="3424" w:type="dxa"/>
            <w:vAlign w:val="center"/>
          </w:tcPr>
          <w:p w14:paraId="7118FA9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0.1099</w:t>
            </w:r>
          </w:p>
        </w:tc>
        <w:tc>
          <w:tcPr>
            <w:tcW w:w="2572" w:type="dxa"/>
          </w:tcPr>
          <w:p w14:paraId="6651F9E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079946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5B18A23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t>
            </w:r>
          </w:p>
        </w:tc>
        <w:tc>
          <w:tcPr>
            <w:tcW w:w="3424" w:type="dxa"/>
            <w:vAlign w:val="center"/>
          </w:tcPr>
          <w:p w14:paraId="5B1361F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0.1052</w:t>
            </w:r>
          </w:p>
        </w:tc>
        <w:tc>
          <w:tcPr>
            <w:tcW w:w="2572" w:type="dxa"/>
          </w:tcPr>
          <w:p w14:paraId="11A1CF4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3B91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E397F6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SSW</w:t>
            </w:r>
          </w:p>
        </w:tc>
        <w:tc>
          <w:tcPr>
            <w:tcW w:w="3424" w:type="dxa"/>
            <w:vAlign w:val="center"/>
          </w:tcPr>
          <w:p w14:paraId="1ED8F4A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0.1143</w:t>
            </w:r>
          </w:p>
        </w:tc>
        <w:tc>
          <w:tcPr>
            <w:tcW w:w="2572" w:type="dxa"/>
          </w:tcPr>
          <w:p w14:paraId="042F400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57F04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0FA1E54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w:t>
            </w:r>
          </w:p>
        </w:tc>
        <w:tc>
          <w:tcPr>
            <w:tcW w:w="3424" w:type="dxa"/>
            <w:vAlign w:val="center"/>
          </w:tcPr>
          <w:p w14:paraId="50E58DA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0.1256</w:t>
            </w:r>
          </w:p>
        </w:tc>
        <w:tc>
          <w:tcPr>
            <w:tcW w:w="2572" w:type="dxa"/>
          </w:tcPr>
          <w:p w14:paraId="1178876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76A47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7745B8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WSW</w:t>
            </w:r>
          </w:p>
        </w:tc>
        <w:tc>
          <w:tcPr>
            <w:tcW w:w="3424" w:type="dxa"/>
            <w:vAlign w:val="center"/>
          </w:tcPr>
          <w:p w14:paraId="05E8E49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0.1157</w:t>
            </w:r>
          </w:p>
        </w:tc>
        <w:tc>
          <w:tcPr>
            <w:tcW w:w="2572" w:type="dxa"/>
          </w:tcPr>
          <w:p w14:paraId="52969A25">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有人子区</w:t>
            </w:r>
          </w:p>
        </w:tc>
      </w:tr>
      <w:tr w14:paraId="2D8AB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DBA488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w:t>
            </w:r>
          </w:p>
        </w:tc>
        <w:tc>
          <w:tcPr>
            <w:tcW w:w="3424" w:type="dxa"/>
            <w:vAlign w:val="center"/>
          </w:tcPr>
          <w:p w14:paraId="0E7D51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0.0961</w:t>
            </w:r>
          </w:p>
        </w:tc>
        <w:tc>
          <w:tcPr>
            <w:tcW w:w="2572" w:type="dxa"/>
          </w:tcPr>
          <w:p w14:paraId="78A3589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5A4814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D8B333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WNW</w:t>
            </w:r>
          </w:p>
        </w:tc>
        <w:tc>
          <w:tcPr>
            <w:tcW w:w="3424" w:type="dxa"/>
            <w:vAlign w:val="center"/>
          </w:tcPr>
          <w:p w14:paraId="2039A57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0.0848</w:t>
            </w:r>
          </w:p>
        </w:tc>
        <w:tc>
          <w:tcPr>
            <w:tcW w:w="2572" w:type="dxa"/>
          </w:tcPr>
          <w:p w14:paraId="5E8CCAA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549A0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1A487C6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w:t>
            </w:r>
          </w:p>
        </w:tc>
        <w:tc>
          <w:tcPr>
            <w:tcW w:w="3424" w:type="dxa"/>
            <w:vAlign w:val="center"/>
          </w:tcPr>
          <w:p w14:paraId="69D92A7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0.0853</w:t>
            </w:r>
          </w:p>
        </w:tc>
        <w:tc>
          <w:tcPr>
            <w:tcW w:w="2572" w:type="dxa"/>
          </w:tcPr>
          <w:p w14:paraId="4B3F40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73536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23" w:type="dxa"/>
          </w:tcPr>
          <w:p w14:paraId="3436921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NNW</w:t>
            </w:r>
          </w:p>
        </w:tc>
        <w:tc>
          <w:tcPr>
            <w:tcW w:w="3424" w:type="dxa"/>
            <w:vAlign w:val="center"/>
          </w:tcPr>
          <w:p w14:paraId="2C9017E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0.0760</w:t>
            </w:r>
          </w:p>
        </w:tc>
        <w:tc>
          <w:tcPr>
            <w:tcW w:w="2572" w:type="dxa"/>
          </w:tcPr>
          <w:p w14:paraId="2EF11F8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3D9E897D">
      <w:pPr>
        <w:autoSpaceDE w:val="0"/>
        <w:autoSpaceDN w:val="0"/>
        <w:adjustRightInd w:val="0"/>
        <w:spacing w:after="0" w:line="360" w:lineRule="auto"/>
        <w:ind w:firstLine="480"/>
        <w:rPr>
          <w:rFonts w:ascii="Times New Roman" w:hAnsi="Times New Roman"/>
          <w:color w:val="000000" w:themeColor="text1"/>
          <w:spacing w:val="-2"/>
          <w:sz w:val="24"/>
          <w:szCs w:val="24"/>
          <w:u w:val="single"/>
          <w14:textFill>
            <w14:solidFill>
              <w14:schemeClr w14:val="tx1"/>
            </w14:solidFill>
          </w14:textFill>
        </w:rPr>
      </w:pPr>
    </w:p>
    <w:p w14:paraId="2B02206D">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公众吸入放射性核素所致有效剂量（D</w:t>
      </w:r>
      <w:r>
        <w:rPr>
          <w:rFonts w:ascii="Times New Roman" w:hAnsi="Times New Roman" w:eastAsia="黑体" w:cs="Times New Roman"/>
          <w:bCs/>
          <w:i w:val="0"/>
          <w:iCs w:val="0"/>
          <w:color w:val="000000" w:themeColor="text1"/>
          <w:kern w:val="2"/>
          <w:sz w:val="24"/>
          <w:vertAlign w:val="subscript"/>
          <w14:textFill>
            <w14:solidFill>
              <w14:schemeClr w14:val="tx1"/>
            </w14:solidFill>
          </w14:textFill>
        </w:rPr>
        <w:t>h</w:t>
      </w:r>
      <w:r>
        <w:rPr>
          <w:rFonts w:ascii="Times New Roman" w:hAnsi="Times New Roman" w:eastAsia="黑体" w:cs="Times New Roman"/>
          <w:bCs/>
          <w:i w:val="0"/>
          <w:iCs w:val="0"/>
          <w:color w:val="000000" w:themeColor="text1"/>
          <w:kern w:val="2"/>
          <w:sz w:val="24"/>
          <w14:textFill>
            <w14:solidFill>
              <w14:schemeClr w14:val="tx1"/>
            </w14:solidFill>
          </w14:textFill>
        </w:rPr>
        <w:t>）</w:t>
      </w:r>
    </w:p>
    <w:p w14:paraId="0554A3B8">
      <w:pPr>
        <w:autoSpaceDE w:val="0"/>
        <w:autoSpaceDN w:val="0"/>
        <w:adjustRightInd w:val="0"/>
        <w:spacing w:after="0" w:line="360" w:lineRule="auto"/>
        <w:ind w:firstLine="480"/>
        <w:rPr>
          <w:rFonts w:ascii="Times New Roman" w:hAnsi="Times New Roman" w:cs="Times New Roman"/>
          <w:color w:val="000000" w:themeColor="text1"/>
          <w:sz w:val="24"/>
          <w:szCs w:val="24"/>
          <w:u w:val="single"/>
          <w14:textFill>
            <w14:solidFill>
              <w14:schemeClr w14:val="tx1"/>
            </w14:solidFill>
          </w14:textFill>
        </w:rPr>
      </w:pPr>
      <w:bookmarkStart w:id="107" w:name="_Hlk37324312"/>
      <w:r>
        <w:rPr>
          <w:rFonts w:hint="eastAsia" w:ascii="Times New Roman" w:hAnsi="Times New Roman" w:cs="Times New Roman"/>
          <w:color w:val="000000" w:themeColor="text1"/>
          <w:sz w:val="24"/>
          <w:szCs w:val="24"/>
          <w:u w:val="single"/>
          <w14:textFill>
            <w14:solidFill>
              <w14:schemeClr w14:val="tx1"/>
            </w14:solidFill>
          </w14:textFill>
        </w:rPr>
        <w:t>根据项目辐射环境评价范围内各子区公众的分布情况，计算各评价范围内各子区的公众剂量。计算结果见表4.2-2。</w:t>
      </w:r>
    </w:p>
    <w:p w14:paraId="57283C43">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表4.2-2  各子区氡吸入所致内照射有效剂量</w:t>
      </w:r>
    </w:p>
    <w:tbl>
      <w:tblPr>
        <w:tblStyle w:val="46"/>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03"/>
        <w:gridCol w:w="2693"/>
        <w:gridCol w:w="2977"/>
        <w:gridCol w:w="1446"/>
      </w:tblGrid>
      <w:tr w14:paraId="601114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403" w:type="dxa"/>
            <w:vAlign w:val="center"/>
          </w:tcPr>
          <w:p w14:paraId="3D9CC4DC">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方位</w:t>
            </w:r>
          </w:p>
        </w:tc>
        <w:tc>
          <w:tcPr>
            <w:tcW w:w="2693" w:type="dxa"/>
            <w:vAlign w:val="center"/>
          </w:tcPr>
          <w:p w14:paraId="423902B0">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ascii="Times New Roman" w:hAnsi="Times New Roman" w:eastAsia="宋体" w:cs="Times New Roman"/>
                <w:b/>
                <w:bCs/>
                <w:color w:val="000000" w:themeColor="text1"/>
                <w:u w:val="single"/>
                <w14:textFill>
                  <w14:solidFill>
                    <w14:schemeClr w14:val="tx1"/>
                  </w14:solidFill>
                </w14:textFill>
              </w:rPr>
              <w:t>0～0.5km氡</w:t>
            </w:r>
            <w:r>
              <w:rPr>
                <w:rFonts w:hint="eastAsia" w:ascii="Times New Roman" w:hAnsi="Times New Roman" w:eastAsia="宋体" w:cs="Times New Roman"/>
                <w:b/>
                <w:bCs/>
                <w:color w:val="000000" w:themeColor="text1"/>
                <w:u w:val="single"/>
                <w14:textFill>
                  <w14:solidFill>
                    <w14:schemeClr w14:val="tx1"/>
                  </w14:solidFill>
                </w14:textFill>
              </w:rPr>
              <w:t>吸入所致内照射有效剂量（mSv/a）</w:t>
            </w:r>
          </w:p>
        </w:tc>
        <w:tc>
          <w:tcPr>
            <w:tcW w:w="2977" w:type="dxa"/>
            <w:vAlign w:val="center"/>
          </w:tcPr>
          <w:p w14:paraId="202900D1">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hint="eastAsia" w:ascii="Times New Roman" w:hAnsi="Times New Roman" w:eastAsia="宋体" w:cs="Times New Roman"/>
                <w:b/>
                <w:bCs/>
                <w:color w:val="000000" w:themeColor="text1"/>
                <w:u w:val="single"/>
                <w14:textFill>
                  <w14:solidFill>
                    <w14:schemeClr w14:val="tx1"/>
                  </w14:solidFill>
                </w14:textFill>
              </w:rPr>
              <w:t>子区涉及敏感点</w:t>
            </w:r>
          </w:p>
        </w:tc>
        <w:tc>
          <w:tcPr>
            <w:tcW w:w="1446" w:type="dxa"/>
            <w:vAlign w:val="center"/>
          </w:tcPr>
          <w:p w14:paraId="02E22E5D">
            <w:pPr>
              <w:spacing w:after="0" w:line="240" w:lineRule="auto"/>
              <w:jc w:val="center"/>
              <w:rPr>
                <w:rFonts w:ascii="Times New Roman" w:hAnsi="Times New Roman" w:eastAsia="宋体" w:cs="Times New Roman"/>
                <w:b/>
                <w:bCs/>
                <w:color w:val="000000" w:themeColor="text1"/>
                <w:u w:val="single"/>
                <w14:textFill>
                  <w14:solidFill>
                    <w14:schemeClr w14:val="tx1"/>
                  </w14:solidFill>
                </w14:textFill>
              </w:rPr>
            </w:pPr>
            <w:r>
              <w:rPr>
                <w:rFonts w:hint="eastAsia" w:ascii="Times New Roman" w:hAnsi="Times New Roman" w:eastAsia="宋体" w:cs="Times New Roman"/>
                <w:b/>
                <w:bCs/>
                <w:color w:val="000000" w:themeColor="text1"/>
                <w:u w:val="single"/>
                <w14:textFill>
                  <w14:solidFill>
                    <w14:schemeClr w14:val="tx1"/>
                  </w14:solidFill>
                </w14:textFill>
              </w:rPr>
              <w:t>子区人数（人）</w:t>
            </w:r>
          </w:p>
        </w:tc>
      </w:tr>
      <w:tr w14:paraId="240F4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A4AD81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t>
            </w:r>
          </w:p>
        </w:tc>
        <w:tc>
          <w:tcPr>
            <w:tcW w:w="2693" w:type="dxa"/>
            <w:vAlign w:val="center"/>
          </w:tcPr>
          <w:p w14:paraId="7450F9C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0.0786</w:t>
            </w:r>
          </w:p>
        </w:tc>
        <w:tc>
          <w:tcPr>
            <w:tcW w:w="2977" w:type="dxa"/>
            <w:vAlign w:val="center"/>
          </w:tcPr>
          <w:p w14:paraId="618AC75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棉纺产业园</w:t>
            </w:r>
          </w:p>
        </w:tc>
        <w:tc>
          <w:tcPr>
            <w:tcW w:w="1446" w:type="dxa"/>
            <w:vAlign w:val="center"/>
          </w:tcPr>
          <w:p w14:paraId="72C38C4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36B13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865016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NNE</w:t>
            </w:r>
          </w:p>
        </w:tc>
        <w:tc>
          <w:tcPr>
            <w:tcW w:w="2693" w:type="dxa"/>
            <w:vAlign w:val="center"/>
          </w:tcPr>
          <w:p w14:paraId="55F4883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0.0717</w:t>
            </w:r>
          </w:p>
        </w:tc>
        <w:tc>
          <w:tcPr>
            <w:tcW w:w="2977" w:type="dxa"/>
            <w:vAlign w:val="center"/>
          </w:tcPr>
          <w:p w14:paraId="211B7DA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棉纺产业园、钦州港冷链保税交易中心</w:t>
            </w:r>
          </w:p>
        </w:tc>
        <w:tc>
          <w:tcPr>
            <w:tcW w:w="1446" w:type="dxa"/>
            <w:vAlign w:val="center"/>
          </w:tcPr>
          <w:p w14:paraId="33BF013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7</w:t>
            </w:r>
          </w:p>
        </w:tc>
      </w:tr>
      <w:tr w14:paraId="54DBF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4790585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NE</w:t>
            </w:r>
          </w:p>
        </w:tc>
        <w:tc>
          <w:tcPr>
            <w:tcW w:w="2693" w:type="dxa"/>
            <w:vAlign w:val="center"/>
          </w:tcPr>
          <w:p w14:paraId="079939A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0.0676</w:t>
            </w:r>
          </w:p>
        </w:tc>
        <w:tc>
          <w:tcPr>
            <w:tcW w:w="2977" w:type="dxa"/>
            <w:vAlign w:val="center"/>
          </w:tcPr>
          <w:p w14:paraId="1C466D4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钦州港冷链保税交易中心、益盐堂</w:t>
            </w:r>
          </w:p>
        </w:tc>
        <w:tc>
          <w:tcPr>
            <w:tcW w:w="1446" w:type="dxa"/>
            <w:vAlign w:val="center"/>
          </w:tcPr>
          <w:p w14:paraId="172DF8A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11</w:t>
            </w:r>
          </w:p>
        </w:tc>
      </w:tr>
      <w:tr w14:paraId="425F8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15FD2F0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ENE</w:t>
            </w:r>
          </w:p>
        </w:tc>
        <w:tc>
          <w:tcPr>
            <w:tcW w:w="2693" w:type="dxa"/>
            <w:vAlign w:val="center"/>
          </w:tcPr>
          <w:p w14:paraId="2D02FF1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6701928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0F8BD24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35AFD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6613FE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w:t>
            </w:r>
          </w:p>
        </w:tc>
        <w:tc>
          <w:tcPr>
            <w:tcW w:w="2693" w:type="dxa"/>
            <w:vAlign w:val="center"/>
          </w:tcPr>
          <w:p w14:paraId="2821F19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0.0767</w:t>
            </w:r>
          </w:p>
        </w:tc>
        <w:tc>
          <w:tcPr>
            <w:tcW w:w="2977" w:type="dxa"/>
            <w:vAlign w:val="center"/>
          </w:tcPr>
          <w:p w14:paraId="393EB4E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海纳新材料</w:t>
            </w:r>
          </w:p>
        </w:tc>
        <w:tc>
          <w:tcPr>
            <w:tcW w:w="1446" w:type="dxa"/>
            <w:vAlign w:val="center"/>
          </w:tcPr>
          <w:p w14:paraId="2154239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p>
        </w:tc>
      </w:tr>
      <w:tr w14:paraId="31F80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36F154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ESE</w:t>
            </w:r>
          </w:p>
        </w:tc>
        <w:tc>
          <w:tcPr>
            <w:tcW w:w="2693" w:type="dxa"/>
            <w:vAlign w:val="center"/>
          </w:tcPr>
          <w:p w14:paraId="6350C6D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2CEA422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1D7214C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0B2E71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1403CD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SE</w:t>
            </w:r>
          </w:p>
        </w:tc>
        <w:tc>
          <w:tcPr>
            <w:tcW w:w="2693" w:type="dxa"/>
            <w:vAlign w:val="center"/>
          </w:tcPr>
          <w:p w14:paraId="70F8733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0.1195</w:t>
            </w:r>
          </w:p>
        </w:tc>
        <w:tc>
          <w:tcPr>
            <w:tcW w:w="2977" w:type="dxa"/>
            <w:vAlign w:val="center"/>
          </w:tcPr>
          <w:p w14:paraId="066927F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星火物流</w:t>
            </w:r>
          </w:p>
        </w:tc>
        <w:tc>
          <w:tcPr>
            <w:tcW w:w="1446" w:type="dxa"/>
            <w:vAlign w:val="center"/>
          </w:tcPr>
          <w:p w14:paraId="0F7746A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215061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FD11EE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SSE</w:t>
            </w:r>
          </w:p>
        </w:tc>
        <w:tc>
          <w:tcPr>
            <w:tcW w:w="2693" w:type="dxa"/>
            <w:vAlign w:val="center"/>
          </w:tcPr>
          <w:p w14:paraId="649BD57E">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0.1099</w:t>
            </w:r>
          </w:p>
        </w:tc>
        <w:tc>
          <w:tcPr>
            <w:tcW w:w="2977" w:type="dxa"/>
            <w:vAlign w:val="center"/>
          </w:tcPr>
          <w:p w14:paraId="495A1E7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星火物流</w:t>
            </w:r>
          </w:p>
        </w:tc>
        <w:tc>
          <w:tcPr>
            <w:tcW w:w="1446" w:type="dxa"/>
            <w:vAlign w:val="center"/>
          </w:tcPr>
          <w:p w14:paraId="43D4A7F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w:t>
            </w:r>
          </w:p>
        </w:tc>
      </w:tr>
      <w:tr w14:paraId="547E4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23B8446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t>
            </w:r>
          </w:p>
        </w:tc>
        <w:tc>
          <w:tcPr>
            <w:tcW w:w="2693" w:type="dxa"/>
            <w:vAlign w:val="center"/>
          </w:tcPr>
          <w:p w14:paraId="6F2547B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0.1052</w:t>
            </w:r>
          </w:p>
        </w:tc>
        <w:tc>
          <w:tcPr>
            <w:tcW w:w="2977" w:type="dxa"/>
            <w:vAlign w:val="center"/>
          </w:tcPr>
          <w:p w14:paraId="043DDE1A">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创大汽车园内3号仓库南面、创大仓储</w:t>
            </w:r>
          </w:p>
        </w:tc>
        <w:tc>
          <w:tcPr>
            <w:tcW w:w="1446" w:type="dxa"/>
            <w:vAlign w:val="center"/>
          </w:tcPr>
          <w:p w14:paraId="7CE7A3E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8</w:t>
            </w:r>
          </w:p>
        </w:tc>
      </w:tr>
      <w:tr w14:paraId="26117D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B77277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SSW</w:t>
            </w:r>
          </w:p>
        </w:tc>
        <w:tc>
          <w:tcPr>
            <w:tcW w:w="2693" w:type="dxa"/>
            <w:vAlign w:val="center"/>
          </w:tcPr>
          <w:p w14:paraId="7530DC5C">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0.1143</w:t>
            </w:r>
          </w:p>
        </w:tc>
        <w:tc>
          <w:tcPr>
            <w:tcW w:w="2977" w:type="dxa"/>
            <w:vAlign w:val="center"/>
          </w:tcPr>
          <w:p w14:paraId="6E82AC1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创大仓储</w:t>
            </w:r>
          </w:p>
        </w:tc>
        <w:tc>
          <w:tcPr>
            <w:tcW w:w="1446" w:type="dxa"/>
            <w:vAlign w:val="center"/>
          </w:tcPr>
          <w:p w14:paraId="325C352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4</w:t>
            </w:r>
          </w:p>
        </w:tc>
      </w:tr>
      <w:tr w14:paraId="5510B9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07FDBF7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SW</w:t>
            </w:r>
          </w:p>
        </w:tc>
        <w:tc>
          <w:tcPr>
            <w:tcW w:w="2693" w:type="dxa"/>
            <w:vAlign w:val="center"/>
          </w:tcPr>
          <w:p w14:paraId="2CA6DDD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1899885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0E2E2AD3">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66B30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D9E489F">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WSW</w:t>
            </w:r>
          </w:p>
        </w:tc>
        <w:tc>
          <w:tcPr>
            <w:tcW w:w="2693" w:type="dxa"/>
            <w:vAlign w:val="center"/>
          </w:tcPr>
          <w:p w14:paraId="3C54ED3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0.1157</w:t>
            </w:r>
          </w:p>
        </w:tc>
        <w:tc>
          <w:tcPr>
            <w:tcW w:w="2977" w:type="dxa"/>
            <w:vAlign w:val="center"/>
          </w:tcPr>
          <w:p w14:paraId="211CBE0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创大汽车园内1号仓库</w:t>
            </w:r>
          </w:p>
        </w:tc>
        <w:tc>
          <w:tcPr>
            <w:tcW w:w="1446" w:type="dxa"/>
            <w:vAlign w:val="center"/>
          </w:tcPr>
          <w:p w14:paraId="3A5F034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1</w:t>
            </w:r>
          </w:p>
        </w:tc>
      </w:tr>
      <w:tr w14:paraId="31FFF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C173B42">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w:t>
            </w:r>
          </w:p>
        </w:tc>
        <w:tc>
          <w:tcPr>
            <w:tcW w:w="2693" w:type="dxa"/>
            <w:vAlign w:val="center"/>
          </w:tcPr>
          <w:p w14:paraId="2249491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7084CED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3299C86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161ED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4443804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WNW</w:t>
            </w:r>
          </w:p>
        </w:tc>
        <w:tc>
          <w:tcPr>
            <w:tcW w:w="2693" w:type="dxa"/>
            <w:vAlign w:val="center"/>
          </w:tcPr>
          <w:p w14:paraId="6C9CE62D">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5A374A00">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30C8636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3CA75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379F902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NW</w:t>
            </w:r>
          </w:p>
        </w:tc>
        <w:tc>
          <w:tcPr>
            <w:tcW w:w="2693" w:type="dxa"/>
            <w:vAlign w:val="center"/>
          </w:tcPr>
          <w:p w14:paraId="7F6AA559">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39563E7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2C20B67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r w14:paraId="0BD1B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3" w:type="dxa"/>
            <w:vAlign w:val="center"/>
          </w:tcPr>
          <w:p w14:paraId="7A578F68">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宋体" w:cs="Times New Roman"/>
                <w:color w:val="000000" w:themeColor="text1"/>
                <w:u w:val="single"/>
                <w14:textFill>
                  <w14:solidFill>
                    <w14:schemeClr w14:val="tx1"/>
                  </w14:solidFill>
                </w14:textFill>
              </w:rPr>
              <w:t>NNW</w:t>
            </w:r>
          </w:p>
        </w:tc>
        <w:tc>
          <w:tcPr>
            <w:tcW w:w="2693" w:type="dxa"/>
            <w:vAlign w:val="center"/>
          </w:tcPr>
          <w:p w14:paraId="0C259487">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0</w:t>
            </w:r>
          </w:p>
        </w:tc>
        <w:tc>
          <w:tcPr>
            <w:tcW w:w="2977" w:type="dxa"/>
            <w:vAlign w:val="center"/>
          </w:tcPr>
          <w:p w14:paraId="18BFA961">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c>
          <w:tcPr>
            <w:tcW w:w="1446" w:type="dxa"/>
            <w:vAlign w:val="center"/>
          </w:tcPr>
          <w:p w14:paraId="54693FC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p>
        </w:tc>
      </w:tr>
    </w:tbl>
    <w:p w14:paraId="36DFF5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p>
    <w:p w14:paraId="0010EC75">
      <w:pPr>
        <w:autoSpaceDE w:val="0"/>
        <w:autoSpaceDN w:val="0"/>
        <w:adjustRightInd w:val="0"/>
        <w:spacing w:after="0" w:line="360" w:lineRule="auto"/>
        <w:ind w:firstLine="48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根据表4.2-2可知，项目气载流出物所致各子区空气中氡浓度贡献值总体相对较小，对周边公众影响不大，其中有人子区中氡吸入所致内照射有效剂量稍大的是项目南面的星火物流及创大仓储。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项目评价范围内无居民区、配套宿舍区，项目产生气载流出物对周边公众产生辐射影响较小。</w:t>
      </w:r>
    </w:p>
    <w:p w14:paraId="244C010C">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08" w:name="_Toc78822669"/>
      <w:r>
        <w:rPr>
          <w:rFonts w:ascii="Times New Roman" w:hAnsi="Times New Roman" w:eastAsia="黑体" w:cs="Times New Roman"/>
          <w:b/>
          <w:bCs/>
          <w:caps w:val="0"/>
          <w:color w:val="000000" w:themeColor="text1"/>
          <w:kern w:val="2"/>
          <w:sz w:val="24"/>
          <w:szCs w:val="32"/>
          <w14:textFill>
            <w14:solidFill>
              <w14:schemeClr w14:val="tx1"/>
            </w14:solidFill>
          </w14:textFill>
        </w:rPr>
        <w:t>涉及辐射的工作人员剂量估算</w:t>
      </w:r>
      <w:bookmarkEnd w:id="108"/>
    </w:p>
    <w:p w14:paraId="12D0FA36">
      <w:pPr>
        <w:autoSpaceDE w:val="0"/>
        <w:autoSpaceDN w:val="0"/>
        <w:adjustRightInd w:val="0"/>
        <w:spacing w:after="0" w:line="360" w:lineRule="auto"/>
        <w:ind w:firstLine="48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在整个生产过程中，工作人员主要是受到原料、中间产品和产品中放射性核素的γ外照射和吸入氡、吸入放射性核素所致有效剂量当量。本项目气载放射性流出物辐射环境影响预测，根据IAEA和ICRP剂量计算模式中剂量模式和参数，具体模式与参数详见附录。</w:t>
      </w:r>
    </w:p>
    <w:p w14:paraId="761BAA5A">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剂量估算模式</w:t>
      </w:r>
    </w:p>
    <w:p w14:paraId="1E633C81">
      <w:pPr>
        <w:spacing w:after="0" w:line="360" w:lineRule="auto"/>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（1）γ辐射剂量率外照射剂量估算公式</w:t>
      </w:r>
    </w:p>
    <w:p w14:paraId="6014D370">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本项目γ辐射剂量率外照射对工作人员产生的有效剂量参照《环境地表γ辐射剂量率测定规范》（GB/T14583-93）中剂量估算模式进行估算：</w:t>
      </w:r>
    </w:p>
    <w:p w14:paraId="1A0060D5">
      <w:pPr>
        <w:adjustRightInd w:val="0"/>
        <w:snapToGrid w:val="0"/>
        <w:spacing w:after="0" w:line="360" w:lineRule="auto"/>
        <w:ind w:right="480" w:firstLine="480"/>
        <w:jc w:val="righ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position w:val="-10"/>
          <w:sz w:val="24"/>
          <w:szCs w:val="24"/>
          <w14:textFill>
            <w14:solidFill>
              <w14:schemeClr w14:val="tx1"/>
            </w14:solidFill>
          </w14:textFill>
        </w:rPr>
        <w:object>
          <v:shape id="_x0000_i1026" o:spt="75" type="#_x0000_t75" style="height:23.25pt;width:108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ascii="Times New Roman" w:hAnsi="Times New Roman" w:cs="Times New Roman"/>
          <w:color w:val="000000" w:themeColor="text1"/>
          <w:sz w:val="24"/>
          <w:szCs w:val="24"/>
          <w14:textFill>
            <w14:solidFill>
              <w14:schemeClr w14:val="tx1"/>
            </w14:solidFill>
          </w14:textFill>
        </w:rPr>
        <w:t>………………………（4.2-5）</w:t>
      </w:r>
    </w:p>
    <w:p w14:paraId="1B8F897F">
      <w:pPr>
        <w:adjustRightInd w:val="0"/>
        <w:snapToGrid w:val="0"/>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式中：He—为有效剂量当量，mSv/a；</w:t>
      </w:r>
    </w:p>
    <w:p w14:paraId="6C9A96DD">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w:t>
      </w:r>
      <w:r>
        <w:rPr>
          <w:rFonts w:ascii="Times New Roman" w:hAnsi="Times New Roman" w:cs="Times New Roman"/>
          <w:color w:val="000000" w:themeColor="text1"/>
          <w:sz w:val="24"/>
          <w:szCs w:val="24"/>
          <w:vertAlign w:val="subscript"/>
          <w14:textFill>
            <w14:solidFill>
              <w14:schemeClr w14:val="tx1"/>
            </w14:solidFill>
          </w14:textFill>
        </w:rPr>
        <w:t>γ</w:t>
      </w:r>
      <w:r>
        <w:rPr>
          <w:rFonts w:ascii="Times New Roman" w:hAnsi="Times New Roman" w:cs="Times New Roman"/>
          <w:color w:val="000000" w:themeColor="text1"/>
          <w:sz w:val="24"/>
          <w:szCs w:val="24"/>
          <w14:textFill>
            <w14:solidFill>
              <w14:schemeClr w14:val="tx1"/>
            </w14:solidFill>
          </w14:textFill>
        </w:rPr>
        <w:t>—为环境地表γ辐射空气吸收剂量率，μGy/h；</w:t>
      </w:r>
    </w:p>
    <w:p w14:paraId="019A924D">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 —表示该种情况下的年工作总小时数，h/a；</w:t>
      </w:r>
    </w:p>
    <w:p w14:paraId="21EB4ABF">
      <w:pPr>
        <w:adjustRightInd w:val="0"/>
        <w:snapToGrid w:val="0"/>
        <w:spacing w:after="0" w:line="360" w:lineRule="auto"/>
        <w:ind w:firstLine="720" w:firstLineChars="3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 —为空气中吸收剂量换算为有效剂量当量的转换因子，本项目取0.7，单位为Sv/Gy。</w:t>
      </w:r>
    </w:p>
    <w:p w14:paraId="5A9F52C2">
      <w:pPr>
        <w:spacing w:after="0" w:line="360" w:lineRule="auto"/>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（2）吸入氡有效剂量估算公式</w:t>
      </w:r>
    </w:p>
    <w:p w14:paraId="2D36CBDC">
      <w:pPr>
        <w:spacing w:after="0" w:line="360" w:lineRule="auto"/>
        <w:ind w:firstLine="2880" w:firstLineChars="1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drawing>
          <wp:inline distT="0" distB="0" distL="0" distR="0">
            <wp:extent cx="1209675" cy="2635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46467" cy="272116"/>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………………………（4.2-6）</w:t>
      </w:r>
    </w:p>
    <w:p w14:paraId="2A377DF5">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i/>
          <w:color w:val="000000" w:themeColor="text1"/>
          <w:sz w:val="24"/>
          <w:szCs w:val="24"/>
          <w14:textFill>
            <w14:solidFill>
              <w14:schemeClr w14:val="tx1"/>
            </w14:solidFill>
          </w14:textFill>
        </w:rPr>
        <w:drawing>
          <wp:inline distT="0" distB="0" distL="0" distR="0">
            <wp:extent cx="257175" cy="2286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7175" cy="22860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Rn浓度，Bq/m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2DE7DAF9">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drawing>
          <wp:inline distT="0" distB="0" distL="0" distR="0">
            <wp:extent cx="142875" cy="16192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—受照时间，h；</w:t>
      </w:r>
    </w:p>
    <w:p w14:paraId="32C85A6D">
      <w:pPr>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drawing>
          <wp:inline distT="0" distB="0" distL="0" distR="0">
            <wp:extent cx="342900" cy="228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vertAlign w:val="superscript"/>
          <w14:textFill>
            <w14:solidFill>
              <w14:schemeClr w14:val="tx1"/>
            </w14:solidFill>
          </w14:textFill>
        </w:rPr>
        <w:t>222</w:t>
      </w:r>
      <w:r>
        <w:rPr>
          <w:rFonts w:ascii="Times New Roman" w:hAnsi="Times New Roman" w:cs="Times New Roman"/>
          <w:color w:val="000000" w:themeColor="text1"/>
          <w:sz w:val="24"/>
          <w:szCs w:val="24"/>
          <w14:textFill>
            <w14:solidFill>
              <w14:schemeClr w14:val="tx1"/>
            </w14:solidFill>
          </w14:textFill>
        </w:rPr>
        <w:t>Rn及其子体剂量转换因子，根据《室内氡及其子体控制要求》（GBT 16146-2015）取</w:t>
      </w:r>
      <w:r>
        <w:rPr>
          <w:rFonts w:hint="eastAsia" w:ascii="Times New Roman" w:hAnsi="Times New Roman" w:cs="Times New Roman"/>
          <w:color w:val="000000" w:themeColor="text1"/>
          <w:sz w:val="24"/>
          <w:szCs w:val="24"/>
          <w14:textFill>
            <w14:solidFill>
              <w14:schemeClr w14:val="tx1"/>
            </w14:solidFill>
          </w14:textFill>
        </w:rPr>
        <w:t>0</w:t>
      </w:r>
      <w:r>
        <w:rPr>
          <w:rFonts w:ascii="Times New Roman" w:hAnsi="Times New Roman" w:cs="Times New Roman"/>
          <w:color w:val="000000" w:themeColor="text1"/>
          <w:sz w:val="24"/>
          <w:szCs w:val="24"/>
          <w14:textFill>
            <w14:solidFill>
              <w14:schemeClr w14:val="tx1"/>
            </w14:solidFill>
          </w14:textFill>
        </w:rPr>
        <w:t>.17×10</w:t>
      </w:r>
      <w:r>
        <w:rPr>
          <w:rFonts w:ascii="Times New Roman" w:hAnsi="Times New Roman" w:cs="Times New Roman"/>
          <w:color w:val="000000" w:themeColor="text1"/>
          <w:sz w:val="24"/>
          <w:szCs w:val="24"/>
          <w:vertAlign w:val="superscript"/>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mSv/Bq·h·m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14:paraId="4B41C484">
      <w:pPr>
        <w:spacing w:after="0" w:line="360" w:lineRule="auto"/>
        <w:ind w:firstLine="48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（3）吸入放射性核素所致有效剂量估算公式</w:t>
      </w:r>
    </w:p>
    <w:p w14:paraId="351CC948">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吸入所致内照射的放射性核素主要为</w:t>
      </w:r>
      <w:r>
        <w:rPr>
          <w:rFonts w:ascii="Times New Roman" w:hAnsi="Times New Roman" w:cs="Times New Roman"/>
          <w:color w:val="000000" w:themeColor="text1"/>
          <w:sz w:val="24"/>
          <w:szCs w:val="24"/>
          <w:vertAlign w:val="superscript"/>
          <w14:textFill>
            <w14:solidFill>
              <w14:schemeClr w14:val="tx1"/>
            </w14:solidFill>
          </w14:textFill>
        </w:rPr>
        <w:t>232</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Ra，吸入放射性核素所致有效剂量可按下式计算：</w:t>
      </w:r>
    </w:p>
    <w:p w14:paraId="2C629404">
      <w:pPr>
        <w:spacing w:after="0" w:line="360" w:lineRule="auto"/>
        <w:ind w:firstLine="960" w:firstLineChars="400"/>
        <w:jc w:val="center"/>
        <w:rPr>
          <w:rFonts w:ascii="Times New Roman" w:hAnsi="Times New Roman" w:cs="Times New Roman"/>
          <w:color w:val="000000" w:themeColor="text1"/>
          <w:sz w:val="24"/>
          <w:szCs w:val="24"/>
          <w:lang w:val="fr-FR"/>
          <w14:textFill>
            <w14:solidFill>
              <w14:schemeClr w14:val="tx1"/>
            </w14:solidFill>
          </w14:textFill>
        </w:rPr>
      </w:pPr>
      <w:r>
        <w:rPr>
          <w:rFonts w:hint="eastAsia" w:ascii="Times New Roman" w:hAnsi="Times New Roman" w:cs="Times New Roman"/>
          <w:i/>
          <w:color w:val="000000" w:themeColor="text1"/>
          <w:sz w:val="24"/>
          <w:szCs w:val="24"/>
          <w:lang w:val="fr-FR"/>
          <w14:textFill>
            <w14:solidFill>
              <w14:schemeClr w14:val="tx1"/>
            </w14:solidFill>
          </w14:textFill>
        </w:rPr>
        <w:t xml:space="preserve">             </w:t>
      </w:r>
      <w:r>
        <w:rPr>
          <w:rFonts w:ascii="Times New Roman" w:hAnsi="Times New Roman" w:cs="Times New Roman"/>
          <w:i/>
          <w:color w:val="000000" w:themeColor="text1"/>
          <w:sz w:val="24"/>
          <w:szCs w:val="24"/>
          <w:lang w:val="fr-FR"/>
          <w14:textFill>
            <w14:solidFill>
              <w14:schemeClr w14:val="tx1"/>
            </w14:solidFill>
          </w14:textFill>
        </w:rPr>
        <w:t>D</w:t>
      </w:r>
      <w:r>
        <w:rPr>
          <w:rFonts w:ascii="Times New Roman" w:hAnsi="Times New Roman" w:cs="Times New Roman"/>
          <w:i/>
          <w:color w:val="000000" w:themeColor="text1"/>
          <w:sz w:val="24"/>
          <w:szCs w:val="24"/>
          <w:vertAlign w:val="subscript"/>
          <w:lang w:val="fr-FR"/>
          <w14:textFill>
            <w14:solidFill>
              <w14:schemeClr w14:val="tx1"/>
            </w14:solidFill>
          </w14:textFill>
        </w:rPr>
        <w:t>h</w:t>
      </w:r>
      <w:r>
        <w:rPr>
          <w:rFonts w:ascii="Times New Roman" w:hAnsi="Times New Roman" w:cs="Times New Roman"/>
          <w:i/>
          <w:color w:val="000000" w:themeColor="text1"/>
          <w:sz w:val="24"/>
          <w:szCs w:val="24"/>
          <w:lang w:val="fr-FR"/>
          <w14:textFill>
            <w14:solidFill>
              <w14:schemeClr w14:val="tx1"/>
            </w14:solidFill>
          </w14:textFill>
        </w:rPr>
        <w:t>=C</w:t>
      </w:r>
      <w:r>
        <w:rPr>
          <w:rFonts w:ascii="Times New Roman" w:hAnsi="Times New Roman" w:cs="Times New Roman"/>
          <w:i/>
          <w:color w:val="000000" w:themeColor="text1"/>
          <w:sz w:val="24"/>
          <w:szCs w:val="24"/>
          <w:vertAlign w:val="subscript"/>
          <w:lang w:val="fr-FR"/>
          <w14:textFill>
            <w14:solidFill>
              <w14:schemeClr w14:val="tx1"/>
            </w14:solidFill>
          </w14:textFill>
        </w:rPr>
        <w:t>尘</w:t>
      </w:r>
      <w:r>
        <w:rPr>
          <w:rFonts w:ascii="Times New Roman" w:hAnsi="Times New Roman" w:cs="Times New Roman"/>
          <w:i/>
          <w:color w:val="000000" w:themeColor="text1"/>
          <w:sz w:val="24"/>
          <w:szCs w:val="24"/>
          <w:lang w:val="fr-FR"/>
          <w14:textFill>
            <w14:solidFill>
              <w14:schemeClr w14:val="tx1"/>
            </w14:solidFill>
          </w14:textFill>
        </w:rPr>
        <w:t>×f</w:t>
      </w:r>
      <w:r>
        <w:rPr>
          <w:rFonts w:ascii="Times New Roman" w:hAnsi="Times New Roman" w:cs="Times New Roman"/>
          <w:i/>
          <w:color w:val="000000" w:themeColor="text1"/>
          <w:sz w:val="24"/>
          <w:szCs w:val="24"/>
          <w:vertAlign w:val="subscript"/>
          <w:lang w:val="fr-FR"/>
          <w14:textFill>
            <w14:solidFill>
              <w14:schemeClr w14:val="tx1"/>
            </w14:solidFill>
          </w14:textFill>
        </w:rPr>
        <w:t>i</w:t>
      </w:r>
      <w:r>
        <w:rPr>
          <w:rFonts w:ascii="Times New Roman" w:hAnsi="Times New Roman" w:cs="Times New Roman"/>
          <w:i/>
          <w:color w:val="000000" w:themeColor="text1"/>
          <w:sz w:val="24"/>
          <w:szCs w:val="24"/>
          <w:lang w:val="fr-FR"/>
          <w14:textFill>
            <w14:solidFill>
              <w14:schemeClr w14:val="tx1"/>
            </w14:solidFill>
          </w14:textFill>
        </w:rPr>
        <w:t>×t ×R ×G</w:t>
      </w:r>
      <w:r>
        <w:rPr>
          <w:rFonts w:ascii="Times New Roman" w:hAnsi="Times New Roman" w:cs="Times New Roman"/>
          <w:color w:val="000000" w:themeColor="text1"/>
          <w:sz w:val="24"/>
          <w:szCs w:val="24"/>
          <w:vertAlign w:val="subscript"/>
          <w:lang w:val="fr-FR"/>
          <w14:textFill>
            <w14:solidFill>
              <w14:schemeClr w14:val="tx1"/>
            </w14:solidFill>
          </w14:textFill>
        </w:rPr>
        <w:t>i</w:t>
      </w:r>
      <w:r>
        <w:rPr>
          <w:rFonts w:ascii="Times New Roman" w:hAnsi="Times New Roman" w:cs="Times New Roman"/>
          <w:i/>
          <w:color w:val="000000" w:themeColor="text1"/>
          <w:sz w:val="24"/>
          <w:szCs w:val="24"/>
          <w:lang w:val="fr-FR"/>
          <w14:textFill>
            <w14:solidFill>
              <w14:schemeClr w14:val="tx1"/>
            </w14:solidFill>
          </w14:textFill>
        </w:rPr>
        <w:t>×</w:t>
      </w:r>
      <w:r>
        <w:rPr>
          <w:rFonts w:ascii="Times New Roman" w:hAnsi="Times New Roman" w:cs="Times New Roman"/>
          <w:iCs/>
          <w:color w:val="000000" w:themeColor="text1"/>
          <w:sz w:val="24"/>
          <w:szCs w:val="24"/>
          <w:lang w:val="fr-FR"/>
          <w14:textFill>
            <w14:solidFill>
              <w14:schemeClr w14:val="tx1"/>
            </w14:solidFill>
          </w14:textFill>
        </w:rPr>
        <w:t>10</w:t>
      </w:r>
      <w:r>
        <w:rPr>
          <w:rFonts w:ascii="Times New Roman" w:hAnsi="Times New Roman" w:cs="Times New Roman"/>
          <w:iCs/>
          <w:color w:val="000000" w:themeColor="text1"/>
          <w:sz w:val="24"/>
          <w:szCs w:val="24"/>
          <w:vertAlign w:val="superscript"/>
          <w:lang w:val="fr-FR"/>
          <w14:textFill>
            <w14:solidFill>
              <w14:schemeClr w14:val="tx1"/>
            </w14:solidFill>
          </w14:textFill>
        </w:rPr>
        <w:t>-6</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式</w:t>
      </w:r>
      <w:r>
        <w:rPr>
          <w:rFonts w:ascii="Times New Roman" w:hAnsi="Times New Roman" w:cs="Times New Roman"/>
          <w:color w:val="000000" w:themeColor="text1"/>
          <w:sz w:val="24"/>
          <w:szCs w:val="24"/>
          <w:lang w:val="fr-FR"/>
          <w14:textFill>
            <w14:solidFill>
              <w14:schemeClr w14:val="tx1"/>
            </w14:solidFill>
          </w14:textFill>
        </w:rPr>
        <w:t>4.2-7）</w:t>
      </w:r>
    </w:p>
    <w:p w14:paraId="5CD53485">
      <w:pPr>
        <w:spacing w:after="0" w:line="360" w:lineRule="auto"/>
        <w:ind w:firstLine="480"/>
        <w:rPr>
          <w:rFonts w:ascii="Times New Roman" w:hAnsi="Times New Roman" w:cs="Times New Roman"/>
          <w:color w:val="000000" w:themeColor="text1"/>
          <w:sz w:val="24"/>
          <w:szCs w:val="24"/>
          <w:lang w:val="fr-FR"/>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式中</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i/>
          <w:color w:val="000000" w:themeColor="text1"/>
          <w:sz w:val="24"/>
          <w:szCs w:val="24"/>
          <w:lang w:val="fr-FR"/>
          <w14:textFill>
            <w14:solidFill>
              <w14:schemeClr w14:val="tx1"/>
            </w14:solidFill>
          </w14:textFill>
        </w:rPr>
        <w:t>D</w:t>
      </w:r>
      <w:r>
        <w:rPr>
          <w:rFonts w:ascii="Times New Roman" w:hAnsi="Times New Roman" w:cs="Times New Roman"/>
          <w:i/>
          <w:color w:val="000000" w:themeColor="text1"/>
          <w:sz w:val="24"/>
          <w:szCs w:val="24"/>
          <w:vertAlign w:val="subscript"/>
          <w:lang w:val="fr-FR"/>
          <w14:textFill>
            <w14:solidFill>
              <w14:schemeClr w14:val="tx1"/>
            </w14:solidFill>
          </w14:textFill>
        </w:rPr>
        <w:t>h</w:t>
      </w:r>
      <w:r>
        <w:rPr>
          <w:rFonts w:ascii="Times New Roman" w:hAnsi="Times New Roman" w:cs="Times New Roman"/>
          <w:color w:val="000000" w:themeColor="text1"/>
          <w:sz w:val="24"/>
          <w:szCs w:val="24"/>
          <w:lang w:val="fr-FR"/>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吸入再悬浮核素</w:t>
      </w:r>
      <w:r>
        <w:rPr>
          <w:rFonts w:ascii="Times New Roman" w:hAnsi="Times New Roman" w:cs="Times New Roman"/>
          <w:color w:val="000000" w:themeColor="text1"/>
          <w:sz w:val="24"/>
          <w:szCs w:val="24"/>
          <w:lang w:val="fr-FR"/>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所致内照射剂量</w:t>
      </w:r>
      <w:r>
        <w:rPr>
          <w:rFonts w:ascii="Times New Roman" w:hAnsi="Times New Roman" w:cs="Times New Roman"/>
          <w:color w:val="000000" w:themeColor="text1"/>
          <w:sz w:val="24"/>
          <w:szCs w:val="24"/>
          <w:lang w:val="fr-FR"/>
          <w14:textFill>
            <w14:solidFill>
              <w14:schemeClr w14:val="tx1"/>
            </w14:solidFill>
          </w14:textFill>
        </w:rPr>
        <w:t>，Sv/a；</w:t>
      </w:r>
    </w:p>
    <w:p w14:paraId="7A4CAEB3">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C</w:t>
      </w:r>
      <w:r>
        <w:rPr>
          <w:rFonts w:ascii="Times New Roman" w:hAnsi="Times New Roman" w:cs="Times New Roman"/>
          <w:i/>
          <w:iCs/>
          <w:color w:val="000000" w:themeColor="text1"/>
          <w:sz w:val="24"/>
          <w:szCs w:val="24"/>
          <w:vertAlign w:val="subscript"/>
          <w14:textFill>
            <w14:solidFill>
              <w14:schemeClr w14:val="tx1"/>
            </w14:solidFill>
          </w14:textFill>
        </w:rPr>
        <w:t>尘</w:t>
      </w:r>
      <w:r>
        <w:rPr>
          <w:rFonts w:ascii="Times New Roman" w:hAnsi="Times New Roman" w:cs="Times New Roman"/>
          <w:color w:val="000000" w:themeColor="text1"/>
          <w:sz w:val="24"/>
          <w:szCs w:val="24"/>
          <w14:textFill>
            <w14:solidFill>
              <w14:schemeClr w14:val="tx1"/>
            </w14:solidFill>
          </w14:textFill>
        </w:rPr>
        <w:t> ——吸入该厂排放的粉尘浓度，mg/m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w:t>
      </w:r>
    </w:p>
    <w:p w14:paraId="6AD707CE">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f</w:t>
      </w:r>
      <w:r>
        <w:rPr>
          <w:rFonts w:ascii="Times New Roman" w:hAnsi="Times New Roman" w:cs="Times New Roman"/>
          <w:i/>
          <w:iCs/>
          <w:color w:val="000000" w:themeColor="text1"/>
          <w:sz w:val="24"/>
          <w:szCs w:val="24"/>
          <w:vertAlign w:val="subscript"/>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——吸入矿尘第 i 种核素比活度浓度，Bq/kg；</w:t>
      </w:r>
    </w:p>
    <w:p w14:paraId="56535090">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t</w:t>
      </w:r>
      <w:r>
        <w:rPr>
          <w:rFonts w:ascii="Times New Roman" w:hAnsi="Times New Roman" w:cs="Times New Roman"/>
          <w:color w:val="000000" w:themeColor="text1"/>
          <w:sz w:val="24"/>
          <w:szCs w:val="24"/>
          <w14:textFill>
            <w14:solidFill>
              <w14:schemeClr w14:val="tx1"/>
            </w14:solidFill>
          </w14:textFill>
        </w:rPr>
        <w:t> ——每年停留时间，h；</w:t>
      </w:r>
    </w:p>
    <w:p w14:paraId="55467F59">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R</w:t>
      </w:r>
      <w:r>
        <w:rPr>
          <w:rFonts w:ascii="Times New Roman" w:hAnsi="Times New Roman" w:cs="Times New Roman"/>
          <w:color w:val="000000" w:themeColor="text1"/>
          <w:sz w:val="24"/>
          <w:szCs w:val="24"/>
          <w14:textFill>
            <w14:solidFill>
              <w14:schemeClr w14:val="tx1"/>
            </w14:solidFill>
          </w14:textFill>
        </w:rPr>
        <w:t>——空气摄入速率，m</w:t>
      </w:r>
      <w:r>
        <w:rPr>
          <w:rFonts w:ascii="Times New Roman" w:hAnsi="Times New Roman" w:cs="Times New Roman"/>
          <w:color w:val="000000" w:themeColor="text1"/>
          <w:sz w:val="24"/>
          <w:szCs w:val="24"/>
          <w:vertAlign w:val="superscript"/>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/h，取值见表</w:t>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p>
    <w:p w14:paraId="0C906DC6">
      <w:pPr>
        <w:spacing w:after="0" w:line="360" w:lineRule="auto"/>
        <w:ind w:firstLine="1200" w:firstLineChars="5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i/>
          <w:iCs/>
          <w:color w:val="000000" w:themeColor="text1"/>
          <w:sz w:val="24"/>
          <w:szCs w:val="24"/>
          <w14:textFill>
            <w14:solidFill>
              <w14:schemeClr w14:val="tx1"/>
            </w14:solidFill>
          </w14:textFill>
        </w:rPr>
        <w:t>G</w:t>
      </w:r>
      <w:r>
        <w:rPr>
          <w:rFonts w:ascii="Times New Roman" w:hAnsi="Times New Roman" w:cs="Times New Roman"/>
          <w:i/>
          <w:iCs/>
          <w:color w:val="000000" w:themeColor="text1"/>
          <w:sz w:val="24"/>
          <w:szCs w:val="24"/>
          <w:vertAlign w:val="subscript"/>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——第 i 种核素吸入剂量转换系数（考虑空气动力学</w:t>
      </w:r>
      <w:r>
        <w:rPr>
          <w:rFonts w:hint="eastAsia" w:ascii="Times New Roman" w:hAnsi="Times New Roman" w:cs="Times New Roman"/>
          <w:color w:val="000000" w:themeColor="text1"/>
          <w:sz w:val="24"/>
          <w:szCs w:val="24"/>
          <w:lang w:eastAsia="zh-CN"/>
          <w14:textFill>
            <w14:solidFill>
              <w14:schemeClr w14:val="tx1"/>
            </w14:solidFill>
          </w14:textFill>
        </w:rPr>
        <w:t>值</w:t>
      </w:r>
      <w:r>
        <w:rPr>
          <w:rFonts w:ascii="Times New Roman" w:hAnsi="Times New Roman" w:cs="Times New Roman"/>
          <w:color w:val="000000" w:themeColor="text1"/>
          <w:sz w:val="24"/>
          <w:szCs w:val="24"/>
          <w14:textFill>
            <w14:solidFill>
              <w14:schemeClr w14:val="tx1"/>
            </w14:solidFill>
          </w14:textFill>
        </w:rPr>
        <w:t> 5um），Sv/Bq，取值见表</w:t>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begin"/>
      </w:r>
      <w:r>
        <w:rPr>
          <w:rFonts w:ascii="Times New Roman" w:hAnsi="Times New Roman" w:cs="Times New Roman"/>
          <w:b/>
          <w:color w:val="000000" w:themeColor="text1"/>
          <w:sz w:val="24"/>
          <w:szCs w:val="24"/>
          <w14:textFill>
            <w14:solidFill>
              <w14:schemeClr w14:val="tx1"/>
            </w14:solidFill>
          </w14:textFill>
        </w:rPr>
        <w:instrText xml:space="preserve"> STYLEREF 2 \s </w:instrText>
      </w:r>
      <w:r>
        <w:rPr>
          <w:rFonts w:ascii="Times New Roman" w:hAnsi="Times New Roman" w:cs="Times New Roman"/>
          <w:b/>
          <w:color w:val="000000" w:themeColor="text1"/>
          <w:sz w:val="24"/>
          <w:szCs w:val="24"/>
          <w14:textFill>
            <w14:solidFill>
              <w14:schemeClr w14:val="tx1"/>
            </w14:solidFill>
          </w14:textFill>
        </w:rPr>
        <w:fldChar w:fldCharType="separate"/>
      </w:r>
      <w:r>
        <w:rPr>
          <w:rFonts w:ascii="Times New Roman" w:hAnsi="Times New Roman" w:cs="Times New Roman"/>
          <w:b/>
          <w:color w:val="000000" w:themeColor="text1"/>
          <w:sz w:val="24"/>
          <w:szCs w:val="24"/>
          <w14:textFill>
            <w14:solidFill>
              <w14:schemeClr w14:val="tx1"/>
            </w14:solidFill>
          </w14:textFill>
        </w:rPr>
        <w:t>4.2</w:t>
      </w:r>
      <w:r>
        <w:rPr>
          <w:rFonts w:ascii="Times New Roman" w:hAnsi="Times New Roman" w:cs="Times New Roman"/>
          <w:b/>
          <w:color w:val="000000" w:themeColor="text1"/>
          <w:sz w:val="24"/>
          <w:szCs w:val="24"/>
          <w14:textFill>
            <w14:solidFill>
              <w14:schemeClr w14:val="tx1"/>
            </w14:solidFill>
          </w14:textFill>
        </w:rPr>
        <w:fldChar w:fldCharType="end"/>
      </w:r>
      <w:r>
        <w:rPr>
          <w:rFonts w:ascii="Times New Roman" w:hAnsi="Times New Roman" w:cs="Times New Roman"/>
          <w:b/>
          <w:color w:val="000000" w:themeColor="text1"/>
          <w:sz w:val="24"/>
          <w:szCs w:val="24"/>
          <w14:textFill>
            <w14:solidFill>
              <w14:schemeClr w14:val="tx1"/>
            </w14:solidFill>
          </w14:textFill>
        </w:rPr>
        <w:noBreakHyphen/>
      </w:r>
      <w:r>
        <w:rPr>
          <w:rFonts w:ascii="Times New Roman" w:hAnsi="Times New Roman" w:cs="Times New Roman"/>
          <w:b/>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w:t>
      </w:r>
    </w:p>
    <w:p w14:paraId="1BD002C0">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1 成员空气摄入量（R）（m</w:t>
      </w:r>
      <w:r>
        <w:rPr>
          <w:rFonts w:ascii="Times New Roman" w:hAnsi="Times New Roman" w:eastAsia="宋体" w:cs="Times New Roman"/>
          <w:b/>
          <w:bCs/>
          <w:color w:val="000000" w:themeColor="text1"/>
          <w:spacing w:val="-2"/>
          <w:sz w:val="24"/>
          <w:szCs w:val="20"/>
          <w:vertAlign w:val="superscript"/>
          <w14:textFill>
            <w14:solidFill>
              <w14:schemeClr w14:val="tx1"/>
            </w14:solidFill>
          </w14:textFill>
        </w:rPr>
        <w:t>3</w:t>
      </w:r>
      <w:r>
        <w:rPr>
          <w:rFonts w:ascii="Times New Roman" w:hAnsi="Times New Roman" w:eastAsia="宋体" w:cs="Times New Roman"/>
          <w:b/>
          <w:bCs/>
          <w:color w:val="000000" w:themeColor="text1"/>
          <w:spacing w:val="-2"/>
          <w:sz w:val="24"/>
          <w:szCs w:val="20"/>
          <w14:textFill>
            <w14:solidFill>
              <w14:schemeClr w14:val="tx1"/>
            </w14:solidFill>
          </w14:textFill>
        </w:rPr>
        <w:t>/h）</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69"/>
        <w:gridCol w:w="5067"/>
      </w:tblGrid>
      <w:tr w14:paraId="40299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961" w:type="pct"/>
            <w:tcMar>
              <w:top w:w="0" w:type="dxa"/>
              <w:left w:w="0" w:type="dxa"/>
              <w:bottom w:w="0" w:type="dxa"/>
              <w:right w:w="0" w:type="dxa"/>
            </w:tcMar>
            <w:vAlign w:val="center"/>
          </w:tcPr>
          <w:p w14:paraId="16062D9C">
            <w:pPr>
              <w:spacing w:line="354" w:lineRule="exact"/>
              <w:jc w:val="center"/>
              <w:rPr>
                <w:rFonts w:ascii="Times New Roman" w:hAnsi="Times New Roman" w:eastAsia="宋体" w:cs="Times New Roman"/>
                <w:b/>
                <w:bCs/>
                <w:color w:val="000000" w:themeColor="text1"/>
                <w:spacing w:val="-2"/>
                <w14:textFill>
                  <w14:solidFill>
                    <w14:schemeClr w14:val="tx1"/>
                  </w14:solidFill>
                </w14:textFill>
              </w:rPr>
            </w:pPr>
            <w:r>
              <w:rPr>
                <w:rFonts w:ascii="Times New Roman" w:hAnsi="Times New Roman" w:eastAsia="宋体" w:cs="Times New Roman"/>
                <w:b/>
                <w:bCs/>
                <w:color w:val="000000" w:themeColor="text1"/>
                <w:spacing w:val="-2"/>
                <w14:textFill>
                  <w14:solidFill>
                    <w14:schemeClr w14:val="tx1"/>
                  </w14:solidFill>
                </w14:textFill>
              </w:rPr>
              <w:t>年龄组</w:t>
            </w:r>
          </w:p>
        </w:tc>
        <w:tc>
          <w:tcPr>
            <w:tcW w:w="3039" w:type="pct"/>
            <w:tcMar>
              <w:top w:w="0" w:type="dxa"/>
              <w:left w:w="0" w:type="dxa"/>
              <w:bottom w:w="0" w:type="dxa"/>
              <w:right w:w="0" w:type="dxa"/>
            </w:tcMar>
            <w:vAlign w:val="center"/>
          </w:tcPr>
          <w:p w14:paraId="06107372">
            <w:pPr>
              <w:spacing w:line="370" w:lineRule="exact"/>
              <w:jc w:val="center"/>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spacing w:val="-2"/>
                <w14:textFill>
                  <w14:solidFill>
                    <w14:schemeClr w14:val="tx1"/>
                  </w14:solidFill>
                </w14:textFill>
              </w:rPr>
              <w:t>＞</w:t>
            </w:r>
            <w:r>
              <w:rPr>
                <w:rFonts w:ascii="Times New Roman" w:hAnsi="Times New Roman" w:eastAsia="宋体" w:cs="Times New Roman"/>
                <w:b/>
                <w:bCs/>
                <w:color w:val="000000" w:themeColor="text1"/>
                <w:spacing w:val="-7"/>
                <w14:textFill>
                  <w14:solidFill>
                    <w14:schemeClr w14:val="tx1"/>
                  </w14:solidFill>
                </w14:textFill>
              </w:rPr>
              <w:t>17</w:t>
            </w:r>
            <w:r>
              <w:rPr>
                <w:rFonts w:ascii="Times New Roman" w:hAnsi="Times New Roman" w:eastAsia="宋体" w:cs="Times New Roman"/>
                <w:b/>
                <w:bCs/>
                <w:color w:val="000000" w:themeColor="text1"/>
                <w14:textFill>
                  <w14:solidFill>
                    <w14:schemeClr w14:val="tx1"/>
                  </w14:solidFill>
                </w14:textFill>
              </w:rPr>
              <w:t> </w:t>
            </w:r>
            <w:r>
              <w:rPr>
                <w:rFonts w:ascii="Times New Roman" w:hAnsi="Times New Roman" w:eastAsia="宋体" w:cs="Times New Roman"/>
                <w:b/>
                <w:bCs/>
                <w:color w:val="000000" w:themeColor="text1"/>
                <w:spacing w:val="-2"/>
                <w14:textFill>
                  <w14:solidFill>
                    <w14:schemeClr w14:val="tx1"/>
                  </w14:solidFill>
                </w14:textFill>
              </w:rPr>
              <w:t>岁</w:t>
            </w:r>
          </w:p>
        </w:tc>
      </w:tr>
      <w:tr w14:paraId="242E5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trPr>
        <w:tc>
          <w:tcPr>
            <w:tcW w:w="1961" w:type="pct"/>
            <w:tcMar>
              <w:top w:w="0" w:type="dxa"/>
              <w:left w:w="0" w:type="dxa"/>
              <w:bottom w:w="0" w:type="dxa"/>
              <w:right w:w="0" w:type="dxa"/>
            </w:tcMar>
            <w:vAlign w:val="center"/>
          </w:tcPr>
          <w:p w14:paraId="15C40C87">
            <w:pPr>
              <w:spacing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摄入量</w:t>
            </w:r>
          </w:p>
        </w:tc>
        <w:tc>
          <w:tcPr>
            <w:tcW w:w="3039" w:type="pct"/>
            <w:tcMar>
              <w:top w:w="0" w:type="dxa"/>
              <w:left w:w="0" w:type="dxa"/>
              <w:bottom w:w="0" w:type="dxa"/>
              <w:right w:w="0" w:type="dxa"/>
            </w:tcMar>
            <w:vAlign w:val="center"/>
          </w:tcPr>
          <w:p w14:paraId="1D215E61">
            <w:pPr>
              <w:spacing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1.20</w:t>
            </w:r>
          </w:p>
        </w:tc>
      </w:tr>
    </w:tbl>
    <w:p w14:paraId="221ADD54">
      <w:pPr>
        <w:spacing w:after="0" w:line="360" w:lineRule="auto"/>
        <w:ind w:firstLine="720" w:firstLineChars="300"/>
        <w:rPr>
          <w:rFonts w:ascii="Times New Roman" w:hAnsi="Times New Roman" w:cs="Times New Roman"/>
          <w:iCs/>
          <w:color w:val="000000" w:themeColor="text1"/>
          <w:sz w:val="24"/>
          <w:szCs w:val="24"/>
          <w14:textFill>
            <w14:solidFill>
              <w14:schemeClr w14:val="tx1"/>
            </w14:solidFill>
          </w14:textFill>
        </w:rPr>
      </w:pPr>
    </w:p>
    <w:p w14:paraId="7BA99DE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 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begin"/>
      </w:r>
      <w:r>
        <w:rPr>
          <w:rFonts w:ascii="Times New Roman" w:hAnsi="Times New Roman" w:eastAsia="宋体" w:cs="Times New Roman"/>
          <w:b/>
          <w:bCs/>
          <w:color w:val="000000" w:themeColor="text1"/>
          <w:spacing w:val="-2"/>
          <w:sz w:val="24"/>
          <w:szCs w:val="20"/>
          <w14:textFill>
            <w14:solidFill>
              <w14:schemeClr w14:val="tx1"/>
            </w14:solidFill>
          </w14:textFill>
        </w:rPr>
        <w:instrText xml:space="preserve"> STYLEREF 2 \s </w:instrTex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separate"/>
      </w:r>
      <w:r>
        <w:rPr>
          <w:rFonts w:ascii="Times New Roman" w:hAnsi="Times New Roman" w:eastAsia="宋体" w:cs="Times New Roman"/>
          <w:b/>
          <w:bCs/>
          <w:color w:val="000000" w:themeColor="text1"/>
          <w:spacing w:val="-2"/>
          <w:sz w:val="24"/>
          <w:szCs w:val="20"/>
          <w14:textFill>
            <w14:solidFill>
              <w14:schemeClr w14:val="tx1"/>
            </w14:solidFill>
          </w14:textFill>
        </w:rPr>
        <w:t>4.2</w:t>
      </w:r>
      <w:r>
        <w:rPr>
          <w:rFonts w:ascii="Times New Roman" w:hAnsi="Times New Roman" w:eastAsia="宋体" w:cs="Times New Roman"/>
          <w:b/>
          <w:bCs/>
          <w:color w:val="000000" w:themeColor="text1"/>
          <w:spacing w:val="-2"/>
          <w:sz w:val="24"/>
          <w:szCs w:val="20"/>
          <w14:textFill>
            <w14:solidFill>
              <w14:schemeClr w14:val="tx1"/>
            </w14:solidFill>
          </w14:textFill>
        </w:rPr>
        <w:fldChar w:fldCharType="end"/>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2 成员摄入该厂所排矿尘待积有效剂量转换系数（Gi）（Sv/Bq）</w:t>
      </w:r>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269"/>
        <w:gridCol w:w="5067"/>
      </w:tblGrid>
      <w:tr w14:paraId="2C334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vMerge w:val="restart"/>
            <w:tcMar>
              <w:top w:w="0" w:type="dxa"/>
              <w:left w:w="0" w:type="dxa"/>
              <w:bottom w:w="0" w:type="dxa"/>
              <w:right w:w="0" w:type="dxa"/>
            </w:tcMar>
            <w:vAlign w:val="center"/>
          </w:tcPr>
          <w:p w14:paraId="351C9911">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2"/>
                <w:szCs w:val="20"/>
                <w14:textFill>
                  <w14:solidFill>
                    <w14:schemeClr w14:val="tx1"/>
                  </w14:solidFill>
                </w14:textFill>
              </w:rPr>
              <w:t>核素</w:t>
            </w:r>
          </w:p>
        </w:tc>
        <w:tc>
          <w:tcPr>
            <w:tcW w:w="3039" w:type="pct"/>
            <w:tcMar>
              <w:top w:w="0" w:type="dxa"/>
              <w:left w:w="0" w:type="dxa"/>
              <w:bottom w:w="0" w:type="dxa"/>
              <w:right w:w="0" w:type="dxa"/>
            </w:tcMar>
            <w:vAlign w:val="center"/>
          </w:tcPr>
          <w:p w14:paraId="2528E058">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7"/>
                <w:szCs w:val="20"/>
                <w14:textFill>
                  <w14:solidFill>
                    <w14:schemeClr w14:val="tx1"/>
                  </w14:solidFill>
                </w14:textFill>
              </w:rPr>
              <w:t>公众成员年龄组</w:t>
            </w:r>
          </w:p>
        </w:tc>
      </w:tr>
      <w:tr w14:paraId="7E9C59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vMerge w:val="continue"/>
            <w:vAlign w:val="center"/>
          </w:tcPr>
          <w:p w14:paraId="466455F0">
            <w:pPr>
              <w:spacing w:after="0" w:line="240" w:lineRule="auto"/>
              <w:rPr>
                <w:rFonts w:ascii="Times New Roman" w:hAnsi="Times New Roman" w:eastAsia="宋体" w:cs="Times New Roman"/>
                <w:b/>
                <w:bCs/>
                <w:color w:val="000000" w:themeColor="text1"/>
                <w:szCs w:val="20"/>
                <w14:textFill>
                  <w14:solidFill>
                    <w14:schemeClr w14:val="tx1"/>
                  </w14:solidFill>
                </w14:textFill>
              </w:rPr>
            </w:pPr>
          </w:p>
        </w:tc>
        <w:tc>
          <w:tcPr>
            <w:tcW w:w="3039" w:type="pct"/>
            <w:tcMar>
              <w:top w:w="0" w:type="dxa"/>
              <w:left w:w="0" w:type="dxa"/>
              <w:bottom w:w="0" w:type="dxa"/>
              <w:right w:w="0" w:type="dxa"/>
            </w:tcMar>
            <w:vAlign w:val="center"/>
          </w:tcPr>
          <w:p w14:paraId="1241BA7F">
            <w:pPr>
              <w:spacing w:after="0" w:line="240" w:lineRule="auto"/>
              <w:jc w:val="center"/>
              <w:rPr>
                <w:rFonts w:ascii="Times New Roman" w:hAnsi="Times New Roman" w:eastAsia="宋体" w:cs="Times New Roman"/>
                <w:b/>
                <w:bCs/>
                <w:color w:val="000000" w:themeColor="text1"/>
                <w:szCs w:val="20"/>
                <w14:textFill>
                  <w14:solidFill>
                    <w14:schemeClr w14:val="tx1"/>
                  </w14:solidFill>
                </w14:textFill>
              </w:rPr>
            </w:pPr>
            <w:r>
              <w:rPr>
                <w:rFonts w:ascii="Times New Roman" w:hAnsi="Times New Roman" w:eastAsia="宋体" w:cs="Times New Roman"/>
                <w:b/>
                <w:bCs/>
                <w:color w:val="000000" w:themeColor="text1"/>
                <w:spacing w:val="-2"/>
                <w:szCs w:val="20"/>
                <w14:textFill>
                  <w14:solidFill>
                    <w14:schemeClr w14:val="tx1"/>
                  </w14:solidFill>
                </w14:textFill>
              </w:rPr>
              <w:t>＞</w:t>
            </w:r>
            <w:r>
              <w:rPr>
                <w:rFonts w:ascii="Times New Roman" w:hAnsi="Times New Roman" w:eastAsia="宋体" w:cs="Times New Roman"/>
                <w:b/>
                <w:bCs/>
                <w:color w:val="000000" w:themeColor="text1"/>
                <w:spacing w:val="-7"/>
                <w:szCs w:val="20"/>
                <w14:textFill>
                  <w14:solidFill>
                    <w14:schemeClr w14:val="tx1"/>
                  </w14:solidFill>
                </w14:textFill>
              </w:rPr>
              <w:t>17</w:t>
            </w:r>
            <w:r>
              <w:rPr>
                <w:rFonts w:ascii="Times New Roman" w:hAnsi="Times New Roman" w:eastAsia="宋体" w:cs="Times New Roman"/>
                <w:b/>
                <w:bCs/>
                <w:color w:val="000000" w:themeColor="text1"/>
                <w:szCs w:val="20"/>
                <w14:textFill>
                  <w14:solidFill>
                    <w14:schemeClr w14:val="tx1"/>
                  </w14:solidFill>
                </w14:textFill>
              </w:rPr>
              <w:t> </w:t>
            </w:r>
            <w:r>
              <w:rPr>
                <w:rFonts w:ascii="Times New Roman" w:hAnsi="Times New Roman" w:eastAsia="宋体" w:cs="Times New Roman"/>
                <w:b/>
                <w:bCs/>
                <w:color w:val="000000" w:themeColor="text1"/>
                <w:spacing w:val="-2"/>
                <w:szCs w:val="20"/>
                <w14:textFill>
                  <w14:solidFill>
                    <w14:schemeClr w14:val="tx1"/>
                  </w14:solidFill>
                </w14:textFill>
              </w:rPr>
              <w:t>岁</w:t>
            </w:r>
          </w:p>
        </w:tc>
      </w:tr>
      <w:tr w14:paraId="4FFC4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4F263D0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4"/>
                <w:position w:val="5"/>
                <w:vertAlign w:val="superscript"/>
                <w14:textFill>
                  <w14:solidFill>
                    <w14:schemeClr w14:val="tx1"/>
                  </w14:solidFill>
                </w14:textFill>
              </w:rPr>
              <w:t>232</w:t>
            </w:r>
            <w:r>
              <w:rPr>
                <w:rFonts w:ascii="Times New Roman" w:hAnsi="Times New Roman" w:eastAsia="宋体" w:cs="Times New Roman"/>
                <w:color w:val="000000" w:themeColor="text1"/>
                <w:spacing w:val="-7"/>
                <w14:textFill>
                  <w14:solidFill>
                    <w14:schemeClr w14:val="tx1"/>
                  </w14:solidFill>
                </w14:textFill>
              </w:rPr>
              <w:t>Th</w:t>
            </w:r>
          </w:p>
        </w:tc>
        <w:tc>
          <w:tcPr>
            <w:tcW w:w="3039" w:type="pct"/>
            <w:tcMar>
              <w:top w:w="0" w:type="dxa"/>
              <w:left w:w="0" w:type="dxa"/>
              <w:bottom w:w="0" w:type="dxa"/>
              <w:right w:w="0" w:type="dxa"/>
            </w:tcMar>
            <w:vAlign w:val="center"/>
          </w:tcPr>
          <w:p w14:paraId="08FF94C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2.5×10</w:t>
            </w:r>
            <w:r>
              <w:rPr>
                <w:rFonts w:ascii="Times New Roman" w:hAnsi="Times New Roman" w:eastAsia="宋体" w:cs="Times New Roman"/>
                <w:color w:val="000000" w:themeColor="text1"/>
                <w:vertAlign w:val="superscript"/>
                <w14:textFill>
                  <w14:solidFill>
                    <w14:schemeClr w14:val="tx1"/>
                  </w14:solidFill>
                </w14:textFill>
              </w:rPr>
              <w:t>-5</w:t>
            </w:r>
          </w:p>
        </w:tc>
      </w:tr>
      <w:tr w14:paraId="70F0F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1C5D45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spacing w:val="-4"/>
                <w:position w:val="5"/>
                <w:vertAlign w:val="superscript"/>
                <w14:textFill>
                  <w14:solidFill>
                    <w14:schemeClr w14:val="tx1"/>
                  </w14:solidFill>
                </w14:textFill>
              </w:rPr>
              <w:t>238</w:t>
            </w:r>
            <w:r>
              <w:rPr>
                <w:rFonts w:ascii="Times New Roman" w:hAnsi="Times New Roman" w:eastAsia="宋体" w:cs="Times New Roman"/>
                <w:color w:val="000000" w:themeColor="text1"/>
                <w:spacing w:val="-2"/>
                <w14:textFill>
                  <w14:solidFill>
                    <w14:schemeClr w14:val="tx1"/>
                  </w14:solidFill>
                </w14:textFill>
              </w:rPr>
              <w:t>U</w:t>
            </w:r>
          </w:p>
        </w:tc>
        <w:tc>
          <w:tcPr>
            <w:tcW w:w="3039" w:type="pct"/>
            <w:tcMar>
              <w:top w:w="0" w:type="dxa"/>
              <w:left w:w="0" w:type="dxa"/>
              <w:bottom w:w="0" w:type="dxa"/>
              <w:right w:w="0" w:type="dxa"/>
            </w:tcMar>
            <w:vAlign w:val="center"/>
          </w:tcPr>
          <w:p w14:paraId="41478CC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2.9×10</w:t>
            </w:r>
            <w:r>
              <w:rPr>
                <w:rFonts w:ascii="Times New Roman" w:hAnsi="Times New Roman" w:eastAsia="宋体" w:cs="Times New Roman"/>
                <w:color w:val="000000" w:themeColor="text1"/>
                <w:vertAlign w:val="superscript"/>
                <w14:textFill>
                  <w14:solidFill>
                    <w14:schemeClr w14:val="tx1"/>
                  </w14:solidFill>
                </w14:textFill>
              </w:rPr>
              <w:t>-6</w:t>
            </w:r>
          </w:p>
        </w:tc>
      </w:tr>
      <w:tr w14:paraId="4E895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61" w:type="pct"/>
            <w:tcMar>
              <w:top w:w="0" w:type="dxa"/>
              <w:left w:w="0" w:type="dxa"/>
              <w:bottom w:w="0" w:type="dxa"/>
              <w:right w:w="0" w:type="dxa"/>
            </w:tcMar>
            <w:vAlign w:val="center"/>
          </w:tcPr>
          <w:p w14:paraId="66CE97C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3039" w:type="pct"/>
            <w:tcMar>
              <w:top w:w="0" w:type="dxa"/>
              <w:left w:w="0" w:type="dxa"/>
              <w:bottom w:w="0" w:type="dxa"/>
              <w:right w:w="0" w:type="dxa"/>
            </w:tcMar>
            <w:vAlign w:val="center"/>
          </w:tcPr>
          <w:p w14:paraId="1EA22C4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3.5×10</w:t>
            </w:r>
            <w:r>
              <w:rPr>
                <w:rFonts w:ascii="Times New Roman" w:hAnsi="Times New Roman" w:eastAsia="宋体" w:cs="Times New Roman"/>
                <w:color w:val="000000" w:themeColor="text1"/>
                <w:vertAlign w:val="superscript"/>
                <w14:textFill>
                  <w14:solidFill>
                    <w14:schemeClr w14:val="tx1"/>
                  </w14:solidFill>
                </w14:textFill>
              </w:rPr>
              <w:t>-6</w:t>
            </w:r>
          </w:p>
        </w:tc>
      </w:tr>
    </w:tbl>
    <w:p w14:paraId="06016798">
      <w:pPr>
        <w:tabs>
          <w:tab w:val="left" w:pos="1134"/>
        </w:tabs>
        <w:adjustRightInd w:val="0"/>
        <w:snapToGrid w:val="0"/>
        <w:spacing w:after="0" w:line="360" w:lineRule="auto"/>
        <w:ind w:firstLine="477" w:firstLineChars="199"/>
        <w:rPr>
          <w:rFonts w:ascii="Times New Roman" w:hAnsi="Times New Roman" w:cs="Times New Roman"/>
          <w:color w:val="000000" w:themeColor="text1"/>
          <w:sz w:val="24"/>
          <w:szCs w:val="24"/>
          <w14:textFill>
            <w14:solidFill>
              <w14:schemeClr w14:val="tx1"/>
            </w14:solidFill>
          </w14:textFill>
        </w:rPr>
      </w:pPr>
    </w:p>
    <w:p w14:paraId="7EEFEE28">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辐射剂量估算</w:t>
      </w:r>
    </w:p>
    <w:p w14:paraId="559080B9">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为满足《放射性物品安全运输规程》（GB11806-2019）中要求，该厂运输外聘有资质单位承担，不设放射性物品运输岗位。本项目职业工作人员主要包括</w:t>
      </w:r>
      <w:r>
        <w:rPr>
          <w:rFonts w:hint="eastAsia" w:ascii="Times New Roman" w:hAnsi="Times New Roman" w:cs="Times New Roman"/>
          <w:color w:val="000000" w:themeColor="text1"/>
          <w:sz w:val="24"/>
          <w:szCs w:val="24"/>
          <w14:textFill>
            <w14:solidFill>
              <w14:schemeClr w14:val="tx1"/>
            </w14:solidFill>
          </w14:textFill>
        </w:rPr>
        <w:t>1#原料处理车间</w:t>
      </w:r>
      <w:r>
        <w:rPr>
          <w:rFonts w:ascii="Times New Roman" w:hAnsi="Times New Roman" w:cs="Times New Roman"/>
          <w:color w:val="000000" w:themeColor="text1"/>
          <w:sz w:val="24"/>
          <w:szCs w:val="24"/>
          <w14:textFill>
            <w14:solidFill>
              <w14:schemeClr w14:val="tx1"/>
            </w14:solidFill>
          </w14:textFill>
        </w:rPr>
        <w:t>工作人员、</w:t>
      </w:r>
      <w:r>
        <w:rPr>
          <w:rFonts w:hint="eastAsia" w:ascii="Times New Roman" w:hAnsi="Times New Roman" w:cs="Times New Roman"/>
          <w:color w:val="000000" w:themeColor="text1"/>
          <w:sz w:val="24"/>
          <w:szCs w:val="24"/>
          <w14:textFill>
            <w14:solidFill>
              <w14:schemeClr w14:val="tx1"/>
            </w14:solidFill>
          </w14:textFill>
        </w:rPr>
        <w:t>2#分选</w:t>
      </w:r>
      <w:r>
        <w:rPr>
          <w:rFonts w:ascii="Times New Roman" w:hAnsi="Times New Roman" w:cs="Times New Roman"/>
          <w:color w:val="000000" w:themeColor="text1"/>
          <w:sz w:val="24"/>
          <w:szCs w:val="24"/>
          <w14:textFill>
            <w14:solidFill>
              <w14:schemeClr w14:val="tx1"/>
            </w14:solidFill>
          </w14:textFill>
        </w:rPr>
        <w:t>车间工作人员。</w:t>
      </w:r>
    </w:p>
    <w:p w14:paraId="23A70D5B">
      <w:pPr>
        <w:autoSpaceDE w:val="0"/>
        <w:autoSpaceDN w:val="0"/>
        <w:adjustRightInd w:val="0"/>
        <w:spacing w:after="0" w:line="360" w:lineRule="auto"/>
        <w:ind w:firstLine="48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本项目各车间人员外照射、氡浓度和放射性粉尘吸入时间按如下原则计算：</w:t>
      </w:r>
    </w:p>
    <w:p w14:paraId="5AB80EDC">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hint="eastAsia" w:ascii="Times New Roman" w:hAnsi="Times New Roman" w:eastAsia="宋体" w:cs="Times New Roman"/>
          <w:b/>
          <w:bCs/>
          <w:color w:val="000000" w:themeColor="text1"/>
          <w:spacing w:val="-2"/>
          <w:sz w:val="24"/>
          <w:szCs w:val="20"/>
          <w14:textFill>
            <w14:solidFill>
              <w14:schemeClr w14:val="tx1"/>
            </w14:solidFill>
          </w14:textFill>
        </w:rPr>
        <w:t>（1）工作照射时间</w:t>
      </w:r>
    </w:p>
    <w:p w14:paraId="621EED9B">
      <w:pPr>
        <w:widowControl w:val="0"/>
        <w:spacing w:after="0" w:line="360" w:lineRule="auto"/>
        <w:ind w:firstLine="472" w:firstLineChars="200"/>
        <w:jc w:val="both"/>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项目1#原料处理车间、2#分选车间的工作制度一样，均为年生产300天，每天2班，每班8小时。项目用地范围较小，物料的存放与生产线设备均</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处于</w:t>
      </w:r>
      <w:r>
        <w:rPr>
          <w:rFonts w:hint="eastAsia" w:ascii="Times New Roman" w:hAnsi="Times New Roman" w:eastAsia="宋体" w:cs="Times New Roman"/>
          <w:color w:val="000000" w:themeColor="text1"/>
          <w:spacing w:val="-2"/>
          <w:sz w:val="24"/>
          <w:szCs w:val="20"/>
          <w14:textFill>
            <w14:solidFill>
              <w14:schemeClr w14:val="tx1"/>
            </w14:solidFill>
          </w14:textFill>
        </w:rPr>
        <w:t>同一车间开间内，生产线上的物料相较物料存储的量少，因此1#原料处理车间的工作人员主要是受到原料毛矿的照射影响，2#分选车间的工作人员主要是受到产品及副产品的照射影响。根据项目的工作制度，每班工作人员每天受照射时间8小时，年</w:t>
      </w:r>
      <w:r>
        <w:rPr>
          <w:rFonts w:ascii="Times New Roman" w:hAnsi="Times New Roman" w:cs="Times New Roman"/>
          <w:color w:val="000000" w:themeColor="text1"/>
          <w:sz w:val="24"/>
          <w:szCs w:val="24"/>
          <w14:textFill>
            <w14:solidFill>
              <w14:schemeClr w14:val="tx1"/>
            </w14:solidFill>
          </w14:textFill>
        </w:rPr>
        <w:t>受照射时间为</w:t>
      </w:r>
      <w:r>
        <w:rPr>
          <w:rFonts w:hint="eastAsia" w:ascii="Times New Roman" w:hAnsi="Times New Roman" w:cs="Times New Roman"/>
          <w:color w:val="000000" w:themeColor="text1"/>
          <w:sz w:val="24"/>
          <w:szCs w:val="24"/>
          <w14:textFill>
            <w14:solidFill>
              <w14:schemeClr w14:val="tx1"/>
            </w14:solidFill>
          </w14:textFill>
        </w:rPr>
        <w:t>2400</w:t>
      </w:r>
      <w:r>
        <w:rPr>
          <w:rFonts w:ascii="Times New Roman" w:hAnsi="Times New Roman" w:cs="Times New Roman"/>
          <w:color w:val="000000" w:themeColor="text1"/>
          <w:sz w:val="24"/>
          <w:szCs w:val="24"/>
          <w14:textFill>
            <w14:solidFill>
              <w14:schemeClr w14:val="tx1"/>
            </w14:solidFill>
          </w14:textFill>
        </w:rPr>
        <w:t>h</w:t>
      </w:r>
      <w:r>
        <w:rPr>
          <w:rFonts w:hint="eastAsia" w:ascii="Times New Roman" w:hAnsi="Times New Roman" w:cs="Times New Roman"/>
          <w:color w:val="000000" w:themeColor="text1"/>
          <w:sz w:val="24"/>
          <w:szCs w:val="24"/>
          <w14:textFill>
            <w14:solidFill>
              <w14:schemeClr w14:val="tx1"/>
            </w14:solidFill>
          </w14:textFill>
        </w:rPr>
        <w:t>。</w:t>
      </w:r>
    </w:p>
    <w:p w14:paraId="578E2B6C">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2</w:t>
      </w:r>
      <w:r>
        <w:rPr>
          <w:rFonts w:ascii="Times New Roman" w:hAnsi="Times New Roman" w:eastAsia="宋体" w:cs="Times New Roman"/>
          <w:b/>
          <w:bCs/>
          <w:color w:val="000000" w:themeColor="text1"/>
          <w:spacing w:val="-2"/>
          <w:sz w:val="24"/>
          <w:szCs w:val="20"/>
          <w14:textFill>
            <w14:solidFill>
              <w14:schemeClr w14:val="tx1"/>
            </w14:solidFill>
          </w14:textFill>
        </w:rPr>
        <w:t>）γ辐射剂量率外照射剂量估算</w:t>
      </w:r>
    </w:p>
    <w:p w14:paraId="0424BF7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本项目工作人员外照射剂量按照公式（4.2-5）计算，则工作人员所受外照射有效剂量见表4.2-3。</w:t>
      </w:r>
    </w:p>
    <w:p w14:paraId="10D18A3A">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3 工作人员所受外照射有效剂量估算一览表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2920"/>
        <w:gridCol w:w="1747"/>
        <w:gridCol w:w="1311"/>
        <w:gridCol w:w="1829"/>
      </w:tblGrid>
      <w:tr w14:paraId="7EB0FE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20" w:type="pct"/>
            <w:vMerge w:val="restart"/>
            <w:vAlign w:val="center"/>
          </w:tcPr>
          <w:p w14:paraId="51B098AE">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编号</w:t>
            </w:r>
          </w:p>
        </w:tc>
        <w:tc>
          <w:tcPr>
            <w:tcW w:w="1713" w:type="pct"/>
            <w:vMerge w:val="restart"/>
            <w:vAlign w:val="center"/>
          </w:tcPr>
          <w:p w14:paraId="7EDE1B3B">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工作场所操作工位</w:t>
            </w:r>
          </w:p>
        </w:tc>
        <w:tc>
          <w:tcPr>
            <w:tcW w:w="1025" w:type="pct"/>
            <w:vAlign w:val="center"/>
          </w:tcPr>
          <w:p w14:paraId="29C7A656">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γ辐射剂量率</w:t>
            </w:r>
          </w:p>
        </w:tc>
        <w:tc>
          <w:tcPr>
            <w:tcW w:w="769" w:type="pct"/>
            <w:vAlign w:val="center"/>
          </w:tcPr>
          <w:p w14:paraId="6B450D7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工作时间</w:t>
            </w:r>
          </w:p>
        </w:tc>
        <w:tc>
          <w:tcPr>
            <w:tcW w:w="1073" w:type="pct"/>
            <w:vAlign w:val="center"/>
          </w:tcPr>
          <w:p w14:paraId="5322F229">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外照射有效剂量</w:t>
            </w:r>
          </w:p>
        </w:tc>
      </w:tr>
      <w:tr w14:paraId="1A255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670DA13D">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713" w:type="pct"/>
            <w:vMerge w:val="continue"/>
            <w:vAlign w:val="center"/>
          </w:tcPr>
          <w:p w14:paraId="10EF8D96">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025" w:type="pct"/>
            <w:vAlign w:val="center"/>
          </w:tcPr>
          <w:p w14:paraId="51176099">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μGy/h</w:t>
            </w:r>
          </w:p>
        </w:tc>
        <w:tc>
          <w:tcPr>
            <w:tcW w:w="769" w:type="pct"/>
            <w:vAlign w:val="center"/>
          </w:tcPr>
          <w:p w14:paraId="08E1B4C3">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h</w:t>
            </w:r>
          </w:p>
        </w:tc>
        <w:tc>
          <w:tcPr>
            <w:tcW w:w="1073" w:type="pct"/>
            <w:vAlign w:val="center"/>
          </w:tcPr>
          <w:p w14:paraId="55E054E3">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mSv/a</w:t>
            </w:r>
          </w:p>
        </w:tc>
      </w:tr>
      <w:tr w14:paraId="225BF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2675A4CE">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713" w:type="pct"/>
            <w:vAlign w:val="center"/>
          </w:tcPr>
          <w:p w14:paraId="0A40318E">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1025" w:type="pct"/>
            <w:vAlign w:val="center"/>
          </w:tcPr>
          <w:p w14:paraId="5BB9C956">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1.4640</w:t>
            </w:r>
          </w:p>
        </w:tc>
        <w:tc>
          <w:tcPr>
            <w:tcW w:w="769" w:type="pct"/>
            <w:vAlign w:val="center"/>
          </w:tcPr>
          <w:p w14:paraId="016DBD4A">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6A037993">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2.4595</w:t>
            </w:r>
          </w:p>
        </w:tc>
      </w:tr>
      <w:tr w14:paraId="22051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3D2D6C7F">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w:t>
            </w:r>
          </w:p>
        </w:tc>
        <w:tc>
          <w:tcPr>
            <w:tcW w:w="1713" w:type="pct"/>
            <w:vAlign w:val="center"/>
          </w:tcPr>
          <w:p w14:paraId="12A8297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1025" w:type="pct"/>
            <w:vAlign w:val="center"/>
          </w:tcPr>
          <w:p w14:paraId="584A9DB4">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1.3488</w:t>
            </w:r>
          </w:p>
        </w:tc>
        <w:tc>
          <w:tcPr>
            <w:tcW w:w="769" w:type="pct"/>
            <w:vAlign w:val="center"/>
          </w:tcPr>
          <w:p w14:paraId="4190F16F">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708B108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2.2660</w:t>
            </w:r>
          </w:p>
        </w:tc>
      </w:tr>
    </w:tbl>
    <w:p w14:paraId="380D4A23">
      <w:pPr>
        <w:pStyle w:val="2"/>
        <w:spacing w:line="360" w:lineRule="auto"/>
        <w:ind w:firstLine="482"/>
        <w:rPr>
          <w:rFonts w:ascii="Times New Roman" w:hAnsi="Times New Roman" w:cs="Times New Roman" w:eastAsiaTheme="minorEastAsia"/>
          <w:b/>
          <w:bCs/>
          <w:color w:val="000000" w:themeColor="text1"/>
          <w14:textFill>
            <w14:solidFill>
              <w14:schemeClr w14:val="tx1"/>
            </w14:solidFill>
          </w14:textFill>
        </w:rPr>
      </w:pPr>
    </w:p>
    <w:p w14:paraId="70E1ED4A">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3</w:t>
      </w:r>
      <w:r>
        <w:rPr>
          <w:rFonts w:ascii="Times New Roman" w:hAnsi="Times New Roman" w:eastAsia="宋体" w:cs="Times New Roman"/>
          <w:b/>
          <w:bCs/>
          <w:color w:val="000000" w:themeColor="text1"/>
          <w:spacing w:val="-2"/>
          <w:sz w:val="24"/>
          <w:szCs w:val="20"/>
          <w14:textFill>
            <w14:solidFill>
              <w14:schemeClr w14:val="tx1"/>
            </w14:solidFill>
          </w14:textFill>
        </w:rPr>
        <w:t>）吸入氡有效剂量估算</w:t>
      </w:r>
    </w:p>
    <w:p w14:paraId="2659222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本项目工作人员吸入氡有效剂量按照公式</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4.2-</w:t>
      </w:r>
      <w:r>
        <w:rPr>
          <w:rFonts w:hint="eastAsia" w:ascii="Times New Roman" w:hAnsi="Times New Roman" w:eastAsia="宋体" w:cs="Times New Roman"/>
          <w:color w:val="000000" w:themeColor="text1"/>
          <w:spacing w:val="-2"/>
          <w:sz w:val="24"/>
          <w:szCs w:val="20"/>
          <w14:textFill>
            <w14:solidFill>
              <w14:schemeClr w14:val="tx1"/>
            </w14:solidFill>
          </w14:textFill>
        </w:rPr>
        <w:t>6</w:t>
      </w:r>
      <w:r>
        <w:rPr>
          <w:rFonts w:ascii="Times New Roman" w:hAnsi="Times New Roman" w:eastAsia="宋体" w:cs="Times New Roman"/>
          <w:color w:val="000000" w:themeColor="text1"/>
          <w:spacing w:val="-2"/>
          <w:sz w:val="24"/>
          <w:szCs w:val="20"/>
          <w14:textFill>
            <w14:solidFill>
              <w14:schemeClr w14:val="tx1"/>
            </w14:solidFill>
          </w14:textFill>
        </w:rPr>
        <w:t>）计算。</w:t>
      </w:r>
      <w:r>
        <w:rPr>
          <w:rFonts w:hint="eastAsia" w:ascii="Times New Roman" w:hAnsi="Times New Roman" w:eastAsia="宋体" w:cs="Times New Roman"/>
          <w:color w:val="000000" w:themeColor="text1"/>
          <w:spacing w:val="-2"/>
          <w:sz w:val="24"/>
          <w:szCs w:val="20"/>
          <w14:textFill>
            <w14:solidFill>
              <w14:schemeClr w14:val="tx1"/>
            </w14:solidFill>
          </w14:textFill>
        </w:rPr>
        <w:t>根据项目所在区域的环境空气中氡浓度现状监测结果平均值45.90Bq/m</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14:textFill>
            <w14:solidFill>
              <w14:schemeClr w14:val="tx1"/>
            </w14:solidFill>
          </w14:textFill>
        </w:rPr>
        <w:t>，计算</w:t>
      </w:r>
      <w:r>
        <w:rPr>
          <w:rFonts w:ascii="Times New Roman" w:hAnsi="Times New Roman" w:eastAsia="宋体" w:cs="Times New Roman"/>
          <w:color w:val="000000" w:themeColor="text1"/>
          <w:spacing w:val="-2"/>
          <w:sz w:val="24"/>
          <w:szCs w:val="20"/>
          <w14:textFill>
            <w14:solidFill>
              <w14:schemeClr w14:val="tx1"/>
            </w14:solidFill>
          </w14:textFill>
        </w:rPr>
        <w:t>工作人员吸入氡所致有效剂量</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估算</w:t>
      </w:r>
      <w:r>
        <w:rPr>
          <w:rFonts w:hint="eastAsia" w:ascii="Times New Roman" w:hAnsi="Times New Roman" w:eastAsia="宋体" w:cs="Times New Roman"/>
          <w:color w:val="000000" w:themeColor="text1"/>
          <w:spacing w:val="-2"/>
          <w:sz w:val="24"/>
          <w:szCs w:val="20"/>
          <w14:textFill>
            <w14:solidFill>
              <w14:schemeClr w14:val="tx1"/>
            </w14:solidFill>
          </w14:textFill>
        </w:rPr>
        <w:t>结果</w:t>
      </w:r>
      <w:r>
        <w:rPr>
          <w:rFonts w:ascii="Times New Roman" w:hAnsi="Times New Roman" w:eastAsia="宋体" w:cs="Times New Roman"/>
          <w:color w:val="000000" w:themeColor="text1"/>
          <w:spacing w:val="-2"/>
          <w:sz w:val="24"/>
          <w:szCs w:val="20"/>
          <w14:textFill>
            <w14:solidFill>
              <w14:schemeClr w14:val="tx1"/>
            </w14:solidFill>
          </w14:textFill>
        </w:rPr>
        <w:t>见表4.2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4。</w:t>
      </w:r>
    </w:p>
    <w:p w14:paraId="447FE5CB">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4 工作人员吸入氡有效剂量估算一览表</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5"/>
        <w:gridCol w:w="2920"/>
        <w:gridCol w:w="1747"/>
        <w:gridCol w:w="1311"/>
        <w:gridCol w:w="1829"/>
      </w:tblGrid>
      <w:tr w14:paraId="795BB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restart"/>
            <w:vAlign w:val="center"/>
          </w:tcPr>
          <w:p w14:paraId="799F7C5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编号</w:t>
            </w:r>
          </w:p>
        </w:tc>
        <w:tc>
          <w:tcPr>
            <w:tcW w:w="1713" w:type="pct"/>
            <w:vMerge w:val="restart"/>
            <w:vAlign w:val="center"/>
          </w:tcPr>
          <w:p w14:paraId="76728034">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工作场所操作工位</w:t>
            </w:r>
          </w:p>
        </w:tc>
        <w:tc>
          <w:tcPr>
            <w:tcW w:w="1025" w:type="pct"/>
            <w:vAlign w:val="center"/>
          </w:tcPr>
          <w:p w14:paraId="21AD404E">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氡浓度</w:t>
            </w:r>
          </w:p>
        </w:tc>
        <w:tc>
          <w:tcPr>
            <w:tcW w:w="769" w:type="pct"/>
            <w:vAlign w:val="center"/>
          </w:tcPr>
          <w:p w14:paraId="0E88BC17">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时间</w:t>
            </w:r>
          </w:p>
        </w:tc>
        <w:tc>
          <w:tcPr>
            <w:tcW w:w="1073" w:type="pct"/>
            <w:vAlign w:val="center"/>
          </w:tcPr>
          <w:p w14:paraId="2EA48A56">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空气氡</w:t>
            </w:r>
            <w:r>
              <w:rPr>
                <w:rFonts w:ascii="Times New Roman" w:hAnsi="Times New Roman" w:cs="Times New Roman"/>
                <w:b/>
                <w:color w:val="000000" w:themeColor="text1"/>
                <w:kern w:val="0"/>
                <w:szCs w:val="21"/>
                <w14:textFill>
                  <w14:solidFill>
                    <w14:schemeClr w14:val="tx1"/>
                  </w14:solidFill>
                </w14:textFill>
              </w:rPr>
              <w:t>有效剂量</w:t>
            </w:r>
          </w:p>
        </w:tc>
      </w:tr>
      <w:tr w14:paraId="55170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Merge w:val="continue"/>
            <w:vAlign w:val="center"/>
          </w:tcPr>
          <w:p w14:paraId="4FD8705C">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713" w:type="pct"/>
            <w:vMerge w:val="continue"/>
            <w:vAlign w:val="center"/>
          </w:tcPr>
          <w:p w14:paraId="3D5B4F11">
            <w:pPr>
              <w:spacing w:after="0" w:line="240" w:lineRule="auto"/>
              <w:jc w:val="center"/>
              <w:rPr>
                <w:rFonts w:ascii="Times New Roman" w:hAnsi="Times New Roman" w:cs="Times New Roman"/>
                <w:color w:val="000000" w:themeColor="text1"/>
                <w14:textFill>
                  <w14:solidFill>
                    <w14:schemeClr w14:val="tx1"/>
                  </w14:solidFill>
                </w14:textFill>
              </w:rPr>
            </w:pPr>
          </w:p>
        </w:tc>
        <w:tc>
          <w:tcPr>
            <w:tcW w:w="1025" w:type="pct"/>
            <w:vAlign w:val="center"/>
          </w:tcPr>
          <w:p w14:paraId="72F50A40">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Bq/m</w:t>
            </w:r>
            <w:r>
              <w:rPr>
                <w:rFonts w:ascii="Times New Roman" w:hAnsi="Times New Roman" w:cs="Times New Roman"/>
                <w:b/>
                <w:color w:val="000000" w:themeColor="text1"/>
                <w:szCs w:val="21"/>
                <w:vertAlign w:val="superscript"/>
                <w14:textFill>
                  <w14:solidFill>
                    <w14:schemeClr w14:val="tx1"/>
                  </w14:solidFill>
                </w14:textFill>
              </w:rPr>
              <w:t>3</w:t>
            </w:r>
          </w:p>
        </w:tc>
        <w:tc>
          <w:tcPr>
            <w:tcW w:w="769" w:type="pct"/>
            <w:vAlign w:val="center"/>
          </w:tcPr>
          <w:p w14:paraId="3D97399A">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h</w:t>
            </w:r>
          </w:p>
        </w:tc>
        <w:tc>
          <w:tcPr>
            <w:tcW w:w="1073" w:type="pct"/>
            <w:vAlign w:val="center"/>
          </w:tcPr>
          <w:p w14:paraId="6D89A8A0">
            <w:pPr>
              <w:pStyle w:val="242"/>
              <w:rPr>
                <w:rFonts w:ascii="Times New Roman" w:hAnsi="Times New Roman" w:cs="Times New Roman"/>
                <w:b/>
                <w:color w:val="000000" w:themeColor="text1"/>
                <w:szCs w:val="21"/>
                <w14:textFill>
                  <w14:solidFill>
                    <w14:schemeClr w14:val="tx1"/>
                  </w14:solidFill>
                </w14:textFill>
              </w:rPr>
            </w:pPr>
            <w:r>
              <w:rPr>
                <w:rFonts w:ascii="Times New Roman" w:hAnsi="Times New Roman" w:cs="Times New Roman"/>
                <w:b/>
                <w:color w:val="000000" w:themeColor="text1"/>
                <w:kern w:val="0"/>
                <w:szCs w:val="21"/>
                <w14:textFill>
                  <w14:solidFill>
                    <w14:schemeClr w14:val="tx1"/>
                  </w14:solidFill>
                </w14:textFill>
              </w:rPr>
              <w:t>mSv/a</w:t>
            </w:r>
          </w:p>
        </w:tc>
      </w:tr>
      <w:tr w14:paraId="4A55D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6E7F0529">
            <w:pPr>
              <w:pStyle w:val="245"/>
              <w:spacing w:line="240" w:lineRule="auto"/>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w:t>
            </w:r>
          </w:p>
        </w:tc>
        <w:tc>
          <w:tcPr>
            <w:tcW w:w="1713" w:type="pct"/>
            <w:vAlign w:val="center"/>
          </w:tcPr>
          <w:p w14:paraId="19F5E158">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1025" w:type="pct"/>
            <w:vAlign w:val="center"/>
          </w:tcPr>
          <w:p w14:paraId="08D2B2BB">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45.90</w:t>
            </w:r>
          </w:p>
        </w:tc>
        <w:tc>
          <w:tcPr>
            <w:tcW w:w="769" w:type="pct"/>
            <w:vAlign w:val="center"/>
          </w:tcPr>
          <w:p w14:paraId="161F6789">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4DD39DB4">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0.0187</w:t>
            </w:r>
          </w:p>
        </w:tc>
      </w:tr>
      <w:tr w14:paraId="561F4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0" w:type="pct"/>
            <w:vAlign w:val="center"/>
          </w:tcPr>
          <w:p w14:paraId="5B646FCD">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w:t>
            </w:r>
          </w:p>
        </w:tc>
        <w:tc>
          <w:tcPr>
            <w:tcW w:w="1713" w:type="pct"/>
            <w:vAlign w:val="center"/>
          </w:tcPr>
          <w:p w14:paraId="3721FBB7">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1025" w:type="pct"/>
            <w:vAlign w:val="center"/>
          </w:tcPr>
          <w:p w14:paraId="2DC27911">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45.90</w:t>
            </w:r>
          </w:p>
        </w:tc>
        <w:tc>
          <w:tcPr>
            <w:tcW w:w="769" w:type="pct"/>
            <w:vAlign w:val="center"/>
          </w:tcPr>
          <w:p w14:paraId="18AB55FF">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c>
          <w:tcPr>
            <w:tcW w:w="1073" w:type="pct"/>
            <w:vAlign w:val="center"/>
          </w:tcPr>
          <w:p w14:paraId="000EE2CB">
            <w:pPr>
              <w:pStyle w:val="245"/>
              <w:spacing w:line="240" w:lineRule="auto"/>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0.0187</w:t>
            </w:r>
          </w:p>
        </w:tc>
      </w:tr>
    </w:tbl>
    <w:p w14:paraId="30C46687">
      <w:pPr>
        <w:pStyle w:val="2"/>
        <w:spacing w:line="360" w:lineRule="auto"/>
        <w:ind w:firstLine="482"/>
        <w:rPr>
          <w:rFonts w:ascii="Times New Roman" w:hAnsi="Times New Roman" w:cs="Times New Roman"/>
          <w:b/>
          <w:bCs/>
          <w:color w:val="000000" w:themeColor="text1"/>
          <w14:textFill>
            <w14:solidFill>
              <w14:schemeClr w14:val="tx1"/>
            </w14:solidFill>
          </w14:textFill>
        </w:rPr>
      </w:pPr>
    </w:p>
    <w:p w14:paraId="3C3FE8E1">
      <w:pPr>
        <w:widowControl w:val="0"/>
        <w:spacing w:after="0" w:line="360" w:lineRule="auto"/>
        <w:ind w:firstLine="474" w:firstLineChars="200"/>
        <w:jc w:val="both"/>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w:t>
      </w:r>
      <w:r>
        <w:rPr>
          <w:rFonts w:hint="eastAsia" w:ascii="Times New Roman" w:hAnsi="Times New Roman" w:eastAsia="宋体" w:cs="Times New Roman"/>
          <w:b/>
          <w:bCs/>
          <w:color w:val="000000" w:themeColor="text1"/>
          <w:spacing w:val="-2"/>
          <w:sz w:val="24"/>
          <w:szCs w:val="20"/>
          <w14:textFill>
            <w14:solidFill>
              <w14:schemeClr w14:val="tx1"/>
            </w14:solidFill>
          </w14:textFill>
        </w:rPr>
        <w:t>4</w:t>
      </w:r>
      <w:r>
        <w:rPr>
          <w:rFonts w:ascii="Times New Roman" w:hAnsi="Times New Roman" w:eastAsia="宋体" w:cs="Times New Roman"/>
          <w:b/>
          <w:bCs/>
          <w:color w:val="000000" w:themeColor="text1"/>
          <w:spacing w:val="-2"/>
          <w:sz w:val="24"/>
          <w:szCs w:val="20"/>
          <w14:textFill>
            <w14:solidFill>
              <w14:schemeClr w14:val="tx1"/>
            </w14:solidFill>
          </w14:textFill>
        </w:rPr>
        <w:t>）吸入放射性核素所致有效剂量估算</w:t>
      </w:r>
    </w:p>
    <w:p w14:paraId="7AD5CD7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本项目工作人员吸入放射性核素所致有效剂量按照公式（式4.2-7），</w:t>
      </w:r>
      <w:r>
        <w:rPr>
          <w:rFonts w:hint="eastAsia" w:ascii="Times New Roman" w:hAnsi="Times New Roman" w:eastAsia="宋体" w:cs="Times New Roman"/>
          <w:color w:val="000000" w:themeColor="text1"/>
          <w:spacing w:val="-2"/>
          <w:sz w:val="24"/>
          <w:szCs w:val="20"/>
          <w14:textFill>
            <w14:solidFill>
              <w14:schemeClr w14:val="tx1"/>
            </w14:solidFill>
          </w14:textFill>
        </w:rPr>
        <w:t>项目工作场所的粉尘浓度按每班次无组织粉尘排放量/生产车间体积进行估算，</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无组织粉尘排放量按项目环评报告书取值为0.5061t/a，即0.8435kg/班，项目车间内体积为21228.48m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，则工作场所粉尘浓度为39.7344mg/m</w:t>
      </w:r>
      <w:r>
        <w:rPr>
          <w:rFonts w:hint="eastAsia" w:ascii="Times New Roman" w:hAnsi="Times New Roman" w:eastAsia="宋体" w:cs="Times New Roman"/>
          <w:color w:val="000000" w:themeColor="text1"/>
          <w:spacing w:val="-2"/>
          <w:sz w:val="24"/>
          <w:szCs w:val="20"/>
          <w:u w:val="single"/>
          <w:vertAlign w:val="superscript"/>
          <w14:textFill>
            <w14:solidFill>
              <w14:schemeClr w14:val="tx1"/>
            </w14:solidFill>
          </w14:textFill>
        </w:rPr>
        <w:t>3</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工作人员吸入放射性核素所致有效剂量估算见表4.2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5。</w:t>
      </w:r>
    </w:p>
    <w:p w14:paraId="1E30129F">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5 工作人员吸入放射性核素所致有效剂量估算一览表</w:t>
      </w:r>
    </w:p>
    <w:tbl>
      <w:tblPr>
        <w:tblStyle w:val="4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397"/>
        <w:gridCol w:w="970"/>
        <w:gridCol w:w="992"/>
        <w:gridCol w:w="1418"/>
        <w:gridCol w:w="1843"/>
        <w:gridCol w:w="794"/>
        <w:gridCol w:w="1276"/>
        <w:gridCol w:w="646"/>
      </w:tblGrid>
      <w:tr w14:paraId="23C14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35472638">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序号</w:t>
            </w:r>
          </w:p>
        </w:tc>
        <w:tc>
          <w:tcPr>
            <w:tcW w:w="970" w:type="dxa"/>
            <w:vMerge w:val="restart"/>
            <w:tcMar>
              <w:top w:w="15" w:type="dxa"/>
              <w:left w:w="15" w:type="dxa"/>
              <w:right w:w="15" w:type="dxa"/>
            </w:tcMar>
            <w:vAlign w:val="center"/>
          </w:tcPr>
          <w:p w14:paraId="0591FEA0">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工作场所操作工位</w:t>
            </w:r>
          </w:p>
        </w:tc>
        <w:tc>
          <w:tcPr>
            <w:tcW w:w="992" w:type="dxa"/>
            <w:vMerge w:val="restart"/>
            <w:tcMar>
              <w:top w:w="15" w:type="dxa"/>
              <w:left w:w="15" w:type="dxa"/>
              <w:right w:w="15" w:type="dxa"/>
            </w:tcMar>
            <w:vAlign w:val="center"/>
          </w:tcPr>
          <w:p w14:paraId="4CE1F027">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核素</w:t>
            </w:r>
          </w:p>
        </w:tc>
        <w:tc>
          <w:tcPr>
            <w:tcW w:w="1418" w:type="dxa"/>
            <w:noWrap/>
            <w:tcMar>
              <w:top w:w="15" w:type="dxa"/>
              <w:left w:w="15" w:type="dxa"/>
              <w:right w:w="15" w:type="dxa"/>
            </w:tcMar>
            <w:vAlign w:val="center"/>
          </w:tcPr>
          <w:p w14:paraId="12C6F292">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放射性比活度</w:t>
            </w:r>
          </w:p>
        </w:tc>
        <w:tc>
          <w:tcPr>
            <w:tcW w:w="2637" w:type="dxa"/>
            <w:gridSpan w:val="2"/>
            <w:noWrap/>
            <w:tcMar>
              <w:top w:w="15" w:type="dxa"/>
              <w:left w:w="15" w:type="dxa"/>
              <w:right w:w="15" w:type="dxa"/>
            </w:tcMar>
            <w:vAlign w:val="center"/>
          </w:tcPr>
          <w:p w14:paraId="75547BD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吸入粉尘中核素所致剂量（mSv/a）</w:t>
            </w:r>
          </w:p>
        </w:tc>
        <w:tc>
          <w:tcPr>
            <w:tcW w:w="1276" w:type="dxa"/>
            <w:noWrap/>
            <w:tcMar>
              <w:top w:w="15" w:type="dxa"/>
              <w:left w:w="15" w:type="dxa"/>
              <w:right w:w="15" w:type="dxa"/>
            </w:tcMar>
            <w:vAlign w:val="center"/>
          </w:tcPr>
          <w:p w14:paraId="451EE448">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工作场所粉尘浓度</w:t>
            </w:r>
          </w:p>
        </w:tc>
        <w:tc>
          <w:tcPr>
            <w:tcW w:w="646" w:type="dxa"/>
            <w:noWrap/>
            <w:tcMar>
              <w:top w:w="15" w:type="dxa"/>
              <w:left w:w="15" w:type="dxa"/>
              <w:right w:w="15" w:type="dxa"/>
            </w:tcMar>
            <w:vAlign w:val="center"/>
          </w:tcPr>
          <w:p w14:paraId="4D28729A">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时间</w:t>
            </w:r>
          </w:p>
        </w:tc>
      </w:tr>
      <w:tr w14:paraId="7EA885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49A53EF6">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636D3CFB">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vMerge w:val="continue"/>
            <w:tcMar>
              <w:top w:w="15" w:type="dxa"/>
              <w:left w:w="15" w:type="dxa"/>
              <w:right w:w="15" w:type="dxa"/>
            </w:tcMar>
            <w:vAlign w:val="center"/>
          </w:tcPr>
          <w:p w14:paraId="70C94C50">
            <w:pPr>
              <w:pStyle w:val="249"/>
              <w:spacing w:line="240" w:lineRule="auto"/>
              <w:rPr>
                <w:rFonts w:ascii="Times New Roman" w:hAnsi="Times New Roman"/>
                <w:color w:val="000000" w:themeColor="text1"/>
                <w:szCs w:val="21"/>
                <w14:textFill>
                  <w14:solidFill>
                    <w14:schemeClr w14:val="tx1"/>
                  </w14:solidFill>
                </w14:textFill>
              </w:rPr>
            </w:pPr>
          </w:p>
        </w:tc>
        <w:tc>
          <w:tcPr>
            <w:tcW w:w="1418" w:type="dxa"/>
            <w:noWrap/>
            <w:tcMar>
              <w:top w:w="15" w:type="dxa"/>
              <w:left w:w="15" w:type="dxa"/>
              <w:right w:w="15" w:type="dxa"/>
            </w:tcMar>
            <w:vAlign w:val="center"/>
          </w:tcPr>
          <w:p w14:paraId="75817ED0">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Bq/kg</w:t>
            </w:r>
          </w:p>
        </w:tc>
        <w:tc>
          <w:tcPr>
            <w:tcW w:w="1843" w:type="dxa"/>
            <w:noWrap/>
            <w:tcMar>
              <w:top w:w="15" w:type="dxa"/>
              <w:left w:w="15" w:type="dxa"/>
              <w:right w:w="15" w:type="dxa"/>
            </w:tcMar>
            <w:vAlign w:val="center"/>
          </w:tcPr>
          <w:p w14:paraId="03EAE52E">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单个核素所致剂量</w:t>
            </w:r>
          </w:p>
        </w:tc>
        <w:tc>
          <w:tcPr>
            <w:tcW w:w="794" w:type="dxa"/>
            <w:noWrap/>
            <w:tcMar>
              <w:top w:w="15" w:type="dxa"/>
              <w:left w:w="15" w:type="dxa"/>
              <w:right w:w="15" w:type="dxa"/>
            </w:tcMar>
            <w:vAlign w:val="center"/>
          </w:tcPr>
          <w:p w14:paraId="6566D3AD">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合计</w:t>
            </w:r>
          </w:p>
        </w:tc>
        <w:tc>
          <w:tcPr>
            <w:tcW w:w="1276" w:type="dxa"/>
            <w:noWrap/>
            <w:tcMar>
              <w:top w:w="15" w:type="dxa"/>
              <w:left w:w="15" w:type="dxa"/>
              <w:right w:w="15" w:type="dxa"/>
            </w:tcMar>
            <w:vAlign w:val="center"/>
          </w:tcPr>
          <w:p w14:paraId="34D3760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mg/m</w:t>
            </w:r>
            <w:r>
              <w:rPr>
                <w:rFonts w:ascii="Times New Roman" w:hAnsi="Times New Roman"/>
                <w:b/>
                <w:color w:val="000000" w:themeColor="text1"/>
                <w:szCs w:val="21"/>
                <w:vertAlign w:val="superscript"/>
                <w14:textFill>
                  <w14:solidFill>
                    <w14:schemeClr w14:val="tx1"/>
                  </w14:solidFill>
                </w14:textFill>
              </w:rPr>
              <w:t>3</w:t>
            </w:r>
          </w:p>
        </w:tc>
        <w:tc>
          <w:tcPr>
            <w:tcW w:w="646" w:type="dxa"/>
            <w:noWrap/>
            <w:tcMar>
              <w:top w:w="15" w:type="dxa"/>
              <w:left w:w="15" w:type="dxa"/>
              <w:right w:w="15" w:type="dxa"/>
            </w:tcMar>
            <w:vAlign w:val="center"/>
          </w:tcPr>
          <w:p w14:paraId="2F62DC41">
            <w:pPr>
              <w:pStyle w:val="249"/>
              <w:spacing w:line="240" w:lineRule="auto"/>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t>h</w:t>
            </w:r>
          </w:p>
        </w:tc>
      </w:tr>
      <w:tr w14:paraId="0FD46C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2226A68C">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970" w:type="dxa"/>
            <w:vMerge w:val="restart"/>
            <w:tcMar>
              <w:top w:w="15" w:type="dxa"/>
              <w:left w:w="15" w:type="dxa"/>
              <w:right w:w="15" w:type="dxa"/>
            </w:tcMar>
            <w:vAlign w:val="center"/>
          </w:tcPr>
          <w:p w14:paraId="3FD00D6B">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1#原料处理车间</w:t>
            </w:r>
          </w:p>
        </w:tc>
        <w:tc>
          <w:tcPr>
            <w:tcW w:w="992" w:type="dxa"/>
            <w:tcMar>
              <w:top w:w="15" w:type="dxa"/>
              <w:left w:w="15" w:type="dxa"/>
              <w:right w:w="15" w:type="dxa"/>
            </w:tcMar>
            <w:vAlign w:val="center"/>
          </w:tcPr>
          <w:p w14:paraId="2B9FA36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238</w:t>
            </w:r>
            <w:r>
              <w:rPr>
                <w:rFonts w:ascii="Times New Roman" w:hAnsi="Times New Roman"/>
                <w:color w:val="000000" w:themeColor="text1"/>
                <w:szCs w:val="21"/>
                <w14:textFill>
                  <w14:solidFill>
                    <w14:schemeClr w14:val="tx1"/>
                  </w14:solidFill>
                </w14:textFill>
              </w:rPr>
              <w:t>U</w:t>
            </w:r>
          </w:p>
        </w:tc>
        <w:tc>
          <w:tcPr>
            <w:tcW w:w="1418" w:type="dxa"/>
            <w:noWrap/>
            <w:tcMar>
              <w:top w:w="15" w:type="dxa"/>
              <w:left w:w="15" w:type="dxa"/>
              <w:right w:w="15" w:type="dxa"/>
            </w:tcMar>
            <w:vAlign w:val="center"/>
          </w:tcPr>
          <w:p w14:paraId="264D7978">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1656.6</w:t>
            </w:r>
          </w:p>
        </w:tc>
        <w:tc>
          <w:tcPr>
            <w:tcW w:w="1843" w:type="dxa"/>
            <w:noWrap/>
            <w:tcMar>
              <w:top w:w="15" w:type="dxa"/>
              <w:left w:w="15" w:type="dxa"/>
              <w:right w:w="15" w:type="dxa"/>
            </w:tcMar>
            <w:vAlign w:val="center"/>
          </w:tcPr>
          <w:p w14:paraId="0539C784">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0.0550 </w:t>
            </w:r>
          </w:p>
        </w:tc>
        <w:tc>
          <w:tcPr>
            <w:tcW w:w="794" w:type="dxa"/>
            <w:vMerge w:val="restart"/>
            <w:noWrap/>
            <w:tcMar>
              <w:top w:w="15" w:type="dxa"/>
              <w:left w:w="15" w:type="dxa"/>
              <w:right w:w="15" w:type="dxa"/>
            </w:tcMar>
            <w:vAlign w:val="center"/>
          </w:tcPr>
          <w:p w14:paraId="14A7BB0B">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0.5452</w:t>
            </w:r>
          </w:p>
        </w:tc>
        <w:tc>
          <w:tcPr>
            <w:tcW w:w="1276" w:type="dxa"/>
            <w:vMerge w:val="restart"/>
            <w:noWrap/>
            <w:tcMar>
              <w:top w:w="15" w:type="dxa"/>
              <w:left w:w="15" w:type="dxa"/>
              <w:right w:w="15" w:type="dxa"/>
            </w:tcMar>
            <w:vAlign w:val="center"/>
          </w:tcPr>
          <w:p w14:paraId="01BF4F4B">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39.7344</w:t>
            </w:r>
          </w:p>
        </w:tc>
        <w:tc>
          <w:tcPr>
            <w:tcW w:w="646" w:type="dxa"/>
            <w:vMerge w:val="restart"/>
            <w:noWrap/>
            <w:tcMar>
              <w:top w:w="15" w:type="dxa"/>
              <w:left w:w="15" w:type="dxa"/>
              <w:right w:w="15" w:type="dxa"/>
            </w:tcMar>
            <w:vAlign w:val="center"/>
          </w:tcPr>
          <w:p w14:paraId="2351AFDD">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r>
      <w:tr w14:paraId="5245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6363C76B">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5E62F5D">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6AB3ADF1">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226</w:t>
            </w:r>
            <w:r>
              <w:rPr>
                <w:rFonts w:ascii="Times New Roman" w:hAnsi="Times New Roman"/>
                <w:color w:val="000000" w:themeColor="text1"/>
                <w:szCs w:val="21"/>
                <w14:textFill>
                  <w14:solidFill>
                    <w14:schemeClr w14:val="tx1"/>
                  </w14:solidFill>
                </w14:textFill>
              </w:rPr>
              <w:t>Ra</w:t>
            </w:r>
          </w:p>
        </w:tc>
        <w:tc>
          <w:tcPr>
            <w:tcW w:w="1418" w:type="dxa"/>
            <w:noWrap/>
            <w:tcMar>
              <w:top w:w="15" w:type="dxa"/>
              <w:left w:w="15" w:type="dxa"/>
              <w:right w:w="15" w:type="dxa"/>
            </w:tcMar>
            <w:vAlign w:val="center"/>
          </w:tcPr>
          <w:p w14:paraId="0A24E85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1470.7</w:t>
            </w:r>
          </w:p>
        </w:tc>
        <w:tc>
          <w:tcPr>
            <w:tcW w:w="1843" w:type="dxa"/>
            <w:noWrap/>
            <w:tcMar>
              <w:top w:w="15" w:type="dxa"/>
              <w:left w:w="15" w:type="dxa"/>
              <w:right w:w="15" w:type="dxa"/>
            </w:tcMar>
            <w:vAlign w:val="center"/>
          </w:tcPr>
          <w:p w14:paraId="44F3349E">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0.4207 </w:t>
            </w:r>
          </w:p>
        </w:tc>
        <w:tc>
          <w:tcPr>
            <w:tcW w:w="794" w:type="dxa"/>
            <w:vMerge w:val="continue"/>
            <w:noWrap/>
            <w:tcMar>
              <w:top w:w="15" w:type="dxa"/>
              <w:left w:w="15" w:type="dxa"/>
              <w:right w:w="15" w:type="dxa"/>
            </w:tcMar>
            <w:vAlign w:val="center"/>
          </w:tcPr>
          <w:p w14:paraId="41365C67">
            <w:pPr>
              <w:pStyle w:val="249"/>
              <w:spacing w:line="240" w:lineRule="auto"/>
              <w:rPr>
                <w:rFonts w:ascii="Times New Roman" w:hAnsi="Times New Roman"/>
                <w:color w:val="000000" w:themeColor="text1"/>
                <w:szCs w:val="21"/>
                <w:u w:val="single"/>
                <w14:textFill>
                  <w14:solidFill>
                    <w14:schemeClr w14:val="tx1"/>
                  </w14:solidFill>
                </w14:textFill>
              </w:rPr>
            </w:pPr>
          </w:p>
        </w:tc>
        <w:tc>
          <w:tcPr>
            <w:tcW w:w="1276" w:type="dxa"/>
            <w:vMerge w:val="continue"/>
            <w:noWrap/>
            <w:tcMar>
              <w:top w:w="15" w:type="dxa"/>
              <w:left w:w="15" w:type="dxa"/>
              <w:right w:w="15" w:type="dxa"/>
            </w:tcMar>
            <w:vAlign w:val="center"/>
          </w:tcPr>
          <w:p w14:paraId="5D83AE70">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1FC7E26B">
            <w:pPr>
              <w:pStyle w:val="249"/>
              <w:spacing w:line="240" w:lineRule="auto"/>
              <w:rPr>
                <w:rFonts w:ascii="Times New Roman" w:hAnsi="Times New Roman"/>
                <w:color w:val="000000" w:themeColor="text1"/>
                <w:szCs w:val="21"/>
                <w14:textFill>
                  <w14:solidFill>
                    <w14:schemeClr w14:val="tx1"/>
                  </w14:solidFill>
                </w14:textFill>
              </w:rPr>
            </w:pPr>
          </w:p>
        </w:tc>
      </w:tr>
      <w:tr w14:paraId="5FC52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60A0D370">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14DC4901">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61E9729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232</w:t>
            </w:r>
            <w:r>
              <w:rPr>
                <w:rFonts w:ascii="Times New Roman" w:hAnsi="Times New Roman"/>
                <w:color w:val="000000" w:themeColor="text1"/>
                <w:szCs w:val="21"/>
                <w14:textFill>
                  <w14:solidFill>
                    <w14:schemeClr w14:val="tx1"/>
                  </w14:solidFill>
                </w14:textFill>
              </w:rPr>
              <w:t>Th</w:t>
            </w:r>
          </w:p>
        </w:tc>
        <w:tc>
          <w:tcPr>
            <w:tcW w:w="1418" w:type="dxa"/>
            <w:noWrap/>
            <w:tcMar>
              <w:top w:w="15" w:type="dxa"/>
              <w:left w:w="15" w:type="dxa"/>
              <w:right w:w="15" w:type="dxa"/>
            </w:tcMar>
            <w:vAlign w:val="center"/>
          </w:tcPr>
          <w:p w14:paraId="53DF0DA2">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1734.8</w:t>
            </w:r>
          </w:p>
        </w:tc>
        <w:tc>
          <w:tcPr>
            <w:tcW w:w="1843" w:type="dxa"/>
            <w:noWrap/>
            <w:tcMar>
              <w:top w:w="15" w:type="dxa"/>
              <w:left w:w="15" w:type="dxa"/>
              <w:right w:w="15" w:type="dxa"/>
            </w:tcMar>
            <w:vAlign w:val="center"/>
          </w:tcPr>
          <w:p w14:paraId="2F1AF1D2">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0.0695 </w:t>
            </w:r>
          </w:p>
        </w:tc>
        <w:tc>
          <w:tcPr>
            <w:tcW w:w="794" w:type="dxa"/>
            <w:vMerge w:val="continue"/>
            <w:noWrap/>
            <w:tcMar>
              <w:top w:w="15" w:type="dxa"/>
              <w:left w:w="15" w:type="dxa"/>
              <w:right w:w="15" w:type="dxa"/>
            </w:tcMar>
            <w:vAlign w:val="center"/>
          </w:tcPr>
          <w:p w14:paraId="37BBC355">
            <w:pPr>
              <w:pStyle w:val="249"/>
              <w:spacing w:line="240" w:lineRule="auto"/>
              <w:rPr>
                <w:rFonts w:ascii="Times New Roman" w:hAnsi="Times New Roman"/>
                <w:color w:val="000000" w:themeColor="text1"/>
                <w:szCs w:val="21"/>
                <w:u w:val="single"/>
                <w14:textFill>
                  <w14:solidFill>
                    <w14:schemeClr w14:val="tx1"/>
                  </w14:solidFill>
                </w14:textFill>
              </w:rPr>
            </w:pPr>
          </w:p>
        </w:tc>
        <w:tc>
          <w:tcPr>
            <w:tcW w:w="1276" w:type="dxa"/>
            <w:vMerge w:val="continue"/>
            <w:noWrap/>
            <w:tcMar>
              <w:top w:w="15" w:type="dxa"/>
              <w:left w:w="15" w:type="dxa"/>
              <w:right w:w="15" w:type="dxa"/>
            </w:tcMar>
            <w:vAlign w:val="center"/>
          </w:tcPr>
          <w:p w14:paraId="394156A4">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1AA5A55A">
            <w:pPr>
              <w:pStyle w:val="249"/>
              <w:spacing w:line="240" w:lineRule="auto"/>
              <w:rPr>
                <w:rFonts w:ascii="Times New Roman" w:hAnsi="Times New Roman"/>
                <w:color w:val="000000" w:themeColor="text1"/>
                <w:szCs w:val="21"/>
                <w14:textFill>
                  <w14:solidFill>
                    <w14:schemeClr w14:val="tx1"/>
                  </w14:solidFill>
                </w14:textFill>
              </w:rPr>
            </w:pPr>
          </w:p>
        </w:tc>
      </w:tr>
      <w:tr w14:paraId="69960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restart"/>
            <w:tcMar>
              <w:top w:w="15" w:type="dxa"/>
              <w:left w:w="15" w:type="dxa"/>
              <w:right w:w="15" w:type="dxa"/>
            </w:tcMar>
            <w:vAlign w:val="center"/>
          </w:tcPr>
          <w:p w14:paraId="2903A1BE">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970" w:type="dxa"/>
            <w:vMerge w:val="restart"/>
            <w:tcMar>
              <w:top w:w="15" w:type="dxa"/>
              <w:left w:w="15" w:type="dxa"/>
              <w:right w:w="15" w:type="dxa"/>
            </w:tcMar>
            <w:vAlign w:val="center"/>
          </w:tcPr>
          <w:p w14:paraId="0B60CC45">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2#分选车间</w:t>
            </w:r>
          </w:p>
        </w:tc>
        <w:tc>
          <w:tcPr>
            <w:tcW w:w="992" w:type="dxa"/>
            <w:tcMar>
              <w:top w:w="15" w:type="dxa"/>
              <w:left w:w="15" w:type="dxa"/>
              <w:right w:w="15" w:type="dxa"/>
            </w:tcMar>
            <w:vAlign w:val="center"/>
          </w:tcPr>
          <w:p w14:paraId="1B89292B">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238</w:t>
            </w:r>
            <w:r>
              <w:rPr>
                <w:rFonts w:ascii="Times New Roman" w:hAnsi="Times New Roman"/>
                <w:color w:val="000000" w:themeColor="text1"/>
                <w:szCs w:val="21"/>
                <w14:textFill>
                  <w14:solidFill>
                    <w14:schemeClr w14:val="tx1"/>
                  </w14:solidFill>
                </w14:textFill>
              </w:rPr>
              <w:t>U</w:t>
            </w:r>
          </w:p>
        </w:tc>
        <w:tc>
          <w:tcPr>
            <w:tcW w:w="1418" w:type="dxa"/>
            <w:noWrap/>
            <w:tcMar>
              <w:top w:w="15" w:type="dxa"/>
              <w:left w:w="15" w:type="dxa"/>
              <w:right w:w="15" w:type="dxa"/>
            </w:tcMar>
            <w:vAlign w:val="center"/>
          </w:tcPr>
          <w:p w14:paraId="77FD0FA3">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2933.2</w:t>
            </w:r>
          </w:p>
        </w:tc>
        <w:tc>
          <w:tcPr>
            <w:tcW w:w="1843" w:type="dxa"/>
            <w:noWrap/>
            <w:tcMar>
              <w:top w:w="15" w:type="dxa"/>
              <w:left w:w="15" w:type="dxa"/>
              <w:right w:w="15" w:type="dxa"/>
            </w:tcMar>
            <w:vAlign w:val="center"/>
          </w:tcPr>
          <w:p w14:paraId="424DE92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0.0973 </w:t>
            </w:r>
          </w:p>
        </w:tc>
        <w:tc>
          <w:tcPr>
            <w:tcW w:w="794" w:type="dxa"/>
            <w:vMerge w:val="restart"/>
            <w:noWrap/>
            <w:tcMar>
              <w:top w:w="15" w:type="dxa"/>
              <w:left w:w="15" w:type="dxa"/>
              <w:right w:w="15" w:type="dxa"/>
            </w:tcMar>
            <w:vAlign w:val="center"/>
          </w:tcPr>
          <w:p w14:paraId="41F78B69">
            <w:pPr>
              <w:pStyle w:val="249"/>
              <w:spacing w:line="240" w:lineRule="auto"/>
              <w:rPr>
                <w:rFonts w:ascii="Times New Roman" w:hAnsi="Times New Roman"/>
                <w:color w:val="000000" w:themeColor="text1"/>
                <w:szCs w:val="21"/>
                <w:u w:val="single"/>
                <w14:textFill>
                  <w14:solidFill>
                    <w14:schemeClr w14:val="tx1"/>
                  </w14:solidFill>
                </w14:textFill>
              </w:rPr>
            </w:pPr>
            <w:r>
              <w:rPr>
                <w:rFonts w:hint="eastAsia" w:ascii="Times New Roman" w:hAnsi="Times New Roman"/>
                <w:color w:val="000000" w:themeColor="text1"/>
                <w:szCs w:val="21"/>
                <w:u w:val="single"/>
                <w14:textFill>
                  <w14:solidFill>
                    <w14:schemeClr w14:val="tx1"/>
                  </w14:solidFill>
                </w14:textFill>
              </w:rPr>
              <w:t>1.1165</w:t>
            </w:r>
          </w:p>
        </w:tc>
        <w:tc>
          <w:tcPr>
            <w:tcW w:w="1276" w:type="dxa"/>
            <w:vMerge w:val="continue"/>
            <w:noWrap/>
            <w:tcMar>
              <w:top w:w="15" w:type="dxa"/>
              <w:left w:w="15" w:type="dxa"/>
              <w:right w:w="15" w:type="dxa"/>
            </w:tcMar>
            <w:vAlign w:val="center"/>
          </w:tcPr>
          <w:p w14:paraId="50AC2518">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restart"/>
            <w:noWrap/>
            <w:tcMar>
              <w:top w:w="15" w:type="dxa"/>
              <w:left w:w="15" w:type="dxa"/>
              <w:right w:w="15" w:type="dxa"/>
            </w:tcMar>
            <w:vAlign w:val="center"/>
          </w:tcPr>
          <w:p w14:paraId="7717DD69">
            <w:pPr>
              <w:pStyle w:val="249"/>
              <w:spacing w:line="240" w:lineRule="auto"/>
              <w:rPr>
                <w:rFonts w:ascii="Times New Roman" w:hAnsi="Times New Roman"/>
                <w:color w:val="000000" w:themeColor="text1"/>
                <w:szCs w:val="2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2400</w:t>
            </w:r>
          </w:p>
        </w:tc>
      </w:tr>
      <w:tr w14:paraId="1B78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3AB9E01E">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7D7B4C5">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793EA32F">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226</w:t>
            </w:r>
            <w:r>
              <w:rPr>
                <w:rFonts w:ascii="Times New Roman" w:hAnsi="Times New Roman"/>
                <w:color w:val="000000" w:themeColor="text1"/>
                <w:szCs w:val="21"/>
                <w14:textFill>
                  <w14:solidFill>
                    <w14:schemeClr w14:val="tx1"/>
                  </w14:solidFill>
                </w14:textFill>
              </w:rPr>
              <w:t>Ra</w:t>
            </w:r>
          </w:p>
        </w:tc>
        <w:tc>
          <w:tcPr>
            <w:tcW w:w="1418" w:type="dxa"/>
            <w:noWrap/>
            <w:tcMar>
              <w:top w:w="15" w:type="dxa"/>
              <w:left w:w="15" w:type="dxa"/>
              <w:right w:w="15" w:type="dxa"/>
            </w:tcMar>
            <w:vAlign w:val="center"/>
          </w:tcPr>
          <w:p w14:paraId="7307360F">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3258</w:t>
            </w:r>
          </w:p>
        </w:tc>
        <w:tc>
          <w:tcPr>
            <w:tcW w:w="1843" w:type="dxa"/>
            <w:noWrap/>
            <w:tcMar>
              <w:top w:w="15" w:type="dxa"/>
              <w:left w:w="15" w:type="dxa"/>
              <w:right w:w="15" w:type="dxa"/>
            </w:tcMar>
            <w:vAlign w:val="center"/>
          </w:tcPr>
          <w:p w14:paraId="76B1E48B">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0.9321 </w:t>
            </w:r>
          </w:p>
        </w:tc>
        <w:tc>
          <w:tcPr>
            <w:tcW w:w="794" w:type="dxa"/>
            <w:vMerge w:val="continue"/>
            <w:noWrap/>
            <w:tcMar>
              <w:top w:w="15" w:type="dxa"/>
              <w:left w:w="15" w:type="dxa"/>
              <w:right w:w="15" w:type="dxa"/>
            </w:tcMar>
            <w:vAlign w:val="center"/>
          </w:tcPr>
          <w:p w14:paraId="21999585">
            <w:pPr>
              <w:pStyle w:val="249"/>
              <w:spacing w:line="240" w:lineRule="auto"/>
              <w:rPr>
                <w:rFonts w:ascii="Times New Roman" w:hAnsi="Times New Roman"/>
                <w:color w:val="000000" w:themeColor="text1"/>
                <w:szCs w:val="21"/>
                <w14:textFill>
                  <w14:solidFill>
                    <w14:schemeClr w14:val="tx1"/>
                  </w14:solidFill>
                </w14:textFill>
              </w:rPr>
            </w:pPr>
          </w:p>
        </w:tc>
        <w:tc>
          <w:tcPr>
            <w:tcW w:w="1276" w:type="dxa"/>
            <w:vMerge w:val="continue"/>
            <w:noWrap/>
            <w:tcMar>
              <w:top w:w="15" w:type="dxa"/>
              <w:left w:w="15" w:type="dxa"/>
              <w:right w:w="15" w:type="dxa"/>
            </w:tcMar>
            <w:vAlign w:val="center"/>
          </w:tcPr>
          <w:p w14:paraId="1C09CDE2">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3F2C2447">
            <w:pPr>
              <w:pStyle w:val="249"/>
              <w:spacing w:line="240" w:lineRule="auto"/>
              <w:rPr>
                <w:rFonts w:ascii="Times New Roman" w:hAnsi="Times New Roman"/>
                <w:color w:val="000000" w:themeColor="text1"/>
                <w:szCs w:val="21"/>
                <w14:textFill>
                  <w14:solidFill>
                    <w14:schemeClr w14:val="tx1"/>
                  </w14:solidFill>
                </w14:textFill>
              </w:rPr>
            </w:pPr>
          </w:p>
        </w:tc>
      </w:tr>
      <w:tr w14:paraId="2BCB6F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trPr>
        <w:tc>
          <w:tcPr>
            <w:tcW w:w="0" w:type="auto"/>
            <w:vMerge w:val="continue"/>
            <w:tcMar>
              <w:top w:w="15" w:type="dxa"/>
              <w:left w:w="15" w:type="dxa"/>
              <w:right w:w="15" w:type="dxa"/>
            </w:tcMar>
            <w:vAlign w:val="center"/>
          </w:tcPr>
          <w:p w14:paraId="7BFBFF92">
            <w:pPr>
              <w:pStyle w:val="249"/>
              <w:spacing w:line="240" w:lineRule="auto"/>
              <w:rPr>
                <w:rFonts w:ascii="Times New Roman" w:hAnsi="Times New Roman"/>
                <w:color w:val="000000" w:themeColor="text1"/>
                <w:szCs w:val="21"/>
                <w14:textFill>
                  <w14:solidFill>
                    <w14:schemeClr w14:val="tx1"/>
                  </w14:solidFill>
                </w14:textFill>
              </w:rPr>
            </w:pPr>
          </w:p>
        </w:tc>
        <w:tc>
          <w:tcPr>
            <w:tcW w:w="970" w:type="dxa"/>
            <w:vMerge w:val="continue"/>
            <w:tcMar>
              <w:top w:w="15" w:type="dxa"/>
              <w:left w:w="15" w:type="dxa"/>
              <w:right w:w="15" w:type="dxa"/>
            </w:tcMar>
            <w:vAlign w:val="center"/>
          </w:tcPr>
          <w:p w14:paraId="0D88860B">
            <w:pPr>
              <w:pStyle w:val="249"/>
              <w:spacing w:line="240" w:lineRule="auto"/>
              <w:rPr>
                <w:rFonts w:ascii="Times New Roman" w:hAnsi="Times New Roman"/>
                <w:color w:val="000000" w:themeColor="text1"/>
                <w:szCs w:val="21"/>
                <w14:textFill>
                  <w14:solidFill>
                    <w14:schemeClr w14:val="tx1"/>
                  </w14:solidFill>
                </w14:textFill>
              </w:rPr>
            </w:pPr>
          </w:p>
        </w:tc>
        <w:tc>
          <w:tcPr>
            <w:tcW w:w="992" w:type="dxa"/>
            <w:tcMar>
              <w:top w:w="15" w:type="dxa"/>
              <w:left w:w="15" w:type="dxa"/>
              <w:right w:w="15" w:type="dxa"/>
            </w:tcMar>
            <w:vAlign w:val="center"/>
          </w:tcPr>
          <w:p w14:paraId="498B0D2B">
            <w:pPr>
              <w:pStyle w:val="24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vertAlign w:val="superscript"/>
                <w14:textFill>
                  <w14:solidFill>
                    <w14:schemeClr w14:val="tx1"/>
                  </w14:solidFill>
                </w14:textFill>
              </w:rPr>
              <w:t>232</w:t>
            </w:r>
            <w:r>
              <w:rPr>
                <w:rFonts w:ascii="Times New Roman" w:hAnsi="Times New Roman"/>
                <w:color w:val="000000" w:themeColor="text1"/>
                <w:szCs w:val="21"/>
                <w14:textFill>
                  <w14:solidFill>
                    <w14:schemeClr w14:val="tx1"/>
                  </w14:solidFill>
                </w14:textFill>
              </w:rPr>
              <w:t>Th</w:t>
            </w:r>
          </w:p>
        </w:tc>
        <w:tc>
          <w:tcPr>
            <w:tcW w:w="1418" w:type="dxa"/>
            <w:noWrap/>
            <w:tcMar>
              <w:top w:w="15" w:type="dxa"/>
              <w:left w:w="15" w:type="dxa"/>
              <w:right w:w="15" w:type="dxa"/>
            </w:tcMar>
            <w:vAlign w:val="center"/>
          </w:tcPr>
          <w:p w14:paraId="7684F4CC">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2175.1</w:t>
            </w:r>
          </w:p>
        </w:tc>
        <w:tc>
          <w:tcPr>
            <w:tcW w:w="1843" w:type="dxa"/>
            <w:noWrap/>
            <w:tcMar>
              <w:top w:w="15" w:type="dxa"/>
              <w:left w:w="15" w:type="dxa"/>
              <w:right w:w="15" w:type="dxa"/>
            </w:tcMar>
            <w:vAlign w:val="center"/>
          </w:tcPr>
          <w:p w14:paraId="65B02F91">
            <w:pPr>
              <w:pStyle w:val="249"/>
              <w:spacing w:line="240" w:lineRule="auto"/>
              <w:rPr>
                <w:rFonts w:ascii="Times New Roman" w:hAnsi="Times New Roman"/>
                <w:color w:val="000000" w:themeColor="text1"/>
                <w:szCs w:val="21"/>
                <w:u w:val="single"/>
                <w14:textFill>
                  <w14:solidFill>
                    <w14:schemeClr w14:val="tx1"/>
                  </w14:solidFill>
                </w14:textFill>
              </w:rPr>
            </w:pPr>
            <w:r>
              <w:rPr>
                <w:rFonts w:ascii="Times New Roman" w:hAnsi="Times New Roman" w:eastAsia="等线"/>
                <w:color w:val="000000" w:themeColor="text1"/>
                <w:szCs w:val="21"/>
                <w:u w:val="single"/>
                <w14:textFill>
                  <w14:solidFill>
                    <w14:schemeClr w14:val="tx1"/>
                  </w14:solidFill>
                </w14:textFill>
              </w:rPr>
              <w:t xml:space="preserve">0.0871 </w:t>
            </w:r>
          </w:p>
        </w:tc>
        <w:tc>
          <w:tcPr>
            <w:tcW w:w="794" w:type="dxa"/>
            <w:vMerge w:val="continue"/>
            <w:noWrap/>
            <w:tcMar>
              <w:top w:w="15" w:type="dxa"/>
              <w:left w:w="15" w:type="dxa"/>
              <w:right w:w="15" w:type="dxa"/>
            </w:tcMar>
            <w:vAlign w:val="center"/>
          </w:tcPr>
          <w:p w14:paraId="331DB873">
            <w:pPr>
              <w:pStyle w:val="249"/>
              <w:spacing w:line="240" w:lineRule="auto"/>
              <w:rPr>
                <w:rFonts w:ascii="Times New Roman" w:hAnsi="Times New Roman"/>
                <w:color w:val="000000" w:themeColor="text1"/>
                <w:szCs w:val="21"/>
                <w14:textFill>
                  <w14:solidFill>
                    <w14:schemeClr w14:val="tx1"/>
                  </w14:solidFill>
                </w14:textFill>
              </w:rPr>
            </w:pPr>
          </w:p>
        </w:tc>
        <w:tc>
          <w:tcPr>
            <w:tcW w:w="1276" w:type="dxa"/>
            <w:vMerge w:val="continue"/>
            <w:noWrap/>
            <w:tcMar>
              <w:top w:w="15" w:type="dxa"/>
              <w:left w:w="15" w:type="dxa"/>
              <w:right w:w="15" w:type="dxa"/>
            </w:tcMar>
            <w:vAlign w:val="center"/>
          </w:tcPr>
          <w:p w14:paraId="1639E766">
            <w:pPr>
              <w:pStyle w:val="249"/>
              <w:spacing w:line="240" w:lineRule="auto"/>
              <w:rPr>
                <w:rFonts w:ascii="Times New Roman" w:hAnsi="Times New Roman"/>
                <w:color w:val="000000" w:themeColor="text1"/>
                <w:szCs w:val="21"/>
                <w14:textFill>
                  <w14:solidFill>
                    <w14:schemeClr w14:val="tx1"/>
                  </w14:solidFill>
                </w14:textFill>
              </w:rPr>
            </w:pPr>
          </w:p>
        </w:tc>
        <w:tc>
          <w:tcPr>
            <w:tcW w:w="646" w:type="dxa"/>
            <w:vMerge w:val="continue"/>
            <w:noWrap/>
            <w:tcMar>
              <w:top w:w="15" w:type="dxa"/>
              <w:left w:w="15" w:type="dxa"/>
              <w:right w:w="15" w:type="dxa"/>
            </w:tcMar>
            <w:vAlign w:val="center"/>
          </w:tcPr>
          <w:p w14:paraId="466F02CE">
            <w:pPr>
              <w:pStyle w:val="249"/>
              <w:spacing w:line="240" w:lineRule="auto"/>
              <w:rPr>
                <w:rFonts w:ascii="Times New Roman" w:hAnsi="Times New Roman"/>
                <w:color w:val="000000" w:themeColor="text1"/>
                <w:szCs w:val="21"/>
                <w14:textFill>
                  <w14:solidFill>
                    <w14:schemeClr w14:val="tx1"/>
                  </w14:solidFill>
                </w14:textFill>
              </w:rPr>
            </w:pPr>
          </w:p>
        </w:tc>
      </w:tr>
    </w:tbl>
    <w:p w14:paraId="366E4EDB">
      <w:pPr>
        <w:pStyle w:val="2"/>
        <w:rPr>
          <w:rFonts w:ascii="Times New Roman" w:hAnsi="Times New Roman" w:cs="Times New Roman" w:eastAsiaTheme="minorEastAsia"/>
          <w:color w:val="000000" w:themeColor="text1"/>
          <w:sz w:val="18"/>
          <w:szCs w:val="18"/>
          <w14:textFill>
            <w14:solidFill>
              <w14:schemeClr w14:val="tx1"/>
            </w14:solidFill>
          </w14:textFill>
        </w:rPr>
      </w:pPr>
      <w:r>
        <w:rPr>
          <w:rFonts w:ascii="Times New Roman" w:hAnsi="Times New Roman" w:cs="Times New Roman" w:eastAsiaTheme="minorEastAsia"/>
          <w:color w:val="000000" w:themeColor="text1"/>
          <w:sz w:val="18"/>
          <w:szCs w:val="18"/>
          <w14:textFill>
            <w14:solidFill>
              <w14:schemeClr w14:val="tx1"/>
            </w14:solidFill>
          </w14:textFill>
        </w:rPr>
        <w:t>注：在穿戴好个人防护用品后（如戴口罩等），工作人员吸入粉尘浓度按工作产生粉尘浓度的10%计算。</w:t>
      </w:r>
    </w:p>
    <w:p w14:paraId="40D40B1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21B9470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结合以上计算结果，本项目工作人员个人辐射剂量估算见4.2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w:t>
      </w:r>
    </w:p>
    <w:p w14:paraId="5BE74FDB">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表4.2</w:t>
      </w:r>
      <w:r>
        <w:rPr>
          <w:rFonts w:ascii="Times New Roman" w:hAnsi="Times New Roman" w:eastAsia="宋体" w:cs="Times New Roman"/>
          <w:b/>
          <w:bCs/>
          <w:color w:val="000000" w:themeColor="text1"/>
          <w:spacing w:val="-2"/>
          <w:sz w:val="24"/>
          <w:szCs w:val="20"/>
          <w14:textFill>
            <w14:solidFill>
              <w14:schemeClr w14:val="tx1"/>
            </w14:solidFill>
          </w14:textFill>
        </w:rPr>
        <w:noBreakHyphen/>
      </w:r>
      <w:r>
        <w:rPr>
          <w:rFonts w:ascii="Times New Roman" w:hAnsi="Times New Roman" w:eastAsia="宋体" w:cs="Times New Roman"/>
          <w:b/>
          <w:bCs/>
          <w:color w:val="000000" w:themeColor="text1"/>
          <w:spacing w:val="-2"/>
          <w:sz w:val="24"/>
          <w:szCs w:val="20"/>
          <w14:textFill>
            <w14:solidFill>
              <w14:schemeClr w14:val="tx1"/>
            </w14:solidFill>
          </w14:textFill>
        </w:rPr>
        <w:t xml:space="preserve">6 </w:t>
      </w:r>
      <w:bookmarkStart w:id="109" w:name="OLE_LINK34"/>
      <w:r>
        <w:rPr>
          <w:rFonts w:ascii="Times New Roman" w:hAnsi="Times New Roman" w:eastAsia="宋体" w:cs="Times New Roman"/>
          <w:b/>
          <w:bCs/>
          <w:color w:val="000000" w:themeColor="text1"/>
          <w:spacing w:val="-2"/>
          <w:sz w:val="24"/>
          <w:szCs w:val="20"/>
          <w14:textFill>
            <w14:solidFill>
              <w14:schemeClr w14:val="tx1"/>
            </w14:solidFill>
          </w14:textFill>
        </w:rPr>
        <w:t>工作人员个人辐射剂量估算一览表</w:t>
      </w:r>
      <w:bookmarkEnd w:id="109"/>
    </w:p>
    <w:tbl>
      <w:tblPr>
        <w:tblStyle w:val="4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9"/>
        <w:gridCol w:w="2839"/>
        <w:gridCol w:w="1165"/>
        <w:gridCol w:w="1165"/>
        <w:gridCol w:w="1459"/>
        <w:gridCol w:w="1246"/>
      </w:tblGrid>
      <w:tr w14:paraId="491CDF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81" w:type="pct"/>
            <w:vMerge w:val="restart"/>
            <w:noWrap/>
            <w:vAlign w:val="center"/>
          </w:tcPr>
          <w:p w14:paraId="53EF5CC0">
            <w:pPr>
              <w:pStyle w:val="242"/>
              <w:rPr>
                <w:rFonts w:ascii="Times New Roman" w:hAnsi="Times New Roman" w:eastAsia="宋体" w:cs="Times New Roman"/>
                <w:b/>
                <w:color w:val="000000" w:themeColor="text1"/>
                <w:szCs w:val="21"/>
                <w14:textFill>
                  <w14:solidFill>
                    <w14:schemeClr w14:val="tx1"/>
                  </w14:solidFill>
                </w14:textFill>
              </w:rPr>
            </w:pPr>
            <w:bookmarkStart w:id="110" w:name="_Hlk52282131"/>
            <w:r>
              <w:rPr>
                <w:rFonts w:ascii="Times New Roman" w:hAnsi="Times New Roman" w:eastAsia="宋体" w:cs="Times New Roman"/>
                <w:b/>
                <w:color w:val="000000" w:themeColor="text1"/>
                <w:szCs w:val="21"/>
                <w14:textFill>
                  <w14:solidFill>
                    <w14:schemeClr w14:val="tx1"/>
                  </w14:solidFill>
                </w14:textFill>
              </w:rPr>
              <w:t>序号</w:t>
            </w:r>
          </w:p>
        </w:tc>
        <w:tc>
          <w:tcPr>
            <w:tcW w:w="1666" w:type="pct"/>
            <w:vMerge w:val="restart"/>
            <w:vAlign w:val="center"/>
          </w:tcPr>
          <w:p w14:paraId="20C60393">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工作场所描述</w:t>
            </w:r>
          </w:p>
        </w:tc>
        <w:tc>
          <w:tcPr>
            <w:tcW w:w="2954" w:type="pct"/>
            <w:gridSpan w:val="4"/>
            <w:noWrap/>
            <w:vAlign w:val="center"/>
          </w:tcPr>
          <w:p w14:paraId="6783DF5D">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个人辐射剂量（mSv/a）</w:t>
            </w:r>
          </w:p>
        </w:tc>
      </w:tr>
      <w:tr w14:paraId="18922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81" w:type="pct"/>
            <w:vMerge w:val="continue"/>
            <w:noWrap/>
            <w:vAlign w:val="center"/>
          </w:tcPr>
          <w:p w14:paraId="73A8E7DA">
            <w:pPr>
              <w:pStyle w:val="242"/>
              <w:rPr>
                <w:rFonts w:ascii="Times New Roman" w:hAnsi="Times New Roman" w:eastAsia="宋体" w:cs="Times New Roman"/>
                <w:color w:val="000000" w:themeColor="text1"/>
                <w:szCs w:val="21"/>
                <w14:textFill>
                  <w14:solidFill>
                    <w14:schemeClr w14:val="tx1"/>
                  </w14:solidFill>
                </w14:textFill>
              </w:rPr>
            </w:pPr>
          </w:p>
        </w:tc>
        <w:tc>
          <w:tcPr>
            <w:tcW w:w="1666" w:type="pct"/>
            <w:vMerge w:val="continue"/>
            <w:vAlign w:val="center"/>
          </w:tcPr>
          <w:p w14:paraId="31D3817E">
            <w:pPr>
              <w:pStyle w:val="242"/>
              <w:rPr>
                <w:rFonts w:ascii="Times New Roman" w:hAnsi="Times New Roman" w:eastAsia="宋体" w:cs="Times New Roman"/>
                <w:color w:val="000000" w:themeColor="text1"/>
                <w:szCs w:val="21"/>
                <w14:textFill>
                  <w14:solidFill>
                    <w14:schemeClr w14:val="tx1"/>
                  </w14:solidFill>
                </w14:textFill>
              </w:rPr>
            </w:pPr>
          </w:p>
        </w:tc>
        <w:tc>
          <w:tcPr>
            <w:tcW w:w="683" w:type="pct"/>
            <w:noWrap/>
            <w:vAlign w:val="center"/>
          </w:tcPr>
          <w:p w14:paraId="1A1B9CD0">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外照射</w:t>
            </w:r>
          </w:p>
        </w:tc>
        <w:tc>
          <w:tcPr>
            <w:tcW w:w="683" w:type="pct"/>
            <w:noWrap/>
            <w:vAlign w:val="center"/>
          </w:tcPr>
          <w:p w14:paraId="305B8977">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空气氡</w:t>
            </w:r>
          </w:p>
        </w:tc>
        <w:tc>
          <w:tcPr>
            <w:tcW w:w="856" w:type="pct"/>
            <w:noWrap/>
            <w:vAlign w:val="center"/>
          </w:tcPr>
          <w:p w14:paraId="42B57305">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放射性核素（粉尘）</w:t>
            </w:r>
          </w:p>
        </w:tc>
        <w:tc>
          <w:tcPr>
            <w:tcW w:w="731" w:type="pct"/>
            <w:noWrap/>
            <w:vAlign w:val="center"/>
          </w:tcPr>
          <w:p w14:paraId="460A6A05">
            <w:pPr>
              <w:pStyle w:val="242"/>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合计</w:t>
            </w:r>
          </w:p>
        </w:tc>
      </w:tr>
      <w:tr w14:paraId="13E38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1" w:type="pct"/>
            <w:noWrap/>
            <w:vAlign w:val="center"/>
          </w:tcPr>
          <w:p w14:paraId="3B102D1D">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666" w:type="pct"/>
            <w:vAlign w:val="center"/>
          </w:tcPr>
          <w:p w14:paraId="769F88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1#原料处理车间</w:t>
            </w:r>
          </w:p>
        </w:tc>
        <w:tc>
          <w:tcPr>
            <w:tcW w:w="683" w:type="pct"/>
            <w:noWrap/>
            <w:vAlign w:val="center"/>
          </w:tcPr>
          <w:p w14:paraId="6139F8F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2.4595</w:t>
            </w:r>
          </w:p>
        </w:tc>
        <w:tc>
          <w:tcPr>
            <w:tcW w:w="683" w:type="pct"/>
            <w:noWrap/>
            <w:vAlign w:val="center"/>
          </w:tcPr>
          <w:p w14:paraId="08117B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0.0187</w:t>
            </w:r>
          </w:p>
        </w:tc>
        <w:tc>
          <w:tcPr>
            <w:tcW w:w="856" w:type="pct"/>
            <w:noWrap/>
            <w:vAlign w:val="center"/>
          </w:tcPr>
          <w:p w14:paraId="21C8CBF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0.5452</w:t>
            </w:r>
          </w:p>
        </w:tc>
        <w:tc>
          <w:tcPr>
            <w:tcW w:w="731" w:type="pct"/>
            <w:noWrap/>
            <w:vAlign w:val="center"/>
          </w:tcPr>
          <w:p w14:paraId="2F45629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3.0235</w:t>
            </w:r>
          </w:p>
        </w:tc>
      </w:tr>
      <w:tr w14:paraId="58D0A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1" w:type="pct"/>
            <w:noWrap/>
            <w:vAlign w:val="center"/>
          </w:tcPr>
          <w:p w14:paraId="1A1E1E23">
            <w:pPr>
              <w:pStyle w:val="245"/>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666" w:type="pct"/>
            <w:vAlign w:val="center"/>
          </w:tcPr>
          <w:p w14:paraId="1076DD8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2#分选车间</w:t>
            </w:r>
          </w:p>
        </w:tc>
        <w:tc>
          <w:tcPr>
            <w:tcW w:w="683" w:type="pct"/>
            <w:noWrap/>
            <w:vAlign w:val="center"/>
          </w:tcPr>
          <w:p w14:paraId="3B1CB84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2.2660</w:t>
            </w:r>
          </w:p>
        </w:tc>
        <w:tc>
          <w:tcPr>
            <w:tcW w:w="683" w:type="pct"/>
            <w:noWrap/>
            <w:vAlign w:val="center"/>
          </w:tcPr>
          <w:p w14:paraId="57D6D6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等线" w:cs="Times New Roman"/>
                <w:color w:val="000000" w:themeColor="text1"/>
                <w:sz w:val="22"/>
                <w:szCs w:val="22"/>
                <w14:textFill>
                  <w14:solidFill>
                    <w14:schemeClr w14:val="tx1"/>
                  </w14:solidFill>
                </w14:textFill>
              </w:rPr>
              <w:t>0.0187</w:t>
            </w:r>
          </w:p>
        </w:tc>
        <w:tc>
          <w:tcPr>
            <w:tcW w:w="856" w:type="pct"/>
            <w:noWrap/>
            <w:vAlign w:val="center"/>
          </w:tcPr>
          <w:p w14:paraId="67F2FAF4">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1.1165</w:t>
            </w:r>
          </w:p>
        </w:tc>
        <w:tc>
          <w:tcPr>
            <w:tcW w:w="731" w:type="pct"/>
            <w:noWrap/>
            <w:vAlign w:val="center"/>
          </w:tcPr>
          <w:p w14:paraId="6F9240E6">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ascii="Times New Roman" w:hAnsi="Times New Roman" w:eastAsia="等线" w:cs="Times New Roman"/>
                <w:color w:val="000000" w:themeColor="text1"/>
                <w:sz w:val="22"/>
                <w:szCs w:val="22"/>
                <w:u w:val="single"/>
                <w14:textFill>
                  <w14:solidFill>
                    <w14:schemeClr w14:val="tx1"/>
                  </w14:solidFill>
                </w14:textFill>
              </w:rPr>
              <w:t>3.4012</w:t>
            </w:r>
          </w:p>
        </w:tc>
      </w:tr>
      <w:bookmarkEnd w:id="110"/>
    </w:tbl>
    <w:p w14:paraId="574C401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2342DD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从表4.2</w:t>
      </w:r>
      <w:r>
        <w:rPr>
          <w:rFonts w:ascii="Times New Roman" w:hAnsi="Times New Roman" w:eastAsia="宋体" w:cs="Times New Roman"/>
          <w:color w:val="000000" w:themeColor="text1"/>
          <w:spacing w:val="-2"/>
          <w:sz w:val="24"/>
          <w:szCs w:val="20"/>
          <w14:textFill>
            <w14:solidFill>
              <w14:schemeClr w14:val="tx1"/>
            </w14:solidFill>
          </w14:textFill>
        </w:rPr>
        <w:noBreakHyphen/>
      </w:r>
      <w:r>
        <w:rPr>
          <w:rFonts w:ascii="Times New Roman" w:hAnsi="Times New Roman" w:eastAsia="宋体" w:cs="Times New Roman"/>
          <w:color w:val="000000" w:themeColor="text1"/>
          <w:spacing w:val="-2"/>
          <w:sz w:val="24"/>
          <w:szCs w:val="20"/>
          <w14:textFill>
            <w14:solidFill>
              <w14:schemeClr w14:val="tx1"/>
            </w14:solidFill>
          </w14:textFill>
        </w:rPr>
        <w:t>6估算结果中可知，</w:t>
      </w:r>
      <w:r>
        <w:rPr>
          <w:rFonts w:ascii="Times New Roman" w:hAnsi="Times New Roman" w:eastAsia="宋体" w:cs="Times New Roman"/>
          <w:color w:val="000000" w:themeColor="text1"/>
          <w:spacing w:val="-2"/>
          <w:sz w:val="24"/>
          <w:szCs w:val="20"/>
          <w:u w:val="single"/>
          <w14:textFill>
            <w14:solidFill>
              <w14:schemeClr w14:val="tx1"/>
            </w14:solidFill>
          </w14:textFill>
        </w:rPr>
        <w:t>本项目工作人员个人辐射剂量最大值出现在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2#分选车间</w:t>
      </w:r>
      <w:r>
        <w:rPr>
          <w:rFonts w:ascii="Times New Roman" w:hAnsi="Times New Roman" w:eastAsia="宋体" w:cs="Times New Roman"/>
          <w:color w:val="000000" w:themeColor="text1"/>
          <w:spacing w:val="-2"/>
          <w:sz w:val="24"/>
          <w:szCs w:val="20"/>
          <w:u w:val="single"/>
          <w14:textFill>
            <w14:solidFill>
              <w14:schemeClr w14:val="tx1"/>
            </w14:solidFill>
          </w14:textFill>
        </w:rPr>
        <w:t>操作工位工作人员，个人有效剂量为</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3.4012</w:t>
      </w:r>
      <w:r>
        <w:rPr>
          <w:rFonts w:ascii="Times New Roman" w:hAnsi="Times New Roman" w:eastAsia="宋体" w:cs="Times New Roman"/>
          <w:color w:val="000000" w:themeColor="text1"/>
          <w:spacing w:val="-2"/>
          <w:sz w:val="24"/>
          <w:szCs w:val="20"/>
          <w:u w:val="single"/>
          <w14:textFill>
            <w14:solidFill>
              <w14:schemeClr w14:val="tx1"/>
            </w14:solidFill>
          </w14:textFill>
        </w:rPr>
        <w:t>mSv/a，</w:t>
      </w:r>
      <w:r>
        <w:rPr>
          <w:rFonts w:ascii="Times New Roman" w:hAnsi="Times New Roman" w:eastAsia="宋体" w:cs="Times New Roman"/>
          <w:color w:val="000000" w:themeColor="text1"/>
          <w:spacing w:val="-2"/>
          <w:sz w:val="24"/>
          <w:szCs w:val="20"/>
          <w14:textFill>
            <w14:solidFill>
              <w14:schemeClr w14:val="tx1"/>
            </w14:solidFill>
          </w14:textFill>
        </w:rPr>
        <w:t>小于本项目的管理限值5mSv/a。</w:t>
      </w:r>
    </w:p>
    <w:bookmarkEnd w:id="107"/>
    <w:p w14:paraId="574538C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1" w:name="_Toc187653472"/>
      <w:bookmarkStart w:id="112" w:name="_Toc78822670"/>
      <w:r>
        <w:rPr>
          <w:rFonts w:ascii="Times New Roman" w:hAnsi="Times New Roman" w:eastAsia="黑体" w:cs="Times New Roman"/>
          <w:b/>
          <w:bCs/>
          <w:color w:val="000000" w:themeColor="text1"/>
          <w:kern w:val="2"/>
          <w:sz w:val="28"/>
          <w:szCs w:val="32"/>
          <w14:textFill>
            <w14:solidFill>
              <w14:schemeClr w14:val="tx1"/>
            </w14:solidFill>
          </w14:textFill>
        </w:rPr>
        <w:t>正常工况地表水辐射环境影响分析</w:t>
      </w:r>
      <w:bookmarkEnd w:id="111"/>
      <w:bookmarkEnd w:id="112"/>
    </w:p>
    <w:p w14:paraId="15A00290">
      <w:pPr>
        <w:spacing w:after="0" w:line="360" w:lineRule="auto"/>
        <w:ind w:firstLine="47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olor w:val="000000" w:themeColor="text1"/>
          <w:spacing w:val="-2"/>
          <w:sz w:val="24"/>
          <w:szCs w:val="24"/>
          <w14:textFill>
            <w14:solidFill>
              <w14:schemeClr w14:val="tx1"/>
            </w14:solidFill>
          </w14:textFill>
        </w:rPr>
        <w:t>项目采用干式磁选工艺对原料进行分选加工，原料毛矿无需进行清洗，生产过程中无需用水，</w:t>
      </w:r>
      <w:r>
        <w:rPr>
          <w:rFonts w:hint="eastAsia" w:ascii="Times New Roman" w:hAnsi="Times New Roman"/>
          <w:color w:val="000000" w:themeColor="text1"/>
          <w:spacing w:val="-2"/>
          <w:sz w:val="24"/>
          <w:szCs w:val="24"/>
          <w14:textFill>
            <w14:solidFill>
              <w14:schemeClr w14:val="tx1"/>
            </w14:solidFill>
          </w14:textFill>
        </w:rPr>
        <w:t>不产生生产废水；项目评价范围内周边无地表水体，项目</w:t>
      </w:r>
      <w:r>
        <w:rPr>
          <w:rFonts w:ascii="Times New Roman" w:hAnsi="Times New Roman" w:cs="Times New Roman"/>
          <w:color w:val="000000" w:themeColor="text1"/>
          <w:sz w:val="24"/>
          <w:szCs w:val="24"/>
          <w14:textFill>
            <w14:solidFill>
              <w14:schemeClr w14:val="tx1"/>
            </w14:solidFill>
          </w14:textFill>
        </w:rPr>
        <w:t>不会对周围地表水环境造成影响。</w:t>
      </w:r>
    </w:p>
    <w:p w14:paraId="368F00BD">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3" w:name="_Toc78822671"/>
      <w:bookmarkStart w:id="114" w:name="_Toc187653473"/>
      <w:r>
        <w:rPr>
          <w:rFonts w:ascii="Times New Roman" w:hAnsi="Times New Roman" w:eastAsia="黑体" w:cs="Times New Roman"/>
          <w:b/>
          <w:bCs/>
          <w:color w:val="000000" w:themeColor="text1"/>
          <w:kern w:val="2"/>
          <w:sz w:val="28"/>
          <w:szCs w:val="32"/>
          <w14:textFill>
            <w14:solidFill>
              <w14:schemeClr w14:val="tx1"/>
            </w14:solidFill>
          </w14:textFill>
        </w:rPr>
        <w:t>地下水辐射环境影响分析</w:t>
      </w:r>
      <w:bookmarkEnd w:id="113"/>
      <w:bookmarkEnd w:id="114"/>
    </w:p>
    <w:p w14:paraId="271C35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项目生产过程中不产生生产废水，且项目</w:t>
      </w:r>
      <w:r>
        <w:rPr>
          <w:rFonts w:ascii="Times New Roman" w:hAnsi="Times New Roman" w:cs="Times New Roman"/>
          <w:color w:val="000000" w:themeColor="text1"/>
          <w:sz w:val="24"/>
          <w:szCs w:val="24"/>
          <w14:textFill>
            <w14:solidFill>
              <w14:schemeClr w14:val="tx1"/>
            </w14:solidFill>
          </w14:textFill>
        </w:rPr>
        <w:t>厂区设计有分区防渗措施，</w:t>
      </w:r>
      <w:r>
        <w:rPr>
          <w:rFonts w:hint="eastAsia" w:ascii="Times New Roman" w:hAnsi="Times New Roman" w:cs="Times New Roman"/>
          <w:color w:val="000000" w:themeColor="text1"/>
          <w:sz w:val="24"/>
          <w:szCs w:val="24"/>
          <w14:textFill>
            <w14:solidFill>
              <w14:schemeClr w14:val="tx1"/>
            </w14:solidFill>
          </w14:textFill>
        </w:rPr>
        <w:t>根据项目毛矿、产品、副产品等物料特性，</w:t>
      </w:r>
      <w:r>
        <w:rPr>
          <w:rFonts w:ascii="Times New Roman" w:hAnsi="Times New Roman" w:cs="Times New Roman"/>
          <w:color w:val="000000" w:themeColor="text1"/>
          <w:sz w:val="24"/>
          <w:szCs w:val="24"/>
          <w14:textFill>
            <w14:solidFill>
              <w14:schemeClr w14:val="tx1"/>
            </w14:solidFill>
          </w14:textFill>
        </w:rPr>
        <w:t>物料中</w:t>
      </w:r>
      <w:r>
        <w:rPr>
          <w:rFonts w:ascii="Times New Roman" w:hAnsi="Times New Roman" w:cs="Times New Roman"/>
          <w:bCs/>
          <w:color w:val="000000" w:themeColor="text1"/>
          <w:sz w:val="24"/>
          <w:szCs w:val="24"/>
          <w14:textFill>
            <w14:solidFill>
              <w14:schemeClr w14:val="tx1"/>
            </w14:solidFill>
          </w14:textFill>
        </w:rPr>
        <w:t>放射性核素</w:t>
      </w:r>
      <w:r>
        <w:rPr>
          <w:rFonts w:ascii="Times New Roman" w:hAnsi="Times New Roman" w:cs="Times New Roman"/>
          <w:color w:val="000000" w:themeColor="text1"/>
          <w:sz w:val="24"/>
          <w:szCs w:val="24"/>
          <w:vertAlign w:val="superscript"/>
          <w14:textFill>
            <w14:solidFill>
              <w14:schemeClr w14:val="tx1"/>
            </w14:solidFill>
          </w14:textFill>
        </w:rPr>
        <w:t>238</w:t>
      </w:r>
      <w:r>
        <w:rPr>
          <w:rFonts w:ascii="Times New Roman" w:hAnsi="Times New Roman" w:cs="Times New Roman"/>
          <w:color w:val="000000" w:themeColor="text1"/>
          <w:sz w:val="24"/>
          <w:szCs w:val="24"/>
          <w14:textFill>
            <w14:solidFill>
              <w14:schemeClr w14:val="tx1"/>
            </w14:solidFill>
          </w14:textFill>
        </w:rPr>
        <w:t>U、</w:t>
      </w:r>
      <w:r>
        <w:rPr>
          <w:rFonts w:ascii="Times New Roman" w:hAnsi="Times New Roman" w:cs="Times New Roman"/>
          <w:color w:val="000000" w:themeColor="text1"/>
          <w:sz w:val="24"/>
          <w:szCs w:val="24"/>
          <w:vertAlign w:val="superscript"/>
          <w14:textFill>
            <w14:solidFill>
              <w14:schemeClr w14:val="tx1"/>
            </w14:solidFill>
          </w14:textFill>
        </w:rPr>
        <w:t>232</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Ra向工艺水转移的量极小，正常状况下各污染物存贮构筑物基本不会有污水的泄漏情况发生，从而在源头上杜绝了放射性核素进入含水层的途径。正常状况下，项目对地下水的影响较小。</w:t>
      </w:r>
    </w:p>
    <w:p w14:paraId="004B4C0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根据工程分析以及调研同类型企业的工况，项目可能对地下水造成污染的主要来源是项目原料堆放场地，由于降雨淋滤导致的淋滤液下渗造成的地下水污染。项目建成后生产区均在厂房内，厂房采用封闭式设计，地面均进行了硬化及防渗处理，物料堆存</w:t>
      </w:r>
      <w:r>
        <w:rPr>
          <w:rFonts w:hint="eastAsia" w:ascii="Times New Roman" w:hAnsi="Times New Roman" w:eastAsia="宋体" w:cs="Times New Roman"/>
          <w:color w:val="000000" w:themeColor="text1"/>
          <w:spacing w:val="-2"/>
          <w:sz w:val="24"/>
          <w:szCs w:val="20"/>
          <w14:textFill>
            <w14:solidFill>
              <w14:schemeClr w14:val="tx1"/>
            </w14:solidFill>
          </w14:textFill>
        </w:rPr>
        <w:t>不设置露天堆场，物料堆存</w:t>
      </w:r>
      <w:r>
        <w:rPr>
          <w:rFonts w:ascii="Times New Roman" w:hAnsi="Times New Roman" w:eastAsia="宋体" w:cs="Times New Roman"/>
          <w:color w:val="000000" w:themeColor="text1"/>
          <w:spacing w:val="-2"/>
          <w:sz w:val="24"/>
          <w:szCs w:val="20"/>
          <w14:textFill>
            <w14:solidFill>
              <w14:schemeClr w14:val="tx1"/>
            </w14:solidFill>
          </w14:textFill>
        </w:rPr>
        <w:t>均在车间内无雨水淋溶情况，并且项目生产过程中无需用水，仅有少量的工作人员的生活污水产生。</w:t>
      </w:r>
    </w:p>
    <w:p w14:paraId="63AFB1B4">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项目实施地下水污染</w:t>
      </w:r>
      <w:r>
        <w:rPr>
          <w:rFonts w:ascii="Times New Roman" w:hAnsi="Times New Roman" w:eastAsia="宋体" w:cs="Times New Roman"/>
          <w:color w:val="000000" w:themeColor="text1"/>
          <w:spacing w:val="-2"/>
          <w:sz w:val="24"/>
          <w:szCs w:val="20"/>
          <w14:textFill>
            <w14:solidFill>
              <w14:schemeClr w14:val="tx1"/>
            </w14:solidFill>
          </w14:textFill>
        </w:rPr>
        <w:t>分区防控措施</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将本项目整个厂房</w:t>
      </w:r>
      <w:r>
        <w:rPr>
          <w:rFonts w:hint="eastAsia" w:ascii="Times New Roman" w:hAnsi="Times New Roman" w:eastAsia="宋体" w:cs="Times New Roman"/>
          <w:color w:val="000000" w:themeColor="text1"/>
          <w:spacing w:val="-2"/>
          <w:sz w:val="24"/>
          <w:szCs w:val="20"/>
          <w14:textFill>
            <w14:solidFill>
              <w14:schemeClr w14:val="tx1"/>
            </w14:solidFill>
          </w14:textFill>
        </w:rPr>
        <w:t>（除危废暂存间外）</w:t>
      </w:r>
      <w:r>
        <w:rPr>
          <w:rFonts w:ascii="Times New Roman" w:hAnsi="Times New Roman" w:eastAsia="宋体" w:cs="Times New Roman"/>
          <w:color w:val="000000" w:themeColor="text1"/>
          <w:spacing w:val="-2"/>
          <w:sz w:val="24"/>
          <w:szCs w:val="20"/>
          <w14:textFill>
            <w14:solidFill>
              <w14:schemeClr w14:val="tx1"/>
            </w14:solidFill>
          </w14:textFill>
        </w:rPr>
        <w:t>作为</w:t>
      </w: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个防渗分区</w:t>
      </w:r>
      <w:r>
        <w:rPr>
          <w:rFonts w:hint="eastAsia" w:ascii="Times New Roman" w:hAnsi="Times New Roman" w:eastAsia="宋体" w:cs="Times New Roman"/>
          <w:color w:val="000000" w:themeColor="text1"/>
          <w:spacing w:val="-2"/>
          <w:sz w:val="24"/>
          <w:szCs w:val="20"/>
          <w14:textFill>
            <w14:solidFill>
              <w14:schemeClr w14:val="tx1"/>
            </w14:solidFill>
          </w14:textFill>
        </w:rPr>
        <w:t>，厂房设置为一般防渗区；危废暂存间为1个防渗分区，设置为重点防渗区。项目</w:t>
      </w:r>
      <w:r>
        <w:rPr>
          <w:rFonts w:ascii="Times New Roman" w:hAnsi="Times New Roman" w:eastAsia="宋体" w:cs="Times New Roman"/>
          <w:color w:val="000000" w:themeColor="text1"/>
          <w:spacing w:val="-2"/>
          <w:sz w:val="24"/>
          <w:szCs w:val="20"/>
          <w14:textFill>
            <w14:solidFill>
              <w14:schemeClr w14:val="tx1"/>
            </w14:solidFill>
          </w14:textFill>
        </w:rPr>
        <w:t>采用合理的施工方法、选用质量过关的建筑材料、防渗材料进行本项目的施工</w:t>
      </w:r>
      <w:r>
        <w:rPr>
          <w:rFonts w:hint="eastAsia" w:ascii="Times New Roman" w:hAnsi="Times New Roman" w:eastAsia="宋体" w:cs="Times New Roman"/>
          <w:color w:val="000000" w:themeColor="text1"/>
          <w:spacing w:val="-2"/>
          <w:sz w:val="24"/>
          <w:szCs w:val="20"/>
          <w14:textFill>
            <w14:solidFill>
              <w14:schemeClr w14:val="tx1"/>
            </w14:solidFill>
          </w14:textFill>
        </w:rPr>
        <w:t>，使厂房</w:t>
      </w:r>
      <w:r>
        <w:rPr>
          <w:rFonts w:ascii="Times New Roman" w:hAnsi="Times New Roman" w:eastAsia="宋体" w:cs="Times New Roman"/>
          <w:color w:val="000000" w:themeColor="text1"/>
          <w:spacing w:val="-2"/>
          <w:sz w:val="24"/>
          <w:szCs w:val="20"/>
          <w14:textFill>
            <w14:solidFill>
              <w14:schemeClr w14:val="tx1"/>
            </w14:solidFill>
          </w14:textFill>
        </w:rPr>
        <w:t>达到防渗要求</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降低项目污染地下水环境的可能性。</w:t>
      </w:r>
    </w:p>
    <w:p w14:paraId="6641437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综上，厂内采取防渗措施后，项目对地下水环境影响较小。</w:t>
      </w:r>
    </w:p>
    <w:p w14:paraId="70C55AB5">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15" w:name="_Toc78822672"/>
      <w:r>
        <w:rPr>
          <w:rFonts w:ascii="Times New Roman" w:hAnsi="Times New Roman" w:eastAsia="黑体" w:cs="Times New Roman"/>
          <w:b/>
          <w:bCs/>
          <w:color w:val="000000" w:themeColor="text1"/>
          <w:kern w:val="2"/>
          <w:sz w:val="28"/>
          <w:szCs w:val="32"/>
          <w14:textFill>
            <w14:solidFill>
              <w14:schemeClr w14:val="tx1"/>
            </w14:solidFill>
          </w14:textFill>
        </w:rPr>
        <w:t xml:space="preserve"> </w:t>
      </w:r>
      <w:bookmarkStart w:id="116" w:name="_Toc187653474"/>
      <w:r>
        <w:rPr>
          <w:rFonts w:ascii="Times New Roman" w:hAnsi="Times New Roman" w:eastAsia="黑体" w:cs="Times New Roman"/>
          <w:b/>
          <w:bCs/>
          <w:color w:val="000000" w:themeColor="text1"/>
          <w:kern w:val="2"/>
          <w:sz w:val="28"/>
          <w:szCs w:val="32"/>
          <w14:textFill>
            <w14:solidFill>
              <w14:schemeClr w14:val="tx1"/>
            </w14:solidFill>
          </w14:textFill>
        </w:rPr>
        <w:t>“三关键”分析</w:t>
      </w:r>
      <w:bookmarkEnd w:id="115"/>
      <w:bookmarkEnd w:id="116"/>
    </w:p>
    <w:p w14:paraId="5E35B9FA">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17" w:name="_Toc390162907"/>
      <w:bookmarkStart w:id="118" w:name="_Toc51255248"/>
      <w:bookmarkStart w:id="119" w:name="_Toc78822673"/>
      <w:r>
        <w:rPr>
          <w:rFonts w:ascii="Times New Roman" w:hAnsi="Times New Roman" w:eastAsia="黑体" w:cs="Times New Roman"/>
          <w:b/>
          <w:bCs/>
          <w:caps w:val="0"/>
          <w:color w:val="000000" w:themeColor="text1"/>
          <w:kern w:val="2"/>
          <w:sz w:val="24"/>
          <w:szCs w:val="32"/>
          <w14:textFill>
            <w14:solidFill>
              <w14:schemeClr w14:val="tx1"/>
            </w14:solidFill>
          </w14:textFill>
        </w:rPr>
        <w:t>照射途径</w:t>
      </w:r>
      <w:bookmarkEnd w:id="117"/>
      <w:r>
        <w:rPr>
          <w:rFonts w:ascii="Times New Roman" w:hAnsi="Times New Roman" w:eastAsia="黑体" w:cs="Times New Roman"/>
          <w:b/>
          <w:bCs/>
          <w:caps w:val="0"/>
          <w:color w:val="000000" w:themeColor="text1"/>
          <w:kern w:val="2"/>
          <w:sz w:val="24"/>
          <w:szCs w:val="32"/>
          <w14:textFill>
            <w14:solidFill>
              <w14:schemeClr w14:val="tx1"/>
            </w14:solidFill>
          </w14:textFill>
        </w:rPr>
        <w:t>分析</w:t>
      </w:r>
      <w:bookmarkEnd w:id="118"/>
      <w:bookmarkEnd w:id="119"/>
    </w:p>
    <w:p w14:paraId="4E2C9F2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120" w:name="_Toc390162908"/>
      <w:r>
        <w:rPr>
          <w:rFonts w:ascii="Times New Roman" w:hAnsi="Times New Roman" w:eastAsia="黑体" w:cs="Times New Roman"/>
          <w:bCs/>
          <w:i w:val="0"/>
          <w:iCs w:val="0"/>
          <w:color w:val="000000" w:themeColor="text1"/>
          <w:kern w:val="2"/>
          <w:sz w:val="24"/>
          <w14:textFill>
            <w14:solidFill>
              <w14:schemeClr w14:val="tx1"/>
            </w14:solidFill>
          </w14:textFill>
        </w:rPr>
        <w:t>气态途径</w:t>
      </w:r>
      <w:bookmarkEnd w:id="120"/>
    </w:p>
    <w:p w14:paraId="20E1CA1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气载放射性流出物排放对公众造成辐射照射的途径见图4.5-1。</w:t>
      </w:r>
    </w:p>
    <w:p w14:paraId="1112E665">
      <w:pPr>
        <w:autoSpaceDE w:val="0"/>
        <w:autoSpaceDN w:val="0"/>
        <w:jc w:val="center"/>
        <w:rPr>
          <w:rFonts w:ascii="Times New Roman" w:hAnsi="Times New Roman" w:cs="Times New Roman"/>
          <w:color w:val="000000" w:themeColor="text1"/>
          <w:sz w:val="28"/>
          <w14:textFill>
            <w14:solidFill>
              <w14:schemeClr w14:val="tx1"/>
            </w14:solidFill>
          </w14:textFill>
        </w:rPr>
      </w:pPr>
      <w:r>
        <w:rPr>
          <w:rFonts w:ascii="Times New Roman" w:hAnsi="Times New Roman" w:cs="Times New Roman"/>
          <w:color w:val="000000" w:themeColor="text1"/>
          <w:sz w:val="28"/>
          <w14:textFill>
            <w14:solidFill>
              <w14:schemeClr w14:val="tx1"/>
            </w14:solidFill>
          </w14:textFill>
        </w:rPr>
        <w:drawing>
          <wp:inline distT="0" distB="0" distL="0" distR="0">
            <wp:extent cx="4500245" cy="3195955"/>
            <wp:effectExtent l="0" t="0" r="0" b="4445"/>
            <wp:docPr id="64" name="图片 64" descr="气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气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09875" cy="3202656"/>
                    </a:xfrm>
                    <a:prstGeom prst="rect">
                      <a:avLst/>
                    </a:prstGeom>
                    <a:noFill/>
                    <a:ln>
                      <a:noFill/>
                    </a:ln>
                  </pic:spPr>
                </pic:pic>
              </a:graphicData>
            </a:graphic>
          </wp:inline>
        </w:drawing>
      </w:r>
    </w:p>
    <w:p w14:paraId="1D1D64D8">
      <w:pPr>
        <w:spacing w:after="0" w:line="360" w:lineRule="auto"/>
        <w:jc w:val="center"/>
        <w:rPr>
          <w:rFonts w:ascii="Times New Roman" w:hAnsi="Times New Roman" w:cs="Times New Roman"/>
          <w:b/>
          <w:color w:val="000000" w:themeColor="text1"/>
          <w:spacing w:val="-2"/>
          <w:sz w:val="24"/>
          <w:szCs w:val="24"/>
          <w14:textFill>
            <w14:solidFill>
              <w14:schemeClr w14:val="tx1"/>
            </w14:solidFill>
          </w14:textFill>
        </w:rPr>
      </w:pPr>
      <w:r>
        <w:rPr>
          <w:rFonts w:ascii="Times New Roman" w:hAnsi="Times New Roman" w:cs="Times New Roman"/>
          <w:b/>
          <w:color w:val="000000" w:themeColor="text1"/>
          <w:spacing w:val="-2"/>
          <w:sz w:val="24"/>
          <w:szCs w:val="24"/>
          <w14:textFill>
            <w14:solidFill>
              <w14:schemeClr w14:val="tx1"/>
            </w14:solidFill>
          </w14:textFill>
        </w:rPr>
        <w:t>图4.5-1  气态照射途径示意图</w:t>
      </w:r>
    </w:p>
    <w:p w14:paraId="0BB27622">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 xml:space="preserve">本项目气载放射性流出物对公众造成的辐射影响，主要考虑如下四种照射途径： </w:t>
      </w:r>
    </w:p>
    <w:p w14:paraId="586AAAA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空气浸没外照射；</w:t>
      </w:r>
    </w:p>
    <w:p w14:paraId="0F219A4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地面沉积物外照射；</w:t>
      </w:r>
    </w:p>
    <w:p w14:paraId="1727F5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吸入污染空气内照射；</w:t>
      </w:r>
    </w:p>
    <w:p w14:paraId="72F39EF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食入污染陆生食品内照射。</w:t>
      </w:r>
    </w:p>
    <w:p w14:paraId="072681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从预测结果可知，厂界矿尘中放射性核素含量极低，可以忽略不计，不存在空气浸没外照射、地面沉积物外照射及食入污染陆生食品内照射，本项目</w:t>
      </w:r>
      <w:r>
        <w:rPr>
          <w:rFonts w:hint="eastAsia" w:ascii="Times New Roman" w:hAnsi="Times New Roman" w:eastAsia="宋体" w:cs="Times New Roman"/>
          <w:color w:val="000000" w:themeColor="text1"/>
          <w:spacing w:val="-2"/>
          <w:sz w:val="24"/>
          <w:szCs w:val="20"/>
          <w:lang w:eastAsia="zh-CN"/>
          <w14:textFill>
            <w14:solidFill>
              <w14:schemeClr w14:val="tx1"/>
            </w14:solidFill>
          </w14:textFill>
        </w:rPr>
        <w:t>工作</w:t>
      </w:r>
      <w:r>
        <w:rPr>
          <w:rFonts w:ascii="Times New Roman" w:hAnsi="Times New Roman" w:eastAsia="宋体" w:cs="Times New Roman"/>
          <w:color w:val="000000" w:themeColor="text1"/>
          <w:spacing w:val="-2"/>
          <w:sz w:val="24"/>
          <w:szCs w:val="20"/>
          <w14:textFill>
            <w14:solidFill>
              <w14:schemeClr w14:val="tx1"/>
            </w14:solidFill>
          </w14:textFill>
        </w:rPr>
        <w:t>人员主要为吸入含氡空气内照射。</w:t>
      </w:r>
    </w:p>
    <w:p w14:paraId="6B4FBE6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1" w:name="_Toc51255249"/>
      <w:bookmarkStart w:id="122" w:name="_Toc78822674"/>
      <w:r>
        <w:rPr>
          <w:rFonts w:ascii="Times New Roman" w:hAnsi="Times New Roman" w:eastAsia="黑体" w:cs="Times New Roman"/>
          <w:b/>
          <w:bCs/>
          <w:caps w:val="0"/>
          <w:color w:val="000000" w:themeColor="text1"/>
          <w:kern w:val="2"/>
          <w:sz w:val="24"/>
          <w:szCs w:val="32"/>
          <w14:textFill>
            <w14:solidFill>
              <w14:schemeClr w14:val="tx1"/>
            </w14:solidFill>
          </w14:textFill>
        </w:rPr>
        <w:t>放射性核素</w:t>
      </w:r>
      <w:bookmarkEnd w:id="121"/>
      <w:bookmarkEnd w:id="122"/>
    </w:p>
    <w:p w14:paraId="6D47DF63">
      <w:pPr>
        <w:spacing w:after="0" w:line="360" w:lineRule="auto"/>
        <w:ind w:firstLine="480" w:firstLineChars="200"/>
        <w:rPr>
          <w:color w:val="000000" w:themeColor="text1"/>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根据工程概况，项目运行中，对人员受照剂量贡献的主要放射性核素见表4.5-1。</w:t>
      </w:r>
    </w:p>
    <w:p w14:paraId="7951C9E1">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表4.5-1</w:t>
      </w:r>
      <w:r>
        <w:rPr>
          <w:rFonts w:hint="eastAsia" w:ascii="Times New Roman" w:hAnsi="Times New Roman" w:eastAsia="宋体" w:cs="Times New Roman"/>
          <w:b/>
          <w:bCs/>
          <w:color w:val="000000" w:themeColor="text1"/>
          <w:spacing w:val="-2"/>
          <w:sz w:val="24"/>
          <w:szCs w:val="20"/>
          <w14:textFill>
            <w14:solidFill>
              <w14:schemeClr w14:val="tx1"/>
            </w14:solidFill>
          </w14:textFill>
        </w:rPr>
        <w:t xml:space="preserve">  </w:t>
      </w:r>
      <w:r>
        <w:rPr>
          <w:rFonts w:ascii="Times New Roman" w:hAnsi="Times New Roman" w:eastAsia="宋体" w:cs="Times New Roman"/>
          <w:b/>
          <w:bCs/>
          <w:color w:val="000000" w:themeColor="text1"/>
          <w:spacing w:val="-2"/>
          <w:sz w:val="24"/>
          <w:szCs w:val="20"/>
          <w14:textFill>
            <w14:solidFill>
              <w14:schemeClr w14:val="tx1"/>
            </w14:solidFill>
          </w14:textFill>
        </w:rPr>
        <w:t>主要放射性核素</w:t>
      </w:r>
    </w:p>
    <w:tbl>
      <w:tblPr>
        <w:tblStyle w:val="4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0"/>
        <w:gridCol w:w="2130"/>
        <w:gridCol w:w="2131"/>
        <w:gridCol w:w="2131"/>
      </w:tblGrid>
      <w:tr w14:paraId="28478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1BAB2C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空气浸没照射</w:t>
            </w:r>
          </w:p>
        </w:tc>
        <w:tc>
          <w:tcPr>
            <w:tcW w:w="1250" w:type="pct"/>
            <w:vAlign w:val="center"/>
          </w:tcPr>
          <w:p w14:paraId="02684CE4">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地表沉积外照射</w:t>
            </w:r>
          </w:p>
        </w:tc>
        <w:tc>
          <w:tcPr>
            <w:tcW w:w="1250" w:type="pct"/>
            <w:vAlign w:val="center"/>
          </w:tcPr>
          <w:p w14:paraId="765A71D5">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吸入</w:t>
            </w:r>
          </w:p>
        </w:tc>
        <w:tc>
          <w:tcPr>
            <w:tcW w:w="1250" w:type="pct"/>
            <w:vAlign w:val="center"/>
          </w:tcPr>
          <w:p w14:paraId="06CE02A1">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食入</w:t>
            </w:r>
          </w:p>
        </w:tc>
      </w:tr>
      <w:tr w14:paraId="66FF1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0" w:type="pct"/>
            <w:vAlign w:val="center"/>
          </w:tcPr>
          <w:p w14:paraId="5A8BA08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3999761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4F551D0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1250" w:type="pct"/>
            <w:vAlign w:val="center"/>
          </w:tcPr>
          <w:p w14:paraId="0F47CEB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50D12FC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04227FB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c>
          <w:tcPr>
            <w:tcW w:w="1250" w:type="pct"/>
            <w:vAlign w:val="center"/>
          </w:tcPr>
          <w:p w14:paraId="3A8B7A6F">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13E4C9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vertAlign w:val="superscript"/>
                <w14:textFill>
                  <w14:solidFill>
                    <w14:schemeClr w14:val="tx1"/>
                  </w14:solidFill>
                </w14:textFill>
              </w:rPr>
              <w:t>222</w:t>
            </w:r>
            <w:r>
              <w:rPr>
                <w:rFonts w:ascii="Times New Roman" w:hAnsi="Times New Roman" w:eastAsia="宋体" w:cs="Times New Roman"/>
                <w:color w:val="000000" w:themeColor="text1"/>
                <w14:textFill>
                  <w14:solidFill>
                    <w14:schemeClr w14:val="tx1"/>
                  </w14:solidFill>
                </w14:textFill>
              </w:rPr>
              <w:t>Rn</w:t>
            </w:r>
          </w:p>
          <w:p w14:paraId="4B027BB9">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vertAlign w:val="superscript"/>
                <w14:textFill>
                  <w14:solidFill>
                    <w14:schemeClr w14:val="tx1"/>
                  </w14:solidFill>
                </w14:textFill>
              </w:rPr>
              <w:t>218</w:t>
            </w:r>
            <w:r>
              <w:rPr>
                <w:rFonts w:ascii="Times New Roman" w:hAnsi="Times New Roman" w:cs="Times New Roman"/>
                <w:color w:val="000000" w:themeColor="text1"/>
                <w:sz w:val="21"/>
                <w:szCs w:val="21"/>
                <w14:textFill>
                  <w14:solidFill>
                    <w14:schemeClr w14:val="tx1"/>
                  </w14:solidFill>
                </w14:textFill>
              </w:rPr>
              <w:t>Po</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vertAlign w:val="superscript"/>
                <w14:textFill>
                  <w14:solidFill>
                    <w14:schemeClr w14:val="tx1"/>
                  </w14:solidFill>
                </w14:textFill>
              </w:rPr>
              <w:t>214</w:t>
            </w:r>
            <w:r>
              <w:rPr>
                <w:rFonts w:ascii="Times New Roman" w:hAnsi="Times New Roman" w:cs="Times New Roman"/>
                <w:color w:val="000000" w:themeColor="text1"/>
                <w:sz w:val="21"/>
                <w:szCs w:val="21"/>
                <w14:textFill>
                  <w14:solidFill>
                    <w14:schemeClr w14:val="tx1"/>
                  </w14:solidFill>
                </w14:textFill>
              </w:rPr>
              <w:t>Pb</w:t>
            </w:r>
          </w:p>
          <w:p w14:paraId="39514D49">
            <w:pPr>
              <w:pStyle w:val="2"/>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1"/>
                <w:szCs w:val="21"/>
                <w:vertAlign w:val="superscript"/>
                <w14:textFill>
                  <w14:solidFill>
                    <w14:schemeClr w14:val="tx1"/>
                  </w14:solidFill>
                </w14:textFill>
              </w:rPr>
              <w:t>214</w:t>
            </w:r>
            <w:r>
              <w:rPr>
                <w:rFonts w:ascii="Times New Roman" w:hAnsi="Times New Roman" w:cs="Times New Roman"/>
                <w:color w:val="000000" w:themeColor="text1"/>
                <w:sz w:val="21"/>
                <w:szCs w:val="21"/>
                <w14:textFill>
                  <w14:solidFill>
                    <w14:schemeClr w14:val="tx1"/>
                  </w14:solidFill>
                </w14:textFill>
              </w:rPr>
              <w:t>Bi</w:t>
            </w:r>
          </w:p>
        </w:tc>
        <w:tc>
          <w:tcPr>
            <w:tcW w:w="1250" w:type="pct"/>
            <w:vAlign w:val="center"/>
          </w:tcPr>
          <w:p w14:paraId="7F0EC4A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238</w:t>
            </w:r>
            <w:r>
              <w:rPr>
                <w:rFonts w:ascii="Times New Roman" w:hAnsi="Times New Roman" w:eastAsia="宋体" w:cs="Times New Roman"/>
                <w:color w:val="000000" w:themeColor="text1"/>
                <w14:textFill>
                  <w14:solidFill>
                    <w14:schemeClr w14:val="tx1"/>
                  </w14:solidFill>
                </w14:textFill>
              </w:rPr>
              <w:t>U</w:t>
            </w:r>
          </w:p>
          <w:p w14:paraId="749A4FE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232</w:t>
            </w:r>
            <w:r>
              <w:rPr>
                <w:rFonts w:ascii="Times New Roman" w:hAnsi="Times New Roman" w:eastAsia="宋体" w:cs="Times New Roman"/>
                <w:color w:val="000000" w:themeColor="text1"/>
                <w14:textFill>
                  <w14:solidFill>
                    <w14:schemeClr w14:val="tx1"/>
                  </w14:solidFill>
                </w14:textFill>
              </w:rPr>
              <w:t>Th</w:t>
            </w:r>
          </w:p>
          <w:p w14:paraId="5EF7E45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vertAlign w:val="superscript"/>
                <w14:textFill>
                  <w14:solidFill>
                    <w14:schemeClr w14:val="tx1"/>
                  </w14:solidFill>
                </w14:textFill>
              </w:rPr>
              <w:t>226</w:t>
            </w:r>
            <w:r>
              <w:rPr>
                <w:rFonts w:ascii="Times New Roman" w:hAnsi="Times New Roman" w:eastAsia="宋体" w:cs="Times New Roman"/>
                <w:color w:val="000000" w:themeColor="text1"/>
                <w14:textFill>
                  <w14:solidFill>
                    <w14:schemeClr w14:val="tx1"/>
                  </w14:solidFill>
                </w14:textFill>
              </w:rPr>
              <w:t>Ra</w:t>
            </w:r>
          </w:p>
        </w:tc>
      </w:tr>
    </w:tbl>
    <w:p w14:paraId="647367D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3A638CA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从前面途径分析可知，本项目人员主要受照途径为吸入照射。从预测结果可知，厂界矿尘中放射性核素浓度水平极低，不会对环境造成辐射影响。即可以认为吸入途径的关键核素为氡-222。</w:t>
      </w:r>
    </w:p>
    <w:p w14:paraId="1818C66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23" w:name="_Toc390162913"/>
      <w:bookmarkStart w:id="124" w:name="_Toc78822675"/>
      <w:bookmarkStart w:id="125" w:name="_Toc51255250"/>
      <w:r>
        <w:rPr>
          <w:rFonts w:ascii="宋体" w:hAnsi="宋体" w:eastAsia="宋体" w:cs="Times New Roman"/>
          <w:b/>
          <w:bCs/>
          <w:caps w:val="0"/>
          <w:color w:val="000000" w:themeColor="text1"/>
          <w:kern w:val="2"/>
          <w:sz w:val="24"/>
          <w:szCs w:val="32"/>
          <w14:textFill>
            <w14:solidFill>
              <w14:schemeClr w14:val="tx1"/>
            </w14:solidFill>
          </w14:textFill>
        </w:rPr>
        <w:t>“三关键”</w:t>
      </w:r>
      <w:r>
        <w:rPr>
          <w:rFonts w:ascii="Times New Roman" w:hAnsi="Times New Roman" w:eastAsia="黑体" w:cs="Times New Roman"/>
          <w:b/>
          <w:bCs/>
          <w:caps w:val="0"/>
          <w:color w:val="000000" w:themeColor="text1"/>
          <w:kern w:val="2"/>
          <w:sz w:val="24"/>
          <w:szCs w:val="32"/>
          <w14:textFill>
            <w14:solidFill>
              <w14:schemeClr w14:val="tx1"/>
            </w14:solidFill>
          </w14:textFill>
        </w:rPr>
        <w:t>分析结果</w:t>
      </w:r>
      <w:bookmarkEnd w:id="123"/>
      <w:bookmarkEnd w:id="124"/>
      <w:bookmarkEnd w:id="125"/>
    </w:p>
    <w:p w14:paraId="09812DED">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ascii="Times New Roman" w:hAnsi="Times New Roman" w:eastAsia="宋体" w:cs="Times New Roman"/>
          <w:color w:val="000000" w:themeColor="text1"/>
          <w:spacing w:val="-2"/>
          <w:sz w:val="24"/>
          <w:szCs w:val="20"/>
          <w14:textFill>
            <w14:solidFill>
              <w14:schemeClr w14:val="tx1"/>
            </w14:solidFill>
          </w14:textFill>
        </w:rPr>
        <w:t>本项目评价范围内，放射性核素照射途径主要通过气态流出物照射，无放射性废水外排，</w:t>
      </w:r>
      <w:r>
        <w:rPr>
          <w:rFonts w:hint="eastAsia" w:ascii="Times New Roman" w:hAnsi="Times New Roman" w:eastAsia="宋体" w:cs="Times New Roman"/>
          <w:color w:val="000000" w:themeColor="text1"/>
          <w:spacing w:val="-2"/>
          <w:sz w:val="24"/>
          <w:szCs w:val="20"/>
          <w14:textFill>
            <w14:solidFill>
              <w14:schemeClr w14:val="tx1"/>
            </w14:solidFill>
          </w14:textFill>
        </w:rPr>
        <w:t>无堆场渗滤液产生，生活污水</w:t>
      </w:r>
      <w:r>
        <w:rPr>
          <w:rFonts w:ascii="Times New Roman" w:hAnsi="Times New Roman" w:eastAsia="宋体" w:cs="Times New Roman"/>
          <w:color w:val="000000" w:themeColor="text1"/>
          <w:spacing w:val="-2"/>
          <w:sz w:val="24"/>
          <w:szCs w:val="20"/>
          <w14:textFill>
            <w14:solidFill>
              <w14:schemeClr w14:val="tx1"/>
            </w14:solidFill>
          </w14:textFill>
        </w:rPr>
        <w:t>渗透至地下水可能性小，液态途径的照射极小</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通过4.2</w:t>
      </w:r>
      <w:r>
        <w:rPr>
          <w:rFonts w:hint="eastAsia" w:ascii="Times New Roman" w:hAnsi="Times New Roman" w:eastAsia="宋体" w:cs="Times New Roman"/>
          <w:color w:val="000000" w:themeColor="text1"/>
          <w:spacing w:val="-2"/>
          <w:sz w:val="24"/>
          <w:szCs w:val="20"/>
          <w14:textFill>
            <w14:solidFill>
              <w14:schemeClr w14:val="tx1"/>
            </w14:solidFill>
          </w14:textFill>
        </w:rPr>
        <w:t>章节</w:t>
      </w:r>
      <w:r>
        <w:rPr>
          <w:rFonts w:ascii="Times New Roman" w:hAnsi="Times New Roman" w:eastAsia="宋体" w:cs="Times New Roman"/>
          <w:color w:val="000000" w:themeColor="text1"/>
          <w:spacing w:val="-2"/>
          <w:sz w:val="24"/>
          <w:szCs w:val="20"/>
          <w14:textFill>
            <w14:solidFill>
              <w14:schemeClr w14:val="tx1"/>
            </w14:solidFill>
          </w14:textFill>
        </w:rPr>
        <w:t>正常情况下气载流出物的辐射环境分析结果</w:t>
      </w:r>
      <w:bookmarkStart w:id="126" w:name="_Hlk37686838"/>
      <w:r>
        <w:rPr>
          <w:rFonts w:hint="eastAsia" w:ascii="Times New Roman" w:hAnsi="Times New Roman" w:eastAsia="宋体" w:cs="Times New Roman"/>
          <w:color w:val="000000" w:themeColor="text1"/>
          <w:spacing w:val="-2"/>
          <w:sz w:val="24"/>
          <w:szCs w:val="20"/>
          <w14:textFill>
            <w14:solidFill>
              <w14:schemeClr w14:val="tx1"/>
            </w14:solidFill>
          </w14:textFill>
        </w:rPr>
        <w:t>：</w:t>
      </w:r>
    </w:p>
    <w:p w14:paraId="3BCB86E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1#原料处理车间操作工位人员</w:t>
      </w:r>
      <w:r>
        <w:rPr>
          <w:rFonts w:ascii="Times New Roman" w:hAnsi="Times New Roman" w:eastAsia="宋体" w:cs="Times New Roman"/>
          <w:color w:val="000000" w:themeColor="text1"/>
          <w:spacing w:val="-2"/>
          <w:sz w:val="24"/>
          <w:szCs w:val="20"/>
          <w:u w:val="single"/>
          <w14:textFill>
            <w14:solidFill>
              <w14:schemeClr w14:val="tx1"/>
            </w14:solidFill>
          </w14:textFill>
        </w:rPr>
        <w:t>γ</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辐射剂量率外照射剂量2.4595mSv/a；吸入氡所致剂量为0.0187mSv/a；吸入放射性核素所致有效剂量为0.5452mSv/a，其中，吸入钍所致剂量为0.00695mSv/a。</w:t>
      </w:r>
    </w:p>
    <w:p w14:paraId="0A0359C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u w:val="single"/>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2#分选车间操作工位人员</w:t>
      </w:r>
      <w:r>
        <w:rPr>
          <w:rFonts w:ascii="Times New Roman" w:hAnsi="Times New Roman" w:eastAsia="宋体" w:cs="Times New Roman"/>
          <w:color w:val="000000" w:themeColor="text1"/>
          <w:spacing w:val="-2"/>
          <w:sz w:val="24"/>
          <w:szCs w:val="20"/>
          <w:u w:val="single"/>
          <w14:textFill>
            <w14:solidFill>
              <w14:schemeClr w14:val="tx1"/>
            </w14:solidFill>
          </w14:textFill>
        </w:rPr>
        <w:t>γ</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辐射剂量率外照射剂量2.2660mSv/a；吸入氡所致剂量为0.0187mSv/a；吸入放射性核素所致有效剂量为1.1165mSv/a，其中，吸入钍所致剂量为0.0871mSv/a。</w:t>
      </w:r>
    </w:p>
    <w:p w14:paraId="3D973B66">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因此，本</w:t>
      </w:r>
      <w:r>
        <w:rPr>
          <w:rFonts w:ascii="Times New Roman" w:hAnsi="Times New Roman" w:eastAsia="宋体" w:cs="Times New Roman"/>
          <w:color w:val="000000" w:themeColor="text1"/>
          <w:spacing w:val="-2"/>
          <w:sz w:val="24"/>
          <w:szCs w:val="20"/>
          <w14:textFill>
            <w14:solidFill>
              <w14:schemeClr w14:val="tx1"/>
            </w14:solidFill>
          </w14:textFill>
        </w:rPr>
        <w:t>项目人员受照</w:t>
      </w:r>
      <w:r>
        <w:rPr>
          <w:rFonts w:hint="eastAsia" w:ascii="Times New Roman" w:hAnsi="Times New Roman" w:eastAsia="宋体" w:cs="Times New Roman"/>
          <w:color w:val="000000" w:themeColor="text1"/>
          <w:spacing w:val="-2"/>
          <w:sz w:val="24"/>
          <w:szCs w:val="20"/>
          <w14:textFill>
            <w14:solidFill>
              <w14:schemeClr w14:val="tx1"/>
            </w14:solidFill>
          </w14:textFill>
        </w:rPr>
        <w:t>的</w:t>
      </w:r>
      <w:r>
        <w:rPr>
          <w:rFonts w:ascii="Times New Roman" w:hAnsi="Times New Roman" w:eastAsia="宋体" w:cs="Times New Roman"/>
          <w:color w:val="000000" w:themeColor="text1"/>
          <w:spacing w:val="-2"/>
          <w:sz w:val="24"/>
          <w:szCs w:val="20"/>
          <w14:textFill>
            <w14:solidFill>
              <w14:schemeClr w14:val="tx1"/>
            </w14:solidFill>
          </w14:textFill>
        </w:rPr>
        <w:t>关键核素为</w:t>
      </w:r>
      <w:r>
        <w:rPr>
          <w:rFonts w:hint="eastAsia" w:ascii="Times New Roman" w:hAnsi="Times New Roman" w:eastAsia="宋体" w:cs="Times New Roman"/>
          <w:color w:val="000000" w:themeColor="text1"/>
          <w:spacing w:val="-2"/>
          <w:sz w:val="24"/>
          <w:szCs w:val="20"/>
          <w14:textFill>
            <w14:solidFill>
              <w14:schemeClr w14:val="tx1"/>
            </w14:solidFill>
          </w14:textFill>
        </w:rPr>
        <w:t>氡-222</w:t>
      </w:r>
      <w:r>
        <w:rPr>
          <w:rFonts w:ascii="Times New Roman" w:hAnsi="Times New Roman" w:eastAsia="宋体" w:cs="Times New Roman"/>
          <w:color w:val="000000" w:themeColor="text1"/>
          <w:spacing w:val="-2"/>
          <w:sz w:val="24"/>
          <w:szCs w:val="20"/>
          <w14:textFill>
            <w14:solidFill>
              <w14:schemeClr w14:val="tx1"/>
            </w14:solidFill>
          </w14:textFill>
        </w:rPr>
        <w:t>，关键照射途径为吸入</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ascii="Times New Roman" w:hAnsi="Times New Roman" w:eastAsia="宋体" w:cs="Times New Roman"/>
          <w:color w:val="000000" w:themeColor="text1"/>
          <w:spacing w:val="-2"/>
          <w:sz w:val="24"/>
          <w:szCs w:val="20"/>
          <w14:textFill>
            <w14:solidFill>
              <w14:schemeClr w14:val="tx1"/>
            </w14:solidFill>
          </w14:textFill>
        </w:rPr>
        <w:t>关键</w:t>
      </w:r>
      <w:r>
        <w:rPr>
          <w:rFonts w:hint="eastAsia" w:ascii="Times New Roman" w:hAnsi="Times New Roman" w:eastAsia="宋体" w:cs="Times New Roman"/>
          <w:color w:val="000000" w:themeColor="text1"/>
          <w:spacing w:val="-2"/>
          <w:sz w:val="24"/>
          <w:szCs w:val="20"/>
          <w14:textFill>
            <w14:solidFill>
              <w14:schemeClr w14:val="tx1"/>
            </w14:solidFill>
          </w14:textFill>
        </w:rPr>
        <w:t>人</w:t>
      </w:r>
      <w:r>
        <w:rPr>
          <w:rFonts w:ascii="Times New Roman" w:hAnsi="Times New Roman" w:eastAsia="宋体" w:cs="Times New Roman"/>
          <w:color w:val="000000" w:themeColor="text1"/>
          <w:spacing w:val="-2"/>
          <w:sz w:val="24"/>
          <w:szCs w:val="20"/>
          <w14:textFill>
            <w14:solidFill>
              <w14:schemeClr w14:val="tx1"/>
            </w14:solidFill>
          </w14:textFill>
        </w:rPr>
        <w:t>群组为</w:t>
      </w:r>
      <w:r>
        <w:rPr>
          <w:rFonts w:hint="eastAsia" w:ascii="Times New Roman" w:hAnsi="Times New Roman" w:eastAsia="宋体" w:cs="Times New Roman"/>
          <w:color w:val="000000" w:themeColor="text1"/>
          <w:spacing w:val="-2"/>
          <w:sz w:val="24"/>
          <w:szCs w:val="20"/>
          <w14:textFill>
            <w14:solidFill>
              <w14:schemeClr w14:val="tx1"/>
            </w14:solidFill>
          </w14:textFill>
        </w:rPr>
        <w:t>车间内的操作</w:t>
      </w:r>
      <w:r>
        <w:rPr>
          <w:rFonts w:ascii="Times New Roman" w:hAnsi="Times New Roman" w:eastAsia="宋体" w:cs="Times New Roman"/>
          <w:color w:val="000000" w:themeColor="text1"/>
          <w:spacing w:val="-2"/>
          <w:sz w:val="24"/>
          <w:szCs w:val="20"/>
          <w14:textFill>
            <w14:solidFill>
              <w14:schemeClr w14:val="tx1"/>
            </w14:solidFill>
          </w14:textFill>
        </w:rPr>
        <w:t>工</w:t>
      </w:r>
      <w:r>
        <w:rPr>
          <w:rFonts w:hint="eastAsia" w:ascii="Times New Roman" w:hAnsi="Times New Roman" w:eastAsia="宋体" w:cs="Times New Roman"/>
          <w:color w:val="000000" w:themeColor="text1"/>
          <w:spacing w:val="-2"/>
          <w:sz w:val="24"/>
          <w:szCs w:val="20"/>
          <w14:textFill>
            <w14:solidFill>
              <w14:schemeClr w14:val="tx1"/>
            </w14:solidFill>
          </w14:textFill>
        </w:rPr>
        <w:t>位</w:t>
      </w:r>
      <w:r>
        <w:rPr>
          <w:rFonts w:ascii="Times New Roman" w:hAnsi="Times New Roman" w:eastAsia="宋体" w:cs="Times New Roman"/>
          <w:color w:val="000000" w:themeColor="text1"/>
          <w:spacing w:val="-2"/>
          <w:sz w:val="24"/>
          <w:szCs w:val="20"/>
          <w14:textFill>
            <w14:solidFill>
              <w14:schemeClr w14:val="tx1"/>
            </w14:solidFill>
          </w14:textFill>
        </w:rPr>
        <w:t>人员。</w:t>
      </w:r>
      <w:bookmarkEnd w:id="126"/>
    </w:p>
    <w:p w14:paraId="6DCE7C50">
      <w:pPr>
        <w:pStyle w:val="4"/>
        <w:widowControl w:val="0"/>
        <w:numPr>
          <w:ilvl w:val="1"/>
          <w:numId w:val="1"/>
        </w:numPr>
        <w:spacing w:before="0" w:line="360" w:lineRule="auto"/>
        <w:ind w:left="0" w:firstLine="0"/>
        <w:jc w:val="both"/>
        <w:rPr>
          <w:rFonts w:ascii="Times New Roman" w:hAnsi="Times New Roman" w:cs="Times New Roman" w:eastAsiaTheme="minorEastAsia"/>
          <w:b/>
          <w:color w:val="000000" w:themeColor="text1"/>
          <w:sz w:val="28"/>
          <w:szCs w:val="28"/>
          <w14:textFill>
            <w14:solidFill>
              <w14:schemeClr w14:val="tx1"/>
            </w14:solidFill>
          </w14:textFill>
        </w:rPr>
      </w:pPr>
      <w:bookmarkStart w:id="127" w:name="_Toc78822676"/>
      <w:bookmarkStart w:id="128" w:name="_Toc187653475"/>
      <w:r>
        <w:rPr>
          <w:rFonts w:ascii="Times New Roman" w:hAnsi="Times New Roman" w:eastAsia="黑体" w:cs="Times New Roman"/>
          <w:b/>
          <w:bCs/>
          <w:color w:val="000000" w:themeColor="text1"/>
          <w:kern w:val="2"/>
          <w:sz w:val="28"/>
          <w:szCs w:val="32"/>
          <w14:textFill>
            <w14:solidFill>
              <w14:schemeClr w14:val="tx1"/>
            </w14:solidFill>
          </w14:textFill>
        </w:rPr>
        <w:t>非正常工况辐射环境影响分析</w:t>
      </w:r>
      <w:bookmarkEnd w:id="127"/>
      <w:bookmarkEnd w:id="128"/>
    </w:p>
    <w:p w14:paraId="2583F51C">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bookmarkStart w:id="129" w:name="_Hlk54962354"/>
      <w:r>
        <w:rPr>
          <w:rFonts w:ascii="Times New Roman" w:hAnsi="Times New Roman" w:eastAsia="宋体" w:cs="Times New Roman"/>
          <w:color w:val="000000" w:themeColor="text1"/>
          <w:spacing w:val="-2"/>
          <w:sz w:val="24"/>
          <w:szCs w:val="20"/>
          <w14:textFill>
            <w14:solidFill>
              <w14:schemeClr w14:val="tx1"/>
            </w14:solidFill>
          </w14:textFill>
        </w:rPr>
        <w:t>根据工程分析，本项目非正常排放的情景为除尘系统失效事故。</w:t>
      </w:r>
    </w:p>
    <w:p w14:paraId="525F0A5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30" w:name="_Toc78822677"/>
      <w:r>
        <w:rPr>
          <w:rFonts w:ascii="Times New Roman" w:hAnsi="Times New Roman" w:eastAsia="黑体" w:cs="Times New Roman"/>
          <w:b/>
          <w:bCs/>
          <w:caps w:val="0"/>
          <w:color w:val="000000" w:themeColor="text1"/>
          <w:kern w:val="2"/>
          <w:sz w:val="24"/>
          <w:szCs w:val="32"/>
          <w14:textFill>
            <w14:solidFill>
              <w14:schemeClr w14:val="tx1"/>
            </w14:solidFill>
          </w14:textFill>
        </w:rPr>
        <w:t>除尘系统失效辐射环境影响分析</w:t>
      </w:r>
      <w:bookmarkEnd w:id="130"/>
    </w:p>
    <w:p w14:paraId="231B826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项目主要大气环境风险为除尘器事故排放，烘干炉烟气采用袋式除尘系统处理，</w:t>
      </w:r>
      <w:r>
        <w:rPr>
          <w:rFonts w:ascii="Times New Roman" w:hAnsi="Times New Roman" w:cs="Times New Roman"/>
          <w:color w:val="000000" w:themeColor="text1"/>
          <w:sz w:val="24"/>
          <w:szCs w:val="24"/>
          <w14:textFill>
            <w14:solidFill>
              <w14:schemeClr w14:val="tx1"/>
            </w14:solidFill>
          </w14:textFill>
        </w:rPr>
        <w:t>本项目采取间接方式烘干，除尘器产生的除尘灰主要成分为燃烧生物质燃料产生的灰渣，不含放射性核素</w:t>
      </w:r>
      <w:r>
        <w:rPr>
          <w:rFonts w:hint="eastAsia" w:ascii="Times New Roman" w:hAnsi="Times New Roman" w:cs="Times New Roman"/>
          <w:color w:val="000000" w:themeColor="text1"/>
          <w:sz w:val="24"/>
          <w:szCs w:val="24"/>
          <w14:textFill>
            <w14:solidFill>
              <w14:schemeClr w14:val="tx1"/>
            </w14:solidFill>
          </w14:textFill>
        </w:rPr>
        <w:t>；车间粉尘采用袋式除尘系统处理，生产车间粉尘含放射性核素，含放射性粉尘随粉尘排放至大气，对周边企业的工作人员等公众产生辐射影响。</w:t>
      </w:r>
    </w:p>
    <w:p w14:paraId="7167172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建设单位应认真做好设备的保养、定期维护及保修工作，使处理设施达到预期效果。为确保不发生事故性废气排放，建设单位必须采取一定的事故性防范保护措施：</w:t>
      </w:r>
    </w:p>
    <w:p w14:paraId="1AF08D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（1）强化安全、消防和环保管理，建立管理机构，</w:t>
      </w:r>
      <w:r>
        <w:rPr>
          <w:rFonts w:hint="eastAsia" w:ascii="Times New Roman" w:hAnsi="Times New Roman" w:cs="Times New Roman"/>
          <w:color w:val="000000" w:themeColor="text1"/>
          <w:sz w:val="24"/>
          <w:szCs w:val="24"/>
          <w:lang w:eastAsia="zh-CN"/>
          <w14:textFill>
            <w14:solidFill>
              <w14:schemeClr w14:val="tx1"/>
            </w14:solidFill>
          </w14:textFill>
        </w:rPr>
        <w:t>制定</w:t>
      </w:r>
      <w:r>
        <w:rPr>
          <w:rFonts w:hint="eastAsia" w:ascii="Times New Roman" w:hAnsi="Times New Roman" w:cs="Times New Roman"/>
          <w:color w:val="000000" w:themeColor="text1"/>
          <w:sz w:val="24"/>
          <w:szCs w:val="24"/>
          <w14:textFill>
            <w14:solidFill>
              <w14:schemeClr w14:val="tx1"/>
            </w14:solidFill>
          </w14:textFill>
        </w:rPr>
        <w:t>各项管理制度，加强日常监督检查。</w:t>
      </w:r>
    </w:p>
    <w:p w14:paraId="196BD9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（2）设立车间急救小组，并和当地事故应急救援部门建立正常联系，一旦出现事故能立刻采取有效救援措施。</w:t>
      </w:r>
    </w:p>
    <w:p w14:paraId="5991CC2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（3）废气净化设施一旦出现事故，厂房必须立即停产检修，确保不发生污染事件。</w:t>
      </w:r>
    </w:p>
    <w:p w14:paraId="4951B7FA">
      <w:pPr>
        <w:spacing w:after="0" w:line="360" w:lineRule="auto"/>
        <w:ind w:firstLine="480" w:firstLineChars="200"/>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（4）加强技术培训，提高事故应急处理的能力，定期进行应急事故模拟演习，提高事故应变能力。</w:t>
      </w:r>
      <w:bookmarkEnd w:id="129"/>
      <w:bookmarkStart w:id="131" w:name="_Toc1496"/>
      <w:bookmarkStart w:id="132" w:name="_Toc23022"/>
      <w:bookmarkStart w:id="133" w:name="_Toc24048"/>
      <w:bookmarkStart w:id="134" w:name="_Toc15790"/>
    </w:p>
    <w:bookmarkEnd w:id="131"/>
    <w:bookmarkEnd w:id="132"/>
    <w:bookmarkEnd w:id="133"/>
    <w:bookmarkEnd w:id="134"/>
    <w:p w14:paraId="5F0BDA6B">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35" w:name="_Toc187653476"/>
      <w:bookmarkStart w:id="136" w:name="_Toc78822679"/>
      <w:r>
        <w:rPr>
          <w:rFonts w:ascii="Times New Roman" w:hAnsi="Times New Roman" w:eastAsia="黑体" w:cs="Times New Roman"/>
          <w:b/>
          <w:bCs/>
          <w:color w:val="000000" w:themeColor="text1"/>
          <w:kern w:val="2"/>
          <w:sz w:val="28"/>
          <w:szCs w:val="32"/>
          <w14:textFill>
            <w14:solidFill>
              <w14:schemeClr w14:val="tx1"/>
            </w14:solidFill>
          </w14:textFill>
        </w:rPr>
        <w:t>固体废物辐射环境影响分析</w:t>
      </w:r>
      <w:bookmarkEnd w:id="135"/>
      <w:bookmarkEnd w:id="136"/>
    </w:p>
    <w:p w14:paraId="64C72A9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项目含矿粉尘收集后均掺入副产品锆中矿堆放区，与锆中矿一并出售，根据《伴生放射性物料贮存及固体废物填埋辐射环境保护技术规范（试行）》（HJ1114-2020）中伴生放射性物料贮存的要求进行严格管理。</w:t>
      </w:r>
    </w:p>
    <w:p w14:paraId="47B9B60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放射性物料贮存设施</w:t>
      </w:r>
    </w:p>
    <w:p w14:paraId="3A88F5D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（1）项目按照放射性物料的种类分别配置原料堆放区、干原料堆放区、精矿产品堆放区、锆中矿堆放区，尽量布置在车间内两侧，尽量远离生产线上的操作人员。</w:t>
      </w:r>
    </w:p>
    <w:p w14:paraId="334C4E5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（2）项目采用封闭式厂房，防止非工作人员进入项目生产车间。</w:t>
      </w:r>
    </w:p>
    <w:p w14:paraId="1167190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（3）生产车间地面按重点防渗要求进行建设，防渗区的要达到渗透系数不低于1×10</w:t>
      </w:r>
      <w:r>
        <w:rPr>
          <w:rFonts w:hint="eastAsia" w:ascii="Times New Roman" w:hAnsi="Times New Roman" w:cs="Times New Roman"/>
          <w:color w:val="000000" w:themeColor="text1"/>
          <w:sz w:val="24"/>
          <w:szCs w:val="24"/>
          <w:vertAlign w:val="superscript"/>
          <w14:textFill>
            <w14:solidFill>
              <w14:schemeClr w14:val="tx1"/>
            </w14:solidFill>
          </w14:textFill>
        </w:rPr>
        <w:t>-7</w:t>
      </w:r>
      <w:r>
        <w:rPr>
          <w:rFonts w:hint="eastAsia" w:ascii="Times New Roman" w:hAnsi="Times New Roman" w:cs="Times New Roman"/>
          <w:color w:val="000000" w:themeColor="text1"/>
          <w:sz w:val="24"/>
          <w:szCs w:val="24"/>
          <w14:textFill>
            <w14:solidFill>
              <w14:schemeClr w14:val="tx1"/>
            </w14:solidFill>
          </w14:textFill>
        </w:rPr>
        <w:t>cm/s、厚度为2m的</w:t>
      </w:r>
      <w:r>
        <w:rPr>
          <w:rFonts w:hint="eastAsia" w:ascii="Times New Roman" w:hAnsi="Times New Roman" w:cs="Times New Roman"/>
          <w:color w:val="000000" w:themeColor="text1"/>
          <w:sz w:val="24"/>
          <w:szCs w:val="24"/>
          <w:lang w:eastAsia="zh-CN"/>
          <w14:textFill>
            <w14:solidFill>
              <w14:schemeClr w14:val="tx1"/>
            </w14:solidFill>
          </w14:textFill>
        </w:rPr>
        <w:t>黏土层</w:t>
      </w:r>
      <w:r>
        <w:rPr>
          <w:rFonts w:hint="eastAsia" w:ascii="Times New Roman" w:hAnsi="Times New Roman" w:cs="Times New Roman"/>
          <w:color w:val="000000" w:themeColor="text1"/>
          <w:sz w:val="24"/>
          <w:szCs w:val="24"/>
          <w14:textFill>
            <w14:solidFill>
              <w14:schemeClr w14:val="tx1"/>
            </w14:solidFill>
          </w14:textFill>
        </w:rPr>
        <w:t>的防渗效果。</w:t>
      </w:r>
    </w:p>
    <w:p w14:paraId="3B381A2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（4）项目物料贮存在封闭式厂房室内，尽可能防止粉尘外溢到环境中去。</w:t>
      </w:r>
    </w:p>
    <w:p w14:paraId="72511B1E">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放射性固废管理措施</w:t>
      </w:r>
    </w:p>
    <w:p w14:paraId="2C8A47E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（1）本项目涉及的放射性物料均有相应专用的堆放区，并处于封闭式车间内，不与其他非放射性物料混合堆放。</w:t>
      </w:r>
    </w:p>
    <w:p w14:paraId="4FF477D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（2）项目含矿粉尘掺入锆中矿出售给深度分选加工企业作为分选的原料，回收粉尘中有价值的资源，实现废物最小化、资源回收利用最大化。</w:t>
      </w:r>
    </w:p>
    <w:p w14:paraId="70A6BC5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（3）项目放射性物料的贮存将落实台账制度，严格管理物料的进出库。</w:t>
      </w:r>
    </w:p>
    <w:p w14:paraId="4795114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（4）项目将按国家相关法律法规和标准，建立辐射环境管理机构，配备专业技术人员与管理人员；建立辐射环境管理岗位责任制度、教育培训制度、报告制度等。</w:t>
      </w:r>
    </w:p>
    <w:p w14:paraId="3CC4B4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（5）在各种放射性物料贮存设施边界明显部位设置电离辐射标志，并结合实际情况注明废物的名称、数量、放射性核素活度浓度等。</w:t>
      </w:r>
    </w:p>
    <w:p w14:paraId="614889B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（6）固体废物贮存台账结合实际情况注明名称、来源、数量、放射性核素活度浓度、入库日期、出库日期及接收单位名称等信息。</w:t>
      </w:r>
    </w:p>
    <w:p w14:paraId="36D7E5D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（7）物料贮存相配套的防尘、收尘处理措施，定期检查、保养、定期维护及保修等。</w:t>
      </w:r>
    </w:p>
    <w:p w14:paraId="1399DB20">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固体废物辐射环境影响分析</w:t>
      </w:r>
    </w:p>
    <w:p w14:paraId="107828E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本项目涉及的放射性物料在落实贮存措施要求及管理措施后，对周边辐射环境的影响不大。</w:t>
      </w:r>
    </w:p>
    <w:p w14:paraId="6CC6DED1">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37" w:name="_Toc78822680"/>
      <w:bookmarkStart w:id="138" w:name="_Toc187653477"/>
      <w:r>
        <w:rPr>
          <w:rFonts w:ascii="Times New Roman" w:hAnsi="Times New Roman" w:eastAsia="黑体" w:cs="Times New Roman"/>
          <w:b/>
          <w:bCs/>
          <w:color w:val="000000" w:themeColor="text1"/>
          <w:kern w:val="2"/>
          <w:sz w:val="28"/>
          <w:szCs w:val="32"/>
          <w14:textFill>
            <w14:solidFill>
              <w14:schemeClr w14:val="tx1"/>
            </w14:solidFill>
          </w14:textFill>
        </w:rPr>
        <w:t>服务期满辐射环境影响分析</w:t>
      </w:r>
      <w:bookmarkEnd w:id="137"/>
      <w:bookmarkEnd w:id="138"/>
    </w:p>
    <w:p w14:paraId="245EE62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属于锆钛选矿项目，在生产过程中使用和产生了含放射性物质的物料。为了保护周围环境和公众健康，控制放射性核素向环境转移，服务期满后，应进行调查监测，根据污染水平对设施、场地进行不同的处理处置，使其达到安全稳定、资源化、无害化。</w:t>
      </w:r>
    </w:p>
    <w:p w14:paraId="67AFFAC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服务期满后进行放射性源项调查，参照《电离辐射防护与辐射源安全基本标准》（GB18871-2002），对于表面污染满足解控水平的设备和构筑物可按要求解控再利用，对于表面污染较重的设备和构筑物应进行拆除和去污处理。</w:t>
      </w:r>
    </w:p>
    <w:p w14:paraId="653455E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对磁选设备、烘干设备等进行监测，若表面污染满足清洁解控水平，直接进行再利用，若不满足，进行去污达标后，再进行利用。</w:t>
      </w:r>
    </w:p>
    <w:p w14:paraId="23D0157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对污染较轻的建构筑物，采用去污措施，经处理达标后，可重新利用；对污染严重的建构筑物进行拆除处置措施，进行填埋处置，其场地覆盖黄土，然后植被。</w:t>
      </w:r>
    </w:p>
    <w:p w14:paraId="00D4904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设备管道，对设备管道进行表面污染监测，当其表面污染水平等于或低于《电离辐射防护与辐射源安全基本标准》（GB18871-2002）中关于可解控的物体表面放射性物质污染控制水平的，可以作为普通设备管道进行重复利用。对于表面污染水平较高的设备或管道，采用物理、化学去污</w:t>
      </w:r>
      <w:r>
        <w:rPr>
          <w:rFonts w:hint="eastAsia" w:ascii="Times New Roman" w:hAnsi="Times New Roman" w:cs="Times New Roman"/>
          <w:color w:val="000000" w:themeColor="text1"/>
          <w:sz w:val="24"/>
          <w:szCs w:val="24"/>
          <w:lang w:eastAsia="zh-CN"/>
          <w14:textFill>
            <w14:solidFill>
              <w14:schemeClr w14:val="tx1"/>
            </w14:solidFill>
          </w14:textFill>
        </w:rPr>
        <w:t>方法</w:t>
      </w:r>
      <w:r>
        <w:rPr>
          <w:rFonts w:ascii="Times New Roman" w:hAnsi="Times New Roman" w:cs="Times New Roman"/>
          <w:color w:val="000000" w:themeColor="text1"/>
          <w:sz w:val="24"/>
          <w:szCs w:val="24"/>
          <w14:textFill>
            <w14:solidFill>
              <w14:schemeClr w14:val="tx1"/>
            </w14:solidFill>
          </w14:textFill>
        </w:rPr>
        <w:t>进行去污，去污后满足标准要求的，重复利用；污染严重或不能利用的设备、器材进行填埋处置。</w:t>
      </w:r>
    </w:p>
    <w:p w14:paraId="75B0056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污染的工业场地、厂区道路进行监测后，对超出标准要求限值部分采用清挖或清洗路面处置措施，</w:t>
      </w:r>
      <w:r>
        <w:rPr>
          <w:rFonts w:hint="eastAsia" w:ascii="Times New Roman" w:hAnsi="Times New Roman" w:cs="Times New Roman"/>
          <w:color w:val="000000" w:themeColor="text1"/>
          <w:sz w:val="24"/>
          <w:szCs w:val="24"/>
          <w:lang w:eastAsia="zh-CN"/>
          <w14:textFill>
            <w14:solidFill>
              <w14:schemeClr w14:val="tx1"/>
            </w14:solidFill>
          </w14:textFill>
        </w:rPr>
        <w:t>其他</w:t>
      </w:r>
      <w:r>
        <w:rPr>
          <w:rFonts w:ascii="Times New Roman" w:hAnsi="Times New Roman" w:cs="Times New Roman"/>
          <w:color w:val="000000" w:themeColor="text1"/>
          <w:sz w:val="24"/>
          <w:szCs w:val="24"/>
          <w14:textFill>
            <w14:solidFill>
              <w14:schemeClr w14:val="tx1"/>
            </w14:solidFill>
          </w14:textFill>
        </w:rPr>
        <w:t>污染物进行填埋处置。</w:t>
      </w:r>
    </w:p>
    <w:p w14:paraId="7CCB314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通过采取以上措施，本项目服务期满后受放射性污染的设施、场地能得到妥善的处理处置，处理处置过程不会对周围环境产生不利影响；同时，服务期满后放射性源项也随之关闭、消失，不再产生含放射性物质，不会对周围环境产生不利影响。</w:t>
      </w:r>
      <w:bookmarkStart w:id="139" w:name="_Toc78822681"/>
    </w:p>
    <w:p w14:paraId="1A2F654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274C92C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388BEA2">
      <w:pPr>
        <w:spacing w:after="0" w:line="360" w:lineRule="auto"/>
        <w:ind w:firstLine="602" w:firstLineChars="200"/>
        <w:rPr>
          <w:rFonts w:ascii="Times New Roman" w:hAnsi="Times New Roman" w:cs="Times New Roman"/>
          <w:b/>
          <w:color w:val="000000" w:themeColor="text1"/>
          <w:sz w:val="30"/>
          <w:szCs w:val="30"/>
          <w14:textFill>
            <w14:solidFill>
              <w14:schemeClr w14:val="tx1"/>
            </w14:solidFill>
          </w14:textFill>
        </w:rPr>
        <w:sectPr>
          <w:footerReference r:id="rId14" w:type="default"/>
          <w:pgSz w:w="11906" w:h="16838"/>
          <w:pgMar w:top="1440" w:right="1800" w:bottom="1440" w:left="1800" w:header="851" w:footer="992" w:gutter="0"/>
          <w:cols w:space="425" w:num="1"/>
          <w:docGrid w:type="lines" w:linePitch="312" w:charSpace="0"/>
        </w:sectPr>
      </w:pPr>
    </w:p>
    <w:p w14:paraId="259D677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140" w:name="_Toc187653478"/>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辐射环境管理和辐射监测</w:t>
      </w:r>
      <w:bookmarkEnd w:id="139"/>
      <w:bookmarkEnd w:id="140"/>
    </w:p>
    <w:p w14:paraId="22980F03">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41" w:name="_Toc78822682"/>
      <w:bookmarkStart w:id="142" w:name="_Toc187653479"/>
      <w:r>
        <w:rPr>
          <w:rFonts w:ascii="Times New Roman" w:hAnsi="Times New Roman" w:eastAsia="黑体" w:cs="Times New Roman"/>
          <w:b/>
          <w:bCs/>
          <w:color w:val="000000" w:themeColor="text1"/>
          <w:kern w:val="2"/>
          <w:sz w:val="28"/>
          <w:szCs w:val="32"/>
          <w14:textFill>
            <w14:solidFill>
              <w14:schemeClr w14:val="tx1"/>
            </w14:solidFill>
          </w14:textFill>
        </w:rPr>
        <w:t>辐射环境管理</w:t>
      </w:r>
      <w:bookmarkEnd w:id="141"/>
      <w:bookmarkEnd w:id="142"/>
    </w:p>
    <w:p w14:paraId="3E84AF72">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3" w:name="_Toc78822683"/>
      <w:r>
        <w:rPr>
          <w:rFonts w:ascii="Times New Roman" w:hAnsi="Times New Roman" w:eastAsia="黑体" w:cs="Times New Roman"/>
          <w:b/>
          <w:bCs/>
          <w:caps w:val="0"/>
          <w:color w:val="000000" w:themeColor="text1"/>
          <w:kern w:val="2"/>
          <w:sz w:val="24"/>
          <w:szCs w:val="32"/>
          <w14:textFill>
            <w14:solidFill>
              <w14:schemeClr w14:val="tx1"/>
            </w14:solidFill>
          </w14:textFill>
        </w:rPr>
        <w:t>辐射环境管理的规章制度</w:t>
      </w:r>
      <w:bookmarkEnd w:id="143"/>
    </w:p>
    <w:p w14:paraId="034B7B9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针对项目的特点在非放射性管理制度建立的基础上，考虑项目为伴生矿利用开发项目的特殊性，各岗位的操作规程及制度均须张贴上墙。建立健全相关的岗位规章制度及应急预案，确保建设项目在建设、运行过程中环境的安全。公司应制定《物料储存管理制度》、《辐射工作人员教育培训制度》、《工作人员职业健康监护制度》、《工作人员个人剂量管理制度》、《事故应急预案》等制度。</w:t>
      </w:r>
    </w:p>
    <w:p w14:paraId="01D0F4C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4" w:name="_Toc78822684"/>
      <w:r>
        <w:rPr>
          <w:rFonts w:ascii="Times New Roman" w:hAnsi="Times New Roman" w:eastAsia="黑体" w:cs="Times New Roman"/>
          <w:b/>
          <w:bCs/>
          <w:caps w:val="0"/>
          <w:color w:val="000000" w:themeColor="text1"/>
          <w:kern w:val="2"/>
          <w:sz w:val="24"/>
          <w:szCs w:val="32"/>
          <w14:textFill>
            <w14:solidFill>
              <w14:schemeClr w14:val="tx1"/>
            </w14:solidFill>
          </w14:textFill>
        </w:rPr>
        <w:t>辐射环境管理的岗位设置、人员配置及职责</w:t>
      </w:r>
      <w:bookmarkEnd w:id="144"/>
    </w:p>
    <w:p w14:paraId="484BFEA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w:t>
      </w:r>
      <w:r>
        <w:rPr>
          <w:rFonts w:hint="eastAsia" w:ascii="Times New Roman" w:hAnsi="Times New Roman" w:cs="Times New Roman"/>
          <w:color w:val="000000" w:themeColor="text1"/>
          <w:sz w:val="24"/>
          <w:szCs w:val="24"/>
          <w14:textFill>
            <w14:solidFill>
              <w14:schemeClr w14:val="tx1"/>
            </w14:solidFill>
          </w14:textFill>
        </w:rPr>
        <w:t>项目环境影响报告书</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项目建设单位</w:t>
      </w:r>
      <w:r>
        <w:rPr>
          <w:rFonts w:ascii="Times New Roman" w:hAnsi="Times New Roman" w:cs="Times New Roman"/>
          <w:color w:val="000000" w:themeColor="text1"/>
          <w:sz w:val="24"/>
          <w:szCs w:val="24"/>
          <w14:textFill>
            <w14:solidFill>
              <w14:schemeClr w14:val="tx1"/>
            </w14:solidFill>
          </w14:textFill>
        </w:rPr>
        <w:t>拟设定环保机构和配备环保人员。为了确保辐射环境保护设施的完好运行及环保措施的有效实施，</w:t>
      </w:r>
      <w:r>
        <w:rPr>
          <w:rFonts w:hint="eastAsia" w:ascii="Times New Roman" w:hAnsi="Times New Roman" w:cs="Times New Roman"/>
          <w:color w:val="000000" w:themeColor="text1"/>
          <w:sz w:val="24"/>
          <w:szCs w:val="24"/>
          <w14:textFill>
            <w14:solidFill>
              <w14:schemeClr w14:val="tx1"/>
            </w14:solidFill>
          </w14:textFill>
        </w:rPr>
        <w:t>建设单位</w:t>
      </w:r>
      <w:r>
        <w:rPr>
          <w:rFonts w:ascii="Times New Roman" w:hAnsi="Times New Roman" w:cs="Times New Roman"/>
          <w:color w:val="000000" w:themeColor="text1"/>
          <w:sz w:val="24"/>
          <w:szCs w:val="24"/>
          <w14:textFill>
            <w14:solidFill>
              <w14:schemeClr w14:val="tx1"/>
            </w14:solidFill>
          </w14:textFill>
        </w:rPr>
        <w:t>需根据项目特点将辐射环境管理职责纳入环保机构和配备环保人员。同时，建议各生产车间</w:t>
      </w:r>
      <w:r>
        <w:rPr>
          <w:rFonts w:hint="eastAsia"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14:textFill>
            <w14:solidFill>
              <w14:schemeClr w14:val="tx1"/>
            </w14:solidFill>
          </w14:textFill>
        </w:rPr>
        <w:t>主要岗位，设置兼职的环保员，负责对环保设施进行定期维护保养。对污染物排放情况进行监督检查，同时要做好记录，建立排污档案。保证生产过程中含放射性的物质安全可控，使工作人员及环境中的居民所受年附加有效剂量小于环评提出的约束剂量指标。</w:t>
      </w:r>
    </w:p>
    <w:p w14:paraId="2674C3D3">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5" w:name="_Toc78822685"/>
      <w:r>
        <w:rPr>
          <w:rFonts w:ascii="Times New Roman" w:hAnsi="Times New Roman" w:eastAsia="黑体" w:cs="Times New Roman"/>
          <w:b/>
          <w:bCs/>
          <w:caps w:val="0"/>
          <w:color w:val="000000" w:themeColor="text1"/>
          <w:kern w:val="2"/>
          <w:sz w:val="24"/>
          <w:szCs w:val="32"/>
          <w14:textFill>
            <w14:solidFill>
              <w14:schemeClr w14:val="tx1"/>
            </w14:solidFill>
          </w14:textFill>
        </w:rPr>
        <w:t>辐射环境档案管理</w:t>
      </w:r>
      <w:bookmarkEnd w:id="145"/>
    </w:p>
    <w:p w14:paraId="68893736">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ascii="Times New Roman" w:hAnsi="Times New Roman" w:cs="Times New Roman"/>
          <w:color w:val="000000" w:themeColor="text1"/>
          <w:sz w:val="24"/>
          <w:szCs w:val="24"/>
          <w:u w:val="single"/>
          <w14:textFill>
            <w14:solidFill>
              <w14:schemeClr w14:val="tx1"/>
            </w14:solidFill>
          </w14:textFill>
        </w:rPr>
        <w:t>进行常规个人剂量监测，并对个人监测结果逐个记录存档；</w:t>
      </w:r>
      <w:r>
        <w:rPr>
          <w:rFonts w:hint="eastAsia" w:ascii="Times New Roman" w:hAnsi="Times New Roman" w:cs="Times New Roman"/>
          <w:color w:val="000000" w:themeColor="text1"/>
          <w:sz w:val="24"/>
          <w:szCs w:val="24"/>
          <w:u w:val="single"/>
          <w14:textFill>
            <w14:solidFill>
              <w14:schemeClr w14:val="tx1"/>
            </w14:solidFill>
          </w14:textFill>
        </w:rPr>
        <w:t>建设单位</w:t>
      </w:r>
      <w:r>
        <w:rPr>
          <w:rFonts w:ascii="Times New Roman" w:hAnsi="Times New Roman" w:cs="Times New Roman"/>
          <w:color w:val="000000" w:themeColor="text1"/>
          <w:sz w:val="24"/>
          <w:szCs w:val="24"/>
          <w:u w:val="single"/>
          <w14:textFill>
            <w14:solidFill>
              <w14:schemeClr w14:val="tx1"/>
            </w14:solidFill>
          </w14:textFill>
        </w:rPr>
        <w:t>全体员工应建立职业健康档案</w:t>
      </w:r>
      <w:r>
        <w:rPr>
          <w:rFonts w:hint="eastAsia" w:ascii="Times New Roman" w:hAnsi="Times New Roman" w:cs="Times New Roman"/>
          <w:color w:val="000000" w:themeColor="text1"/>
          <w:sz w:val="24"/>
          <w:szCs w:val="24"/>
          <w:u w:val="single"/>
          <w14:textFill>
            <w14:solidFill>
              <w14:schemeClr w14:val="tx1"/>
            </w14:solidFill>
          </w14:textFill>
        </w:rPr>
        <w:t>。落实项目工作人员及项目有影响的子区的公众配置个人剂量监测仪。</w:t>
      </w:r>
    </w:p>
    <w:p w14:paraId="7318105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6" w:name="_Toc78822686"/>
      <w:r>
        <w:rPr>
          <w:rFonts w:ascii="Times New Roman" w:hAnsi="Times New Roman" w:eastAsia="黑体" w:cs="Times New Roman"/>
          <w:b/>
          <w:bCs/>
          <w:caps w:val="0"/>
          <w:color w:val="000000" w:themeColor="text1"/>
          <w:kern w:val="2"/>
          <w:sz w:val="24"/>
          <w:szCs w:val="32"/>
          <w14:textFill>
            <w14:solidFill>
              <w14:schemeClr w14:val="tx1"/>
            </w14:solidFill>
          </w14:textFill>
        </w:rPr>
        <w:t>分区管理</w:t>
      </w:r>
      <w:bookmarkEnd w:id="146"/>
    </w:p>
    <w:p w14:paraId="7D37F83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电离辐射防护与辐射源安全基本标准》（GB18871-2002），建设单位应把需要和可能需要专门防护手段或安全措施的区域定为控制区。由2.3节可知，本项目各场所中所涉及的放射性物质中放射性核素比活度相对较低，工作场所内的γ剂量率、氡浓度均较低，不需要采用专门的防护手段或安全措施。</w:t>
      </w:r>
      <w:r>
        <w:rPr>
          <w:rFonts w:hint="eastAsia" w:ascii="Times New Roman" w:hAnsi="Times New Roman" w:cs="Times New Roman"/>
          <w:color w:val="000000" w:themeColor="text1"/>
          <w:sz w:val="24"/>
          <w:szCs w:val="24"/>
          <w14:textFill>
            <w14:solidFill>
              <w14:schemeClr w14:val="tx1"/>
            </w14:solidFill>
          </w14:textFill>
        </w:rPr>
        <w:t>项目的毛矿及锆中矿中</w:t>
      </w:r>
      <w:r>
        <w:rPr>
          <w:rFonts w:hint="eastAsia" w:ascii="Times New Roman" w:hAnsi="Times New Roman" w:cs="Times New Roman"/>
          <w:color w:val="000000" w:themeColor="text1"/>
          <w:sz w:val="24"/>
          <w:szCs w:val="24"/>
          <w:lang w:eastAsia="zh-CN"/>
          <w14:textFill>
            <w14:solidFill>
              <w14:schemeClr w14:val="tx1"/>
            </w14:solidFill>
          </w14:textFill>
        </w:rPr>
        <w:t>放射性核素</w:t>
      </w:r>
      <w:r>
        <w:rPr>
          <w:rFonts w:hint="eastAsia" w:ascii="Times New Roman" w:hAnsi="Times New Roman" w:cs="Times New Roman"/>
          <w:color w:val="000000" w:themeColor="text1"/>
          <w:sz w:val="24"/>
          <w:szCs w:val="24"/>
          <w14:textFill>
            <w14:solidFill>
              <w14:schemeClr w14:val="tx1"/>
            </w14:solidFill>
          </w14:textFill>
        </w:rPr>
        <w:t>比活度相对较高，</w:t>
      </w:r>
      <w:r>
        <w:rPr>
          <w:rFonts w:hint="eastAsia" w:ascii="Times New Roman" w:hAnsi="Times New Roman" w:cs="Times New Roman"/>
          <w:color w:val="000000" w:themeColor="text1"/>
          <w:sz w:val="24"/>
          <w:szCs w:val="24"/>
          <w:vertAlign w:val="superscript"/>
          <w14:textFill>
            <w14:solidFill>
              <w14:schemeClr w14:val="tx1"/>
            </w14:solidFill>
          </w14:textFill>
        </w:rPr>
        <w:t>232</w:t>
      </w:r>
      <w:r>
        <w:rPr>
          <w:rFonts w:hint="eastAsia" w:ascii="Times New Roman" w:hAnsi="Times New Roman" w:cs="Times New Roman"/>
          <w:color w:val="000000" w:themeColor="text1"/>
          <w:sz w:val="24"/>
          <w:szCs w:val="24"/>
          <w14:textFill>
            <w14:solidFill>
              <w14:schemeClr w14:val="tx1"/>
            </w14:solidFill>
          </w14:textFill>
        </w:rPr>
        <w:t>Th的放射性比活度均超过1Bq/g，项目的毛矿位于1#原料处理车间、锆中矿堆放位于2#分选车间，均划分了专用的堆放区，但堆放区与生产车间无隔断，与生产线处于同一开间内。因此为了控制正常工作条件下的正常照射和加强毛矿和锆中矿的管理，防止矿砂扩散，需要对车间库采用专门的防护手段和安全管理措施，所以明确划分毛矿和产品、副产品堆放的控制区，并采取以下的管理措施：</w:t>
      </w:r>
    </w:p>
    <w:p w14:paraId="673AB77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w:t>
      </w:r>
      <w:r>
        <w:rPr>
          <w:rFonts w:hint="eastAsia" w:ascii="Times New Roman" w:hAnsi="Times New Roman" w:cs="Times New Roman"/>
          <w:color w:val="000000" w:themeColor="text1"/>
          <w:sz w:val="24"/>
          <w:szCs w:val="24"/>
          <w14:textFill>
            <w14:solidFill>
              <w14:schemeClr w14:val="tx1"/>
            </w14:solidFill>
          </w14:textFill>
        </w:rPr>
        <w:t>将整个生产车间</w:t>
      </w:r>
      <w:r>
        <w:rPr>
          <w:rFonts w:ascii="Times New Roman" w:hAnsi="Times New Roman" w:cs="Times New Roman"/>
          <w:color w:val="000000" w:themeColor="text1"/>
          <w:sz w:val="24"/>
          <w:szCs w:val="24"/>
          <w14:textFill>
            <w14:solidFill>
              <w14:schemeClr w14:val="tx1"/>
            </w14:solidFill>
          </w14:textFill>
        </w:rPr>
        <w:t>划</w:t>
      </w:r>
      <w:r>
        <w:rPr>
          <w:rFonts w:hint="eastAsia" w:ascii="Times New Roman" w:hAnsi="Times New Roman" w:cs="Times New Roman"/>
          <w:color w:val="000000" w:themeColor="text1"/>
          <w:sz w:val="24"/>
          <w:szCs w:val="24"/>
          <w14:textFill>
            <w14:solidFill>
              <w14:schemeClr w14:val="tx1"/>
            </w14:solidFill>
          </w14:textFill>
        </w:rPr>
        <w:t>为</w:t>
      </w:r>
      <w:r>
        <w:rPr>
          <w:rFonts w:ascii="Times New Roman" w:hAnsi="Times New Roman" w:cs="Times New Roman"/>
          <w:color w:val="000000" w:themeColor="text1"/>
          <w:sz w:val="24"/>
          <w:szCs w:val="24"/>
          <w14:textFill>
            <w14:solidFill>
              <w14:schemeClr w14:val="tx1"/>
            </w14:solidFill>
          </w14:textFill>
        </w:rPr>
        <w:t>监督区；</w:t>
      </w:r>
    </w:p>
    <w:p w14:paraId="529C32F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在车间门口张贴监督区的标志；</w:t>
      </w:r>
    </w:p>
    <w:p w14:paraId="4D5BB0B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3）进入监督区</w:t>
      </w:r>
      <w:r>
        <w:rPr>
          <w:rFonts w:hint="eastAsia" w:ascii="Times New Roman" w:hAnsi="Times New Roman" w:cs="Times New Roman"/>
          <w:color w:val="000000" w:themeColor="text1"/>
          <w:sz w:val="24"/>
          <w:szCs w:val="24"/>
          <w14:textFill>
            <w14:solidFill>
              <w14:schemeClr w14:val="tx1"/>
            </w14:solidFill>
          </w14:textFill>
        </w:rPr>
        <w:t>（即车间）</w:t>
      </w:r>
      <w:r>
        <w:rPr>
          <w:rFonts w:ascii="Times New Roman" w:hAnsi="Times New Roman" w:cs="Times New Roman"/>
          <w:color w:val="000000" w:themeColor="text1"/>
          <w:sz w:val="24"/>
          <w:szCs w:val="24"/>
          <w14:textFill>
            <w14:solidFill>
              <w14:schemeClr w14:val="tx1"/>
            </w14:solidFill>
          </w14:textFill>
        </w:rPr>
        <w:t>的工作人员应佩戴个人的劳保防护用品（如工作服、手套，防护口罩等），其他人员进入监督区应佩戴防护口罩。</w:t>
      </w:r>
    </w:p>
    <w:p w14:paraId="5197B399">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7" w:name="_Toc512331424"/>
      <w:bookmarkStart w:id="148" w:name="_Toc78822687"/>
      <w:r>
        <w:rPr>
          <w:rFonts w:ascii="Times New Roman" w:hAnsi="Times New Roman" w:eastAsia="黑体" w:cs="Times New Roman"/>
          <w:b/>
          <w:bCs/>
          <w:caps w:val="0"/>
          <w:color w:val="000000" w:themeColor="text1"/>
          <w:kern w:val="2"/>
          <w:sz w:val="24"/>
          <w:szCs w:val="32"/>
          <w14:textFill>
            <w14:solidFill>
              <w14:schemeClr w14:val="tx1"/>
            </w14:solidFill>
          </w14:textFill>
        </w:rPr>
        <w:t>与辐射相关工作的人员</w:t>
      </w:r>
      <w:bookmarkEnd w:id="147"/>
      <w:r>
        <w:rPr>
          <w:rFonts w:ascii="Times New Roman" w:hAnsi="Times New Roman" w:eastAsia="黑体" w:cs="Times New Roman"/>
          <w:b/>
          <w:bCs/>
          <w:caps w:val="0"/>
          <w:color w:val="000000" w:themeColor="text1"/>
          <w:kern w:val="2"/>
          <w:sz w:val="24"/>
          <w:szCs w:val="32"/>
          <w14:textFill>
            <w14:solidFill>
              <w14:schemeClr w14:val="tx1"/>
            </w14:solidFill>
          </w14:textFill>
        </w:rPr>
        <w:t>管理</w:t>
      </w:r>
      <w:bookmarkEnd w:id="148"/>
    </w:p>
    <w:p w14:paraId="43D1E13A">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岗位设置</w:t>
      </w:r>
    </w:p>
    <w:p w14:paraId="65BA567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本项目涉及辐射相关的工作人员车间操作工作人员，合计</w:t>
      </w:r>
      <w:r>
        <w:rPr>
          <w:rFonts w:hint="eastAsia" w:ascii="Times New Roman" w:hAnsi="Times New Roman" w:cs="Times New Roman"/>
          <w:color w:val="000000" w:themeColor="text1"/>
          <w:sz w:val="24"/>
          <w:szCs w:val="24"/>
          <w14:textFill>
            <w14:solidFill>
              <w14:schemeClr w14:val="tx1"/>
            </w14:solidFill>
          </w14:textFill>
        </w:rPr>
        <w:t>主要</w:t>
      </w:r>
      <w:r>
        <w:rPr>
          <w:rFonts w:ascii="Times New Roman" w:hAnsi="Times New Roman" w:cs="Times New Roman"/>
          <w:color w:val="000000" w:themeColor="text1"/>
          <w:sz w:val="24"/>
          <w:szCs w:val="24"/>
          <w14:textFill>
            <w14:solidFill>
              <w14:schemeClr w14:val="tx1"/>
            </w14:solidFill>
          </w14:textFill>
        </w:rPr>
        <w:t>生产工作人员</w:t>
      </w:r>
      <w:r>
        <w:rPr>
          <w:rFonts w:hint="eastAsia" w:ascii="Times New Roman" w:hAnsi="Times New Roman" w:cs="Times New Roman"/>
          <w:color w:val="000000" w:themeColor="text1"/>
          <w:sz w:val="24"/>
          <w:szCs w:val="24"/>
          <w14:textFill>
            <w14:solidFill>
              <w14:schemeClr w14:val="tx1"/>
            </w14:solidFill>
          </w14:textFill>
        </w:rPr>
        <w:t>10</w:t>
      </w:r>
      <w:r>
        <w:rPr>
          <w:rFonts w:ascii="Times New Roman" w:hAnsi="Times New Roman" w:cs="Times New Roman"/>
          <w:color w:val="000000" w:themeColor="text1"/>
          <w:sz w:val="24"/>
          <w:szCs w:val="24"/>
          <w14:textFill>
            <w14:solidFill>
              <w14:schemeClr w14:val="tx1"/>
            </w14:solidFill>
          </w14:textFill>
        </w:rPr>
        <w:t>人</w:t>
      </w:r>
      <w:r>
        <w:rPr>
          <w:rFonts w:hint="eastAsia" w:ascii="Times New Roman" w:hAnsi="Times New Roman" w:cs="Times New Roman"/>
          <w:color w:val="000000" w:themeColor="text1"/>
          <w:sz w:val="24"/>
          <w:szCs w:val="24"/>
          <w14:textFill>
            <w14:solidFill>
              <w14:schemeClr w14:val="tx1"/>
            </w14:solidFill>
          </w14:textFill>
        </w:rPr>
        <w:t>，分两班制进行工作</w:t>
      </w:r>
      <w:r>
        <w:rPr>
          <w:rFonts w:ascii="Times New Roman" w:hAnsi="Times New Roman" w:cs="Times New Roman"/>
          <w:color w:val="000000" w:themeColor="text1"/>
          <w:sz w:val="24"/>
          <w:szCs w:val="24"/>
          <w14:textFill>
            <w14:solidFill>
              <w14:schemeClr w14:val="tx1"/>
            </w14:solidFill>
          </w14:textFill>
        </w:rPr>
        <w:t>。不同岗位工作人员情况见表5.1-1。</w:t>
      </w:r>
      <w:r>
        <w:rPr>
          <w:rFonts w:hint="eastAsia" w:ascii="Times New Roman" w:hAnsi="Times New Roman" w:cs="Times New Roman"/>
          <w:color w:val="000000" w:themeColor="text1"/>
          <w:sz w:val="24"/>
          <w:szCs w:val="24"/>
          <w14:textFill>
            <w14:solidFill>
              <w14:schemeClr w14:val="tx1"/>
            </w14:solidFill>
          </w14:textFill>
        </w:rPr>
        <w:t xml:space="preserve"> </w:t>
      </w:r>
    </w:p>
    <w:p w14:paraId="38932E3A">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表5.1-1  涉及辐射工艺中不同岗位工作人员情况表</w:t>
      </w:r>
    </w:p>
    <w:tbl>
      <w:tblPr>
        <w:tblStyle w:val="46"/>
        <w:tblW w:w="503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67"/>
        <w:gridCol w:w="742"/>
        <w:gridCol w:w="1312"/>
        <w:gridCol w:w="867"/>
        <w:gridCol w:w="1022"/>
        <w:gridCol w:w="1311"/>
        <w:gridCol w:w="1022"/>
        <w:gridCol w:w="1744"/>
      </w:tblGrid>
      <w:tr w14:paraId="4B32D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0161469C">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序号</w:t>
            </w:r>
          </w:p>
        </w:tc>
        <w:tc>
          <w:tcPr>
            <w:tcW w:w="432" w:type="pct"/>
            <w:vAlign w:val="center"/>
          </w:tcPr>
          <w:p w14:paraId="0BDE727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工序</w:t>
            </w:r>
          </w:p>
        </w:tc>
        <w:tc>
          <w:tcPr>
            <w:tcW w:w="764" w:type="pct"/>
            <w:vAlign w:val="center"/>
          </w:tcPr>
          <w:p w14:paraId="6FDAF881">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岗位</w:t>
            </w:r>
          </w:p>
        </w:tc>
        <w:tc>
          <w:tcPr>
            <w:tcW w:w="505" w:type="pct"/>
            <w:vAlign w:val="center"/>
          </w:tcPr>
          <w:p w14:paraId="3E7C631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人数</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人</w:t>
            </w:r>
            <w:r>
              <w:rPr>
                <w:rFonts w:hint="eastAsia" w:ascii="Times New Roman" w:hAnsi="Times New Roman" w:eastAsia="宋体" w:cs="Times New Roman"/>
                <w:b/>
                <w:color w:val="000000" w:themeColor="text1"/>
                <w14:textFill>
                  <w14:solidFill>
                    <w14:schemeClr w14:val="tx1"/>
                  </w14:solidFill>
                </w14:textFill>
              </w:rPr>
              <w:t>)</w:t>
            </w:r>
          </w:p>
        </w:tc>
        <w:tc>
          <w:tcPr>
            <w:tcW w:w="595" w:type="pct"/>
            <w:vAlign w:val="center"/>
          </w:tcPr>
          <w:p w14:paraId="44F13826">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工作天数</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天</w:t>
            </w:r>
            <w:r>
              <w:rPr>
                <w:rFonts w:hint="eastAsia" w:ascii="Times New Roman" w:hAnsi="Times New Roman" w:eastAsia="宋体" w:cs="Times New Roman"/>
                <w:b/>
                <w:color w:val="000000" w:themeColor="text1"/>
                <w14:textFill>
                  <w14:solidFill>
                    <w14:schemeClr w14:val="tx1"/>
                  </w14:solidFill>
                </w14:textFill>
              </w:rPr>
              <w:t>)</w:t>
            </w:r>
          </w:p>
        </w:tc>
        <w:tc>
          <w:tcPr>
            <w:tcW w:w="763" w:type="pct"/>
            <w:vAlign w:val="center"/>
          </w:tcPr>
          <w:p w14:paraId="7503F3C0">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与矿料直线距离</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m</w:t>
            </w:r>
            <w:r>
              <w:rPr>
                <w:rFonts w:hint="eastAsia" w:ascii="Times New Roman" w:hAnsi="Times New Roman" w:eastAsia="宋体" w:cs="Times New Roman"/>
                <w:b/>
                <w:color w:val="000000" w:themeColor="text1"/>
                <w14:textFill>
                  <w14:solidFill>
                    <w14:schemeClr w14:val="tx1"/>
                  </w14:solidFill>
                </w14:textFill>
              </w:rPr>
              <w:t>)</w:t>
            </w:r>
          </w:p>
        </w:tc>
        <w:tc>
          <w:tcPr>
            <w:tcW w:w="595" w:type="pct"/>
            <w:vAlign w:val="center"/>
          </w:tcPr>
          <w:p w14:paraId="33AB06CF">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年受照时间</w:t>
            </w:r>
            <w:r>
              <w:rPr>
                <w:rFonts w:hint="eastAsia" w:ascii="Times New Roman" w:hAnsi="Times New Roman" w:eastAsia="宋体" w:cs="Times New Roman"/>
                <w:b/>
                <w:color w:val="000000" w:themeColor="text1"/>
                <w14:textFill>
                  <w14:solidFill>
                    <w14:schemeClr w14:val="tx1"/>
                  </w14:solidFill>
                </w14:textFill>
              </w:rPr>
              <w:t>(</w:t>
            </w:r>
            <w:r>
              <w:rPr>
                <w:rFonts w:ascii="Times New Roman" w:hAnsi="Times New Roman" w:eastAsia="宋体" w:cs="Times New Roman"/>
                <w:b/>
                <w:color w:val="000000" w:themeColor="text1"/>
                <w14:textFill>
                  <w14:solidFill>
                    <w14:schemeClr w14:val="tx1"/>
                  </w14:solidFill>
                </w14:textFill>
              </w:rPr>
              <w:t>h</w:t>
            </w:r>
            <w:r>
              <w:rPr>
                <w:rFonts w:hint="eastAsia" w:ascii="Times New Roman" w:hAnsi="Times New Roman" w:eastAsia="宋体" w:cs="Times New Roman"/>
                <w:b/>
                <w:color w:val="000000" w:themeColor="text1"/>
                <w14:textFill>
                  <w14:solidFill>
                    <w14:schemeClr w14:val="tx1"/>
                  </w14:solidFill>
                </w14:textFill>
              </w:rPr>
              <w:t>)</w:t>
            </w:r>
          </w:p>
        </w:tc>
        <w:tc>
          <w:tcPr>
            <w:tcW w:w="1016" w:type="pct"/>
            <w:vAlign w:val="center"/>
          </w:tcPr>
          <w:p w14:paraId="433108FE">
            <w:pPr>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主要照射来源</w:t>
            </w:r>
          </w:p>
        </w:tc>
      </w:tr>
      <w:tr w14:paraId="58CD1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7793D5A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432" w:type="pct"/>
            <w:vAlign w:val="center"/>
          </w:tcPr>
          <w:p w14:paraId="7D7761D8">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原料烘干</w:t>
            </w:r>
          </w:p>
        </w:tc>
        <w:tc>
          <w:tcPr>
            <w:tcW w:w="764" w:type="pct"/>
            <w:vAlign w:val="center"/>
          </w:tcPr>
          <w:p w14:paraId="67F18C1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烘干炉、烘干机操作工位</w:t>
            </w:r>
          </w:p>
        </w:tc>
        <w:tc>
          <w:tcPr>
            <w:tcW w:w="505" w:type="pct"/>
            <w:vAlign w:val="center"/>
          </w:tcPr>
          <w:p w14:paraId="3898022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3A96998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3E8CE5AD">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3E53ED9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34CDDE1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毛矿</w:t>
            </w:r>
            <w:r>
              <w:rPr>
                <w:rFonts w:ascii="Times New Roman" w:hAnsi="Times New Roman" w:eastAsia="宋体" w:cs="Times New Roman"/>
                <w:color w:val="000000" w:themeColor="text1"/>
                <w14:textFill>
                  <w14:solidFill>
                    <w14:schemeClr w14:val="tx1"/>
                  </w14:solidFill>
                </w14:textFill>
              </w:rPr>
              <w:t>堆放</w:t>
            </w:r>
            <w:r>
              <w:rPr>
                <w:rFonts w:hint="eastAsia" w:ascii="Times New Roman" w:hAnsi="Times New Roman" w:eastAsia="宋体" w:cs="Times New Roman"/>
                <w:color w:val="000000" w:themeColor="text1"/>
                <w14:textFill>
                  <w14:solidFill>
                    <w14:schemeClr w14:val="tx1"/>
                  </w14:solidFill>
                </w14:textFill>
              </w:rPr>
              <w:t>、烘干</w:t>
            </w:r>
            <w:r>
              <w:rPr>
                <w:rFonts w:ascii="Times New Roman" w:hAnsi="Times New Roman" w:eastAsia="宋体" w:cs="Times New Roman"/>
                <w:color w:val="000000" w:themeColor="text1"/>
                <w14:textFill>
                  <w14:solidFill>
                    <w14:schemeClr w14:val="tx1"/>
                  </w14:solidFill>
                </w14:textFill>
              </w:rPr>
              <w:t>和转运时会受到外照</w:t>
            </w:r>
            <w:r>
              <w:rPr>
                <w:rFonts w:hint="eastAsia" w:ascii="Times New Roman" w:hAnsi="Times New Roman" w:eastAsia="宋体" w:cs="Times New Roman"/>
                <w:color w:val="000000" w:themeColor="text1"/>
                <w14:textFill>
                  <w14:solidFill>
                    <w14:schemeClr w14:val="tx1"/>
                  </w14:solidFill>
                </w14:textFill>
              </w:rPr>
              <w:t>射</w:t>
            </w:r>
          </w:p>
        </w:tc>
      </w:tr>
      <w:tr w14:paraId="1B7E0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Align w:val="center"/>
          </w:tcPr>
          <w:p w14:paraId="502446A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432" w:type="pct"/>
            <w:vAlign w:val="center"/>
          </w:tcPr>
          <w:p w14:paraId="1AB7C29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磁选</w:t>
            </w:r>
          </w:p>
        </w:tc>
        <w:tc>
          <w:tcPr>
            <w:tcW w:w="764" w:type="pct"/>
            <w:vAlign w:val="center"/>
          </w:tcPr>
          <w:p w14:paraId="16B03A9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分选车间磁选机操作工位</w:t>
            </w:r>
          </w:p>
        </w:tc>
        <w:tc>
          <w:tcPr>
            <w:tcW w:w="505" w:type="pct"/>
            <w:vAlign w:val="center"/>
          </w:tcPr>
          <w:p w14:paraId="01C3E39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p>
        </w:tc>
        <w:tc>
          <w:tcPr>
            <w:tcW w:w="595" w:type="pct"/>
            <w:vAlign w:val="center"/>
          </w:tcPr>
          <w:p w14:paraId="52FE9E3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0D08DB6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27D6087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590E7A7E">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钛铁矿磁选、产品和锆中矿堆存时会受到外照射</w:t>
            </w:r>
          </w:p>
        </w:tc>
      </w:tr>
      <w:tr w14:paraId="2D53D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Merge w:val="restart"/>
            <w:vAlign w:val="center"/>
          </w:tcPr>
          <w:p w14:paraId="4D61774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p>
        </w:tc>
        <w:tc>
          <w:tcPr>
            <w:tcW w:w="432" w:type="pct"/>
            <w:vMerge w:val="restart"/>
            <w:vAlign w:val="center"/>
          </w:tcPr>
          <w:p w14:paraId="2F295CD9">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物料装载</w:t>
            </w:r>
          </w:p>
        </w:tc>
        <w:tc>
          <w:tcPr>
            <w:tcW w:w="764" w:type="pct"/>
            <w:vAlign w:val="center"/>
          </w:tcPr>
          <w:p w14:paraId="60DBAEF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1#原料处理车间装载机操作工位</w:t>
            </w:r>
          </w:p>
        </w:tc>
        <w:tc>
          <w:tcPr>
            <w:tcW w:w="505" w:type="pct"/>
            <w:vAlign w:val="center"/>
          </w:tcPr>
          <w:p w14:paraId="66D36A0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57969E6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4846A5F0">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5958B297">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3AC832D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毛矿</w:t>
            </w:r>
            <w:r>
              <w:rPr>
                <w:rFonts w:ascii="Times New Roman" w:hAnsi="Times New Roman" w:eastAsia="宋体" w:cs="Times New Roman"/>
                <w:color w:val="000000" w:themeColor="text1"/>
                <w14:textFill>
                  <w14:solidFill>
                    <w14:schemeClr w14:val="tx1"/>
                  </w14:solidFill>
                </w14:textFill>
              </w:rPr>
              <w:t>堆放和转运时会受到外照</w:t>
            </w:r>
            <w:r>
              <w:rPr>
                <w:rFonts w:hint="eastAsia" w:ascii="Times New Roman" w:hAnsi="Times New Roman" w:eastAsia="宋体" w:cs="Times New Roman"/>
                <w:color w:val="000000" w:themeColor="text1"/>
                <w14:textFill>
                  <w14:solidFill>
                    <w14:schemeClr w14:val="tx1"/>
                  </w14:solidFill>
                </w14:textFill>
              </w:rPr>
              <w:t>射</w:t>
            </w:r>
          </w:p>
        </w:tc>
      </w:tr>
      <w:tr w14:paraId="6C280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30" w:type="pct"/>
            <w:vMerge w:val="continue"/>
            <w:vAlign w:val="center"/>
          </w:tcPr>
          <w:p w14:paraId="04DAF3F9">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432" w:type="pct"/>
            <w:vMerge w:val="continue"/>
            <w:vAlign w:val="center"/>
          </w:tcPr>
          <w:p w14:paraId="5ECE396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764" w:type="pct"/>
            <w:vAlign w:val="center"/>
          </w:tcPr>
          <w:p w14:paraId="287CE2C3">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2#分选车间装载机操作工位</w:t>
            </w:r>
          </w:p>
        </w:tc>
        <w:tc>
          <w:tcPr>
            <w:tcW w:w="505" w:type="pct"/>
            <w:vAlign w:val="center"/>
          </w:tcPr>
          <w:p w14:paraId="5A140B1C">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595" w:type="pct"/>
            <w:vAlign w:val="center"/>
          </w:tcPr>
          <w:p w14:paraId="4DFB1AD2">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300</w:t>
            </w:r>
          </w:p>
        </w:tc>
        <w:tc>
          <w:tcPr>
            <w:tcW w:w="763" w:type="pct"/>
            <w:vAlign w:val="center"/>
          </w:tcPr>
          <w:p w14:paraId="3540C87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0.5</w:t>
            </w:r>
          </w:p>
        </w:tc>
        <w:tc>
          <w:tcPr>
            <w:tcW w:w="595" w:type="pct"/>
            <w:vAlign w:val="center"/>
          </w:tcPr>
          <w:p w14:paraId="1157B02A">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2400</w:t>
            </w:r>
          </w:p>
        </w:tc>
        <w:tc>
          <w:tcPr>
            <w:tcW w:w="1016" w:type="pct"/>
            <w:vAlign w:val="center"/>
          </w:tcPr>
          <w:p w14:paraId="6C0DE571">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钛精矿</w:t>
            </w:r>
            <w:r>
              <w:rPr>
                <w:rFonts w:hint="eastAsia" w:ascii="Times New Roman" w:hAnsi="Times New Roman" w:eastAsia="宋体" w:cs="Times New Roman"/>
                <w:color w:val="000000" w:themeColor="text1"/>
                <w14:textFill>
                  <w14:solidFill>
                    <w14:schemeClr w14:val="tx1"/>
                  </w14:solidFill>
                </w14:textFill>
              </w:rPr>
              <w:t>、锆中矿</w:t>
            </w:r>
            <w:r>
              <w:rPr>
                <w:rFonts w:ascii="Times New Roman" w:hAnsi="Times New Roman" w:eastAsia="宋体" w:cs="Times New Roman"/>
                <w:color w:val="000000" w:themeColor="text1"/>
                <w14:textFill>
                  <w14:solidFill>
                    <w14:schemeClr w14:val="tx1"/>
                  </w14:solidFill>
                </w14:textFill>
              </w:rPr>
              <w:t>堆放和转运时会受到外照</w:t>
            </w:r>
            <w:r>
              <w:rPr>
                <w:rFonts w:hint="eastAsia" w:ascii="Times New Roman" w:hAnsi="Times New Roman" w:eastAsia="宋体" w:cs="Times New Roman"/>
                <w:color w:val="000000" w:themeColor="text1"/>
                <w14:textFill>
                  <w14:solidFill>
                    <w14:schemeClr w14:val="tx1"/>
                  </w14:solidFill>
                </w14:textFill>
              </w:rPr>
              <w:t>射</w:t>
            </w:r>
          </w:p>
        </w:tc>
      </w:tr>
    </w:tbl>
    <w:p w14:paraId="562E8031">
      <w:pPr>
        <w:spacing w:after="0" w:line="360" w:lineRule="auto"/>
        <w:ind w:firstLine="482"/>
        <w:rPr>
          <w:rFonts w:ascii="Times New Roman" w:hAnsi="Times New Roman" w:cs="Times New Roman"/>
          <w:color w:val="000000" w:themeColor="text1"/>
          <w:sz w:val="24"/>
          <w:szCs w:val="24"/>
          <w14:textFill>
            <w14:solidFill>
              <w14:schemeClr w14:val="tx1"/>
            </w14:solidFill>
          </w14:textFill>
        </w:rPr>
      </w:pPr>
    </w:p>
    <w:p w14:paraId="50F8ABF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人员管理制度</w:t>
      </w:r>
      <w:r>
        <w:rPr>
          <w:rFonts w:hint="eastAsia" w:ascii="Times New Roman" w:hAnsi="Times New Roman" w:eastAsia="黑体" w:cs="Times New Roman"/>
          <w:bCs/>
          <w:i w:val="0"/>
          <w:iCs w:val="0"/>
          <w:color w:val="000000" w:themeColor="text1"/>
          <w:kern w:val="2"/>
          <w:sz w:val="24"/>
          <w14:textFill>
            <w14:solidFill>
              <w14:schemeClr w14:val="tx1"/>
            </w14:solidFill>
          </w14:textFill>
        </w:rPr>
        <w:t>及工作</w:t>
      </w:r>
      <w:r>
        <w:rPr>
          <w:rFonts w:ascii="Times New Roman" w:hAnsi="Times New Roman" w:eastAsia="黑体" w:cs="Times New Roman"/>
          <w:bCs/>
          <w:i w:val="0"/>
          <w:iCs w:val="0"/>
          <w:color w:val="000000" w:themeColor="text1"/>
          <w:kern w:val="2"/>
          <w:sz w:val="24"/>
          <w14:textFill>
            <w14:solidFill>
              <w14:schemeClr w14:val="tx1"/>
            </w14:solidFill>
          </w14:textFill>
        </w:rPr>
        <w:t>人</w:t>
      </w:r>
      <w:r>
        <w:rPr>
          <w:rFonts w:hint="eastAsia" w:ascii="Times New Roman" w:hAnsi="Times New Roman" w:eastAsia="黑体" w:cs="Times New Roman"/>
          <w:bCs/>
          <w:i w:val="0"/>
          <w:iCs w:val="0"/>
          <w:color w:val="000000" w:themeColor="text1"/>
          <w:kern w:val="2"/>
          <w:sz w:val="24"/>
          <w14:textFill>
            <w14:solidFill>
              <w14:schemeClr w14:val="tx1"/>
            </w14:solidFill>
          </w14:textFill>
        </w:rPr>
        <w:t>员</w:t>
      </w:r>
      <w:r>
        <w:rPr>
          <w:rFonts w:ascii="Times New Roman" w:hAnsi="Times New Roman" w:eastAsia="黑体" w:cs="Times New Roman"/>
          <w:bCs/>
          <w:i w:val="0"/>
          <w:iCs w:val="0"/>
          <w:color w:val="000000" w:themeColor="text1"/>
          <w:kern w:val="2"/>
          <w:sz w:val="24"/>
          <w14:textFill>
            <w14:solidFill>
              <w14:schemeClr w14:val="tx1"/>
            </w14:solidFill>
          </w14:textFill>
        </w:rPr>
        <w:t>保护措施</w:t>
      </w:r>
    </w:p>
    <w:p w14:paraId="6EE93C1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（1）对厂内接触伴生矿生产的工作人员进行相关知识的学习和培训，加强该类人员的自我保护和环境保护意识。</w:t>
      </w:r>
    </w:p>
    <w:p w14:paraId="04B2AAF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（2）接触伴生放射性物料的工作人员，每年进行体检，车间的工作人员工作时佩戴防尘面具。</w:t>
      </w:r>
    </w:p>
    <w:p w14:paraId="5555047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车间范围内，特别是</w:t>
      </w:r>
      <w:r>
        <w:rPr>
          <w:rFonts w:ascii="Times New Roman" w:hAnsi="Times New Roman" w:cs="Times New Roman"/>
          <w:color w:val="000000" w:themeColor="text1"/>
          <w:sz w:val="24"/>
          <w:szCs w:val="24"/>
          <w14:textFill>
            <w14:solidFill>
              <w14:schemeClr w14:val="tx1"/>
            </w14:solidFill>
          </w14:textFill>
        </w:rPr>
        <w:t>原料</w:t>
      </w:r>
      <w:r>
        <w:rPr>
          <w:rFonts w:hint="eastAsia" w:ascii="Times New Roman" w:hAnsi="Times New Roman" w:cs="Times New Roman"/>
          <w:color w:val="000000" w:themeColor="text1"/>
          <w:sz w:val="24"/>
          <w:szCs w:val="24"/>
          <w14:textFill>
            <w14:solidFill>
              <w14:schemeClr w14:val="tx1"/>
            </w14:solidFill>
          </w14:textFill>
        </w:rPr>
        <w:t>、锆中矿</w:t>
      </w:r>
      <w:r>
        <w:rPr>
          <w:rFonts w:ascii="Times New Roman" w:hAnsi="Times New Roman" w:cs="Times New Roman"/>
          <w:color w:val="000000" w:themeColor="text1"/>
          <w:sz w:val="24"/>
          <w:szCs w:val="24"/>
          <w14:textFill>
            <w14:solidFill>
              <w14:schemeClr w14:val="tx1"/>
            </w14:solidFill>
          </w14:textFill>
        </w:rPr>
        <w:t>堆场设有专职人员进行管理，定期及时清理和打扫，</w:t>
      </w:r>
      <w:r>
        <w:rPr>
          <w:rFonts w:hint="eastAsia" w:ascii="Times New Roman" w:hAnsi="Times New Roman" w:cs="Times New Roman"/>
          <w:color w:val="000000" w:themeColor="text1"/>
          <w:sz w:val="24"/>
          <w:szCs w:val="24"/>
          <w14:textFill>
            <w14:solidFill>
              <w14:schemeClr w14:val="tx1"/>
            </w14:solidFill>
          </w14:textFill>
        </w:rPr>
        <w:t>降低</w:t>
      </w:r>
      <w:r>
        <w:rPr>
          <w:rFonts w:ascii="Times New Roman" w:hAnsi="Times New Roman" w:cs="Times New Roman"/>
          <w:color w:val="000000" w:themeColor="text1"/>
          <w:sz w:val="24"/>
          <w:szCs w:val="24"/>
          <w14:textFill>
            <w14:solidFill>
              <w14:schemeClr w14:val="tx1"/>
            </w14:solidFill>
          </w14:textFill>
        </w:rPr>
        <w:t>含放射性的原料及</w:t>
      </w:r>
      <w:r>
        <w:rPr>
          <w:rFonts w:hint="eastAsia" w:ascii="Times New Roman" w:hAnsi="Times New Roman" w:cs="Times New Roman"/>
          <w:color w:val="000000" w:themeColor="text1"/>
          <w:sz w:val="24"/>
          <w:szCs w:val="24"/>
          <w14:textFill>
            <w14:solidFill>
              <w14:schemeClr w14:val="tx1"/>
            </w14:solidFill>
          </w14:textFill>
        </w:rPr>
        <w:t>锆中矿带出车间的可能</w:t>
      </w:r>
      <w:r>
        <w:rPr>
          <w:rFonts w:ascii="Times New Roman" w:hAnsi="Times New Roman" w:cs="Times New Roman"/>
          <w:color w:val="000000" w:themeColor="text1"/>
          <w:sz w:val="24"/>
          <w:szCs w:val="24"/>
          <w14:textFill>
            <w14:solidFill>
              <w14:schemeClr w14:val="tx1"/>
            </w14:solidFill>
          </w14:textFill>
        </w:rPr>
        <w:t>，造成局部环境污染。</w:t>
      </w:r>
    </w:p>
    <w:p w14:paraId="3999416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（4）此外，针对个人防护制定辐射防护管理制度：</w:t>
      </w:r>
      <w:r>
        <w:rPr>
          <w:rFonts w:hint="eastAsia" w:ascii="Times New Roman" w:hAnsi="Times New Roman" w:cs="Times New Roman"/>
          <w:color w:val="000000" w:themeColor="text1"/>
          <w:sz w:val="24"/>
          <w:szCs w:val="24"/>
          <w14:textFill>
            <w14:solidFill>
              <w14:schemeClr w14:val="tx1"/>
            </w14:solidFill>
          </w14:textFill>
        </w:rPr>
        <w:t>①</w:t>
      </w:r>
      <w:r>
        <w:rPr>
          <w:rFonts w:ascii="Times New Roman" w:hAnsi="Times New Roman" w:cs="Times New Roman"/>
          <w:color w:val="000000" w:themeColor="text1"/>
          <w:sz w:val="24"/>
          <w:szCs w:val="24"/>
          <w14:textFill>
            <w14:solidFill>
              <w14:schemeClr w14:val="tx1"/>
            </w14:solidFill>
          </w14:textFill>
        </w:rPr>
        <w:t>进出</w:t>
      </w:r>
      <w:r>
        <w:rPr>
          <w:rFonts w:hint="eastAsia" w:ascii="Times New Roman" w:hAnsi="Times New Roman" w:cs="Times New Roman"/>
          <w:color w:val="000000" w:themeColor="text1"/>
          <w:sz w:val="24"/>
          <w:szCs w:val="24"/>
          <w14:textFill>
            <w14:solidFill>
              <w14:schemeClr w14:val="tx1"/>
            </w14:solidFill>
          </w14:textFill>
        </w:rPr>
        <w:t>车间</w:t>
      </w:r>
      <w:r>
        <w:rPr>
          <w:rFonts w:ascii="Times New Roman" w:hAnsi="Times New Roman" w:cs="Times New Roman"/>
          <w:color w:val="000000" w:themeColor="text1"/>
          <w:sz w:val="24"/>
          <w:szCs w:val="24"/>
          <w14:textFill>
            <w14:solidFill>
              <w14:schemeClr w14:val="tx1"/>
            </w14:solidFill>
          </w14:textFill>
        </w:rPr>
        <w:t>佩戴个人剂量报警仪；</w:t>
      </w:r>
      <w:r>
        <w:rPr>
          <w:rFonts w:hint="eastAsia" w:ascii="Times New Roman" w:hAnsi="Times New Roman" w:cs="Times New Roman"/>
          <w:color w:val="000000" w:themeColor="text1"/>
          <w:sz w:val="24"/>
          <w:szCs w:val="24"/>
          <w14:textFill>
            <w14:solidFill>
              <w14:schemeClr w14:val="tx1"/>
            </w14:solidFill>
          </w14:textFill>
        </w:rPr>
        <w:t>②</w:t>
      </w:r>
      <w:r>
        <w:rPr>
          <w:rFonts w:ascii="Times New Roman" w:hAnsi="Times New Roman" w:cs="Times New Roman"/>
          <w:color w:val="000000" w:themeColor="text1"/>
          <w:sz w:val="24"/>
          <w:szCs w:val="24"/>
          <w14:textFill>
            <w14:solidFill>
              <w14:schemeClr w14:val="tx1"/>
            </w14:solidFill>
          </w14:textFill>
        </w:rPr>
        <w:t>为了减少放射性物质进入体内的机会，不在车间和仓库内吸烟，不在车间和仓库内进餐；</w:t>
      </w:r>
      <w:r>
        <w:rPr>
          <w:rFonts w:hint="eastAsia" w:ascii="Times New Roman" w:hAnsi="Times New Roman" w:cs="Times New Roman"/>
          <w:color w:val="000000" w:themeColor="text1"/>
          <w:sz w:val="24"/>
          <w:szCs w:val="24"/>
          <w14:textFill>
            <w14:solidFill>
              <w14:schemeClr w14:val="tx1"/>
            </w14:solidFill>
          </w14:textFill>
        </w:rPr>
        <w:t>③</w:t>
      </w:r>
      <w:r>
        <w:rPr>
          <w:rFonts w:ascii="Times New Roman" w:hAnsi="Times New Roman" w:cs="Times New Roman"/>
          <w:color w:val="000000" w:themeColor="text1"/>
          <w:sz w:val="24"/>
          <w:szCs w:val="24"/>
          <w14:textFill>
            <w14:solidFill>
              <w14:schemeClr w14:val="tx1"/>
            </w14:solidFill>
          </w14:textFill>
        </w:rPr>
        <w:t>经常注意修剪指甲、剪短头发，以免积存放射性物质，还应注意保护皮肤的清洁完整，工作完毕需及时清洗，换洗衣服，防止伴生放射性物料粉尘残留；</w:t>
      </w:r>
      <w:r>
        <w:rPr>
          <w:rFonts w:hint="eastAsia" w:ascii="Times New Roman" w:hAnsi="Times New Roman" w:cs="Times New Roman"/>
          <w:color w:val="000000" w:themeColor="text1"/>
          <w:sz w:val="24"/>
          <w:szCs w:val="24"/>
          <w14:textFill>
            <w14:solidFill>
              <w14:schemeClr w14:val="tx1"/>
            </w14:solidFill>
          </w14:textFill>
        </w:rPr>
        <w:t>④</w:t>
      </w:r>
      <w:r>
        <w:rPr>
          <w:rFonts w:ascii="Times New Roman" w:hAnsi="Times New Roman" w:cs="Times New Roman"/>
          <w:color w:val="000000" w:themeColor="text1"/>
          <w:sz w:val="24"/>
          <w:szCs w:val="24"/>
          <w14:textFill>
            <w14:solidFill>
              <w14:schemeClr w14:val="tx1"/>
            </w14:solidFill>
          </w14:textFill>
        </w:rPr>
        <w:t>配备个人劳保防护用品；</w:t>
      </w:r>
      <w:r>
        <w:rPr>
          <w:rFonts w:hint="eastAsia" w:ascii="Times New Roman" w:hAnsi="Times New Roman" w:cs="Times New Roman"/>
          <w:color w:val="000000" w:themeColor="text1"/>
          <w:sz w:val="24"/>
          <w:szCs w:val="24"/>
          <w14:textFill>
            <w14:solidFill>
              <w14:schemeClr w14:val="tx1"/>
            </w14:solidFill>
          </w14:textFill>
        </w:rPr>
        <w:t>⑤</w:t>
      </w:r>
      <w:r>
        <w:rPr>
          <w:rFonts w:ascii="Times New Roman" w:hAnsi="Times New Roman" w:cs="Times New Roman"/>
          <w:color w:val="000000" w:themeColor="text1"/>
          <w:sz w:val="24"/>
          <w:szCs w:val="24"/>
          <w14:textFill>
            <w14:solidFill>
              <w14:schemeClr w14:val="tx1"/>
            </w14:solidFill>
          </w14:textFill>
        </w:rPr>
        <w:t>全体员工应建立职业健康档案；</w:t>
      </w:r>
      <w:r>
        <w:rPr>
          <w:rFonts w:hint="eastAsia" w:ascii="Times New Roman" w:hAnsi="Times New Roman" w:cs="Times New Roman"/>
          <w:color w:val="000000" w:themeColor="text1"/>
          <w:sz w:val="24"/>
          <w:szCs w:val="24"/>
          <w14:textFill>
            <w14:solidFill>
              <w14:schemeClr w14:val="tx1"/>
            </w14:solidFill>
          </w14:textFill>
        </w:rPr>
        <w:t>⑥</w:t>
      </w:r>
      <w:r>
        <w:rPr>
          <w:rFonts w:ascii="Times New Roman" w:hAnsi="Times New Roman" w:cs="Times New Roman"/>
          <w:color w:val="000000" w:themeColor="text1"/>
          <w:sz w:val="24"/>
          <w:szCs w:val="24"/>
          <w14:textFill>
            <w14:solidFill>
              <w14:schemeClr w14:val="tx1"/>
            </w14:solidFill>
          </w14:textFill>
        </w:rPr>
        <w:t>对身体条件不符合生产岗位的要调整其工作岗位；</w:t>
      </w:r>
      <w:r>
        <w:rPr>
          <w:rFonts w:hint="eastAsia" w:ascii="Times New Roman" w:hAnsi="Times New Roman" w:cs="Times New Roman"/>
          <w:color w:val="000000" w:themeColor="text1"/>
          <w:sz w:val="24"/>
          <w:szCs w:val="24"/>
          <w14:textFill>
            <w14:solidFill>
              <w14:schemeClr w14:val="tx1"/>
            </w14:solidFill>
          </w14:textFill>
        </w:rPr>
        <w:t>⑦</w:t>
      </w:r>
      <w:r>
        <w:rPr>
          <w:rFonts w:ascii="Times New Roman" w:hAnsi="Times New Roman" w:cs="Times New Roman"/>
          <w:color w:val="000000" w:themeColor="text1"/>
          <w:sz w:val="24"/>
          <w:szCs w:val="24"/>
          <w14:textFill>
            <w14:solidFill>
              <w14:schemeClr w14:val="tx1"/>
            </w14:solidFill>
          </w14:textFill>
        </w:rPr>
        <w:t>合理优化职工人数和工作时间，尽量减少员工与放射性物料的接触时间，对所受照射剂量超过5mSv的工作人员调整至其他剂量较小的工作岗位；</w:t>
      </w:r>
      <w:r>
        <w:rPr>
          <w:rFonts w:hint="eastAsia" w:ascii="Times New Roman" w:hAnsi="Times New Roman" w:cs="Times New Roman"/>
          <w:color w:val="000000" w:themeColor="text1"/>
          <w:sz w:val="24"/>
          <w:szCs w:val="24"/>
          <w14:textFill>
            <w14:solidFill>
              <w14:schemeClr w14:val="tx1"/>
            </w14:solidFill>
          </w14:textFill>
        </w:rPr>
        <w:t>⑧</w:t>
      </w:r>
      <w:r>
        <w:rPr>
          <w:rFonts w:ascii="Times New Roman" w:hAnsi="Times New Roman" w:cs="Times New Roman"/>
          <w:color w:val="000000" w:themeColor="text1"/>
          <w:sz w:val="24"/>
          <w:szCs w:val="24"/>
          <w14:textFill>
            <w14:solidFill>
              <w14:schemeClr w14:val="tx1"/>
            </w14:solidFill>
          </w14:textFill>
        </w:rPr>
        <w:t>对预计个人辐射剂量超过1mSv/a的操作工位岗位的人员开展个人剂量监测。</w:t>
      </w:r>
      <w:r>
        <w:rPr>
          <w:rFonts w:hint="eastAsia" w:ascii="Times New Roman" w:hAnsi="Times New Roman" w:cs="Times New Roman"/>
          <w:color w:val="000000" w:themeColor="text1"/>
          <w:sz w:val="24"/>
          <w:szCs w:val="24"/>
          <w14:textFill>
            <w14:solidFill>
              <w14:schemeClr w14:val="tx1"/>
            </w14:solidFill>
          </w14:textFill>
        </w:rPr>
        <w:t>⑨</w:t>
      </w:r>
      <w:r>
        <w:rPr>
          <w:rFonts w:ascii="Times New Roman" w:hAnsi="Times New Roman" w:cs="Times New Roman"/>
          <w:color w:val="000000" w:themeColor="text1"/>
          <w:sz w:val="24"/>
          <w:szCs w:val="24"/>
          <w14:textFill>
            <w14:solidFill>
              <w14:schemeClr w14:val="tx1"/>
            </w14:solidFill>
          </w14:textFill>
        </w:rPr>
        <w:t>对于</w:t>
      </w:r>
      <w:r>
        <w:rPr>
          <w:rFonts w:hint="eastAsia" w:ascii="Times New Roman" w:hAnsi="Times New Roman" w:cs="Times New Roman"/>
          <w:color w:val="000000" w:themeColor="text1"/>
          <w:sz w:val="24"/>
          <w:szCs w:val="24"/>
          <w14:textFill>
            <w14:solidFill>
              <w14:schemeClr w14:val="tx1"/>
            </w14:solidFill>
          </w14:textFill>
        </w:rPr>
        <w:t>原料、产品、副产品</w:t>
      </w:r>
      <w:r>
        <w:rPr>
          <w:rFonts w:ascii="Times New Roman" w:hAnsi="Times New Roman" w:cs="Times New Roman"/>
          <w:color w:val="000000" w:themeColor="text1"/>
          <w:sz w:val="24"/>
          <w:szCs w:val="24"/>
          <w14:textFill>
            <w14:solidFill>
              <w14:schemeClr w14:val="tx1"/>
            </w14:solidFill>
          </w14:textFill>
        </w:rPr>
        <w:t>管理，应设置专人管理，并建立完备进出台账，对于</w:t>
      </w:r>
      <w:r>
        <w:rPr>
          <w:rFonts w:hint="eastAsia" w:ascii="Times New Roman" w:hAnsi="Times New Roman" w:cs="Times New Roman"/>
          <w:color w:val="000000" w:themeColor="text1"/>
          <w:sz w:val="24"/>
          <w:szCs w:val="24"/>
          <w14:textFill>
            <w14:solidFill>
              <w14:schemeClr w14:val="tx1"/>
            </w14:solidFill>
          </w14:textFill>
        </w:rPr>
        <w:t>原料、产品、副产品</w:t>
      </w:r>
      <w:r>
        <w:rPr>
          <w:rFonts w:ascii="Times New Roman" w:hAnsi="Times New Roman" w:cs="Times New Roman"/>
          <w:color w:val="000000" w:themeColor="text1"/>
          <w:sz w:val="24"/>
          <w:szCs w:val="24"/>
          <w14:textFill>
            <w14:solidFill>
              <w14:schemeClr w14:val="tx1"/>
            </w14:solidFill>
          </w14:textFill>
        </w:rPr>
        <w:t>的具体数量和去向完整记录。</w:t>
      </w:r>
      <w:r>
        <w:rPr>
          <w:rFonts w:hint="eastAsia" w:ascii="Times New Roman" w:hAnsi="Times New Roman" w:cs="Times New Roman"/>
          <w:color w:val="000000" w:themeColor="text1"/>
          <w:sz w:val="24"/>
          <w:szCs w:val="24"/>
          <w14:textFill>
            <w14:solidFill>
              <w14:schemeClr w14:val="tx1"/>
            </w14:solidFill>
          </w14:textFill>
        </w:rPr>
        <w:t>⑩</w:t>
      </w:r>
      <w:r>
        <w:rPr>
          <w:rFonts w:ascii="Times New Roman" w:hAnsi="Times New Roman" w:cs="Times New Roman"/>
          <w:color w:val="000000" w:themeColor="text1"/>
          <w:sz w:val="24"/>
          <w:szCs w:val="24"/>
          <w14:textFill>
            <w14:solidFill>
              <w14:schemeClr w14:val="tx1"/>
            </w14:solidFill>
          </w14:textFill>
        </w:rPr>
        <w:t>设立员工换衣区，上班后换上工作专用工作服和鞋，下班之后立即</w:t>
      </w:r>
      <w:r>
        <w:rPr>
          <w:rFonts w:hint="eastAsia" w:ascii="Times New Roman" w:hAnsi="Times New Roman" w:cs="Times New Roman"/>
          <w:color w:val="000000" w:themeColor="text1"/>
          <w:sz w:val="24"/>
          <w:szCs w:val="24"/>
          <w14:textFill>
            <w14:solidFill>
              <w14:schemeClr w14:val="tx1"/>
            </w14:solidFill>
          </w14:textFill>
        </w:rPr>
        <w:t>更换工作服</w:t>
      </w:r>
      <w:r>
        <w:rPr>
          <w:rFonts w:ascii="Times New Roman" w:hAnsi="Times New Roman" w:cs="Times New Roman"/>
          <w:color w:val="000000" w:themeColor="text1"/>
          <w:sz w:val="24"/>
          <w:szCs w:val="24"/>
          <w14:textFill>
            <w14:solidFill>
              <w14:schemeClr w14:val="tx1"/>
            </w14:solidFill>
          </w14:textFill>
        </w:rPr>
        <w:t>，工作服等用品不允许带出厂外。</w:t>
      </w:r>
    </w:p>
    <w:p w14:paraId="476F66D5">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49" w:name="_Hlk37960622"/>
      <w:r>
        <w:rPr>
          <w:rFonts w:ascii="Times New Roman" w:hAnsi="Times New Roman" w:eastAsia="黑体" w:cs="Times New Roman"/>
          <w:b/>
          <w:bCs/>
          <w:caps w:val="0"/>
          <w:color w:val="000000" w:themeColor="text1"/>
          <w:kern w:val="2"/>
          <w:sz w:val="24"/>
          <w:szCs w:val="32"/>
          <w14:textFill>
            <w14:solidFill>
              <w14:schemeClr w14:val="tx1"/>
            </w14:solidFill>
          </w14:textFill>
        </w:rPr>
        <w:t>物料装卸</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w:t>
      </w:r>
      <w:r>
        <w:rPr>
          <w:rFonts w:ascii="Times New Roman" w:hAnsi="Times New Roman" w:eastAsia="黑体" w:cs="Times New Roman"/>
          <w:b/>
          <w:bCs/>
          <w:caps w:val="0"/>
          <w:color w:val="000000" w:themeColor="text1"/>
          <w:kern w:val="2"/>
          <w:sz w:val="24"/>
          <w:szCs w:val="32"/>
          <w14:textFill>
            <w14:solidFill>
              <w14:schemeClr w14:val="tx1"/>
            </w14:solidFill>
          </w14:textFill>
        </w:rPr>
        <w:t>堆存</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辐射</w:t>
      </w:r>
      <w:r>
        <w:rPr>
          <w:rFonts w:ascii="Times New Roman" w:hAnsi="Times New Roman" w:eastAsia="黑体" w:cs="Times New Roman"/>
          <w:b/>
          <w:bCs/>
          <w:caps w:val="0"/>
          <w:color w:val="000000" w:themeColor="text1"/>
          <w:kern w:val="2"/>
          <w:sz w:val="24"/>
          <w:szCs w:val="32"/>
          <w14:textFill>
            <w14:solidFill>
              <w14:schemeClr w14:val="tx1"/>
            </w14:solidFill>
          </w14:textFill>
        </w:rPr>
        <w:t>防控措施</w:t>
      </w:r>
    </w:p>
    <w:p w14:paraId="17C8E5B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w:t>
      </w:r>
      <w:r>
        <w:rPr>
          <w:rFonts w:hint="eastAsia" w:ascii="Times New Roman" w:hAnsi="Times New Roman" w:cs="Times New Roman"/>
          <w:color w:val="000000" w:themeColor="text1"/>
          <w:sz w:val="24"/>
          <w:szCs w:val="24"/>
          <w14:textFill>
            <w14:solidFill>
              <w14:schemeClr w14:val="tx1"/>
            </w14:solidFill>
          </w14:textFill>
        </w:rPr>
        <w:t>装卸</w:t>
      </w:r>
      <w:r>
        <w:rPr>
          <w:rFonts w:ascii="Times New Roman" w:hAnsi="Times New Roman" w:cs="Times New Roman"/>
          <w:color w:val="000000" w:themeColor="text1"/>
          <w:sz w:val="24"/>
          <w:szCs w:val="24"/>
          <w14:textFill>
            <w14:solidFill>
              <w14:schemeClr w14:val="tx1"/>
            </w14:solidFill>
          </w14:textFill>
        </w:rPr>
        <w:t>过程中由于机械碰撞因素，仍有可能发生小概率吊装撒漏事故。且</w:t>
      </w:r>
      <w:r>
        <w:rPr>
          <w:rFonts w:hint="eastAsia" w:ascii="Times New Roman" w:hAnsi="Times New Roman" w:cs="Times New Roman"/>
          <w:color w:val="000000" w:themeColor="text1"/>
          <w:sz w:val="24"/>
          <w:szCs w:val="24"/>
          <w14:textFill>
            <w14:solidFill>
              <w14:schemeClr w14:val="tx1"/>
            </w14:solidFill>
          </w14:textFill>
        </w:rPr>
        <w:t>毛矿</w:t>
      </w:r>
      <w:r>
        <w:rPr>
          <w:rFonts w:ascii="Times New Roman" w:hAnsi="Times New Roman" w:cs="Times New Roman"/>
          <w:color w:val="000000" w:themeColor="text1"/>
          <w:sz w:val="24"/>
          <w:szCs w:val="24"/>
          <w14:textFill>
            <w14:solidFill>
              <w14:schemeClr w14:val="tx1"/>
            </w14:solidFill>
          </w14:textFill>
        </w:rPr>
        <w:t>和</w:t>
      </w:r>
      <w:r>
        <w:rPr>
          <w:rFonts w:hint="eastAsia" w:ascii="Times New Roman" w:hAnsi="Times New Roman" w:cs="Times New Roman"/>
          <w:color w:val="000000" w:themeColor="text1"/>
          <w:sz w:val="24"/>
          <w:szCs w:val="24"/>
          <w14:textFill>
            <w14:solidFill>
              <w14:schemeClr w14:val="tx1"/>
            </w14:solidFill>
          </w14:textFill>
        </w:rPr>
        <w:t>锆中矿</w:t>
      </w:r>
      <w:r>
        <w:rPr>
          <w:rFonts w:ascii="Times New Roman" w:hAnsi="Times New Roman" w:cs="Times New Roman"/>
          <w:color w:val="000000" w:themeColor="text1"/>
          <w:sz w:val="24"/>
          <w:szCs w:val="24"/>
          <w14:textFill>
            <w14:solidFill>
              <w14:schemeClr w14:val="tx1"/>
            </w14:solidFill>
          </w14:textFill>
        </w:rPr>
        <w:t>放射性核素比活度较高，应严防</w:t>
      </w:r>
      <w:r>
        <w:rPr>
          <w:rFonts w:hint="eastAsia" w:ascii="Times New Roman" w:hAnsi="Times New Roman" w:cs="Times New Roman"/>
          <w:color w:val="000000" w:themeColor="text1"/>
          <w:sz w:val="24"/>
          <w:szCs w:val="24"/>
          <w14:textFill>
            <w14:solidFill>
              <w14:schemeClr w14:val="tx1"/>
            </w14:solidFill>
          </w14:textFill>
        </w:rPr>
        <w:t>毛矿和锆中矿</w:t>
      </w:r>
      <w:r>
        <w:rPr>
          <w:rFonts w:ascii="Times New Roman" w:hAnsi="Times New Roman" w:cs="Times New Roman"/>
          <w:color w:val="000000" w:themeColor="text1"/>
          <w:sz w:val="24"/>
          <w:szCs w:val="24"/>
          <w14:textFill>
            <w14:solidFill>
              <w14:schemeClr w14:val="tx1"/>
            </w14:solidFill>
          </w14:textFill>
        </w:rPr>
        <w:t>的装卸撒漏事故。</w:t>
      </w:r>
    </w:p>
    <w:p w14:paraId="1121DD1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为预防撒漏事故的发生，减缓其辐射环境影响，提出以下防范、控制措施：</w:t>
      </w:r>
    </w:p>
    <w:p w14:paraId="5B2AE6D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加强作业人员业务技术培训，熟练掌握装置操作，</w:t>
      </w:r>
      <w:r>
        <w:rPr>
          <w:rFonts w:hint="eastAsia" w:ascii="Times New Roman" w:hAnsi="Times New Roman" w:cs="Times New Roman"/>
          <w:color w:val="000000" w:themeColor="text1"/>
          <w:sz w:val="24"/>
          <w:szCs w:val="24"/>
          <w:lang w:eastAsia="zh-CN"/>
          <w14:textFill>
            <w14:solidFill>
              <w14:schemeClr w14:val="tx1"/>
            </w14:solidFill>
          </w14:textFill>
        </w:rPr>
        <w:t>减少</w:t>
      </w:r>
      <w:r>
        <w:rPr>
          <w:rFonts w:ascii="Times New Roman" w:hAnsi="Times New Roman" w:cs="Times New Roman"/>
          <w:color w:val="000000" w:themeColor="text1"/>
          <w:sz w:val="24"/>
          <w:szCs w:val="24"/>
          <w14:textFill>
            <w14:solidFill>
              <w14:schemeClr w14:val="tx1"/>
            </w14:solidFill>
          </w14:textFill>
        </w:rPr>
        <w:t>事故发生概率。</w:t>
      </w:r>
    </w:p>
    <w:p w14:paraId="17E67DC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每天进行装卸前，应检查装卸装置是否存在问题，吊装安全性和稳定性是否完好。</w:t>
      </w:r>
    </w:p>
    <w:p w14:paraId="0074139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定期对吊装装置进行维修与维护，确保仪器处于良好的工作状态。</w:t>
      </w:r>
    </w:p>
    <w:p w14:paraId="001F2DB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发生</w:t>
      </w:r>
      <w:r>
        <w:rPr>
          <w:rFonts w:hint="eastAsia" w:ascii="Times New Roman" w:hAnsi="Times New Roman" w:cs="Times New Roman"/>
          <w:color w:val="000000" w:themeColor="text1"/>
          <w:sz w:val="24"/>
          <w:szCs w:val="24"/>
          <w14:textFill>
            <w14:solidFill>
              <w14:schemeClr w14:val="tx1"/>
            </w14:solidFill>
          </w14:textFill>
        </w:rPr>
        <w:t>装卸过程</w:t>
      </w:r>
      <w:r>
        <w:rPr>
          <w:rFonts w:ascii="Times New Roman" w:hAnsi="Times New Roman" w:cs="Times New Roman"/>
          <w:color w:val="000000" w:themeColor="text1"/>
          <w:sz w:val="24"/>
          <w:szCs w:val="24"/>
          <w14:textFill>
            <w14:solidFill>
              <w14:schemeClr w14:val="tx1"/>
            </w14:solidFill>
          </w14:textFill>
        </w:rPr>
        <w:t>撒漏事故时，应立即在车间现场设置警戒线，防止无关人员进入；安排专人进行干法清扫收集，将其妥善运至其暂存场所，事故处理完毕后解除警戒。</w:t>
      </w:r>
    </w:p>
    <w:p w14:paraId="472A8ED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物料</w:t>
      </w:r>
      <w:r>
        <w:rPr>
          <w:rFonts w:hint="eastAsia" w:ascii="Times New Roman" w:hAnsi="Times New Roman" w:cs="Times New Roman"/>
          <w:color w:val="000000" w:themeColor="text1"/>
          <w:sz w:val="24"/>
          <w:szCs w:val="24"/>
          <w14:textFill>
            <w14:solidFill>
              <w14:schemeClr w14:val="tx1"/>
            </w14:solidFill>
          </w14:textFill>
        </w:rPr>
        <w:t>在生</w:t>
      </w:r>
      <w:r>
        <w:rPr>
          <w:rFonts w:ascii="Times New Roman" w:hAnsi="Times New Roman" w:cs="Times New Roman"/>
          <w:color w:val="000000" w:themeColor="text1"/>
          <w:sz w:val="24"/>
          <w:szCs w:val="24"/>
          <w14:textFill>
            <w14:solidFill>
              <w14:schemeClr w14:val="tx1"/>
            </w14:solidFill>
          </w14:textFill>
        </w:rPr>
        <w:t>产</w:t>
      </w:r>
      <w:r>
        <w:rPr>
          <w:rFonts w:hint="eastAsia" w:ascii="Times New Roman" w:hAnsi="Times New Roman" w:cs="Times New Roman"/>
          <w:color w:val="000000" w:themeColor="text1"/>
          <w:sz w:val="24"/>
          <w:szCs w:val="24"/>
          <w14:textFill>
            <w14:solidFill>
              <w14:schemeClr w14:val="tx1"/>
            </w14:solidFill>
          </w14:textFill>
        </w:rPr>
        <w:t>区</w:t>
      </w:r>
      <w:r>
        <w:rPr>
          <w:rFonts w:ascii="Times New Roman" w:hAnsi="Times New Roman" w:cs="Times New Roman"/>
          <w:color w:val="000000" w:themeColor="text1"/>
          <w:sz w:val="24"/>
          <w:szCs w:val="24"/>
          <w14:textFill>
            <w14:solidFill>
              <w14:schemeClr w14:val="tx1"/>
            </w14:solidFill>
          </w14:textFill>
        </w:rPr>
        <w:t>堆存</w:t>
      </w:r>
      <w:r>
        <w:rPr>
          <w:rFonts w:hint="eastAsia" w:ascii="Times New Roman" w:hAnsi="Times New Roman" w:cs="Times New Roman"/>
          <w:color w:val="000000" w:themeColor="text1"/>
          <w:sz w:val="24"/>
          <w:szCs w:val="24"/>
          <w14:textFill>
            <w14:solidFill>
              <w14:schemeClr w14:val="tx1"/>
            </w14:solidFill>
          </w14:textFill>
        </w:rPr>
        <w:t>过程</w:t>
      </w:r>
      <w:r>
        <w:rPr>
          <w:rFonts w:ascii="Times New Roman" w:hAnsi="Times New Roman" w:cs="Times New Roman"/>
          <w:color w:val="000000" w:themeColor="text1"/>
          <w:sz w:val="24"/>
          <w:szCs w:val="24"/>
          <w14:textFill>
            <w14:solidFill>
              <w14:schemeClr w14:val="tx1"/>
            </w14:solidFill>
          </w14:textFill>
        </w:rPr>
        <w:t>中，</w:t>
      </w:r>
      <w:r>
        <w:rPr>
          <w:rFonts w:hint="eastAsia" w:ascii="Times New Roman" w:hAnsi="Times New Roman" w:cs="Times New Roman"/>
          <w:color w:val="000000" w:themeColor="text1"/>
          <w:sz w:val="24"/>
          <w:szCs w:val="24"/>
          <w14:textFill>
            <w14:solidFill>
              <w14:schemeClr w14:val="tx1"/>
            </w14:solidFill>
          </w14:textFill>
        </w:rPr>
        <w:t>所</w:t>
      </w:r>
      <w:r>
        <w:rPr>
          <w:rFonts w:ascii="Times New Roman" w:hAnsi="Times New Roman" w:cs="Times New Roman"/>
          <w:color w:val="000000" w:themeColor="text1"/>
          <w:sz w:val="24"/>
          <w:szCs w:val="24"/>
          <w14:textFill>
            <w14:solidFill>
              <w14:schemeClr w14:val="tx1"/>
            </w14:solidFill>
          </w14:textFill>
        </w:rPr>
        <w:t>有物料</w:t>
      </w:r>
      <w:r>
        <w:rPr>
          <w:rFonts w:hint="eastAsia" w:ascii="Times New Roman" w:hAnsi="Times New Roman" w:cs="Times New Roman"/>
          <w:color w:val="000000" w:themeColor="text1"/>
          <w:sz w:val="24"/>
          <w:szCs w:val="24"/>
          <w:lang w:eastAsia="zh-CN"/>
          <w14:textFill>
            <w14:solidFill>
              <w14:schemeClr w14:val="tx1"/>
            </w14:solidFill>
          </w14:textFill>
        </w:rPr>
        <w:t>必须</w:t>
      </w:r>
      <w:r>
        <w:rPr>
          <w:rFonts w:hint="eastAsia" w:ascii="Times New Roman" w:hAnsi="Times New Roman" w:cs="Times New Roman"/>
          <w:color w:val="000000" w:themeColor="text1"/>
          <w:sz w:val="24"/>
          <w:szCs w:val="24"/>
          <w14:textFill>
            <w14:solidFill>
              <w14:schemeClr w14:val="tx1"/>
            </w14:solidFill>
          </w14:textFill>
        </w:rPr>
        <w:t>堆</w:t>
      </w:r>
      <w:r>
        <w:rPr>
          <w:rFonts w:ascii="Times New Roman" w:hAnsi="Times New Roman" w:cs="Times New Roman"/>
          <w:color w:val="000000" w:themeColor="text1"/>
          <w:sz w:val="24"/>
          <w:szCs w:val="24"/>
          <w14:textFill>
            <w14:solidFill>
              <w14:schemeClr w14:val="tx1"/>
            </w14:solidFill>
          </w14:textFill>
        </w:rPr>
        <w:t>存于</w:t>
      </w:r>
      <w:r>
        <w:rPr>
          <w:rFonts w:hint="eastAsia" w:ascii="Times New Roman" w:hAnsi="Times New Roman" w:cs="Times New Roman"/>
          <w:color w:val="000000" w:themeColor="text1"/>
          <w:sz w:val="24"/>
          <w:szCs w:val="24"/>
          <w14:textFill>
            <w14:solidFill>
              <w14:schemeClr w14:val="tx1"/>
            </w14:solidFill>
          </w14:textFill>
        </w:rPr>
        <w:t>厂</w:t>
      </w:r>
      <w:r>
        <w:rPr>
          <w:rFonts w:ascii="Times New Roman" w:hAnsi="Times New Roman" w:cs="Times New Roman"/>
          <w:color w:val="000000" w:themeColor="text1"/>
          <w:sz w:val="24"/>
          <w:szCs w:val="24"/>
          <w14:textFill>
            <w14:solidFill>
              <w14:schemeClr w14:val="tx1"/>
            </w14:solidFill>
          </w14:textFill>
        </w:rPr>
        <w:t>房内或有顶棚</w:t>
      </w:r>
      <w:r>
        <w:rPr>
          <w:rFonts w:hint="eastAsia" w:ascii="Times New Roman" w:hAnsi="Times New Roman" w:cs="Times New Roman"/>
          <w:color w:val="000000" w:themeColor="text1"/>
          <w:sz w:val="24"/>
          <w:szCs w:val="24"/>
          <w14:textFill>
            <w14:solidFill>
              <w14:schemeClr w14:val="tx1"/>
            </w14:solidFill>
          </w14:textFill>
        </w:rPr>
        <w:t>及围墙</w:t>
      </w:r>
      <w:r>
        <w:rPr>
          <w:rFonts w:ascii="Times New Roman" w:hAnsi="Times New Roman" w:cs="Times New Roman"/>
          <w:color w:val="000000" w:themeColor="text1"/>
          <w:sz w:val="24"/>
          <w:szCs w:val="24"/>
          <w14:textFill>
            <w14:solidFill>
              <w14:schemeClr w14:val="tx1"/>
            </w14:solidFill>
          </w14:textFill>
        </w:rPr>
        <w:t>区域</w:t>
      </w:r>
      <w:r>
        <w:rPr>
          <w:rFonts w:hint="eastAsia" w:ascii="Times New Roman" w:hAnsi="Times New Roman" w:cs="Times New Roman"/>
          <w:color w:val="000000" w:themeColor="text1"/>
          <w:sz w:val="24"/>
          <w:szCs w:val="24"/>
          <w14:textFill>
            <w14:solidFill>
              <w14:schemeClr w14:val="tx1"/>
            </w14:solidFill>
          </w14:textFill>
        </w:rPr>
        <w:t>。必要时</w:t>
      </w:r>
      <w:r>
        <w:rPr>
          <w:rFonts w:ascii="Times New Roman" w:hAnsi="Times New Roman" w:cs="Times New Roman"/>
          <w:color w:val="000000" w:themeColor="text1"/>
          <w:sz w:val="24"/>
          <w:szCs w:val="24"/>
          <w14:textFill>
            <w14:solidFill>
              <w14:schemeClr w14:val="tx1"/>
            </w14:solidFill>
          </w14:textFill>
        </w:rPr>
        <w:t>加盖塑料膜</w:t>
      </w:r>
      <w:r>
        <w:rPr>
          <w:rFonts w:hint="eastAsia" w:ascii="Times New Roman" w:hAnsi="Times New Roman" w:cs="Times New Roman"/>
          <w:color w:val="000000" w:themeColor="text1"/>
          <w:sz w:val="24"/>
          <w:szCs w:val="24"/>
          <w14:textFill>
            <w14:solidFill>
              <w14:schemeClr w14:val="tx1"/>
            </w14:solidFill>
          </w14:textFill>
        </w:rPr>
        <w:t>，减少放射性物料的起</w:t>
      </w:r>
      <w:r>
        <w:rPr>
          <w:rFonts w:ascii="Times New Roman" w:hAnsi="Times New Roman" w:cs="Times New Roman"/>
          <w:color w:val="000000" w:themeColor="text1"/>
          <w:sz w:val="24"/>
          <w:szCs w:val="24"/>
          <w14:textFill>
            <w14:solidFill>
              <w14:schemeClr w14:val="tx1"/>
            </w14:solidFill>
          </w14:textFill>
        </w:rPr>
        <w:t>尘。</w:t>
      </w:r>
    </w:p>
    <w:p w14:paraId="46B7AC81">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r>
        <w:rPr>
          <w:rFonts w:ascii="Times New Roman" w:hAnsi="Times New Roman" w:eastAsia="黑体" w:cs="Times New Roman"/>
          <w:b/>
          <w:bCs/>
          <w:caps w:val="0"/>
          <w:color w:val="000000" w:themeColor="text1"/>
          <w:kern w:val="2"/>
          <w:sz w:val="24"/>
          <w:szCs w:val="32"/>
          <w14:textFill>
            <w14:solidFill>
              <w14:schemeClr w14:val="tx1"/>
            </w14:solidFill>
          </w14:textFill>
        </w:rPr>
        <w:t>运输风险防</w:t>
      </w:r>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控</w:t>
      </w:r>
      <w:r>
        <w:rPr>
          <w:rFonts w:ascii="Times New Roman" w:hAnsi="Times New Roman" w:eastAsia="黑体" w:cs="Times New Roman"/>
          <w:b/>
          <w:bCs/>
          <w:caps w:val="0"/>
          <w:color w:val="000000" w:themeColor="text1"/>
          <w:kern w:val="2"/>
          <w:sz w:val="24"/>
          <w:szCs w:val="32"/>
          <w14:textFill>
            <w14:solidFill>
              <w14:schemeClr w14:val="tx1"/>
            </w14:solidFill>
          </w14:textFill>
        </w:rPr>
        <w:t>措施</w:t>
      </w:r>
    </w:p>
    <w:p w14:paraId="0F61BAB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为满足《放射性物品安全运输规程》（GB11806-2019）中要求，本项目原料进入国内港口后，使用汽车运输至本项目厂址内，成品</w:t>
      </w:r>
      <w:r>
        <w:rPr>
          <w:rFonts w:hint="eastAsia" w:ascii="Times New Roman" w:hAnsi="Times New Roman" w:cs="Times New Roman"/>
          <w:color w:val="000000" w:themeColor="text1"/>
          <w:sz w:val="24"/>
          <w:szCs w:val="24"/>
          <w14:textFill>
            <w14:solidFill>
              <w14:schemeClr w14:val="tx1"/>
            </w14:solidFill>
          </w14:textFill>
        </w:rPr>
        <w:t>则</w:t>
      </w:r>
      <w:r>
        <w:rPr>
          <w:rFonts w:ascii="Times New Roman" w:hAnsi="Times New Roman" w:cs="Times New Roman"/>
          <w:color w:val="000000" w:themeColor="text1"/>
          <w:sz w:val="24"/>
          <w:szCs w:val="24"/>
          <w14:textFill>
            <w14:solidFill>
              <w14:schemeClr w14:val="tx1"/>
            </w14:solidFill>
          </w14:textFill>
        </w:rPr>
        <w:t>一般使用汽车运输至下游企业。本项目路上运输过程中均采用集装箱或者货车内装吨袋的形式运输。从港口码头运输至厂区运输过程中的安全责任主体为广西瑞腾贸易有限公司，发生运输风险时，由广西瑞腾贸易有限公司主要负责，控制风险的发生，及时处置风险事故现场，产品的运输风险责任主体为下游企业。</w:t>
      </w:r>
    </w:p>
    <w:p w14:paraId="3345B16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运输过程设置合理的原料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运输路线，原料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运输前应该进行严密包装，采用专用</w:t>
      </w:r>
      <w:r>
        <w:rPr>
          <w:rFonts w:hint="eastAsia" w:ascii="Times New Roman" w:hAnsi="Times New Roman" w:cs="Times New Roman"/>
          <w:color w:val="000000" w:themeColor="text1"/>
          <w:sz w:val="24"/>
          <w:szCs w:val="24"/>
          <w:lang w:eastAsia="zh-CN"/>
          <w14:textFill>
            <w14:solidFill>
              <w14:schemeClr w14:val="tx1"/>
            </w14:solidFill>
          </w14:textFill>
        </w:rPr>
        <w:t>厢式</w:t>
      </w:r>
      <w:r>
        <w:rPr>
          <w:rFonts w:ascii="Times New Roman" w:hAnsi="Times New Roman" w:cs="Times New Roman"/>
          <w:color w:val="000000" w:themeColor="text1"/>
          <w:sz w:val="24"/>
          <w:szCs w:val="24"/>
          <w14:textFill>
            <w14:solidFill>
              <w14:schemeClr w14:val="tx1"/>
            </w14:solidFill>
          </w14:textFill>
        </w:rPr>
        <w:t>运输车辆，货物装车后应及时封闭车辆。并选择风险控制信用较好的运输单位进行原料和产品的运输，定期对运输汽车进行维修和保养、提高驾驶人员安全意识，防止极端交通事故发生，以避免对沿线道路及周边环境形成放射性污染，在车上常备有应急物品，包括防护口罩、防护手套、护目镜等防护用品。</w:t>
      </w:r>
    </w:p>
    <w:p w14:paraId="13B2FCC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运输工作人员应接受相关辐射防护措施等方面的培训：</w:t>
      </w:r>
    </w:p>
    <w:p w14:paraId="54993C8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（1）避免事故发生的方法和程序；</w:t>
      </w:r>
    </w:p>
    <w:p w14:paraId="15B3209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（2）应急响应信息以及如何利用这些信息；</w:t>
      </w:r>
    </w:p>
    <w:p w14:paraId="13F71BA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（3）各种放射性物品的危害和如何防止受到这些危害，必要</w:t>
      </w:r>
      <w:r>
        <w:rPr>
          <w:rFonts w:hint="eastAsia" w:ascii="Times New Roman" w:hAnsi="Times New Roman" w:cs="Times New Roman"/>
          <w:color w:val="000000" w:themeColor="text1"/>
          <w:sz w:val="24"/>
          <w:szCs w:val="24"/>
          <w:lang w:eastAsia="zh-CN"/>
          <w14:textFill>
            <w14:solidFill>
              <w14:schemeClr w14:val="tx1"/>
            </w14:solidFill>
          </w14:textFill>
        </w:rPr>
        <w:t>时</w:t>
      </w:r>
      <w:r>
        <w:rPr>
          <w:rFonts w:ascii="Times New Roman" w:hAnsi="Times New Roman" w:cs="Times New Roman"/>
          <w:color w:val="000000" w:themeColor="text1"/>
          <w:sz w:val="24"/>
          <w:szCs w:val="24"/>
          <w14:textFill>
            <w14:solidFill>
              <w14:schemeClr w14:val="tx1"/>
            </w14:solidFill>
          </w14:textFill>
        </w:rPr>
        <w:t>包括人员防护服和防护设备的使用；</w:t>
      </w:r>
    </w:p>
    <w:p w14:paraId="09EB94E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（4）发生放射性物质</w:t>
      </w:r>
      <w:r>
        <w:rPr>
          <w:rFonts w:hint="eastAsia" w:ascii="Times New Roman" w:hAnsi="Times New Roman" w:cs="Times New Roman"/>
          <w:color w:val="000000" w:themeColor="text1"/>
          <w:sz w:val="24"/>
          <w:szCs w:val="24"/>
          <w:lang w:eastAsia="zh-CN"/>
          <w14:textFill>
            <w14:solidFill>
              <w14:schemeClr w14:val="tx1"/>
            </w14:solidFill>
          </w14:textFill>
        </w:rPr>
        <w:t>意外</w:t>
      </w:r>
      <w:r>
        <w:rPr>
          <w:rFonts w:ascii="Times New Roman" w:hAnsi="Times New Roman" w:cs="Times New Roman"/>
          <w:color w:val="000000" w:themeColor="text1"/>
          <w:sz w:val="24"/>
          <w:szCs w:val="24"/>
          <w14:textFill>
            <w14:solidFill>
              <w14:schemeClr w14:val="tx1"/>
            </w14:solidFill>
          </w14:textFill>
        </w:rPr>
        <w:t>释放时立即采取的程序，包括相关的应急响应程序和要遵守的人员防护程序。</w:t>
      </w:r>
    </w:p>
    <w:p w14:paraId="7F55F43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一旦在运输矿石期间发生事故时，需要启动应急响应程序。当原料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发生撒漏、</w:t>
      </w:r>
      <w:r>
        <w:rPr>
          <w:rFonts w:hint="eastAsia" w:ascii="Times New Roman" w:hAnsi="Times New Roman" w:cs="Times New Roman"/>
          <w:color w:val="000000" w:themeColor="text1"/>
          <w:sz w:val="24"/>
          <w:szCs w:val="24"/>
          <w:lang w:eastAsia="zh-CN"/>
          <w14:textFill>
            <w14:solidFill>
              <w14:schemeClr w14:val="tx1"/>
            </w14:solidFill>
          </w14:textFill>
        </w:rPr>
        <w:t>外溢</w:t>
      </w:r>
      <w:r>
        <w:rPr>
          <w:rFonts w:ascii="Times New Roman" w:hAnsi="Times New Roman" w:cs="Times New Roman"/>
          <w:color w:val="000000" w:themeColor="text1"/>
          <w:sz w:val="24"/>
          <w:szCs w:val="24"/>
          <w14:textFill>
            <w14:solidFill>
              <w14:schemeClr w14:val="tx1"/>
            </w14:solidFill>
          </w14:textFill>
        </w:rPr>
        <w:t>时，应立即疏散无关人群，佩戴车上备用的防护口罩、防护手套、护目镜等防护用品，避免对物料的吸入内照射，尽快将撒漏的物料安全装至专用运输车内，最后确保环境中无遗留的原料</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产品</w:t>
      </w:r>
      <w:r>
        <w:rPr>
          <w:rFonts w:hint="eastAsia" w:ascii="Times New Roman" w:hAnsi="Times New Roman" w:cs="Times New Roman"/>
          <w:color w:val="000000" w:themeColor="text1"/>
          <w:sz w:val="24"/>
          <w:szCs w:val="24"/>
          <w14:textFill>
            <w14:solidFill>
              <w14:schemeClr w14:val="tx1"/>
            </w14:solidFill>
          </w14:textFill>
        </w:rPr>
        <w:t>及副产品</w:t>
      </w:r>
      <w:r>
        <w:rPr>
          <w:rFonts w:ascii="Times New Roman" w:hAnsi="Times New Roman" w:cs="Times New Roman"/>
          <w:color w:val="000000" w:themeColor="text1"/>
          <w:sz w:val="24"/>
          <w:szCs w:val="24"/>
          <w14:textFill>
            <w14:solidFill>
              <w14:schemeClr w14:val="tx1"/>
            </w14:solidFill>
          </w14:textFill>
        </w:rPr>
        <w:t>；若车辆发生事故，应疏散无关人群，立即调派其他专用运输车辆将事故车辆内的物料转移。</w:t>
      </w:r>
    </w:p>
    <w:p w14:paraId="70B68F7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u w:val="single"/>
          <w14:textFill>
            <w14:solidFill>
              <w14:schemeClr w14:val="tx1"/>
            </w14:solidFill>
          </w14:textFill>
        </w:rPr>
      </w:pPr>
      <w:r>
        <w:rPr>
          <w:rFonts w:hint="eastAsia" w:ascii="Times New Roman" w:hAnsi="Times New Roman" w:eastAsia="黑体" w:cs="Times New Roman"/>
          <w:b/>
          <w:bCs/>
          <w:caps w:val="0"/>
          <w:color w:val="000000" w:themeColor="text1"/>
          <w:kern w:val="2"/>
          <w:sz w:val="24"/>
          <w:szCs w:val="32"/>
          <w:u w:val="single"/>
          <w14:textFill>
            <w14:solidFill>
              <w14:schemeClr w14:val="tx1"/>
            </w14:solidFill>
          </w14:textFill>
        </w:rPr>
        <w:t>退役期环境管理要求</w:t>
      </w:r>
    </w:p>
    <w:p w14:paraId="0484C539">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根据《伴生放射性物料贮存及固体废物填埋辐射环境保护技术规范（试行）》（HJ1114-2020）：伴生放射性物料贮存设施关闭后或转为他用时，应对受到放射性污染的厂房、设备、场地、周围环境进行治理，开展辐射监测，确保治理后满足相关要求。</w:t>
      </w:r>
    </w:p>
    <w:p w14:paraId="748EC849">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可采用如下</w:t>
      </w:r>
      <w:r>
        <w:rPr>
          <w:rFonts w:hint="eastAsia" w:ascii="Times New Roman" w:hAnsi="Times New Roman" w:cs="Times New Roman"/>
          <w:color w:val="000000" w:themeColor="text1"/>
          <w:sz w:val="24"/>
          <w:szCs w:val="24"/>
          <w:u w:val="single"/>
          <w:lang w:eastAsia="zh-CN"/>
          <w14:textFill>
            <w14:solidFill>
              <w14:schemeClr w14:val="tx1"/>
            </w14:solidFill>
          </w14:textFill>
        </w:rPr>
        <w:t>防治</w:t>
      </w:r>
      <w:r>
        <w:rPr>
          <w:rFonts w:hint="eastAsia" w:ascii="Times New Roman" w:hAnsi="Times New Roman" w:cs="Times New Roman"/>
          <w:color w:val="000000" w:themeColor="text1"/>
          <w:sz w:val="24"/>
          <w:szCs w:val="24"/>
          <w:u w:val="single"/>
          <w14:textFill>
            <w14:solidFill>
              <w14:schemeClr w14:val="tx1"/>
            </w14:solidFill>
          </w14:textFill>
        </w:rPr>
        <w:t>措施：</w:t>
      </w:r>
    </w:p>
    <w:p w14:paraId="4351ED8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（1）厂房及有关建构筑物，采用去污或拆除处置措施。</w:t>
      </w:r>
    </w:p>
    <w:p w14:paraId="6EA1C70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（2）对设备进行表面污染监测，当其表面污染水平满足标准要求，可作为普通设备重复利用；表面污染水平较高的设备，采用物理、化学去污</w:t>
      </w:r>
      <w:r>
        <w:rPr>
          <w:rFonts w:hint="eastAsia" w:ascii="Times New Roman" w:hAnsi="Times New Roman" w:cs="Times New Roman"/>
          <w:color w:val="000000" w:themeColor="text1"/>
          <w:sz w:val="24"/>
          <w:szCs w:val="24"/>
          <w:u w:val="single"/>
          <w:lang w:eastAsia="zh-CN"/>
          <w14:textFill>
            <w14:solidFill>
              <w14:schemeClr w14:val="tx1"/>
            </w14:solidFill>
          </w14:textFill>
        </w:rPr>
        <w:t>方法</w:t>
      </w:r>
      <w:r>
        <w:rPr>
          <w:rFonts w:hint="eastAsia" w:ascii="Times New Roman" w:hAnsi="Times New Roman" w:cs="Times New Roman"/>
          <w:color w:val="000000" w:themeColor="text1"/>
          <w:sz w:val="24"/>
          <w:szCs w:val="24"/>
          <w:u w:val="single"/>
          <w14:textFill>
            <w14:solidFill>
              <w14:schemeClr w14:val="tx1"/>
            </w14:solidFill>
          </w14:textFill>
        </w:rPr>
        <w:t>进行去污，去污后满足标准要求重复利用。</w:t>
      </w:r>
    </w:p>
    <w:p w14:paraId="2BA5550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（3）对土壤进行采样分析，若满足标准要求则原地留置，超过国家标准产生的放射性污染土壤按照国家相关要求妥善处置。</w:t>
      </w:r>
    </w:p>
    <w:p w14:paraId="2DBB47B8">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采取以上措施后本项目服务期满后受放射性污染的设施、场地能得到妥善的处理处置，处理处置过程不会对周围环境产生不利影响；同时，服务期满后项目伴生放射性源项也随之关闭、消失，不再产生含放射性物质，不会对周围环境产生不利影响。</w:t>
      </w:r>
    </w:p>
    <w:bookmarkEnd w:id="149"/>
    <w:p w14:paraId="04BB185E">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0" w:name="_Toc187653480"/>
      <w:bookmarkStart w:id="151" w:name="_Toc78822688"/>
      <w:r>
        <w:rPr>
          <w:rFonts w:ascii="Times New Roman" w:hAnsi="Times New Roman" w:eastAsia="黑体" w:cs="Times New Roman"/>
          <w:b/>
          <w:bCs/>
          <w:color w:val="000000" w:themeColor="text1"/>
          <w:kern w:val="2"/>
          <w:sz w:val="28"/>
          <w:szCs w:val="32"/>
          <w14:textFill>
            <w14:solidFill>
              <w14:schemeClr w14:val="tx1"/>
            </w14:solidFill>
          </w14:textFill>
        </w:rPr>
        <w:t>流出物监测</w:t>
      </w:r>
      <w:bookmarkEnd w:id="150"/>
      <w:bookmarkEnd w:id="151"/>
    </w:p>
    <w:p w14:paraId="18A27C4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项目无生产废水排放，烘干炉烟气、各生产车间粉尘经布袋除尘处理后分别经过3根19米排气筒排放。</w:t>
      </w:r>
      <w:r>
        <w:rPr>
          <w:rFonts w:ascii="Times New Roman" w:hAnsi="Times New Roman" w:cs="Times New Roman"/>
          <w:color w:val="000000" w:themeColor="text1"/>
          <w:sz w:val="24"/>
          <w:szCs w:val="24"/>
          <w14:textFill>
            <w14:solidFill>
              <w14:schemeClr w14:val="tx1"/>
            </w14:solidFill>
          </w14:textFill>
        </w:rPr>
        <w:t>根据《伴生放射性矿产资源开发利用企业环境辐射监测及信息公开管理办法（试行）》相关要求和本项目辐射管理要求，本项目的</w:t>
      </w:r>
      <w:r>
        <w:rPr>
          <w:rFonts w:hint="eastAsia" w:ascii="Times New Roman" w:hAnsi="Times New Roman" w:cs="Times New Roman"/>
          <w:color w:val="000000" w:themeColor="text1"/>
          <w:sz w:val="24"/>
          <w:szCs w:val="24"/>
          <w14:textFill>
            <w14:solidFill>
              <w14:schemeClr w14:val="tx1"/>
            </w14:solidFill>
          </w14:textFill>
        </w:rPr>
        <w:t>流出物</w:t>
      </w:r>
      <w:r>
        <w:rPr>
          <w:rFonts w:ascii="Times New Roman" w:hAnsi="Times New Roman" w:cs="Times New Roman"/>
          <w:color w:val="000000" w:themeColor="text1"/>
          <w:sz w:val="24"/>
          <w:szCs w:val="24"/>
          <w14:textFill>
            <w14:solidFill>
              <w14:schemeClr w14:val="tx1"/>
            </w14:solidFill>
          </w14:textFill>
        </w:rPr>
        <w:t>监测计划具体内容如下。</w:t>
      </w:r>
    </w:p>
    <w:p w14:paraId="2C8791F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67F81542">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废气放射性物质流出的排气口：烘干炉烟气袋式除尘器系统尾气排放口、1#原料处理车间粉尘袋式除尘器系统尾气排放口、2#分选车间粉尘袋式除尘器系统尾气排放口。</w:t>
      </w:r>
    </w:p>
    <w:p w14:paraId="3354855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4C8BC72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w:t>
      </w:r>
      <w:r>
        <w:rPr>
          <w:rFonts w:hint="eastAsia" w:ascii="Times New Roman" w:hAnsi="Times New Roman" w:cs="Times New Roman"/>
          <w:color w:val="000000" w:themeColor="text1"/>
          <w:sz w:val="24"/>
          <w:szCs w:val="24"/>
          <w14:textFill>
            <w14:solidFill>
              <w14:schemeClr w14:val="tx1"/>
            </w14:solidFill>
          </w14:textFill>
        </w:rPr>
        <w:t>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hint="eastAsia"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14:textFill>
            <w14:solidFill>
              <w14:schemeClr w14:val="tx1"/>
            </w14:solidFill>
          </w14:textFill>
        </w:rPr>
        <w:t>。</w:t>
      </w:r>
    </w:p>
    <w:p w14:paraId="2962E7C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监测频次：1次/半年（上、下半年各一次，两次监测隔时间不少于3个月）。</w:t>
      </w:r>
    </w:p>
    <w:p w14:paraId="526265E7">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2" w:name="_Toc187653481"/>
      <w:r>
        <w:rPr>
          <w:rFonts w:ascii="Times New Roman" w:hAnsi="Times New Roman" w:eastAsia="黑体" w:cs="Times New Roman"/>
          <w:b/>
          <w:bCs/>
          <w:color w:val="000000" w:themeColor="text1"/>
          <w:kern w:val="2"/>
          <w:sz w:val="28"/>
          <w:szCs w:val="32"/>
          <w14:textFill>
            <w14:solidFill>
              <w14:schemeClr w14:val="tx1"/>
            </w14:solidFill>
          </w14:textFill>
        </w:rPr>
        <w:t>辐射环境监测</w:t>
      </w:r>
      <w:bookmarkEnd w:id="152"/>
    </w:p>
    <w:p w14:paraId="23EC39F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根据《伴生放射性矿产资源开发利用企业环境辐射监测及信息公开管理办法（试行）》相关要求和本项目辐射管理要求，本项目的辐射环境监测计划具体内容如下。</w:t>
      </w:r>
    </w:p>
    <w:p w14:paraId="38798E67">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53" w:name="_Toc78822689"/>
      <w:r>
        <w:rPr>
          <w:rFonts w:ascii="Times New Roman" w:hAnsi="Times New Roman" w:eastAsia="黑体" w:cs="Times New Roman"/>
          <w:b/>
          <w:bCs/>
          <w:caps w:val="0"/>
          <w:color w:val="000000" w:themeColor="text1"/>
          <w:kern w:val="2"/>
          <w:sz w:val="24"/>
          <w:szCs w:val="32"/>
          <w14:textFill>
            <w14:solidFill>
              <w14:schemeClr w14:val="tx1"/>
            </w14:solidFill>
          </w14:textFill>
        </w:rPr>
        <w:t>监测计划</w:t>
      </w:r>
      <w:bookmarkEnd w:id="153"/>
    </w:p>
    <w:p w14:paraId="2A58EA0C">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空气中氡</w:t>
      </w:r>
    </w:p>
    <w:p w14:paraId="3017A60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164921F4">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创大进口汽车仓储物流园南面厂界</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下风向120m处</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创大进口汽车仓储物流园东面厂界</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东面35m处</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、钦州港冷链保税交易中心（东北面75m处）、</w:t>
      </w:r>
      <w:r>
        <w:rPr>
          <w:rFonts w:ascii="Times New Roman" w:hAnsi="Times New Roman" w:cs="Times New Roman"/>
          <w:color w:val="000000" w:themeColor="text1"/>
          <w:sz w:val="24"/>
          <w:szCs w:val="24"/>
          <w:u w:val="single"/>
          <w14:textFill>
            <w14:solidFill>
              <w14:schemeClr w14:val="tx1"/>
            </w14:solidFill>
          </w14:textFill>
        </w:rPr>
        <w:t>钦州市区（对照点）各1个，共</w:t>
      </w:r>
      <w:r>
        <w:rPr>
          <w:rFonts w:hint="eastAsia" w:ascii="Times New Roman" w:hAnsi="Times New Roman" w:cs="Times New Roman"/>
          <w:color w:val="000000" w:themeColor="text1"/>
          <w:sz w:val="24"/>
          <w:szCs w:val="24"/>
          <w:u w:val="single"/>
          <w14:textFill>
            <w14:solidFill>
              <w14:schemeClr w14:val="tx1"/>
            </w14:solidFill>
          </w14:textFill>
        </w:rPr>
        <w:t>4</w:t>
      </w:r>
      <w:r>
        <w:rPr>
          <w:rFonts w:ascii="Times New Roman" w:hAnsi="Times New Roman" w:cs="Times New Roman"/>
          <w:color w:val="000000" w:themeColor="text1"/>
          <w:sz w:val="24"/>
          <w:szCs w:val="24"/>
          <w:u w:val="single"/>
          <w14:textFill>
            <w14:solidFill>
              <w14:schemeClr w14:val="tx1"/>
            </w14:solidFill>
          </w14:textFill>
        </w:rPr>
        <w:t>个。</w:t>
      </w:r>
    </w:p>
    <w:p w14:paraId="0EA8451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86F46B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监测项目：</w:t>
      </w:r>
      <w:r>
        <w:rPr>
          <w:rFonts w:hint="eastAsia" w:ascii="Times New Roman" w:hAnsi="Times New Roman" w:cs="Times New Roman"/>
          <w:color w:val="000000" w:themeColor="text1"/>
          <w:sz w:val="24"/>
          <w:szCs w:val="24"/>
          <w:vertAlign w:val="superscript"/>
          <w14:textFill>
            <w14:solidFill>
              <w14:schemeClr w14:val="tx1"/>
            </w14:solidFill>
          </w14:textFill>
        </w:rPr>
        <w:t>222</w:t>
      </w:r>
      <w:r>
        <w:rPr>
          <w:rFonts w:hint="eastAsia" w:ascii="Times New Roman" w:hAnsi="Times New Roman" w:cs="Times New Roman"/>
          <w:color w:val="000000" w:themeColor="text1"/>
          <w:sz w:val="24"/>
          <w:szCs w:val="24"/>
          <w14:textFill>
            <w14:solidFill>
              <w14:schemeClr w14:val="tx1"/>
            </w14:solidFill>
          </w14:textFill>
        </w:rPr>
        <w:t>Rn。</w:t>
      </w:r>
    </w:p>
    <w:p w14:paraId="7F35158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1次/半年（上、下半年各一次，两次监测间隔时间不少于3个月，下同）。</w:t>
      </w:r>
    </w:p>
    <w:p w14:paraId="0FF8BFA3">
      <w:pPr>
        <w:spacing w:after="0" w:line="360" w:lineRule="auto"/>
        <w:ind w:firstLine="480" w:firstLineChars="200"/>
        <w:rPr>
          <w:rFonts w:ascii="Times New Roman" w:hAnsi="Times New Roman" w:cs="Times New Roman"/>
          <w:color w:val="000000" w:themeColor="text1"/>
          <w:sz w:val="24"/>
          <w:szCs w:val="24"/>
          <w:u w:val="single"/>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54DC8BEF">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陆地γ</w:t>
      </w:r>
    </w:p>
    <w:p w14:paraId="2BF120C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5C821FD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环境空气：</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布设4个采样点，分别为厂界</w:t>
      </w:r>
      <w:r>
        <w:rPr>
          <w:rFonts w:ascii="Times New Roman" w:hAnsi="Times New Roman" w:cs="Times New Roman"/>
          <w:color w:val="000000" w:themeColor="text1"/>
          <w:sz w:val="24"/>
          <w:szCs w:val="24"/>
          <w14:textFill>
            <w14:solidFill>
              <w14:schemeClr w14:val="tx1"/>
            </w14:solidFill>
          </w14:textFill>
        </w:rPr>
        <w:t>东、西、北侧围墙外1m处，</w:t>
      </w:r>
      <w:r>
        <w:rPr>
          <w:rFonts w:hint="eastAsia" w:ascii="Times New Roman" w:hAnsi="Times New Roman" w:cs="Times New Roman"/>
          <w:color w:val="000000" w:themeColor="text1"/>
          <w:sz w:val="24"/>
          <w:szCs w:val="24"/>
          <w14:textFill>
            <w14:solidFill>
              <w14:schemeClr w14:val="tx1"/>
            </w14:solidFill>
          </w14:textFill>
        </w:rPr>
        <w:t>厂界南侧采样点布设在车间内（车间南面仍在创大3号仓库内）；创大进口汽车仓储物流园南面厂界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钦州港冷链保税交易中心（东北面75m处）</w:t>
      </w:r>
      <w:r>
        <w:rPr>
          <w:rFonts w:ascii="Times New Roman" w:hAnsi="Times New Roman" w:cs="Times New Roman"/>
          <w:color w:val="000000" w:themeColor="text1"/>
          <w:sz w:val="24"/>
          <w:szCs w:val="24"/>
          <w:u w:val="single"/>
          <w14:textFill>
            <w14:solidFill>
              <w14:schemeClr w14:val="tx1"/>
            </w14:solidFill>
          </w14:textFill>
        </w:rPr>
        <w:t>及钦州市区（对照点）</w:t>
      </w:r>
      <w:r>
        <w:rPr>
          <w:rFonts w:hint="eastAsia" w:ascii="Times New Roman" w:hAnsi="Times New Roman" w:cs="Times New Roman"/>
          <w:color w:val="000000" w:themeColor="text1"/>
          <w:sz w:val="24"/>
          <w:szCs w:val="24"/>
          <w:u w:val="single"/>
          <w14:textFill>
            <w14:solidFill>
              <w14:schemeClr w14:val="tx1"/>
            </w14:solidFill>
          </w14:textFill>
        </w:rPr>
        <w:t>分别各布设1个采样点</w:t>
      </w:r>
      <w:r>
        <w:rPr>
          <w:rFonts w:ascii="Times New Roman" w:hAnsi="Times New Roman" w:cs="Times New Roman"/>
          <w:color w:val="000000" w:themeColor="text1"/>
          <w:sz w:val="24"/>
          <w:szCs w:val="24"/>
          <w:u w:val="single"/>
          <w14:textFill>
            <w14:solidFill>
              <w14:schemeClr w14:val="tx1"/>
            </w14:solidFill>
          </w14:textFill>
        </w:rPr>
        <w:t>，</w:t>
      </w:r>
      <w:r>
        <w:rPr>
          <w:rFonts w:hint="eastAsia" w:ascii="Times New Roman" w:hAnsi="Times New Roman" w:cs="Times New Roman"/>
          <w:color w:val="000000" w:themeColor="text1"/>
          <w:sz w:val="24"/>
          <w:szCs w:val="24"/>
          <w:u w:val="single"/>
          <w14:textFill>
            <w14:solidFill>
              <w14:schemeClr w14:val="tx1"/>
            </w14:solidFill>
          </w14:textFill>
        </w:rPr>
        <w:t>共布设7</w:t>
      </w:r>
      <w:r>
        <w:rPr>
          <w:rFonts w:ascii="Times New Roman" w:hAnsi="Times New Roman" w:cs="Times New Roman"/>
          <w:color w:val="000000" w:themeColor="text1"/>
          <w:sz w:val="24"/>
          <w:szCs w:val="24"/>
          <w:u w:val="single"/>
          <w14:textFill>
            <w14:solidFill>
              <w14:schemeClr w14:val="tx1"/>
            </w14:solidFill>
          </w14:textFill>
        </w:rPr>
        <w:t>个</w:t>
      </w:r>
      <w:r>
        <w:rPr>
          <w:rFonts w:hint="eastAsia" w:ascii="Times New Roman" w:hAnsi="Times New Roman" w:cs="Times New Roman"/>
          <w:color w:val="000000" w:themeColor="text1"/>
          <w:sz w:val="24"/>
          <w:szCs w:val="24"/>
          <w:u w:val="single"/>
          <w14:textFill>
            <w14:solidFill>
              <w14:schemeClr w14:val="tx1"/>
            </w14:solidFill>
          </w14:textFill>
        </w:rPr>
        <w:t>采样</w:t>
      </w:r>
      <w:r>
        <w:rPr>
          <w:rFonts w:ascii="Times New Roman" w:hAnsi="Times New Roman" w:cs="Times New Roman"/>
          <w:color w:val="000000" w:themeColor="text1"/>
          <w:sz w:val="24"/>
          <w:szCs w:val="24"/>
          <w:u w:val="single"/>
          <w14:textFill>
            <w14:solidFill>
              <w14:schemeClr w14:val="tx1"/>
            </w14:solidFill>
          </w14:textFill>
        </w:rPr>
        <w:t>点。</w:t>
      </w:r>
    </w:p>
    <w:p w14:paraId="070B8C5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土壤环境：在创大进口汽车仓储物流园</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布设4个采样点（创大进口汽车仓储物流园内地面均已硬化），分别为创大进口汽车仓储物流园厂界</w:t>
      </w:r>
      <w:r>
        <w:rPr>
          <w:rFonts w:ascii="Times New Roman" w:hAnsi="Times New Roman" w:cs="Times New Roman"/>
          <w:color w:val="000000" w:themeColor="text1"/>
          <w:sz w:val="24"/>
          <w:szCs w:val="24"/>
          <w14:textFill>
            <w14:solidFill>
              <w14:schemeClr w14:val="tx1"/>
            </w14:solidFill>
          </w14:textFill>
        </w:rPr>
        <w:t>东、</w:t>
      </w:r>
      <w:r>
        <w:rPr>
          <w:rFonts w:hint="eastAsia" w:ascii="Times New Roman" w:hAnsi="Times New Roman" w:cs="Times New Roman"/>
          <w:color w:val="000000" w:themeColor="text1"/>
          <w:sz w:val="24"/>
          <w:szCs w:val="24"/>
          <w14:textFill>
            <w14:solidFill>
              <w14:schemeClr w14:val="tx1"/>
            </w14:solidFill>
          </w14:textFill>
        </w:rPr>
        <w:t>南、</w:t>
      </w:r>
      <w:r>
        <w:rPr>
          <w:rFonts w:ascii="Times New Roman" w:hAnsi="Times New Roman" w:cs="Times New Roman"/>
          <w:color w:val="000000" w:themeColor="text1"/>
          <w:sz w:val="24"/>
          <w:szCs w:val="24"/>
          <w14:textFill>
            <w14:solidFill>
              <w14:schemeClr w14:val="tx1"/>
            </w14:solidFill>
          </w14:textFill>
        </w:rPr>
        <w:t>西、北</w:t>
      </w:r>
      <w:r>
        <w:rPr>
          <w:rFonts w:hint="eastAsia" w:ascii="Times New Roman" w:hAnsi="Times New Roman" w:cs="Times New Roman"/>
          <w:color w:val="000000" w:themeColor="text1"/>
          <w:sz w:val="24"/>
          <w:szCs w:val="24"/>
          <w14:textFill>
            <w14:solidFill>
              <w14:schemeClr w14:val="tx1"/>
            </w14:solidFill>
          </w14:textFill>
        </w:rPr>
        <w:t>侧</w:t>
      </w:r>
      <w:r>
        <w:rPr>
          <w:rFonts w:ascii="Times New Roman" w:hAnsi="Times New Roman" w:cs="Times New Roman"/>
          <w:color w:val="000000" w:themeColor="text1"/>
          <w:sz w:val="24"/>
          <w:szCs w:val="24"/>
          <w14:textFill>
            <w14:solidFill>
              <w14:schemeClr w14:val="tx1"/>
            </w14:solidFill>
          </w14:textFill>
        </w:rPr>
        <w:t>外1m处</w:t>
      </w:r>
      <w:r>
        <w:rPr>
          <w:rFonts w:hint="eastAsia" w:ascii="Times New Roman" w:hAnsi="Times New Roman" w:cs="Times New Roman"/>
          <w:color w:val="000000" w:themeColor="text1"/>
          <w:sz w:val="24"/>
          <w:szCs w:val="24"/>
          <w14:textFill>
            <w14:solidFill>
              <w14:schemeClr w14:val="tx1"/>
            </w14:solidFill>
          </w14:textFill>
        </w:rPr>
        <w:t>；创大进口汽车仓储物流园南面厂界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）及钦州市区（对照点）</w:t>
      </w:r>
      <w:r>
        <w:rPr>
          <w:rFonts w:hint="eastAsia" w:ascii="Times New Roman" w:hAnsi="Times New Roman" w:cs="Times New Roman"/>
          <w:color w:val="000000" w:themeColor="text1"/>
          <w:sz w:val="24"/>
          <w:szCs w:val="24"/>
          <w14:textFill>
            <w14:solidFill>
              <w14:schemeClr w14:val="tx1"/>
            </w14:solidFill>
          </w14:textFill>
        </w:rPr>
        <w:t>分别各布设1个采样点</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共布设6</w:t>
      </w:r>
      <w:r>
        <w:rPr>
          <w:rFonts w:ascii="Times New Roman" w:hAnsi="Times New Roman" w:cs="Times New Roman"/>
          <w:color w:val="000000" w:themeColor="text1"/>
          <w:sz w:val="24"/>
          <w:szCs w:val="24"/>
          <w14:textFill>
            <w14:solidFill>
              <w14:schemeClr w14:val="tx1"/>
            </w14:solidFill>
          </w14:textFill>
        </w:rPr>
        <w:t>个</w:t>
      </w:r>
      <w:r>
        <w:rPr>
          <w:rFonts w:hint="eastAsia" w:ascii="Times New Roman" w:hAnsi="Times New Roman" w:cs="Times New Roman"/>
          <w:color w:val="000000" w:themeColor="text1"/>
          <w:sz w:val="24"/>
          <w:szCs w:val="24"/>
          <w14:textFill>
            <w14:solidFill>
              <w14:schemeClr w14:val="tx1"/>
            </w14:solidFill>
          </w14:textFill>
        </w:rPr>
        <w:t>采样</w:t>
      </w:r>
      <w:r>
        <w:rPr>
          <w:rFonts w:ascii="Times New Roman" w:hAnsi="Times New Roman" w:cs="Times New Roman"/>
          <w:color w:val="000000" w:themeColor="text1"/>
          <w:sz w:val="24"/>
          <w:szCs w:val="24"/>
          <w14:textFill>
            <w14:solidFill>
              <w14:schemeClr w14:val="tx1"/>
            </w14:solidFill>
          </w14:textFill>
        </w:rPr>
        <w:t>点。</w:t>
      </w:r>
    </w:p>
    <w:p w14:paraId="611493C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D769B9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监测项目：γ辐射空气吸收剂量率。</w:t>
      </w:r>
    </w:p>
    <w:p w14:paraId="2E31DF3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1次/半年（上、下半年各一次，两次监测时间隔时间不少于3个月）。</w:t>
      </w:r>
    </w:p>
    <w:p w14:paraId="7A3B458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4EE6E78B">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地下水</w:t>
      </w:r>
    </w:p>
    <w:p w14:paraId="0B4D8C7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3911E02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共布设</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个监测点，即厂区观测井</w:t>
      </w:r>
      <w:r>
        <w:rPr>
          <w:rFonts w:hint="eastAsia" w:ascii="Times New Roman" w:hAnsi="Times New Roman" w:cs="Times New Roman"/>
          <w:color w:val="000000" w:themeColor="text1"/>
          <w:sz w:val="24"/>
          <w:szCs w:val="24"/>
          <w14:textFill>
            <w14:solidFill>
              <w14:schemeClr w14:val="tx1"/>
            </w14:solidFill>
          </w14:textFill>
        </w:rPr>
        <w:t>（位于车间西南面约250m）</w:t>
      </w:r>
      <w:r>
        <w:rPr>
          <w:rFonts w:ascii="Times New Roman" w:hAnsi="Times New Roman" w:cs="Times New Roman"/>
          <w:color w:val="000000" w:themeColor="text1"/>
          <w:sz w:val="24"/>
          <w:szCs w:val="24"/>
          <w14:textFill>
            <w14:solidFill>
              <w14:schemeClr w14:val="tx1"/>
            </w14:solidFill>
          </w14:textFill>
        </w:rPr>
        <w:t>。</w:t>
      </w:r>
    </w:p>
    <w:p w14:paraId="7DD14A3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1188767">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w:t>
      </w:r>
    </w:p>
    <w:p w14:paraId="1FBFF7C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1次/年。每次连续采集两天。</w:t>
      </w:r>
    </w:p>
    <w:p w14:paraId="050F647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3A8D1DB7">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ascii="Times New Roman" w:hAnsi="Times New Roman" w:eastAsia="黑体" w:cs="Times New Roman"/>
          <w:bCs/>
          <w:i w:val="0"/>
          <w:iCs w:val="0"/>
          <w:color w:val="000000" w:themeColor="text1"/>
          <w:kern w:val="2"/>
          <w:sz w:val="24"/>
          <w14:textFill>
            <w14:solidFill>
              <w14:schemeClr w14:val="tx1"/>
            </w14:solidFill>
          </w14:textFill>
        </w:rPr>
        <w:t>土壤</w:t>
      </w:r>
    </w:p>
    <w:p w14:paraId="52B9C714">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（1）监测点位</w:t>
      </w:r>
    </w:p>
    <w:p w14:paraId="3C171CB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土壤采样点</w:t>
      </w:r>
      <w:r>
        <w:rPr>
          <w:rFonts w:hint="eastAsia" w:ascii="Times New Roman" w:hAnsi="Times New Roman" w:cs="Times New Roman"/>
          <w:color w:val="000000" w:themeColor="text1"/>
          <w:sz w:val="24"/>
          <w:szCs w:val="24"/>
          <w14:textFill>
            <w14:solidFill>
              <w14:schemeClr w14:val="tx1"/>
            </w14:solidFill>
          </w14:textFill>
        </w:rPr>
        <w:t>在创大进口汽车仓储物流园</w:t>
      </w:r>
      <w:r>
        <w:rPr>
          <w:rFonts w:ascii="Times New Roman" w:hAnsi="Times New Roman" w:cs="Times New Roman"/>
          <w:color w:val="000000" w:themeColor="text1"/>
          <w:sz w:val="24"/>
          <w:szCs w:val="24"/>
          <w14:textFill>
            <w14:solidFill>
              <w14:schemeClr w14:val="tx1"/>
            </w14:solidFill>
          </w14:textFill>
        </w:rPr>
        <w:t>厂界四周</w:t>
      </w:r>
      <w:r>
        <w:rPr>
          <w:rFonts w:hint="eastAsia" w:ascii="Times New Roman" w:hAnsi="Times New Roman" w:cs="Times New Roman"/>
          <w:color w:val="000000" w:themeColor="text1"/>
          <w:sz w:val="24"/>
          <w:szCs w:val="24"/>
          <w14:textFill>
            <w14:solidFill>
              <w14:schemeClr w14:val="tx1"/>
            </w14:solidFill>
          </w14:textFill>
        </w:rPr>
        <w:t>布设4个，分别为创大进口汽车仓储物流园厂界</w:t>
      </w:r>
      <w:r>
        <w:rPr>
          <w:rFonts w:ascii="Times New Roman" w:hAnsi="Times New Roman" w:cs="Times New Roman"/>
          <w:color w:val="000000" w:themeColor="text1"/>
          <w:sz w:val="24"/>
          <w:szCs w:val="24"/>
          <w14:textFill>
            <w14:solidFill>
              <w14:schemeClr w14:val="tx1"/>
            </w14:solidFill>
          </w14:textFill>
        </w:rPr>
        <w:t>东、</w:t>
      </w:r>
      <w:r>
        <w:rPr>
          <w:rFonts w:hint="eastAsia" w:ascii="Times New Roman" w:hAnsi="Times New Roman" w:cs="Times New Roman"/>
          <w:color w:val="000000" w:themeColor="text1"/>
          <w:sz w:val="24"/>
          <w:szCs w:val="24"/>
          <w14:textFill>
            <w14:solidFill>
              <w14:schemeClr w14:val="tx1"/>
            </w14:solidFill>
          </w14:textFill>
        </w:rPr>
        <w:t>南、</w:t>
      </w:r>
      <w:r>
        <w:rPr>
          <w:rFonts w:ascii="Times New Roman" w:hAnsi="Times New Roman" w:cs="Times New Roman"/>
          <w:color w:val="000000" w:themeColor="text1"/>
          <w:sz w:val="24"/>
          <w:szCs w:val="24"/>
          <w14:textFill>
            <w14:solidFill>
              <w14:schemeClr w14:val="tx1"/>
            </w14:solidFill>
          </w14:textFill>
        </w:rPr>
        <w:t>西、北</w:t>
      </w:r>
      <w:r>
        <w:rPr>
          <w:rFonts w:hint="eastAsia" w:ascii="Times New Roman" w:hAnsi="Times New Roman" w:cs="Times New Roman"/>
          <w:color w:val="000000" w:themeColor="text1"/>
          <w:sz w:val="24"/>
          <w:szCs w:val="24"/>
          <w14:textFill>
            <w14:solidFill>
              <w14:schemeClr w14:val="tx1"/>
            </w14:solidFill>
          </w14:textFill>
        </w:rPr>
        <w:t>侧</w:t>
      </w:r>
      <w:r>
        <w:rPr>
          <w:rFonts w:ascii="Times New Roman" w:hAnsi="Times New Roman" w:cs="Times New Roman"/>
          <w:color w:val="000000" w:themeColor="text1"/>
          <w:sz w:val="24"/>
          <w:szCs w:val="24"/>
          <w14:textFill>
            <w14:solidFill>
              <w14:schemeClr w14:val="tx1"/>
            </w14:solidFill>
          </w14:textFill>
        </w:rPr>
        <w:t>外1m处</w:t>
      </w:r>
      <w:r>
        <w:rPr>
          <w:rFonts w:hint="eastAsia" w:ascii="Times New Roman" w:hAnsi="Times New Roman" w:cs="Times New Roman"/>
          <w:color w:val="000000" w:themeColor="text1"/>
          <w:sz w:val="24"/>
          <w:szCs w:val="24"/>
          <w14:textFill>
            <w14:solidFill>
              <w14:schemeClr w14:val="tx1"/>
            </w14:solidFill>
          </w14:textFill>
        </w:rPr>
        <w:t>；其中创大进口汽车仓储物流园南面厂界</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下风向120m处</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为项目车间粉尘有组织排放最大落地浓度出现距离附近。</w:t>
      </w:r>
    </w:p>
    <w:p w14:paraId="5DB45E4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（2）监测项目及频次</w:t>
      </w:r>
    </w:p>
    <w:p w14:paraId="6B91E1E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监测项目：U</w:t>
      </w:r>
      <w:r>
        <w:rPr>
          <w:rFonts w:hint="eastAsia" w:ascii="Times New Roman" w:hAnsi="Times New Roman" w:cs="Times New Roman"/>
          <w:color w:val="000000" w:themeColor="text1"/>
          <w:sz w:val="24"/>
          <w:szCs w:val="24"/>
          <w:vertAlign w:val="subscript"/>
          <w14:textFill>
            <w14:solidFill>
              <w14:schemeClr w14:val="tx1"/>
            </w14:solidFill>
          </w14:textFill>
        </w:rPr>
        <w:t>天然</w:t>
      </w:r>
      <w:r>
        <w:rPr>
          <w:rFonts w:ascii="Times New Roman" w:hAnsi="Times New Roman" w:cs="Times New Roman"/>
          <w:color w:val="000000" w:themeColor="text1"/>
          <w:sz w:val="24"/>
          <w:szCs w:val="24"/>
          <w14:textFill>
            <w14:solidFill>
              <w14:schemeClr w14:val="tx1"/>
            </w14:solidFill>
          </w14:textFill>
        </w:rPr>
        <w:t>、Th、</w:t>
      </w:r>
      <w:r>
        <w:rPr>
          <w:rFonts w:ascii="Times New Roman" w:hAnsi="Times New Roman" w:cs="Times New Roman"/>
          <w:color w:val="000000" w:themeColor="text1"/>
          <w:sz w:val="24"/>
          <w:szCs w:val="24"/>
          <w:vertAlign w:val="superscript"/>
          <w14:textFill>
            <w14:solidFill>
              <w14:schemeClr w14:val="tx1"/>
            </w14:solidFill>
          </w14:textFill>
        </w:rPr>
        <w:t>226</w:t>
      </w:r>
      <w:r>
        <w:rPr>
          <w:rFonts w:ascii="Times New Roman" w:hAnsi="Times New Roman" w:cs="Times New Roman"/>
          <w:color w:val="000000" w:themeColor="text1"/>
          <w:sz w:val="24"/>
          <w:szCs w:val="24"/>
          <w14:textFill>
            <w14:solidFill>
              <w14:schemeClr w14:val="tx1"/>
            </w14:solidFill>
          </w14:textFill>
        </w:rPr>
        <w:t>Ra。</w:t>
      </w:r>
    </w:p>
    <w:p w14:paraId="624DD56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运营期</w:t>
      </w:r>
      <w:r>
        <w:rPr>
          <w:rFonts w:ascii="Times New Roman" w:hAnsi="Times New Roman" w:cs="Times New Roman"/>
          <w:color w:val="000000" w:themeColor="text1"/>
          <w:sz w:val="24"/>
          <w:szCs w:val="24"/>
          <w:u w:val="single"/>
          <w14:textFill>
            <w14:solidFill>
              <w14:schemeClr w14:val="tx1"/>
            </w14:solidFill>
          </w14:textFill>
        </w:rPr>
        <w:t>监测频次：</w:t>
      </w:r>
      <w:r>
        <w:rPr>
          <w:rFonts w:ascii="Times New Roman" w:hAnsi="Times New Roman" w:cs="Times New Roman"/>
          <w:color w:val="000000" w:themeColor="text1"/>
          <w:sz w:val="24"/>
          <w:szCs w:val="24"/>
          <w14:textFill>
            <w14:solidFill>
              <w14:schemeClr w14:val="tx1"/>
            </w14:solidFill>
          </w14:textFill>
        </w:rPr>
        <w:t>1次/年。</w:t>
      </w:r>
    </w:p>
    <w:p w14:paraId="5694040D">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退役期：1次。</w:t>
      </w:r>
    </w:p>
    <w:p w14:paraId="076C5C4A">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54" w:name="_Toc78822690"/>
      <w:r>
        <w:rPr>
          <w:rFonts w:ascii="Times New Roman" w:hAnsi="Times New Roman" w:eastAsia="黑体" w:cs="Times New Roman"/>
          <w:b/>
          <w:bCs/>
          <w:caps w:val="0"/>
          <w:color w:val="000000" w:themeColor="text1"/>
          <w:kern w:val="2"/>
          <w:sz w:val="24"/>
          <w:szCs w:val="32"/>
          <w14:textFill>
            <w14:solidFill>
              <w14:schemeClr w14:val="tx1"/>
            </w14:solidFill>
          </w14:textFill>
        </w:rPr>
        <w:t>监测方法、仪器及其参数</w:t>
      </w:r>
      <w:bookmarkEnd w:id="154"/>
    </w:p>
    <w:p w14:paraId="631D362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监测方法采用《伴生放射性矿产资源开发利用企业环境辐射监测及信息公开管理办法（试行）》推荐的监测方法。监测仪器及参数须满足监测方法的要求。</w:t>
      </w:r>
    </w:p>
    <w:p w14:paraId="72B2997B">
      <w:pPr>
        <w:pStyle w:val="4"/>
        <w:widowControl w:val="0"/>
        <w:numPr>
          <w:ilvl w:val="1"/>
          <w:numId w:val="1"/>
        </w:numPr>
        <w:spacing w:before="0" w:line="360" w:lineRule="auto"/>
        <w:ind w:left="0" w:firstLine="0"/>
        <w:jc w:val="both"/>
        <w:rPr>
          <w:rFonts w:ascii="Times New Roman" w:hAnsi="Times New Roman" w:cs="Times New Roman" w:eastAsiaTheme="minorEastAsia"/>
          <w:b/>
          <w:color w:val="000000" w:themeColor="text1"/>
          <w:sz w:val="28"/>
          <w:szCs w:val="28"/>
          <w14:textFill>
            <w14:solidFill>
              <w14:schemeClr w14:val="tx1"/>
            </w14:solidFill>
          </w14:textFill>
        </w:rPr>
      </w:pPr>
      <w:bookmarkStart w:id="155" w:name="_Toc78822691"/>
      <w:bookmarkStart w:id="156" w:name="_Toc187653482"/>
      <w:r>
        <w:rPr>
          <w:rFonts w:ascii="Times New Roman" w:hAnsi="Times New Roman" w:eastAsia="黑体" w:cs="Times New Roman"/>
          <w:b/>
          <w:bCs/>
          <w:color w:val="000000" w:themeColor="text1"/>
          <w:kern w:val="2"/>
          <w:sz w:val="28"/>
          <w:szCs w:val="32"/>
          <w14:textFill>
            <w14:solidFill>
              <w14:schemeClr w14:val="tx1"/>
            </w14:solidFill>
          </w14:textFill>
        </w:rPr>
        <w:t>固体废物监测</w:t>
      </w:r>
      <w:bookmarkEnd w:id="155"/>
      <w:bookmarkEnd w:id="156"/>
    </w:p>
    <w:p w14:paraId="48B6E97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bookmarkStart w:id="157" w:name="_Toc78822692"/>
      <w:r>
        <w:rPr>
          <w:rFonts w:ascii="Times New Roman" w:hAnsi="Times New Roman" w:cs="Times New Roman"/>
          <w:color w:val="000000" w:themeColor="text1"/>
          <w:sz w:val="24"/>
          <w:szCs w:val="24"/>
          <w14:textFill>
            <w14:solidFill>
              <w14:schemeClr w14:val="tx1"/>
            </w14:solidFill>
          </w14:textFill>
        </w:rPr>
        <w:t>本项目应对每批次</w:t>
      </w:r>
      <w:r>
        <w:rPr>
          <w:rFonts w:hint="eastAsia" w:ascii="Times New Roman" w:hAnsi="Times New Roman" w:cs="Times New Roman"/>
          <w:color w:val="000000" w:themeColor="text1"/>
          <w:sz w:val="24"/>
          <w:szCs w:val="24"/>
          <w14:textFill>
            <w14:solidFill>
              <w14:schemeClr w14:val="tx1"/>
            </w14:solidFill>
          </w14:textFill>
        </w:rPr>
        <w:t>原</w:t>
      </w:r>
      <w:r>
        <w:rPr>
          <w:rFonts w:ascii="Times New Roman" w:hAnsi="Times New Roman" w:cs="Times New Roman"/>
          <w:color w:val="000000" w:themeColor="text1"/>
          <w:sz w:val="24"/>
          <w:szCs w:val="24"/>
          <w14:textFill>
            <w14:solidFill>
              <w14:schemeClr w14:val="tx1"/>
            </w14:solidFill>
          </w14:textFill>
        </w:rPr>
        <w:t>矿对应的</w:t>
      </w:r>
      <w:r>
        <w:rPr>
          <w:rFonts w:hint="eastAsia" w:ascii="Times New Roman" w:hAnsi="Times New Roman" w:cs="Times New Roman"/>
          <w:color w:val="000000" w:themeColor="text1"/>
          <w:sz w:val="24"/>
          <w:szCs w:val="24"/>
          <w14:textFill>
            <w14:solidFill>
              <w14:schemeClr w14:val="tx1"/>
            </w14:solidFill>
          </w14:textFill>
        </w:rPr>
        <w:t>产品、副产品</w:t>
      </w:r>
      <w:r>
        <w:rPr>
          <w:rFonts w:ascii="Times New Roman" w:hAnsi="Times New Roman" w:cs="Times New Roman"/>
          <w:color w:val="000000" w:themeColor="text1"/>
          <w:sz w:val="24"/>
          <w:szCs w:val="24"/>
          <w14:textFill>
            <w14:solidFill>
              <w14:schemeClr w14:val="tx1"/>
            </w14:solidFill>
          </w14:textFill>
        </w:rPr>
        <w:t>进行分析监测，监测项目为</w:t>
      </w:r>
      <w:r>
        <w:rPr>
          <w:rFonts w:hint="eastAsia" w:ascii="Times New Roman" w:hAnsi="Times New Roman" w:cs="Times New Roman"/>
          <w:color w:val="000000" w:themeColor="text1"/>
          <w:sz w:val="24"/>
          <w:szCs w:val="24"/>
          <w14:textFill>
            <w14:solidFill>
              <w14:schemeClr w14:val="tx1"/>
            </w14:solidFill>
          </w14:textFill>
        </w:rPr>
        <w:t>铀</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钍</w:t>
      </w:r>
      <w:r>
        <w:rPr>
          <w:rFonts w:ascii="Times New Roman" w:hAnsi="Times New Roman"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镭</w:t>
      </w:r>
      <w:r>
        <w:rPr>
          <w:rFonts w:ascii="Times New Roman" w:hAnsi="Times New Roman" w:cs="Times New Roman"/>
          <w:color w:val="000000" w:themeColor="text1"/>
          <w:sz w:val="24"/>
          <w:szCs w:val="24"/>
          <w14:textFill>
            <w14:solidFill>
              <w14:schemeClr w14:val="tx1"/>
            </w14:solidFill>
          </w14:textFill>
        </w:rPr>
        <w:t>，监测方法建议采用《</w:t>
      </w:r>
      <w:r>
        <w:rPr>
          <w:rFonts w:hint="eastAsia" w:ascii="Times New Roman" w:hAnsi="Times New Roman" w:cs="Times New Roman"/>
          <w:color w:val="000000" w:themeColor="text1"/>
          <w:sz w:val="24"/>
          <w:szCs w:val="24"/>
          <w14:textFill>
            <w14:solidFill>
              <w14:schemeClr w14:val="tx1"/>
            </w14:solidFill>
          </w14:textFill>
        </w:rPr>
        <w:t>建筑</w:t>
      </w:r>
      <w:r>
        <w:rPr>
          <w:rFonts w:ascii="Times New Roman" w:hAnsi="Times New Roman" w:cs="Times New Roman"/>
          <w:color w:val="000000" w:themeColor="text1"/>
          <w:sz w:val="24"/>
          <w:szCs w:val="24"/>
          <w14:textFill>
            <w14:solidFill>
              <w14:schemeClr w14:val="tx1"/>
            </w14:solidFill>
          </w14:textFill>
        </w:rPr>
        <w:t>材料放射性核素限量</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推荐的</w:t>
      </w:r>
      <w:r>
        <w:rPr>
          <w:rFonts w:hint="eastAsia" w:ascii="Times New Roman" w:hAnsi="Times New Roman" w:cs="Times New Roman"/>
          <w:color w:val="000000" w:themeColor="text1"/>
          <w:sz w:val="24"/>
          <w:szCs w:val="24"/>
          <w14:textFill>
            <w14:solidFill>
              <w14:schemeClr w14:val="tx1"/>
            </w14:solidFill>
          </w14:textFill>
        </w:rPr>
        <w:t>分析</w:t>
      </w:r>
      <w:r>
        <w:rPr>
          <w:rFonts w:ascii="Times New Roman" w:hAnsi="Times New Roman" w:cs="Times New Roman"/>
          <w:color w:val="000000" w:themeColor="text1"/>
          <w:sz w:val="24"/>
          <w:szCs w:val="24"/>
          <w14:textFill>
            <w14:solidFill>
              <w14:schemeClr w14:val="tx1"/>
            </w14:solidFill>
          </w14:textFill>
        </w:rPr>
        <w:t>方法。监测仪器及参数须满足监测方法的要求。</w:t>
      </w:r>
      <w:bookmarkStart w:id="170" w:name="_GoBack"/>
      <w:bookmarkEnd w:id="170"/>
    </w:p>
    <w:p w14:paraId="2C263AF1">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8" w:name="_Toc187653483"/>
      <w:r>
        <w:rPr>
          <w:rFonts w:ascii="Times New Roman" w:hAnsi="Times New Roman" w:eastAsia="黑体" w:cs="Times New Roman"/>
          <w:b/>
          <w:bCs/>
          <w:color w:val="000000" w:themeColor="text1"/>
          <w:kern w:val="2"/>
          <w:sz w:val="28"/>
          <w:szCs w:val="32"/>
          <w14:textFill>
            <w14:solidFill>
              <w14:schemeClr w14:val="tx1"/>
            </w14:solidFill>
          </w14:textFill>
        </w:rPr>
        <w:t>辐射环境保护竣工验收</w:t>
      </w:r>
      <w:bookmarkEnd w:id="158"/>
    </w:p>
    <w:p w14:paraId="51AFED71">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竣工验收</w:t>
      </w:r>
      <w:r>
        <w:rPr>
          <w:rFonts w:hint="eastAsia" w:ascii="Times New Roman" w:hAnsi="Times New Roman" w:cs="Times New Roman"/>
          <w:color w:val="000000" w:themeColor="text1"/>
          <w:sz w:val="24"/>
          <w:szCs w:val="24"/>
          <w14:textFill>
            <w14:solidFill>
              <w14:schemeClr w14:val="tx1"/>
            </w14:solidFill>
          </w14:textFill>
        </w:rPr>
        <w:t>监测</w:t>
      </w:r>
      <w:r>
        <w:rPr>
          <w:rFonts w:ascii="Times New Roman" w:hAnsi="Times New Roman" w:cs="Times New Roman"/>
          <w:color w:val="000000" w:themeColor="text1"/>
          <w:sz w:val="24"/>
          <w:szCs w:val="24"/>
          <w14:textFill>
            <w14:solidFill>
              <w14:schemeClr w14:val="tx1"/>
            </w14:solidFill>
          </w14:textFill>
        </w:rPr>
        <w:t>内容见下表</w:t>
      </w: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5</w:t>
      </w: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p>
    <w:p w14:paraId="6534E33D">
      <w:pPr>
        <w:widowControl w:val="0"/>
        <w:spacing w:after="0" w:line="360" w:lineRule="auto"/>
        <w:jc w:val="center"/>
        <w:rPr>
          <w:rFonts w:ascii="Times New Roman" w:hAnsi="Times New Roman" w:eastAsia="宋体" w:cs="Times New Roman"/>
          <w:b/>
          <w:bCs/>
          <w:color w:val="000000" w:themeColor="text1"/>
          <w:spacing w:val="-2"/>
          <w:sz w:val="24"/>
          <w:szCs w:val="20"/>
          <w14:textFill>
            <w14:solidFill>
              <w14:schemeClr w14:val="tx1"/>
            </w14:solidFill>
          </w14:textFill>
        </w:rPr>
      </w:pPr>
      <w:r>
        <w:rPr>
          <w:rFonts w:ascii="Times New Roman" w:hAnsi="Times New Roman" w:eastAsia="宋体" w:cs="Times New Roman"/>
          <w:b/>
          <w:bCs/>
          <w:color w:val="000000" w:themeColor="text1"/>
          <w:spacing w:val="-2"/>
          <w:sz w:val="24"/>
          <w:szCs w:val="20"/>
          <w14:textFill>
            <w14:solidFill>
              <w14:schemeClr w14:val="tx1"/>
            </w14:solidFill>
          </w14:textFill>
        </w:rPr>
        <w:t>表5.5-1 辐射环境保护竣工环境保护验收</w:t>
      </w:r>
      <w:r>
        <w:rPr>
          <w:rFonts w:hint="eastAsia" w:ascii="Times New Roman" w:hAnsi="Times New Roman" w:eastAsia="宋体" w:cs="Times New Roman"/>
          <w:b/>
          <w:bCs/>
          <w:color w:val="000000" w:themeColor="text1"/>
          <w:spacing w:val="-2"/>
          <w:sz w:val="24"/>
          <w:szCs w:val="20"/>
          <w14:textFill>
            <w14:solidFill>
              <w14:schemeClr w14:val="tx1"/>
            </w14:solidFill>
          </w14:textFill>
        </w:rPr>
        <w:t>监测</w:t>
      </w:r>
      <w:r>
        <w:rPr>
          <w:rFonts w:ascii="Times New Roman" w:hAnsi="Times New Roman" w:eastAsia="宋体" w:cs="Times New Roman"/>
          <w:b/>
          <w:bCs/>
          <w:color w:val="000000" w:themeColor="text1"/>
          <w:spacing w:val="-2"/>
          <w:sz w:val="24"/>
          <w:szCs w:val="20"/>
          <w14:textFill>
            <w14:solidFill>
              <w14:schemeClr w14:val="tx1"/>
            </w14:solidFill>
          </w14:textFill>
        </w:rPr>
        <w:t>内容</w:t>
      </w:r>
    </w:p>
    <w:tbl>
      <w:tblPr>
        <w:tblStyle w:val="46"/>
        <w:tblW w:w="84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57" w:type="dxa"/>
          <w:left w:w="57" w:type="dxa"/>
          <w:bottom w:w="57" w:type="dxa"/>
          <w:right w:w="57" w:type="dxa"/>
        </w:tblCellMar>
      </w:tblPr>
      <w:tblGrid>
        <w:gridCol w:w="2405"/>
        <w:gridCol w:w="1985"/>
        <w:gridCol w:w="4030"/>
      </w:tblGrid>
      <w:tr w14:paraId="0D329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15" w:hRule="atLeast"/>
          <w:jc w:val="center"/>
        </w:trPr>
        <w:tc>
          <w:tcPr>
            <w:tcW w:w="2405" w:type="dxa"/>
            <w:vAlign w:val="center"/>
          </w:tcPr>
          <w:p w14:paraId="38FE772C">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项目</w:t>
            </w:r>
          </w:p>
        </w:tc>
        <w:tc>
          <w:tcPr>
            <w:tcW w:w="1985" w:type="dxa"/>
            <w:vAlign w:val="center"/>
          </w:tcPr>
          <w:p w14:paraId="152EAEED">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监测介质</w:t>
            </w:r>
          </w:p>
        </w:tc>
        <w:tc>
          <w:tcPr>
            <w:tcW w:w="4030" w:type="dxa"/>
            <w:vAlign w:val="center"/>
          </w:tcPr>
          <w:p w14:paraId="3AF968B4">
            <w:pPr>
              <w:autoSpaceDE w:val="0"/>
              <w:autoSpaceDN w:val="0"/>
              <w:adjustRightInd w:val="0"/>
              <w:snapToGrid w:val="0"/>
              <w:spacing w:after="0" w:line="240"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具体内容</w:t>
            </w:r>
          </w:p>
        </w:tc>
      </w:tr>
      <w:tr w14:paraId="68506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20" w:hRule="atLeast"/>
          <w:jc w:val="center"/>
        </w:trPr>
        <w:tc>
          <w:tcPr>
            <w:tcW w:w="2405" w:type="dxa"/>
            <w:vMerge w:val="restart"/>
            <w:vAlign w:val="center"/>
          </w:tcPr>
          <w:p w14:paraId="695D396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放射性污染防治设施调试运行效果监测</w:t>
            </w:r>
          </w:p>
        </w:tc>
        <w:tc>
          <w:tcPr>
            <w:tcW w:w="1985" w:type="dxa"/>
            <w:vAlign w:val="center"/>
          </w:tcPr>
          <w:p w14:paraId="386FDA4B">
            <w:pPr>
              <w:spacing w:after="0" w:line="240" w:lineRule="auto"/>
              <w:jc w:val="center"/>
              <w:rPr>
                <w:rFonts w:ascii="Times New Roman" w:hAnsi="Times New Roman" w:eastAsia="宋体" w:cs="Times New Roman"/>
                <w:color w:val="000000" w:themeColor="text1"/>
                <w:u w:val="single"/>
                <w14:textFill>
                  <w14:solidFill>
                    <w14:schemeClr w14:val="tx1"/>
                  </w14:solidFill>
                </w14:textFill>
              </w:rPr>
            </w:pPr>
            <w:r>
              <w:rPr>
                <w:rFonts w:hint="eastAsia" w:ascii="Times New Roman" w:hAnsi="Times New Roman" w:eastAsia="宋体" w:cs="Times New Roman"/>
                <w:color w:val="000000" w:themeColor="text1"/>
                <w:u w:val="single"/>
                <w14:textFill>
                  <w14:solidFill>
                    <w14:schemeClr w14:val="tx1"/>
                  </w14:solidFill>
                </w14:textFill>
              </w:rPr>
              <w:t>烘干炉烟气有组织排放废气、2 个车间粉尘有组织排放废气</w:t>
            </w:r>
          </w:p>
        </w:tc>
        <w:tc>
          <w:tcPr>
            <w:tcW w:w="4030" w:type="dxa"/>
            <w:vAlign w:val="center"/>
          </w:tcPr>
          <w:p w14:paraId="361639BA">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监测因子：铀、钍总量</w:t>
            </w:r>
          </w:p>
          <w:p w14:paraId="0DB15D2E">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监测频率：一次</w:t>
            </w:r>
          </w:p>
        </w:tc>
      </w:tr>
      <w:tr w14:paraId="5693E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Merge w:val="continue"/>
            <w:vAlign w:val="center"/>
          </w:tcPr>
          <w:p w14:paraId="6EBB9F76">
            <w:pPr>
              <w:spacing w:after="0" w:line="240" w:lineRule="auto"/>
              <w:jc w:val="center"/>
              <w:rPr>
                <w:rFonts w:ascii="Times New Roman" w:hAnsi="Times New Roman" w:eastAsia="宋体" w:cs="Times New Roman"/>
                <w:color w:val="000000" w:themeColor="text1"/>
                <w14:textFill>
                  <w14:solidFill>
                    <w14:schemeClr w14:val="tx1"/>
                  </w14:solidFill>
                </w14:textFill>
              </w:rPr>
            </w:pPr>
          </w:p>
        </w:tc>
        <w:tc>
          <w:tcPr>
            <w:tcW w:w="1985" w:type="dxa"/>
            <w:vAlign w:val="center"/>
          </w:tcPr>
          <w:p w14:paraId="2EE15D0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厂界气溶胶</w:t>
            </w:r>
          </w:p>
        </w:tc>
        <w:tc>
          <w:tcPr>
            <w:tcW w:w="4030" w:type="dxa"/>
            <w:vAlign w:val="center"/>
          </w:tcPr>
          <w:p w14:paraId="16BA32B4">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监测点位：上风向厂界、下风向厂界</w:t>
            </w:r>
          </w:p>
          <w:p w14:paraId="0037EB7A">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监测因子：总α、总β、铀、钍总量</w:t>
            </w:r>
          </w:p>
          <w:p w14:paraId="7C5150C1">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监测频率：一次</w:t>
            </w:r>
          </w:p>
        </w:tc>
      </w:tr>
      <w:tr w14:paraId="34BDD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Align w:val="center"/>
          </w:tcPr>
          <w:p w14:paraId="0316141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其他伴生放射性物料</w:t>
            </w:r>
          </w:p>
        </w:tc>
        <w:tc>
          <w:tcPr>
            <w:tcW w:w="1985" w:type="dxa"/>
            <w:vAlign w:val="center"/>
          </w:tcPr>
          <w:p w14:paraId="010D4D96">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原料、各类产品、</w:t>
            </w:r>
            <w:r>
              <w:rPr>
                <w:rFonts w:hint="eastAsia" w:ascii="Times New Roman" w:hAnsi="Times New Roman" w:eastAsia="宋体" w:cs="Times New Roman"/>
                <w:color w:val="000000" w:themeColor="text1"/>
                <w14:textFill>
                  <w14:solidFill>
                    <w14:schemeClr w14:val="tx1"/>
                  </w14:solidFill>
                </w14:textFill>
              </w:rPr>
              <w:t>副产品</w:t>
            </w:r>
          </w:p>
        </w:tc>
        <w:tc>
          <w:tcPr>
            <w:tcW w:w="4030" w:type="dxa"/>
            <w:vAlign w:val="center"/>
          </w:tcPr>
          <w:p w14:paraId="766632CE">
            <w:pPr>
              <w:pStyle w:val="2"/>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监测因子：铀-238、钍-232、镭-226</w:t>
            </w:r>
          </w:p>
          <w:p w14:paraId="49B80C54">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监测频率：一次</w:t>
            </w:r>
          </w:p>
        </w:tc>
      </w:tr>
      <w:tr w14:paraId="33776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57" w:type="dxa"/>
            <w:bottom w:w="57" w:type="dxa"/>
            <w:right w:w="57" w:type="dxa"/>
          </w:tblCellMar>
        </w:tblPrEx>
        <w:trPr>
          <w:cantSplit/>
          <w:trHeight w:val="340" w:hRule="atLeast"/>
          <w:jc w:val="center"/>
        </w:trPr>
        <w:tc>
          <w:tcPr>
            <w:tcW w:w="2405" w:type="dxa"/>
            <w:vAlign w:val="center"/>
          </w:tcPr>
          <w:p w14:paraId="71F37E1B">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辐射环境监测</w:t>
            </w:r>
          </w:p>
        </w:tc>
        <w:tc>
          <w:tcPr>
            <w:tcW w:w="6015" w:type="dxa"/>
            <w:gridSpan w:val="2"/>
            <w:vAlign w:val="center"/>
          </w:tcPr>
          <w:p w14:paraId="2539BF95">
            <w:pPr>
              <w:spacing w:after="0" w:line="240" w:lineRule="auto"/>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同5.3章节</w:t>
            </w:r>
          </w:p>
        </w:tc>
      </w:tr>
    </w:tbl>
    <w:p w14:paraId="07DCC700">
      <w:pPr>
        <w:spacing w:after="0" w:line="360" w:lineRule="auto"/>
        <w:ind w:firstLine="420" w:firstLineChars="200"/>
        <w:rPr>
          <w:color w:val="000000" w:themeColor="text1"/>
          <w14:textFill>
            <w14:solidFill>
              <w14:schemeClr w14:val="tx1"/>
            </w14:solidFill>
          </w14:textFill>
        </w:rPr>
      </w:pPr>
    </w:p>
    <w:p w14:paraId="3BCB05AB">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59" w:name="_Toc187653484"/>
      <w:r>
        <w:rPr>
          <w:rFonts w:ascii="Times New Roman" w:hAnsi="Times New Roman" w:eastAsia="黑体" w:cs="Times New Roman"/>
          <w:b/>
          <w:bCs/>
          <w:color w:val="000000" w:themeColor="text1"/>
          <w:kern w:val="2"/>
          <w:sz w:val="28"/>
          <w:szCs w:val="32"/>
          <w14:textFill>
            <w14:solidFill>
              <w14:schemeClr w14:val="tx1"/>
            </w14:solidFill>
          </w14:textFill>
        </w:rPr>
        <w:t>质量保证</w:t>
      </w:r>
      <w:bookmarkEnd w:id="157"/>
      <w:bookmarkEnd w:id="159"/>
    </w:p>
    <w:p w14:paraId="76A5539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企业可依托企业人员、场所、设备开展监测或委托具有相应资质的机构进行监测。并对监测结果及信息公开内容的真实性、准确性</w:t>
      </w:r>
      <w:r>
        <w:rPr>
          <w:rFonts w:hint="eastAsia" w:ascii="Times New Roman" w:hAnsi="Times New Roman" w:cs="Times New Roman"/>
          <w:color w:val="000000" w:themeColor="text1"/>
          <w:sz w:val="24"/>
          <w:szCs w:val="24"/>
          <w14:textFill>
            <w14:solidFill>
              <w14:schemeClr w14:val="tx1"/>
            </w14:solidFill>
          </w14:textFill>
        </w:rPr>
        <w:t>和</w:t>
      </w:r>
      <w:r>
        <w:rPr>
          <w:rFonts w:ascii="Times New Roman" w:hAnsi="Times New Roman" w:cs="Times New Roman"/>
          <w:color w:val="000000" w:themeColor="text1"/>
          <w:sz w:val="24"/>
          <w:szCs w:val="24"/>
          <w14:textFill>
            <w14:solidFill>
              <w14:schemeClr w14:val="tx1"/>
            </w14:solidFill>
          </w14:textFill>
        </w:rPr>
        <w:t>完整性负责。</w:t>
      </w:r>
    </w:p>
    <w:p w14:paraId="3F84222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质量保证是环境监测计划的必不可少的重要组成部分，为了保证监测数据准确可靠，监测过程严格执行《辐射环境监测技术规范》（HJ</w:t>
      </w:r>
      <w:r>
        <w:rPr>
          <w:rFonts w:hint="eastAsia"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61-2021），以保证获得的测量结果和评价结论使当时的和以后的主管部门和使用部门确信是正确的。</w:t>
      </w:r>
    </w:p>
    <w:p w14:paraId="4B1F978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监测人员</w:t>
      </w:r>
    </w:p>
    <w:p w14:paraId="1604C999">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对于从事监测的人员在工作作风、专业知识、技术水平等方面予以规定，通过培训和考核合格后才能上岗。</w:t>
      </w:r>
    </w:p>
    <w:p w14:paraId="50B6A4DC">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w:t>
      </w:r>
      <w:r>
        <w:rPr>
          <w:rFonts w:ascii="Times New Roman" w:hAnsi="Times New Roman" w:cs="Times New Roman"/>
          <w:color w:val="000000" w:themeColor="text1"/>
          <w:sz w:val="24"/>
          <w:szCs w:val="24"/>
          <w14:textFill>
            <w14:solidFill>
              <w14:schemeClr w14:val="tx1"/>
            </w14:solidFill>
          </w14:textFill>
        </w:rPr>
        <w:t>采样的质量控制</w:t>
      </w:r>
    </w:p>
    <w:p w14:paraId="09DF613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样品采集尽量采用标准方法或公认方法，采样布点合理、有代表性，部分样品采集平行样。</w:t>
      </w:r>
    </w:p>
    <w:p w14:paraId="59A0636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采样方法、采样设备调整、样品包装、运输、保存、现场处理、贮存以及采样记录资料，严格执行有关规定。</w:t>
      </w:r>
    </w:p>
    <w:p w14:paraId="79122EA5">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样品的分析测试</w:t>
      </w:r>
    </w:p>
    <w:p w14:paraId="4994740A">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分析测量方法尽量采用国家已颁布的标准方法；没有国家标准的，采用行业通用方法或经实际样品考核成熟的分析方法，并用标准物质进行校验。</w:t>
      </w:r>
    </w:p>
    <w:p w14:paraId="5F348676">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分析测量仪器和设备按规定定期送计量部门进行校验和刻度。对于监测仪器，若发现异常情况，随时进行校验；对有质疑的样品，进行双样分析测定或重新取样测定。</w:t>
      </w:r>
    </w:p>
    <w:p w14:paraId="7D174D1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为提高分析结果的可靠性，定期或不定期与</w:t>
      </w:r>
      <w:r>
        <w:rPr>
          <w:rFonts w:hint="eastAsia" w:ascii="Times New Roman" w:hAnsi="Times New Roman" w:cs="Times New Roman"/>
          <w:color w:val="000000" w:themeColor="text1"/>
          <w:sz w:val="24"/>
          <w:szCs w:val="24"/>
          <w:lang w:eastAsia="zh-CN"/>
          <w14:textFill>
            <w14:solidFill>
              <w14:schemeClr w14:val="tx1"/>
            </w14:solidFill>
          </w14:textFill>
        </w:rPr>
        <w:t>其他权威</w:t>
      </w:r>
      <w:r>
        <w:rPr>
          <w:rFonts w:ascii="Times New Roman" w:hAnsi="Times New Roman" w:cs="Times New Roman"/>
          <w:color w:val="000000" w:themeColor="text1"/>
          <w:sz w:val="24"/>
          <w:szCs w:val="24"/>
          <w14:textFill>
            <w14:solidFill>
              <w14:schemeClr w14:val="tx1"/>
            </w14:solidFill>
          </w14:textFill>
        </w:rPr>
        <w:t>实验室进行样品分析比对；有的样品必要时送出外检，以保证样品分析测量结果的质量和准确性。</w:t>
      </w:r>
    </w:p>
    <w:p w14:paraId="01F608C3">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分析结果均用专用表格填报，分析数据报表均经采样人员、制样人员、分析测量人员签字，最后经审核人签字后留存和上报。</w:t>
      </w:r>
    </w:p>
    <w:p w14:paraId="56BACF5F">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采集的样品要有一部分长期保留，以便随时抽检；监测结果要永久保存。</w:t>
      </w:r>
    </w:p>
    <w:p w14:paraId="57B241A2">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实验室分析质量的内部控制中包括空白试验、校正曲线核查、仪器设备校正、平行样测定、加标样和密码样测定、质量控制图编制。外部控制包括实验室之间的分析比对或交叉核查，参加可以溯源到国家标准的实验室间的比对。</w:t>
      </w:r>
    </w:p>
    <w:p w14:paraId="6C8CD7B0">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w:t>
      </w:r>
      <w:r>
        <w:rPr>
          <w:rFonts w:ascii="Times New Roman" w:hAnsi="Times New Roman" w:cs="Times New Roman"/>
          <w:color w:val="000000" w:themeColor="text1"/>
          <w:sz w:val="24"/>
          <w:szCs w:val="24"/>
          <w14:textFill>
            <w14:solidFill>
              <w14:schemeClr w14:val="tx1"/>
            </w14:solidFill>
          </w14:textFill>
        </w:rPr>
        <w:t>监测报告中要完整和准确地保留全部原始数据，保留样品容量的信息。数据处理应采用标准方法，所有计算步骤、计算机程序都经过复审和验证，并载入记录文件。</w:t>
      </w:r>
    </w:p>
    <w:p w14:paraId="723B7418">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w:t>
      </w:r>
      <w:r>
        <w:rPr>
          <w:rFonts w:ascii="Times New Roman" w:hAnsi="Times New Roman" w:cs="Times New Roman"/>
          <w:color w:val="000000" w:themeColor="text1"/>
          <w:sz w:val="24"/>
          <w:szCs w:val="24"/>
          <w14:textFill>
            <w14:solidFill>
              <w14:schemeClr w14:val="tx1"/>
            </w14:solidFill>
          </w14:textFill>
        </w:rPr>
        <w:t>监测计划和采取的质量保证措施应有书面执行程序，并经审核批准后才能实施。文件的格式、术语应具备后人可读性；文件内容应包括从监测方案到结论各部分的详尽描述；并建立文档备份、呈交、保存制度。</w:t>
      </w:r>
    </w:p>
    <w:p w14:paraId="6DE1B1FB">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（7）</w:t>
      </w:r>
      <w:r>
        <w:rPr>
          <w:rFonts w:ascii="Times New Roman" w:hAnsi="Times New Roman" w:cs="Times New Roman"/>
          <w:color w:val="000000" w:themeColor="text1"/>
          <w:sz w:val="24"/>
          <w:szCs w:val="24"/>
          <w14:textFill>
            <w14:solidFill>
              <w14:schemeClr w14:val="tx1"/>
            </w14:solidFill>
          </w14:textFill>
        </w:rPr>
        <w:t>设立质量保证机构，配备专职或兼职监测人员。质量保证机构的职权包括审查监测计划和质量保证的书面程序；监督实施监测过程的质量保证措施；复查监测数据；建立完整的文件档案等项任务。</w:t>
      </w:r>
    </w:p>
    <w:p w14:paraId="0675CE5E">
      <w:pPr>
        <w:spacing w:after="0"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p>
    <w:p w14:paraId="4F8EDDBA">
      <w:pPr>
        <w:pStyle w:val="3"/>
        <w:rPr>
          <w:rFonts w:ascii="Times New Roman" w:hAnsi="Times New Roman" w:cs="Times New Roman" w:eastAsiaTheme="minorEastAsia"/>
          <w:b/>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bookmarkStart w:id="160" w:name="_Toc78822693"/>
    </w:p>
    <w:p w14:paraId="2A75D85E">
      <w:pPr>
        <w:pStyle w:val="3"/>
        <w:widowControl w:val="0"/>
        <w:numPr>
          <w:ilvl w:val="0"/>
          <w:numId w:val="1"/>
        </w:numPr>
        <w:pBdr>
          <w:left w:val="none" w:color="auto" w:sz="0" w:space="0"/>
        </w:pBdr>
        <w:spacing w:before="0" w:after="0" w:line="360" w:lineRule="auto"/>
        <w:ind w:left="0" w:firstLine="0"/>
        <w:jc w:val="both"/>
        <w:rPr>
          <w:rFonts w:ascii="Times New Roman" w:hAnsi="Times New Roman" w:eastAsia="黑体" w:cs="Times New Roman"/>
          <w:b/>
          <w:bCs/>
          <w:caps w:val="0"/>
          <w:color w:val="000000" w:themeColor="text1"/>
          <w:spacing w:val="0"/>
          <w:kern w:val="44"/>
          <w:sz w:val="30"/>
          <w:szCs w:val="44"/>
          <w14:textFill>
            <w14:solidFill>
              <w14:schemeClr w14:val="tx1"/>
            </w14:solidFill>
          </w14:textFill>
        </w:rPr>
      </w:pPr>
      <w:bookmarkStart w:id="161" w:name="_Toc187653485"/>
      <w:r>
        <w:rPr>
          <w:rFonts w:ascii="Times New Roman" w:hAnsi="Times New Roman" w:eastAsia="黑体" w:cs="Times New Roman"/>
          <w:b/>
          <w:bCs/>
          <w:caps w:val="0"/>
          <w:color w:val="000000" w:themeColor="text1"/>
          <w:spacing w:val="0"/>
          <w:kern w:val="44"/>
          <w:sz w:val="30"/>
          <w:szCs w:val="44"/>
          <w14:textFill>
            <w14:solidFill>
              <w14:schemeClr w14:val="tx1"/>
            </w14:solidFill>
          </w14:textFill>
        </w:rPr>
        <w:t>结论与建议</w:t>
      </w:r>
      <w:bookmarkEnd w:id="160"/>
      <w:bookmarkEnd w:id="161"/>
    </w:p>
    <w:p w14:paraId="05FA6598">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62" w:name="_Toc78822694"/>
      <w:bookmarkStart w:id="163" w:name="_Toc187653486"/>
      <w:r>
        <w:rPr>
          <w:rFonts w:ascii="Times New Roman" w:hAnsi="Times New Roman" w:eastAsia="黑体" w:cs="Times New Roman"/>
          <w:b/>
          <w:bCs/>
          <w:color w:val="000000" w:themeColor="text1"/>
          <w:kern w:val="2"/>
          <w:sz w:val="28"/>
          <w:szCs w:val="32"/>
          <w14:textFill>
            <w14:solidFill>
              <w14:schemeClr w14:val="tx1"/>
            </w14:solidFill>
          </w14:textFill>
        </w:rPr>
        <w:t>结论</w:t>
      </w:r>
      <w:bookmarkEnd w:id="162"/>
      <w:bookmarkEnd w:id="163"/>
    </w:p>
    <w:p w14:paraId="72182AB8">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64" w:name="_Toc78822695"/>
      <w:r>
        <w:rPr>
          <w:rFonts w:ascii="Times New Roman" w:hAnsi="Times New Roman" w:eastAsia="黑体" w:cs="Times New Roman"/>
          <w:b/>
          <w:bCs/>
          <w:caps w:val="0"/>
          <w:color w:val="000000" w:themeColor="text1"/>
          <w:kern w:val="2"/>
          <w:sz w:val="24"/>
          <w:szCs w:val="32"/>
          <w14:textFill>
            <w14:solidFill>
              <w14:schemeClr w14:val="tx1"/>
            </w14:solidFill>
          </w14:textFill>
        </w:rPr>
        <w:t>辐射环境质量现状评价结论</w:t>
      </w:r>
      <w:bookmarkEnd w:id="164"/>
    </w:p>
    <w:p w14:paraId="242BBF05">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（1）项目周边环境中γ辐射剂量率与广西钦州地区γ辐射剂量率处于同一水平。</w:t>
      </w:r>
    </w:p>
    <w:p w14:paraId="3D4BE52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（2）项目西面、南面空气中</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222</w:t>
      </w:r>
      <w:r>
        <w:rPr>
          <w:rFonts w:hint="eastAsia" w:ascii="Times New Roman" w:hAnsi="Times New Roman" w:eastAsia="宋体" w:cs="Times New Roman"/>
          <w:color w:val="000000" w:themeColor="text1"/>
          <w:spacing w:val="-2"/>
          <w:sz w:val="24"/>
          <w:szCs w:val="20"/>
          <w14:textFill>
            <w14:solidFill>
              <w14:schemeClr w14:val="tx1"/>
            </w14:solidFill>
          </w14:textFill>
        </w:rPr>
        <w:t>Rn浓度出现高于《中国环境天然放射性水平》中全国城市空气中氡平均浓度的情况，</w:t>
      </w:r>
      <w:r>
        <w:rPr>
          <w:rFonts w:hint="eastAsia" w:ascii="Times New Roman" w:hAnsi="Times New Roman"/>
          <w:color w:val="000000" w:themeColor="text1"/>
          <w:sz w:val="24"/>
          <w:szCs w:val="24"/>
          <w:u w:val="single"/>
          <w14:textFill>
            <w14:solidFill>
              <w14:schemeClr w14:val="tx1"/>
            </w14:solidFill>
          </w14:textFill>
        </w:rPr>
        <w:t>可能是受填海区域吹填土土质背景值的影响</w:t>
      </w:r>
      <w:r>
        <w:rPr>
          <w:rFonts w:ascii="Times New Roman" w:hAnsi="Times New Roman" w:cs="Times New Roman"/>
          <w:color w:val="000000" w:themeColor="text1"/>
          <w:sz w:val="24"/>
          <w:szCs w:val="24"/>
          <w:u w:val="single"/>
          <w14:textFill>
            <w14:solidFill>
              <w14:schemeClr w14:val="tx1"/>
            </w14:solidFill>
          </w14:textFill>
        </w:rPr>
        <w:t>。</w:t>
      </w:r>
    </w:p>
    <w:p w14:paraId="23A1F350">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（3）气溶胶中核素总</w:t>
      </w:r>
      <w:r>
        <w:rPr>
          <w:rFonts w:ascii="Times New Roman" w:hAnsi="Times New Roman" w:eastAsia="宋体" w:cs="Times New Roman"/>
          <w:color w:val="000000" w:themeColor="text1"/>
          <w:spacing w:val="-2"/>
          <w:sz w:val="24"/>
          <w:szCs w:val="20"/>
          <w14:textFill>
            <w14:solidFill>
              <w14:schemeClr w14:val="tx1"/>
            </w14:solidFill>
          </w14:textFill>
        </w:rPr>
        <w:t>α、总β</w:t>
      </w:r>
      <w:r>
        <w:rPr>
          <w:rFonts w:hint="eastAsia" w:ascii="Times New Roman" w:hAnsi="Times New Roman" w:eastAsia="宋体" w:cs="Times New Roman"/>
          <w:color w:val="000000" w:themeColor="text1"/>
          <w:spacing w:val="-2"/>
          <w:sz w:val="24"/>
          <w:szCs w:val="20"/>
          <w14:textFill>
            <w14:solidFill>
              <w14:schemeClr w14:val="tx1"/>
            </w14:solidFill>
          </w14:textFill>
        </w:rPr>
        <w:t>、</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hint="eastAsia" w:ascii="Times New Roman" w:hAnsi="Times New Roman" w:eastAsia="宋体" w:cs="Times New Roman"/>
          <w:color w:val="000000" w:themeColor="text1"/>
          <w:spacing w:val="-2"/>
          <w:sz w:val="24"/>
          <w:szCs w:val="20"/>
          <w14:textFill>
            <w14:solidFill>
              <w14:schemeClr w14:val="tx1"/>
            </w14:solidFill>
          </w14:textFill>
        </w:rPr>
        <w:t>Po和</w:t>
      </w:r>
      <w:r>
        <w:rPr>
          <w:rFonts w:hint="eastAsia" w:ascii="Times New Roman" w:hAnsi="Times New Roman" w:eastAsia="宋体" w:cs="Times New Roman"/>
          <w:color w:val="000000" w:themeColor="text1"/>
          <w:spacing w:val="-2"/>
          <w:sz w:val="24"/>
          <w:szCs w:val="20"/>
          <w:vertAlign w:val="superscript"/>
          <w14:textFill>
            <w14:solidFill>
              <w14:schemeClr w14:val="tx1"/>
            </w14:solidFill>
          </w14:textFill>
        </w:rPr>
        <w:t>210</w:t>
      </w:r>
      <w:r>
        <w:rPr>
          <w:rFonts w:hint="eastAsia" w:ascii="Times New Roman" w:hAnsi="Times New Roman" w:eastAsia="宋体" w:cs="Times New Roman"/>
          <w:color w:val="000000" w:themeColor="text1"/>
          <w:spacing w:val="-2"/>
          <w:sz w:val="24"/>
          <w:szCs w:val="20"/>
          <w14:textFill>
            <w14:solidFill>
              <w14:schemeClr w14:val="tx1"/>
            </w14:solidFill>
          </w14:textFill>
        </w:rPr>
        <w:t>Pb的含量较低。</w:t>
      </w:r>
    </w:p>
    <w:p w14:paraId="1700131D">
      <w:pPr>
        <w:pStyle w:val="5"/>
        <w:widowControl w:val="0"/>
        <w:numPr>
          <w:ilvl w:val="2"/>
          <w:numId w:val="1"/>
        </w:numPr>
        <w:spacing w:before="0" w:line="360" w:lineRule="auto"/>
        <w:jc w:val="both"/>
        <w:rPr>
          <w:rFonts w:ascii="Times New Roman" w:hAnsi="Times New Roman" w:eastAsia="黑体" w:cs="Times New Roman"/>
          <w:b/>
          <w:bCs/>
          <w:caps w:val="0"/>
          <w:color w:val="000000" w:themeColor="text1"/>
          <w:kern w:val="2"/>
          <w:sz w:val="24"/>
          <w:szCs w:val="32"/>
          <w14:textFill>
            <w14:solidFill>
              <w14:schemeClr w14:val="tx1"/>
            </w14:solidFill>
          </w14:textFill>
        </w:rPr>
      </w:pPr>
      <w:bookmarkStart w:id="165" w:name="_Toc58230736"/>
      <w:bookmarkStart w:id="166" w:name="_Toc78822696"/>
      <w:r>
        <w:rPr>
          <w:rFonts w:ascii="Times New Roman" w:hAnsi="Times New Roman" w:eastAsia="黑体" w:cs="Times New Roman"/>
          <w:b/>
          <w:bCs/>
          <w:caps w:val="0"/>
          <w:color w:val="000000" w:themeColor="text1"/>
          <w:kern w:val="2"/>
          <w:sz w:val="24"/>
          <w:szCs w:val="32"/>
          <w14:textFill>
            <w14:solidFill>
              <w14:schemeClr w14:val="tx1"/>
            </w14:solidFill>
          </w14:textFill>
        </w:rPr>
        <w:t>辐射环境影响</w:t>
      </w:r>
      <w:bookmarkEnd w:id="165"/>
      <w:bookmarkEnd w:id="166"/>
      <w:r>
        <w:rPr>
          <w:rFonts w:hint="eastAsia" w:ascii="Times New Roman" w:hAnsi="Times New Roman" w:eastAsia="黑体" w:cs="Times New Roman"/>
          <w:b/>
          <w:bCs/>
          <w:caps w:val="0"/>
          <w:color w:val="000000" w:themeColor="text1"/>
          <w:kern w:val="2"/>
          <w:sz w:val="24"/>
          <w:szCs w:val="32"/>
          <w14:textFill>
            <w14:solidFill>
              <w14:schemeClr w14:val="tx1"/>
            </w14:solidFill>
          </w14:textFill>
        </w:rPr>
        <w:t>分析结论</w:t>
      </w:r>
    </w:p>
    <w:p w14:paraId="78EA0B3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bookmarkStart w:id="167" w:name="_Hlk42157086"/>
      <w:r>
        <w:rPr>
          <w:rFonts w:hint="eastAsia" w:ascii="Times New Roman" w:hAnsi="Times New Roman" w:eastAsia="黑体" w:cs="Times New Roman"/>
          <w:bCs/>
          <w:i w:val="0"/>
          <w:iCs w:val="0"/>
          <w:color w:val="000000" w:themeColor="text1"/>
          <w:kern w:val="2"/>
          <w:sz w:val="24"/>
          <w14:textFill>
            <w14:solidFill>
              <w14:schemeClr w14:val="tx1"/>
            </w14:solidFill>
          </w14:textFill>
        </w:rPr>
        <w:t>气载流出物辐射环境影响分析</w:t>
      </w:r>
    </w:p>
    <w:p w14:paraId="45BD01FD">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u w:val="single"/>
          <w14:textFill>
            <w14:solidFill>
              <w14:schemeClr w14:val="tx1"/>
            </w14:solidFill>
          </w14:textFill>
        </w:rPr>
        <w:t>项目气载流出物所致各子区空气中氡浓度贡献值总体相对较小，对周边公众影响不大，其中有人子区中氡吸入所致内照射有效剂量稍大的是项目南面的星火物流及创大仓储。</w:t>
      </w: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项目评价范围内无居民区、配套宿舍区，项目产生气载流出物对周边公众产生辐射影响较小。</w:t>
      </w:r>
    </w:p>
    <w:p w14:paraId="7F022BFC">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地表水水环境辐射影响分析结论</w:t>
      </w:r>
    </w:p>
    <w:p w14:paraId="115E6407">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项目采用干式磁选工艺对原料进行分选加工，原料毛矿无需进行清洗，生产过程中无需用水，不产生生产废水；项目周边无地表水体，项目不会对周围地表水环境造成影响。</w:t>
      </w:r>
    </w:p>
    <w:p w14:paraId="6D300F39">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地下水辐射环境影响分析结论</w:t>
      </w:r>
    </w:p>
    <w:p w14:paraId="67C4DDC3">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项目建成后生产区均在厂房内，厂房采用封闭式设计，地面均进行了硬化及防渗处理，物料堆存不设置露天堆场，物料堆存均在车间内无雨水淋溶情况，并且项目生产过程中无需用水，仅有少量的工作人员的生活污水产生。项目涉及放射性物料的整个厂房作为1个防渗分区，按一般防渗区及《伴生放射性物料贮存及固体废物填埋辐射环境保护技术规范（试行）》（HJ1114-2020）相关要求建设，对地下水环境影响较小。</w:t>
      </w:r>
    </w:p>
    <w:p w14:paraId="067C7CF3">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固体废物辐射环境影响分析结论</w:t>
      </w:r>
    </w:p>
    <w:p w14:paraId="70D23A76">
      <w:pPr>
        <w:widowControl w:val="0"/>
        <w:spacing w:after="0" w:line="360" w:lineRule="auto"/>
        <w:ind w:firstLine="480"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项目含矿粉尘收集后均掺入副产品锆中矿堆放区，与锆中矿一并出售，根据《伴生放射性物料贮存及固体废物填埋辐射环境保护技术规范（试行）》（HJ1114-2020）中伴生放射性物料贮存的要求进行严格管理。</w:t>
      </w:r>
    </w:p>
    <w:p w14:paraId="4C19A5F2">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涉及辐射工作人员剂量分析结论</w:t>
      </w:r>
    </w:p>
    <w:p w14:paraId="0F00101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u w:val="single"/>
          <w14:textFill>
            <w14:solidFill>
              <w14:schemeClr w14:val="tx1"/>
            </w14:solidFill>
          </w14:textFill>
        </w:rPr>
        <w:t>项目工作人员个人辐射剂量最大值出现在2#分选车间操作工位工作人员，个人有效剂量为3.4012mSv/a，</w:t>
      </w:r>
      <w:r>
        <w:rPr>
          <w:rFonts w:ascii="Times New Roman" w:hAnsi="Times New Roman" w:eastAsia="宋体" w:cs="Times New Roman"/>
          <w:color w:val="000000" w:themeColor="text1"/>
          <w:spacing w:val="-2"/>
          <w:sz w:val="24"/>
          <w:szCs w:val="20"/>
          <w14:textFill>
            <w14:solidFill>
              <w14:schemeClr w14:val="tx1"/>
            </w14:solidFill>
          </w14:textFill>
        </w:rPr>
        <w:t>小于本项目的管理限值5mSv/a，关键核素为</w:t>
      </w:r>
      <w:r>
        <w:rPr>
          <w:rFonts w:hint="eastAsia" w:ascii="Times New Roman" w:hAnsi="Times New Roman" w:eastAsia="宋体" w:cs="Times New Roman"/>
          <w:color w:val="000000" w:themeColor="text1"/>
          <w:spacing w:val="-2"/>
          <w:sz w:val="24"/>
          <w:szCs w:val="20"/>
          <w14:textFill>
            <w14:solidFill>
              <w14:schemeClr w14:val="tx1"/>
            </w14:solidFill>
          </w14:textFill>
        </w:rPr>
        <w:t>钍</w:t>
      </w:r>
      <w:r>
        <w:rPr>
          <w:rFonts w:ascii="Times New Roman" w:hAnsi="Times New Roman" w:eastAsia="宋体" w:cs="Times New Roman"/>
          <w:color w:val="000000" w:themeColor="text1"/>
          <w:spacing w:val="-2"/>
          <w:sz w:val="24"/>
          <w:szCs w:val="20"/>
          <w14:textFill>
            <w14:solidFill>
              <w14:schemeClr w14:val="tx1"/>
            </w14:solidFill>
          </w14:textFill>
        </w:rPr>
        <w:t>，关键照射途径为吸入</w:t>
      </w:r>
      <w:r>
        <w:rPr>
          <w:rFonts w:hint="eastAsia" w:ascii="Times New Roman" w:hAnsi="Times New Roman" w:eastAsia="宋体" w:cs="Times New Roman"/>
          <w:color w:val="000000" w:themeColor="text1"/>
          <w:spacing w:val="-2"/>
          <w:sz w:val="24"/>
          <w:szCs w:val="20"/>
          <w14:textFill>
            <w14:solidFill>
              <w14:schemeClr w14:val="tx1"/>
            </w14:solidFill>
          </w14:textFill>
        </w:rPr>
        <w:t>钍</w:t>
      </w:r>
      <w:r>
        <w:rPr>
          <w:rFonts w:ascii="Times New Roman" w:hAnsi="Times New Roman" w:eastAsia="宋体" w:cs="Times New Roman"/>
          <w:color w:val="000000" w:themeColor="text1"/>
          <w:spacing w:val="-2"/>
          <w:sz w:val="24"/>
          <w:szCs w:val="20"/>
          <w14:textFill>
            <w14:solidFill>
              <w14:schemeClr w14:val="tx1"/>
            </w14:solidFill>
          </w14:textFill>
        </w:rPr>
        <w:t>所致内照射。</w:t>
      </w:r>
    </w:p>
    <w:p w14:paraId="10769176">
      <w:pPr>
        <w:pStyle w:val="6"/>
        <w:widowControl w:val="0"/>
        <w:numPr>
          <w:ilvl w:val="3"/>
          <w:numId w:val="1"/>
        </w:numPr>
        <w:spacing w:before="0" w:line="360" w:lineRule="auto"/>
        <w:ind w:left="0" w:firstLine="0"/>
        <w:jc w:val="both"/>
        <w:rPr>
          <w:rFonts w:ascii="Times New Roman" w:hAnsi="Times New Roman" w:eastAsia="黑体" w:cs="Times New Roman"/>
          <w:bCs/>
          <w:i w:val="0"/>
          <w:iCs w:val="0"/>
          <w:color w:val="000000" w:themeColor="text1"/>
          <w:kern w:val="2"/>
          <w:sz w:val="24"/>
          <w14:textFill>
            <w14:solidFill>
              <w14:schemeClr w14:val="tx1"/>
            </w14:solidFill>
          </w14:textFill>
        </w:rPr>
      </w:pPr>
      <w:r>
        <w:rPr>
          <w:rFonts w:hint="eastAsia" w:ascii="Times New Roman" w:hAnsi="Times New Roman" w:eastAsia="黑体" w:cs="Times New Roman"/>
          <w:bCs/>
          <w:i w:val="0"/>
          <w:iCs w:val="0"/>
          <w:color w:val="000000" w:themeColor="text1"/>
          <w:kern w:val="2"/>
          <w:sz w:val="24"/>
          <w14:textFill>
            <w14:solidFill>
              <w14:schemeClr w14:val="tx1"/>
            </w14:solidFill>
          </w14:textFill>
        </w:rPr>
        <w:t>综合结论</w:t>
      </w:r>
    </w:p>
    <w:p w14:paraId="2FB71171">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4"/>
          <w14:textFill>
            <w14:solidFill>
              <w14:schemeClr w14:val="tx1"/>
            </w14:solidFill>
          </w14:textFill>
        </w:rPr>
        <w:t>广西瑞腾贸易有限公司拟建的锆钛矿石分选加工项目在全面落实本报告提出的各项辐射防护措施的基础上，本项目运营期的辐射影响不会明显增加当地环境的污染负荷，不会对周围敏感点造成明显影响，评价范围内公众成员、涉辐射工作人员的年有效剂量满足相关标准要求，项目在运行中严格落实管理和监测计划，从辐射环境保护角度出发，项目可行。</w:t>
      </w:r>
    </w:p>
    <w:bookmarkEnd w:id="167"/>
    <w:p w14:paraId="1D24F106">
      <w:pPr>
        <w:pStyle w:val="4"/>
        <w:widowControl w:val="0"/>
        <w:numPr>
          <w:ilvl w:val="1"/>
          <w:numId w:val="1"/>
        </w:numPr>
        <w:spacing w:before="0" w:line="360" w:lineRule="auto"/>
        <w:ind w:left="0" w:firstLine="0"/>
        <w:jc w:val="both"/>
        <w:rPr>
          <w:rFonts w:ascii="Times New Roman" w:hAnsi="Times New Roman" w:eastAsia="黑体" w:cs="Times New Roman"/>
          <w:b/>
          <w:bCs/>
          <w:color w:val="000000" w:themeColor="text1"/>
          <w:kern w:val="2"/>
          <w:sz w:val="28"/>
          <w:szCs w:val="32"/>
          <w14:textFill>
            <w14:solidFill>
              <w14:schemeClr w14:val="tx1"/>
            </w14:solidFill>
          </w14:textFill>
        </w:rPr>
      </w:pPr>
      <w:bookmarkStart w:id="168" w:name="_Toc78822700"/>
      <w:bookmarkStart w:id="169" w:name="_Toc187653487"/>
      <w:r>
        <w:rPr>
          <w:rFonts w:ascii="Times New Roman" w:hAnsi="Times New Roman" w:eastAsia="黑体" w:cs="Times New Roman"/>
          <w:b/>
          <w:bCs/>
          <w:color w:val="000000" w:themeColor="text1"/>
          <w:kern w:val="2"/>
          <w:sz w:val="28"/>
          <w:szCs w:val="32"/>
          <w14:textFill>
            <w14:solidFill>
              <w14:schemeClr w14:val="tx1"/>
            </w14:solidFill>
          </w14:textFill>
        </w:rPr>
        <w:t>存在的问题和建议</w:t>
      </w:r>
      <w:bookmarkEnd w:id="168"/>
      <w:bookmarkEnd w:id="169"/>
    </w:p>
    <w:p w14:paraId="2D3F25E8">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（1）</w:t>
      </w:r>
      <w:r>
        <w:rPr>
          <w:rFonts w:ascii="Times New Roman" w:hAnsi="Times New Roman" w:eastAsia="宋体" w:cs="Times New Roman"/>
          <w:color w:val="000000" w:themeColor="text1"/>
          <w:spacing w:val="-2"/>
          <w:sz w:val="24"/>
          <w:szCs w:val="20"/>
          <w14:textFill>
            <w14:solidFill>
              <w14:schemeClr w14:val="tx1"/>
            </w14:solidFill>
          </w14:textFill>
        </w:rPr>
        <w:t>生产过程中，加强对环保设施的维修管理，保证其正常运转，尽量减少污染物排放，避免对环境造成辐射影响。</w:t>
      </w:r>
    </w:p>
    <w:p w14:paraId="6A9E0DFE">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（2）</w:t>
      </w:r>
      <w:r>
        <w:rPr>
          <w:rFonts w:ascii="Times New Roman" w:hAnsi="Times New Roman" w:eastAsia="宋体" w:cs="Times New Roman"/>
          <w:color w:val="000000" w:themeColor="text1"/>
          <w:spacing w:val="-2"/>
          <w:sz w:val="24"/>
          <w:szCs w:val="20"/>
          <w14:textFill>
            <w14:solidFill>
              <w14:schemeClr w14:val="tx1"/>
            </w14:solidFill>
          </w14:textFill>
        </w:rPr>
        <w:t>建议员工在生产车间工作时，严格按照规定要求佩戴劳保用品。</w:t>
      </w:r>
    </w:p>
    <w:p w14:paraId="4C8BCBDF">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（3）</w:t>
      </w:r>
      <w:r>
        <w:rPr>
          <w:rFonts w:ascii="Times New Roman" w:hAnsi="Times New Roman" w:eastAsia="宋体" w:cs="Times New Roman"/>
          <w:color w:val="000000" w:themeColor="text1"/>
          <w:spacing w:val="-2"/>
          <w:sz w:val="24"/>
          <w:szCs w:val="20"/>
          <w14:textFill>
            <w14:solidFill>
              <w14:schemeClr w14:val="tx1"/>
            </w14:solidFill>
          </w14:textFill>
        </w:rPr>
        <w:t>生产过程中，加强环境管理，严格执行流出物和环境监测计划，确保污染物达标排放，尽可能减少对周围环境和敏感点的辐射环境影响。</w:t>
      </w:r>
    </w:p>
    <w:p w14:paraId="2A191AD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r>
        <w:rPr>
          <w:rFonts w:hint="eastAsia" w:ascii="Times New Roman" w:hAnsi="Times New Roman" w:eastAsia="宋体" w:cs="Times New Roman"/>
          <w:color w:val="000000" w:themeColor="text1"/>
          <w:spacing w:val="-2"/>
          <w:sz w:val="24"/>
          <w:szCs w:val="20"/>
          <w14:textFill>
            <w14:solidFill>
              <w14:schemeClr w14:val="tx1"/>
            </w14:solidFill>
          </w14:textFill>
        </w:rPr>
        <w:t>（4）</w:t>
      </w:r>
      <w:r>
        <w:rPr>
          <w:rFonts w:ascii="Times New Roman" w:hAnsi="Times New Roman" w:eastAsia="宋体" w:cs="Times New Roman"/>
          <w:color w:val="000000" w:themeColor="text1"/>
          <w:spacing w:val="-2"/>
          <w:sz w:val="24"/>
          <w:szCs w:val="20"/>
          <w14:textFill>
            <w14:solidFill>
              <w14:schemeClr w14:val="tx1"/>
            </w14:solidFill>
          </w14:textFill>
        </w:rPr>
        <w:t>建设单位应对原料、产品、独居石等物料建立台账，明确其来源、去向，做到账物相符。</w:t>
      </w:r>
    </w:p>
    <w:p w14:paraId="20280C2B">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p w14:paraId="3B678179">
      <w:pPr>
        <w:widowControl w:val="0"/>
        <w:spacing w:after="0" w:line="360" w:lineRule="auto"/>
        <w:ind w:firstLine="472" w:firstLineChars="200"/>
        <w:jc w:val="both"/>
        <w:rPr>
          <w:rFonts w:ascii="Times New Roman" w:hAnsi="Times New Roman" w:eastAsia="宋体" w:cs="Times New Roman"/>
          <w:color w:val="000000" w:themeColor="text1"/>
          <w:spacing w:val="-2"/>
          <w:sz w:val="24"/>
          <w:szCs w:val="20"/>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MS Mincho">
    <w:altName w:val="Yu Gothic UI"/>
    <w:panose1 w:val="02020609040205080304"/>
    <w:charset w:val="80"/>
    <w:family w:val="modern"/>
    <w:pitch w:val="default"/>
    <w:sig w:usb0="00000000" w:usb1="00000000" w:usb2="00000012" w:usb3="00000000" w:csb0="4002009F" w:csb1="DFD70000"/>
  </w:font>
  <w:font w:name="Consolas">
    <w:panose1 w:val="020B0609020204030204"/>
    <w:charset w:val="00"/>
    <w:family w:val="modern"/>
    <w:pitch w:val="default"/>
    <w:sig w:usb0="E00006FF" w:usb1="0000FCFF" w:usb2="00000001" w:usb3="00000000" w:csb0="6000019F" w:csb1="DFD70000"/>
  </w:font>
  <w:font w:name="MingLiU">
    <w:altName w:val="PMingLiU-ExtB"/>
    <w:panose1 w:val="02020509000000000000"/>
    <w:charset w:val="88"/>
    <w:family w:val="modern"/>
    <w:pitch w:val="default"/>
    <w:sig w:usb0="00000000" w:usb1="00000000" w:usb2="00000016" w:usb3="00000000" w:csb0="0010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Batang">
    <w:altName w:val="Malgun Gothic"/>
    <w:panose1 w:val="02030600000101010101"/>
    <w:charset w:val="81"/>
    <w:family w:val="roman"/>
    <w:pitch w:val="default"/>
    <w:sig w:usb0="00000000" w:usb1="00000000" w:usb2="00000030" w:usb3="00000000" w:csb0="4008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14959910"/>
    </w:sdtPr>
    <w:sdtContent>
      <w:p w14:paraId="488070E8">
        <w:pPr>
          <w:pStyle w:val="29"/>
          <w:jc w:val="center"/>
        </w:pPr>
        <w:r>
          <w:fldChar w:fldCharType="begin"/>
        </w:r>
        <w:r>
          <w:instrText xml:space="preserve">PAGE   \* MERGEFORMAT</w:instrText>
        </w:r>
        <w:r>
          <w:fldChar w:fldCharType="separate"/>
        </w:r>
        <w:r>
          <w:rPr>
            <w:lang w:val="zh-CN"/>
          </w:rPr>
          <w:t>2</w:t>
        </w:r>
        <w:r>
          <w:fldChar w:fldCharType="end"/>
        </w:r>
      </w:p>
    </w:sdtContent>
  </w:sdt>
  <w:p w14:paraId="027841D6">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2EA0">
    <w:pPr>
      <w:pStyle w:val="2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30ECB">
    <w:pPr>
      <w:pStyle w:val="2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4135B">
    <w:pPr>
      <w:pStyle w:val="29"/>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126</w:t>
    </w:r>
    <w:r>
      <w:fldChar w:fldCharType="end"/>
    </w:r>
  </w:p>
  <w:p w14:paraId="4BE75343">
    <w:pPr>
      <w:pStyle w:val="2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3A38D">
    <w:pPr>
      <w:pStyle w:val="2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9680538"/>
    </w:sdtPr>
    <w:sdtContent>
      <w:p w14:paraId="0916076C">
        <w:pPr>
          <w:pStyle w:val="29"/>
          <w:jc w:val="center"/>
        </w:pPr>
        <w:r>
          <w:fldChar w:fldCharType="begin"/>
        </w:r>
        <w:r>
          <w:instrText xml:space="preserve">PAGE   \* MERGEFORMAT</w:instrText>
        </w:r>
        <w:r>
          <w:fldChar w:fldCharType="separate"/>
        </w:r>
        <w:r>
          <w:rPr>
            <w:lang w:val="zh-CN"/>
          </w:rPr>
          <w:t>2</w:t>
        </w:r>
        <w:r>
          <w:fldChar w:fldCharType="end"/>
        </w:r>
      </w:p>
    </w:sdtContent>
  </w:sdt>
  <w:p w14:paraId="2D276458">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4281404"/>
    </w:sdtPr>
    <w:sdtContent>
      <w:p w14:paraId="76315A70">
        <w:pPr>
          <w:pStyle w:val="29"/>
          <w:jc w:val="center"/>
        </w:pPr>
        <w:r>
          <w:fldChar w:fldCharType="begin"/>
        </w:r>
        <w:r>
          <w:instrText xml:space="preserve">PAGE   \* MERGEFORMAT</w:instrText>
        </w:r>
        <w:r>
          <w:fldChar w:fldCharType="separate"/>
        </w:r>
        <w:r>
          <w:rPr>
            <w:lang w:val="zh-CN"/>
          </w:rPr>
          <w:t>2</w:t>
        </w:r>
        <w:r>
          <w:fldChar w:fldCharType="end"/>
        </w:r>
      </w:p>
    </w:sdtContent>
  </w:sdt>
  <w:p w14:paraId="5E6766CF">
    <w:pPr>
      <w:pStyle w:val="2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B6684">
    <w:pPr>
      <w:pStyle w:val="30"/>
      <w:ind w:firstLine="36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FEE32">
    <w:pPr>
      <w:pStyle w:val="30"/>
      <w:ind w:firstLine="3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CF6BC">
    <w:pPr>
      <w:pStyle w:val="30"/>
      <w:ind w:firstLine="3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D455E1"/>
    <w:multiLevelType w:val="multilevel"/>
    <w:tmpl w:val="34D455E1"/>
    <w:lvl w:ilvl="0" w:tentative="0">
      <w:start w:val="1"/>
      <w:numFmt w:val="decimal"/>
      <w:lvlText w:val="%1."/>
      <w:lvlJc w:val="left"/>
      <w:pPr>
        <w:ind w:left="440" w:hanging="440"/>
      </w:pPr>
    </w:lvl>
    <w:lvl w:ilvl="1" w:tentative="0">
      <w:start w:val="1"/>
      <w:numFmt w:val="decimal"/>
      <w:isLgl/>
      <w:lvlText w:val="%1.%2"/>
      <w:lvlJc w:val="left"/>
      <w:pPr>
        <w:ind w:left="495" w:hanging="49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I2NDYyZjM3YjdmZTFkYzA1NGE5M2I3MzYxMjdlNzMifQ=="/>
  </w:docVars>
  <w:rsids>
    <w:rsidRoot w:val="00594F84"/>
    <w:rsid w:val="000001B8"/>
    <w:rsid w:val="00001A1A"/>
    <w:rsid w:val="000070C2"/>
    <w:rsid w:val="0001179D"/>
    <w:rsid w:val="00014103"/>
    <w:rsid w:val="00016051"/>
    <w:rsid w:val="00020245"/>
    <w:rsid w:val="00020863"/>
    <w:rsid w:val="00021062"/>
    <w:rsid w:val="00022229"/>
    <w:rsid w:val="00022DA5"/>
    <w:rsid w:val="000242DF"/>
    <w:rsid w:val="00025D9F"/>
    <w:rsid w:val="000266A9"/>
    <w:rsid w:val="00026FE6"/>
    <w:rsid w:val="0002703D"/>
    <w:rsid w:val="00030A09"/>
    <w:rsid w:val="000314EC"/>
    <w:rsid w:val="000343F6"/>
    <w:rsid w:val="00034713"/>
    <w:rsid w:val="00035683"/>
    <w:rsid w:val="00037171"/>
    <w:rsid w:val="00037308"/>
    <w:rsid w:val="00037991"/>
    <w:rsid w:val="0004139D"/>
    <w:rsid w:val="0004224C"/>
    <w:rsid w:val="00042ED1"/>
    <w:rsid w:val="000440E4"/>
    <w:rsid w:val="000462D2"/>
    <w:rsid w:val="0005243B"/>
    <w:rsid w:val="0005284B"/>
    <w:rsid w:val="00052A42"/>
    <w:rsid w:val="00052E64"/>
    <w:rsid w:val="000546BE"/>
    <w:rsid w:val="00055EE4"/>
    <w:rsid w:val="00057329"/>
    <w:rsid w:val="00060AC1"/>
    <w:rsid w:val="00062569"/>
    <w:rsid w:val="00065140"/>
    <w:rsid w:val="00065B5F"/>
    <w:rsid w:val="00066638"/>
    <w:rsid w:val="0006693A"/>
    <w:rsid w:val="00067044"/>
    <w:rsid w:val="000704DB"/>
    <w:rsid w:val="00070BC0"/>
    <w:rsid w:val="00071F88"/>
    <w:rsid w:val="00072C8D"/>
    <w:rsid w:val="00073461"/>
    <w:rsid w:val="00073509"/>
    <w:rsid w:val="000737E5"/>
    <w:rsid w:val="000738E0"/>
    <w:rsid w:val="00074616"/>
    <w:rsid w:val="00075626"/>
    <w:rsid w:val="00081D66"/>
    <w:rsid w:val="00082812"/>
    <w:rsid w:val="00083EB4"/>
    <w:rsid w:val="000843AA"/>
    <w:rsid w:val="0008539D"/>
    <w:rsid w:val="00085712"/>
    <w:rsid w:val="00086A94"/>
    <w:rsid w:val="000901EB"/>
    <w:rsid w:val="000916D5"/>
    <w:rsid w:val="00093CE2"/>
    <w:rsid w:val="00094DDA"/>
    <w:rsid w:val="00097087"/>
    <w:rsid w:val="00097BD4"/>
    <w:rsid w:val="000A00C1"/>
    <w:rsid w:val="000A1D78"/>
    <w:rsid w:val="000A611D"/>
    <w:rsid w:val="000A69AB"/>
    <w:rsid w:val="000B0962"/>
    <w:rsid w:val="000B09BD"/>
    <w:rsid w:val="000B0E8F"/>
    <w:rsid w:val="000B2097"/>
    <w:rsid w:val="000B3389"/>
    <w:rsid w:val="000B38C5"/>
    <w:rsid w:val="000B579D"/>
    <w:rsid w:val="000C02BC"/>
    <w:rsid w:val="000C2A24"/>
    <w:rsid w:val="000C408D"/>
    <w:rsid w:val="000C4127"/>
    <w:rsid w:val="000C4806"/>
    <w:rsid w:val="000C4C92"/>
    <w:rsid w:val="000C4EF3"/>
    <w:rsid w:val="000C5945"/>
    <w:rsid w:val="000D2D64"/>
    <w:rsid w:val="000D40E5"/>
    <w:rsid w:val="000E11F2"/>
    <w:rsid w:val="000E2401"/>
    <w:rsid w:val="000E5F4F"/>
    <w:rsid w:val="000E6EA5"/>
    <w:rsid w:val="000E6FA9"/>
    <w:rsid w:val="000F257B"/>
    <w:rsid w:val="000F3019"/>
    <w:rsid w:val="000F34DC"/>
    <w:rsid w:val="000F34E2"/>
    <w:rsid w:val="000F3D68"/>
    <w:rsid w:val="000F6360"/>
    <w:rsid w:val="000F63BE"/>
    <w:rsid w:val="000F716B"/>
    <w:rsid w:val="000F749D"/>
    <w:rsid w:val="0010030C"/>
    <w:rsid w:val="00101D10"/>
    <w:rsid w:val="00102FBC"/>
    <w:rsid w:val="0010442B"/>
    <w:rsid w:val="00104CBF"/>
    <w:rsid w:val="00104E63"/>
    <w:rsid w:val="00105837"/>
    <w:rsid w:val="00106B56"/>
    <w:rsid w:val="00107292"/>
    <w:rsid w:val="0011189F"/>
    <w:rsid w:val="00114E01"/>
    <w:rsid w:val="00115E11"/>
    <w:rsid w:val="00120A2D"/>
    <w:rsid w:val="00120B11"/>
    <w:rsid w:val="00120F50"/>
    <w:rsid w:val="001213EB"/>
    <w:rsid w:val="001220F4"/>
    <w:rsid w:val="00123172"/>
    <w:rsid w:val="001302A8"/>
    <w:rsid w:val="00130406"/>
    <w:rsid w:val="00131829"/>
    <w:rsid w:val="0013283F"/>
    <w:rsid w:val="0013318E"/>
    <w:rsid w:val="00134557"/>
    <w:rsid w:val="00134DEE"/>
    <w:rsid w:val="00135719"/>
    <w:rsid w:val="00140324"/>
    <w:rsid w:val="001410DA"/>
    <w:rsid w:val="00143B95"/>
    <w:rsid w:val="00145B64"/>
    <w:rsid w:val="0014725A"/>
    <w:rsid w:val="001504F8"/>
    <w:rsid w:val="00152E92"/>
    <w:rsid w:val="001531DD"/>
    <w:rsid w:val="00155307"/>
    <w:rsid w:val="00156A4E"/>
    <w:rsid w:val="00157600"/>
    <w:rsid w:val="00157F78"/>
    <w:rsid w:val="00165BF1"/>
    <w:rsid w:val="00175B06"/>
    <w:rsid w:val="0017629E"/>
    <w:rsid w:val="00176E14"/>
    <w:rsid w:val="00180937"/>
    <w:rsid w:val="00181019"/>
    <w:rsid w:val="001848FB"/>
    <w:rsid w:val="00187274"/>
    <w:rsid w:val="00187E5F"/>
    <w:rsid w:val="001901AD"/>
    <w:rsid w:val="00192DC8"/>
    <w:rsid w:val="001942D0"/>
    <w:rsid w:val="00194552"/>
    <w:rsid w:val="00194973"/>
    <w:rsid w:val="001A0749"/>
    <w:rsid w:val="001A1F02"/>
    <w:rsid w:val="001A2B2D"/>
    <w:rsid w:val="001A2BFA"/>
    <w:rsid w:val="001A306D"/>
    <w:rsid w:val="001A36CF"/>
    <w:rsid w:val="001A3C83"/>
    <w:rsid w:val="001A5D10"/>
    <w:rsid w:val="001A640D"/>
    <w:rsid w:val="001A6C4E"/>
    <w:rsid w:val="001A7577"/>
    <w:rsid w:val="001B2A7E"/>
    <w:rsid w:val="001B77E1"/>
    <w:rsid w:val="001B7FF6"/>
    <w:rsid w:val="001C0ED2"/>
    <w:rsid w:val="001C5111"/>
    <w:rsid w:val="001C6A01"/>
    <w:rsid w:val="001C774D"/>
    <w:rsid w:val="001E073C"/>
    <w:rsid w:val="001E1FB6"/>
    <w:rsid w:val="001E201E"/>
    <w:rsid w:val="001E2F4B"/>
    <w:rsid w:val="001E33BC"/>
    <w:rsid w:val="001E740D"/>
    <w:rsid w:val="001E7B8F"/>
    <w:rsid w:val="001F05EC"/>
    <w:rsid w:val="001F1206"/>
    <w:rsid w:val="001F1C9E"/>
    <w:rsid w:val="001F40D6"/>
    <w:rsid w:val="001F533F"/>
    <w:rsid w:val="001F6DDF"/>
    <w:rsid w:val="001F7276"/>
    <w:rsid w:val="001F7706"/>
    <w:rsid w:val="001F7932"/>
    <w:rsid w:val="00200C28"/>
    <w:rsid w:val="0020156A"/>
    <w:rsid w:val="002023B2"/>
    <w:rsid w:val="00202FC7"/>
    <w:rsid w:val="0020428A"/>
    <w:rsid w:val="002057F0"/>
    <w:rsid w:val="00207F5E"/>
    <w:rsid w:val="00210C1F"/>
    <w:rsid w:val="00211464"/>
    <w:rsid w:val="00211891"/>
    <w:rsid w:val="002142F6"/>
    <w:rsid w:val="00214C73"/>
    <w:rsid w:val="0021623A"/>
    <w:rsid w:val="0021696C"/>
    <w:rsid w:val="002173AA"/>
    <w:rsid w:val="00217EC4"/>
    <w:rsid w:val="00220817"/>
    <w:rsid w:val="002211B6"/>
    <w:rsid w:val="00222116"/>
    <w:rsid w:val="00223446"/>
    <w:rsid w:val="00224A6F"/>
    <w:rsid w:val="00227F33"/>
    <w:rsid w:val="00230567"/>
    <w:rsid w:val="00231C4F"/>
    <w:rsid w:val="00232E9E"/>
    <w:rsid w:val="002331C6"/>
    <w:rsid w:val="00233E51"/>
    <w:rsid w:val="0024110C"/>
    <w:rsid w:val="0024163E"/>
    <w:rsid w:val="002441FA"/>
    <w:rsid w:val="00247814"/>
    <w:rsid w:val="00247F71"/>
    <w:rsid w:val="0025197E"/>
    <w:rsid w:val="00252747"/>
    <w:rsid w:val="00252B39"/>
    <w:rsid w:val="00255A97"/>
    <w:rsid w:val="00257BA5"/>
    <w:rsid w:val="00257BD3"/>
    <w:rsid w:val="002661CC"/>
    <w:rsid w:val="002708E9"/>
    <w:rsid w:val="00270CF8"/>
    <w:rsid w:val="00277F7E"/>
    <w:rsid w:val="00281BB7"/>
    <w:rsid w:val="00284042"/>
    <w:rsid w:val="00285513"/>
    <w:rsid w:val="002861B9"/>
    <w:rsid w:val="0029066C"/>
    <w:rsid w:val="00290BFC"/>
    <w:rsid w:val="00291259"/>
    <w:rsid w:val="00291F0C"/>
    <w:rsid w:val="00293B44"/>
    <w:rsid w:val="00294450"/>
    <w:rsid w:val="00294C2A"/>
    <w:rsid w:val="00297EC4"/>
    <w:rsid w:val="002A1271"/>
    <w:rsid w:val="002A42FC"/>
    <w:rsid w:val="002A45ED"/>
    <w:rsid w:val="002A5042"/>
    <w:rsid w:val="002B060C"/>
    <w:rsid w:val="002B1617"/>
    <w:rsid w:val="002B5809"/>
    <w:rsid w:val="002B6B61"/>
    <w:rsid w:val="002B7930"/>
    <w:rsid w:val="002B7996"/>
    <w:rsid w:val="002C00B6"/>
    <w:rsid w:val="002C04BF"/>
    <w:rsid w:val="002C2FB3"/>
    <w:rsid w:val="002D1B0D"/>
    <w:rsid w:val="002D1BBD"/>
    <w:rsid w:val="002D37D9"/>
    <w:rsid w:val="002D7C70"/>
    <w:rsid w:val="002E049D"/>
    <w:rsid w:val="002E0ABA"/>
    <w:rsid w:val="002E171E"/>
    <w:rsid w:val="002E1AB1"/>
    <w:rsid w:val="002E3715"/>
    <w:rsid w:val="002E37E1"/>
    <w:rsid w:val="002E52BB"/>
    <w:rsid w:val="002E6449"/>
    <w:rsid w:val="002E6828"/>
    <w:rsid w:val="002F4513"/>
    <w:rsid w:val="002F6912"/>
    <w:rsid w:val="003001E8"/>
    <w:rsid w:val="0030163D"/>
    <w:rsid w:val="00301B82"/>
    <w:rsid w:val="0030321E"/>
    <w:rsid w:val="00304E9A"/>
    <w:rsid w:val="00305B98"/>
    <w:rsid w:val="00306C7D"/>
    <w:rsid w:val="00307A84"/>
    <w:rsid w:val="003106ED"/>
    <w:rsid w:val="00311473"/>
    <w:rsid w:val="00317780"/>
    <w:rsid w:val="00317842"/>
    <w:rsid w:val="00321543"/>
    <w:rsid w:val="003215DB"/>
    <w:rsid w:val="00321C17"/>
    <w:rsid w:val="003235CA"/>
    <w:rsid w:val="003236A2"/>
    <w:rsid w:val="00323E81"/>
    <w:rsid w:val="00324A12"/>
    <w:rsid w:val="00326D29"/>
    <w:rsid w:val="003318FB"/>
    <w:rsid w:val="00331D0D"/>
    <w:rsid w:val="00335648"/>
    <w:rsid w:val="00337B4E"/>
    <w:rsid w:val="00337EB4"/>
    <w:rsid w:val="0034250B"/>
    <w:rsid w:val="00344B28"/>
    <w:rsid w:val="00345AE6"/>
    <w:rsid w:val="0035136E"/>
    <w:rsid w:val="00353728"/>
    <w:rsid w:val="003537F6"/>
    <w:rsid w:val="00355391"/>
    <w:rsid w:val="00355ED5"/>
    <w:rsid w:val="00360138"/>
    <w:rsid w:val="003617CA"/>
    <w:rsid w:val="0036279E"/>
    <w:rsid w:val="00362EC6"/>
    <w:rsid w:val="00363A63"/>
    <w:rsid w:val="00366D01"/>
    <w:rsid w:val="00366D4C"/>
    <w:rsid w:val="0037070A"/>
    <w:rsid w:val="00373966"/>
    <w:rsid w:val="0037740D"/>
    <w:rsid w:val="0037764B"/>
    <w:rsid w:val="0038070D"/>
    <w:rsid w:val="003843E0"/>
    <w:rsid w:val="00385310"/>
    <w:rsid w:val="00386F75"/>
    <w:rsid w:val="00387D7F"/>
    <w:rsid w:val="00391560"/>
    <w:rsid w:val="003958E0"/>
    <w:rsid w:val="003A1CFA"/>
    <w:rsid w:val="003A1E38"/>
    <w:rsid w:val="003A1FDB"/>
    <w:rsid w:val="003A29D6"/>
    <w:rsid w:val="003A3EBD"/>
    <w:rsid w:val="003A6AFD"/>
    <w:rsid w:val="003A7CB1"/>
    <w:rsid w:val="003B1FB7"/>
    <w:rsid w:val="003B4D5F"/>
    <w:rsid w:val="003B58B0"/>
    <w:rsid w:val="003C12D6"/>
    <w:rsid w:val="003C2511"/>
    <w:rsid w:val="003C6303"/>
    <w:rsid w:val="003C6499"/>
    <w:rsid w:val="003C786B"/>
    <w:rsid w:val="003D3176"/>
    <w:rsid w:val="003D4441"/>
    <w:rsid w:val="003D44B7"/>
    <w:rsid w:val="003D44C8"/>
    <w:rsid w:val="003D50E4"/>
    <w:rsid w:val="003D531E"/>
    <w:rsid w:val="003D564A"/>
    <w:rsid w:val="003D6E3F"/>
    <w:rsid w:val="003E0C35"/>
    <w:rsid w:val="003E116F"/>
    <w:rsid w:val="003E2D1B"/>
    <w:rsid w:val="003E31B5"/>
    <w:rsid w:val="003E3C14"/>
    <w:rsid w:val="003E3E4E"/>
    <w:rsid w:val="003E6436"/>
    <w:rsid w:val="003E7C5F"/>
    <w:rsid w:val="003F1FC6"/>
    <w:rsid w:val="003F1FE2"/>
    <w:rsid w:val="003F49E7"/>
    <w:rsid w:val="003F5862"/>
    <w:rsid w:val="003F5DDB"/>
    <w:rsid w:val="00400BC5"/>
    <w:rsid w:val="00401117"/>
    <w:rsid w:val="004027C5"/>
    <w:rsid w:val="004041A6"/>
    <w:rsid w:val="00406BF8"/>
    <w:rsid w:val="00406C2D"/>
    <w:rsid w:val="00406CB4"/>
    <w:rsid w:val="00406DF0"/>
    <w:rsid w:val="004079A7"/>
    <w:rsid w:val="00407D0E"/>
    <w:rsid w:val="00412271"/>
    <w:rsid w:val="004142B4"/>
    <w:rsid w:val="00417187"/>
    <w:rsid w:val="0041754C"/>
    <w:rsid w:val="00420ACD"/>
    <w:rsid w:val="00420D06"/>
    <w:rsid w:val="0042140B"/>
    <w:rsid w:val="004228E6"/>
    <w:rsid w:val="00422C45"/>
    <w:rsid w:val="00427B64"/>
    <w:rsid w:val="00427F3F"/>
    <w:rsid w:val="0043030E"/>
    <w:rsid w:val="0043062C"/>
    <w:rsid w:val="0043342C"/>
    <w:rsid w:val="00435364"/>
    <w:rsid w:val="00436D6B"/>
    <w:rsid w:val="004379CF"/>
    <w:rsid w:val="004407E2"/>
    <w:rsid w:val="004426F6"/>
    <w:rsid w:val="004438A9"/>
    <w:rsid w:val="00443AC9"/>
    <w:rsid w:val="00443E5B"/>
    <w:rsid w:val="00444BD1"/>
    <w:rsid w:val="00444F10"/>
    <w:rsid w:val="004473B9"/>
    <w:rsid w:val="00450024"/>
    <w:rsid w:val="00453C6E"/>
    <w:rsid w:val="004544FF"/>
    <w:rsid w:val="00456B73"/>
    <w:rsid w:val="00460229"/>
    <w:rsid w:val="0046185A"/>
    <w:rsid w:val="0046217A"/>
    <w:rsid w:val="0046275D"/>
    <w:rsid w:val="004628DF"/>
    <w:rsid w:val="00462B1F"/>
    <w:rsid w:val="00464540"/>
    <w:rsid w:val="00464661"/>
    <w:rsid w:val="00466E6D"/>
    <w:rsid w:val="0047293D"/>
    <w:rsid w:val="00474292"/>
    <w:rsid w:val="00474D19"/>
    <w:rsid w:val="0047706C"/>
    <w:rsid w:val="004773EA"/>
    <w:rsid w:val="004807F7"/>
    <w:rsid w:val="00483FAB"/>
    <w:rsid w:val="00484157"/>
    <w:rsid w:val="004847D1"/>
    <w:rsid w:val="0048596F"/>
    <w:rsid w:val="00486283"/>
    <w:rsid w:val="0049135C"/>
    <w:rsid w:val="00491E86"/>
    <w:rsid w:val="00493B24"/>
    <w:rsid w:val="00494694"/>
    <w:rsid w:val="00495097"/>
    <w:rsid w:val="004961AA"/>
    <w:rsid w:val="004969ED"/>
    <w:rsid w:val="00496F6E"/>
    <w:rsid w:val="004977EF"/>
    <w:rsid w:val="004A078B"/>
    <w:rsid w:val="004A0E80"/>
    <w:rsid w:val="004A0EF0"/>
    <w:rsid w:val="004A22B7"/>
    <w:rsid w:val="004A33C7"/>
    <w:rsid w:val="004A4152"/>
    <w:rsid w:val="004A427A"/>
    <w:rsid w:val="004A43D4"/>
    <w:rsid w:val="004A4903"/>
    <w:rsid w:val="004A7D61"/>
    <w:rsid w:val="004B090C"/>
    <w:rsid w:val="004B1A62"/>
    <w:rsid w:val="004B1C88"/>
    <w:rsid w:val="004B202F"/>
    <w:rsid w:val="004B2517"/>
    <w:rsid w:val="004B2974"/>
    <w:rsid w:val="004B2B1C"/>
    <w:rsid w:val="004B4341"/>
    <w:rsid w:val="004C13F4"/>
    <w:rsid w:val="004C48C8"/>
    <w:rsid w:val="004C5577"/>
    <w:rsid w:val="004C561D"/>
    <w:rsid w:val="004C6A16"/>
    <w:rsid w:val="004C7C7E"/>
    <w:rsid w:val="004C7ECA"/>
    <w:rsid w:val="004C7F27"/>
    <w:rsid w:val="004D270C"/>
    <w:rsid w:val="004D6A30"/>
    <w:rsid w:val="004E173F"/>
    <w:rsid w:val="004E3295"/>
    <w:rsid w:val="004E3EF0"/>
    <w:rsid w:val="004E458F"/>
    <w:rsid w:val="004E4FDA"/>
    <w:rsid w:val="004E5350"/>
    <w:rsid w:val="004F4E59"/>
    <w:rsid w:val="004F55CD"/>
    <w:rsid w:val="004F5DBD"/>
    <w:rsid w:val="00500FB7"/>
    <w:rsid w:val="0050196A"/>
    <w:rsid w:val="00503294"/>
    <w:rsid w:val="0050435E"/>
    <w:rsid w:val="005044BC"/>
    <w:rsid w:val="0050705A"/>
    <w:rsid w:val="00507A77"/>
    <w:rsid w:val="00507BF8"/>
    <w:rsid w:val="005117C4"/>
    <w:rsid w:val="00511FC5"/>
    <w:rsid w:val="00514CDE"/>
    <w:rsid w:val="005214B8"/>
    <w:rsid w:val="0052207A"/>
    <w:rsid w:val="00524310"/>
    <w:rsid w:val="00525B15"/>
    <w:rsid w:val="00525BA1"/>
    <w:rsid w:val="005260C6"/>
    <w:rsid w:val="00526C71"/>
    <w:rsid w:val="00527D1B"/>
    <w:rsid w:val="00531020"/>
    <w:rsid w:val="005320C1"/>
    <w:rsid w:val="00536570"/>
    <w:rsid w:val="0054021E"/>
    <w:rsid w:val="005403E5"/>
    <w:rsid w:val="0054387A"/>
    <w:rsid w:val="00544343"/>
    <w:rsid w:val="00550B9F"/>
    <w:rsid w:val="00551315"/>
    <w:rsid w:val="00551748"/>
    <w:rsid w:val="005527E6"/>
    <w:rsid w:val="00555299"/>
    <w:rsid w:val="00555708"/>
    <w:rsid w:val="005627B8"/>
    <w:rsid w:val="005648BE"/>
    <w:rsid w:val="0056630B"/>
    <w:rsid w:val="005667B8"/>
    <w:rsid w:val="0056712F"/>
    <w:rsid w:val="00567A62"/>
    <w:rsid w:val="00567BFF"/>
    <w:rsid w:val="00570C1D"/>
    <w:rsid w:val="005728FA"/>
    <w:rsid w:val="0057407D"/>
    <w:rsid w:val="0057517C"/>
    <w:rsid w:val="0057617C"/>
    <w:rsid w:val="00576F4E"/>
    <w:rsid w:val="005771D5"/>
    <w:rsid w:val="00577CD6"/>
    <w:rsid w:val="00583F37"/>
    <w:rsid w:val="0058424D"/>
    <w:rsid w:val="00590940"/>
    <w:rsid w:val="00594F84"/>
    <w:rsid w:val="005974B6"/>
    <w:rsid w:val="00597C7C"/>
    <w:rsid w:val="005A0E34"/>
    <w:rsid w:val="005A1229"/>
    <w:rsid w:val="005A152D"/>
    <w:rsid w:val="005A15EE"/>
    <w:rsid w:val="005A2B04"/>
    <w:rsid w:val="005A4A25"/>
    <w:rsid w:val="005A4F26"/>
    <w:rsid w:val="005A6C0B"/>
    <w:rsid w:val="005A739A"/>
    <w:rsid w:val="005B2574"/>
    <w:rsid w:val="005B36FB"/>
    <w:rsid w:val="005B3A65"/>
    <w:rsid w:val="005B4653"/>
    <w:rsid w:val="005C148F"/>
    <w:rsid w:val="005C2060"/>
    <w:rsid w:val="005C2F68"/>
    <w:rsid w:val="005C3AC4"/>
    <w:rsid w:val="005D0B01"/>
    <w:rsid w:val="005D1585"/>
    <w:rsid w:val="005D381A"/>
    <w:rsid w:val="005D3918"/>
    <w:rsid w:val="005D4953"/>
    <w:rsid w:val="005D503C"/>
    <w:rsid w:val="005E1681"/>
    <w:rsid w:val="005E199B"/>
    <w:rsid w:val="005E2820"/>
    <w:rsid w:val="005E30C4"/>
    <w:rsid w:val="005E46C3"/>
    <w:rsid w:val="005E5885"/>
    <w:rsid w:val="005E5A8D"/>
    <w:rsid w:val="005E5C32"/>
    <w:rsid w:val="005E71D1"/>
    <w:rsid w:val="005E7B83"/>
    <w:rsid w:val="005E7E53"/>
    <w:rsid w:val="005F012B"/>
    <w:rsid w:val="005F0864"/>
    <w:rsid w:val="005F1405"/>
    <w:rsid w:val="005F1674"/>
    <w:rsid w:val="005F2C28"/>
    <w:rsid w:val="005F31C8"/>
    <w:rsid w:val="005F31FF"/>
    <w:rsid w:val="005F351F"/>
    <w:rsid w:val="005F487A"/>
    <w:rsid w:val="005F73DA"/>
    <w:rsid w:val="005F73DB"/>
    <w:rsid w:val="00602D1C"/>
    <w:rsid w:val="00602FFA"/>
    <w:rsid w:val="00607C63"/>
    <w:rsid w:val="00607C9B"/>
    <w:rsid w:val="00612172"/>
    <w:rsid w:val="00613392"/>
    <w:rsid w:val="006155AC"/>
    <w:rsid w:val="00615C2F"/>
    <w:rsid w:val="006173FA"/>
    <w:rsid w:val="00617953"/>
    <w:rsid w:val="0062020C"/>
    <w:rsid w:val="00621B86"/>
    <w:rsid w:val="00622071"/>
    <w:rsid w:val="006227F0"/>
    <w:rsid w:val="00623186"/>
    <w:rsid w:val="0062322B"/>
    <w:rsid w:val="0062559E"/>
    <w:rsid w:val="00625A67"/>
    <w:rsid w:val="006262E0"/>
    <w:rsid w:val="0062733E"/>
    <w:rsid w:val="00627CA5"/>
    <w:rsid w:val="006311E2"/>
    <w:rsid w:val="00631773"/>
    <w:rsid w:val="00633D89"/>
    <w:rsid w:val="00634F81"/>
    <w:rsid w:val="00636662"/>
    <w:rsid w:val="0064373F"/>
    <w:rsid w:val="0065067A"/>
    <w:rsid w:val="00653115"/>
    <w:rsid w:val="00653986"/>
    <w:rsid w:val="00656408"/>
    <w:rsid w:val="00656F1F"/>
    <w:rsid w:val="00660D1F"/>
    <w:rsid w:val="00660FB7"/>
    <w:rsid w:val="00661460"/>
    <w:rsid w:val="006617F1"/>
    <w:rsid w:val="00661F10"/>
    <w:rsid w:val="0066313E"/>
    <w:rsid w:val="00670ADB"/>
    <w:rsid w:val="00671D56"/>
    <w:rsid w:val="00674A0B"/>
    <w:rsid w:val="00675B52"/>
    <w:rsid w:val="00677597"/>
    <w:rsid w:val="00680C58"/>
    <w:rsid w:val="00681241"/>
    <w:rsid w:val="00683D49"/>
    <w:rsid w:val="00684133"/>
    <w:rsid w:val="006847E2"/>
    <w:rsid w:val="00686053"/>
    <w:rsid w:val="0069259A"/>
    <w:rsid w:val="006928D9"/>
    <w:rsid w:val="00695582"/>
    <w:rsid w:val="0069663D"/>
    <w:rsid w:val="006A062C"/>
    <w:rsid w:val="006A1E74"/>
    <w:rsid w:val="006A6B46"/>
    <w:rsid w:val="006A77B3"/>
    <w:rsid w:val="006A7928"/>
    <w:rsid w:val="006B1359"/>
    <w:rsid w:val="006B1B52"/>
    <w:rsid w:val="006B1F7C"/>
    <w:rsid w:val="006B4273"/>
    <w:rsid w:val="006B546E"/>
    <w:rsid w:val="006C0698"/>
    <w:rsid w:val="006C1334"/>
    <w:rsid w:val="006C47B3"/>
    <w:rsid w:val="006C4C45"/>
    <w:rsid w:val="006C58FC"/>
    <w:rsid w:val="006C5D67"/>
    <w:rsid w:val="006C5FF7"/>
    <w:rsid w:val="006C6A7F"/>
    <w:rsid w:val="006C7C76"/>
    <w:rsid w:val="006C7E34"/>
    <w:rsid w:val="006D42E8"/>
    <w:rsid w:val="006D6008"/>
    <w:rsid w:val="006D75A2"/>
    <w:rsid w:val="006D7E46"/>
    <w:rsid w:val="006E03FE"/>
    <w:rsid w:val="006E465B"/>
    <w:rsid w:val="006E6700"/>
    <w:rsid w:val="006E7253"/>
    <w:rsid w:val="006F05CE"/>
    <w:rsid w:val="006F0B1D"/>
    <w:rsid w:val="006F1ABF"/>
    <w:rsid w:val="006F6329"/>
    <w:rsid w:val="006F7769"/>
    <w:rsid w:val="007003C2"/>
    <w:rsid w:val="007043F5"/>
    <w:rsid w:val="007052F4"/>
    <w:rsid w:val="00706D51"/>
    <w:rsid w:val="00710B3D"/>
    <w:rsid w:val="0071359C"/>
    <w:rsid w:val="00714579"/>
    <w:rsid w:val="007145D8"/>
    <w:rsid w:val="007157CC"/>
    <w:rsid w:val="00717F0A"/>
    <w:rsid w:val="0072099B"/>
    <w:rsid w:val="007225FD"/>
    <w:rsid w:val="00725538"/>
    <w:rsid w:val="00725B6E"/>
    <w:rsid w:val="007306F7"/>
    <w:rsid w:val="00732BAF"/>
    <w:rsid w:val="00732D6B"/>
    <w:rsid w:val="00733312"/>
    <w:rsid w:val="007345D8"/>
    <w:rsid w:val="00736EAD"/>
    <w:rsid w:val="00740D82"/>
    <w:rsid w:val="007413AC"/>
    <w:rsid w:val="00742FA2"/>
    <w:rsid w:val="0074342B"/>
    <w:rsid w:val="00744869"/>
    <w:rsid w:val="0074520E"/>
    <w:rsid w:val="007469EC"/>
    <w:rsid w:val="00746E7D"/>
    <w:rsid w:val="00750228"/>
    <w:rsid w:val="00750B4F"/>
    <w:rsid w:val="00752571"/>
    <w:rsid w:val="00754772"/>
    <w:rsid w:val="0075688E"/>
    <w:rsid w:val="00761844"/>
    <w:rsid w:val="00761E61"/>
    <w:rsid w:val="007637E6"/>
    <w:rsid w:val="00764F83"/>
    <w:rsid w:val="0076502D"/>
    <w:rsid w:val="0076793A"/>
    <w:rsid w:val="007701D1"/>
    <w:rsid w:val="00770D0A"/>
    <w:rsid w:val="007750D1"/>
    <w:rsid w:val="00776CAA"/>
    <w:rsid w:val="00777C1D"/>
    <w:rsid w:val="00777D9B"/>
    <w:rsid w:val="00780D80"/>
    <w:rsid w:val="007810D0"/>
    <w:rsid w:val="00781C18"/>
    <w:rsid w:val="007820C0"/>
    <w:rsid w:val="007822F2"/>
    <w:rsid w:val="00782753"/>
    <w:rsid w:val="00783479"/>
    <w:rsid w:val="0078379C"/>
    <w:rsid w:val="0078393C"/>
    <w:rsid w:val="00784301"/>
    <w:rsid w:val="007847BE"/>
    <w:rsid w:val="00784902"/>
    <w:rsid w:val="007856C9"/>
    <w:rsid w:val="00786AAC"/>
    <w:rsid w:val="00791C02"/>
    <w:rsid w:val="00792BF1"/>
    <w:rsid w:val="00793523"/>
    <w:rsid w:val="007936B2"/>
    <w:rsid w:val="00793F7D"/>
    <w:rsid w:val="007956E4"/>
    <w:rsid w:val="00795B03"/>
    <w:rsid w:val="00795F75"/>
    <w:rsid w:val="00796749"/>
    <w:rsid w:val="007A1A16"/>
    <w:rsid w:val="007A27CD"/>
    <w:rsid w:val="007A3238"/>
    <w:rsid w:val="007A4A61"/>
    <w:rsid w:val="007A4C6C"/>
    <w:rsid w:val="007A6517"/>
    <w:rsid w:val="007B0D8C"/>
    <w:rsid w:val="007B1E04"/>
    <w:rsid w:val="007B44E3"/>
    <w:rsid w:val="007B4D49"/>
    <w:rsid w:val="007B4FAD"/>
    <w:rsid w:val="007B5684"/>
    <w:rsid w:val="007B5C16"/>
    <w:rsid w:val="007C04CC"/>
    <w:rsid w:val="007C0D87"/>
    <w:rsid w:val="007C4344"/>
    <w:rsid w:val="007C5C6A"/>
    <w:rsid w:val="007C5EBA"/>
    <w:rsid w:val="007C6CED"/>
    <w:rsid w:val="007C759B"/>
    <w:rsid w:val="007C765F"/>
    <w:rsid w:val="007C7DDB"/>
    <w:rsid w:val="007D2136"/>
    <w:rsid w:val="007D326C"/>
    <w:rsid w:val="007D435F"/>
    <w:rsid w:val="007E1253"/>
    <w:rsid w:val="007E2B21"/>
    <w:rsid w:val="007E37F2"/>
    <w:rsid w:val="007E41BE"/>
    <w:rsid w:val="007E64AD"/>
    <w:rsid w:val="007E6734"/>
    <w:rsid w:val="007E7DC9"/>
    <w:rsid w:val="007F3FFE"/>
    <w:rsid w:val="007F42A6"/>
    <w:rsid w:val="007F4478"/>
    <w:rsid w:val="007F4A12"/>
    <w:rsid w:val="007F7EA9"/>
    <w:rsid w:val="007F7FC7"/>
    <w:rsid w:val="0080022D"/>
    <w:rsid w:val="008008E7"/>
    <w:rsid w:val="0080093E"/>
    <w:rsid w:val="008021B9"/>
    <w:rsid w:val="008023AD"/>
    <w:rsid w:val="00803C26"/>
    <w:rsid w:val="008056E7"/>
    <w:rsid w:val="00813CAE"/>
    <w:rsid w:val="00814D0E"/>
    <w:rsid w:val="0081506F"/>
    <w:rsid w:val="008151F1"/>
    <w:rsid w:val="00815E11"/>
    <w:rsid w:val="00816308"/>
    <w:rsid w:val="008178E8"/>
    <w:rsid w:val="008200E3"/>
    <w:rsid w:val="008211C2"/>
    <w:rsid w:val="008243AC"/>
    <w:rsid w:val="008250AA"/>
    <w:rsid w:val="0082522C"/>
    <w:rsid w:val="00826C9E"/>
    <w:rsid w:val="008303FD"/>
    <w:rsid w:val="008341D0"/>
    <w:rsid w:val="008359AD"/>
    <w:rsid w:val="00835E70"/>
    <w:rsid w:val="00836C23"/>
    <w:rsid w:val="0084364C"/>
    <w:rsid w:val="00846727"/>
    <w:rsid w:val="00850A0B"/>
    <w:rsid w:val="00851AC5"/>
    <w:rsid w:val="00851C32"/>
    <w:rsid w:val="00852419"/>
    <w:rsid w:val="00852CF4"/>
    <w:rsid w:val="00854242"/>
    <w:rsid w:val="00856106"/>
    <w:rsid w:val="0085646F"/>
    <w:rsid w:val="0085686D"/>
    <w:rsid w:val="00856A24"/>
    <w:rsid w:val="0085710B"/>
    <w:rsid w:val="008576F0"/>
    <w:rsid w:val="00862AA5"/>
    <w:rsid w:val="008639D3"/>
    <w:rsid w:val="00866878"/>
    <w:rsid w:val="00867AE8"/>
    <w:rsid w:val="008709D2"/>
    <w:rsid w:val="00872F4A"/>
    <w:rsid w:val="008739BB"/>
    <w:rsid w:val="00873B71"/>
    <w:rsid w:val="00873EFD"/>
    <w:rsid w:val="00875CE1"/>
    <w:rsid w:val="00876F43"/>
    <w:rsid w:val="008771A8"/>
    <w:rsid w:val="00880273"/>
    <w:rsid w:val="00882931"/>
    <w:rsid w:val="008850FE"/>
    <w:rsid w:val="00885161"/>
    <w:rsid w:val="008852EE"/>
    <w:rsid w:val="008876C9"/>
    <w:rsid w:val="008939ED"/>
    <w:rsid w:val="00895AE9"/>
    <w:rsid w:val="00897A15"/>
    <w:rsid w:val="008A03E9"/>
    <w:rsid w:val="008A28D0"/>
    <w:rsid w:val="008A4DD8"/>
    <w:rsid w:val="008A589C"/>
    <w:rsid w:val="008A6122"/>
    <w:rsid w:val="008A70C5"/>
    <w:rsid w:val="008A7344"/>
    <w:rsid w:val="008A7445"/>
    <w:rsid w:val="008B0B4A"/>
    <w:rsid w:val="008B18C1"/>
    <w:rsid w:val="008B4A90"/>
    <w:rsid w:val="008C045E"/>
    <w:rsid w:val="008C1596"/>
    <w:rsid w:val="008C330E"/>
    <w:rsid w:val="008C37D9"/>
    <w:rsid w:val="008C43AC"/>
    <w:rsid w:val="008C584A"/>
    <w:rsid w:val="008D6CF0"/>
    <w:rsid w:val="008D6EC0"/>
    <w:rsid w:val="008D798F"/>
    <w:rsid w:val="008E0040"/>
    <w:rsid w:val="008E0814"/>
    <w:rsid w:val="008E0D27"/>
    <w:rsid w:val="008E1B35"/>
    <w:rsid w:val="008E5728"/>
    <w:rsid w:val="008E6662"/>
    <w:rsid w:val="008F04B3"/>
    <w:rsid w:val="008F0858"/>
    <w:rsid w:val="008F13FD"/>
    <w:rsid w:val="008F62F0"/>
    <w:rsid w:val="008F7F17"/>
    <w:rsid w:val="00902C8F"/>
    <w:rsid w:val="009050DD"/>
    <w:rsid w:val="00911720"/>
    <w:rsid w:val="0091294C"/>
    <w:rsid w:val="0091390B"/>
    <w:rsid w:val="00915A45"/>
    <w:rsid w:val="0091664D"/>
    <w:rsid w:val="0092052E"/>
    <w:rsid w:val="00922636"/>
    <w:rsid w:val="00922A90"/>
    <w:rsid w:val="009235EC"/>
    <w:rsid w:val="009241CD"/>
    <w:rsid w:val="009249E9"/>
    <w:rsid w:val="009304EE"/>
    <w:rsid w:val="009334E7"/>
    <w:rsid w:val="00934298"/>
    <w:rsid w:val="00934363"/>
    <w:rsid w:val="00934F4C"/>
    <w:rsid w:val="00935F2C"/>
    <w:rsid w:val="00937B79"/>
    <w:rsid w:val="009412A9"/>
    <w:rsid w:val="0094411C"/>
    <w:rsid w:val="00946B69"/>
    <w:rsid w:val="00950E41"/>
    <w:rsid w:val="0095162D"/>
    <w:rsid w:val="00951A54"/>
    <w:rsid w:val="00953C54"/>
    <w:rsid w:val="009547DE"/>
    <w:rsid w:val="00954BC3"/>
    <w:rsid w:val="00955234"/>
    <w:rsid w:val="00956993"/>
    <w:rsid w:val="0096071E"/>
    <w:rsid w:val="0096440C"/>
    <w:rsid w:val="00970261"/>
    <w:rsid w:val="00971298"/>
    <w:rsid w:val="00971879"/>
    <w:rsid w:val="00971FBC"/>
    <w:rsid w:val="009735C7"/>
    <w:rsid w:val="00973C72"/>
    <w:rsid w:val="009775C0"/>
    <w:rsid w:val="00977B73"/>
    <w:rsid w:val="00977C2F"/>
    <w:rsid w:val="00980080"/>
    <w:rsid w:val="009813D2"/>
    <w:rsid w:val="0098155B"/>
    <w:rsid w:val="00983294"/>
    <w:rsid w:val="00993F07"/>
    <w:rsid w:val="009950B3"/>
    <w:rsid w:val="0099613D"/>
    <w:rsid w:val="009962F6"/>
    <w:rsid w:val="009A1ACE"/>
    <w:rsid w:val="009A1ACF"/>
    <w:rsid w:val="009A28D8"/>
    <w:rsid w:val="009A3B67"/>
    <w:rsid w:val="009A3D7E"/>
    <w:rsid w:val="009A460C"/>
    <w:rsid w:val="009A5E6A"/>
    <w:rsid w:val="009A6078"/>
    <w:rsid w:val="009B1B3F"/>
    <w:rsid w:val="009B2377"/>
    <w:rsid w:val="009B2F5D"/>
    <w:rsid w:val="009B36DC"/>
    <w:rsid w:val="009B4874"/>
    <w:rsid w:val="009B54B0"/>
    <w:rsid w:val="009B5A5F"/>
    <w:rsid w:val="009C517A"/>
    <w:rsid w:val="009C7157"/>
    <w:rsid w:val="009D1A2F"/>
    <w:rsid w:val="009D1A56"/>
    <w:rsid w:val="009D37A4"/>
    <w:rsid w:val="009D7E10"/>
    <w:rsid w:val="009D7E3A"/>
    <w:rsid w:val="009E0635"/>
    <w:rsid w:val="009E0D7A"/>
    <w:rsid w:val="009E0DA3"/>
    <w:rsid w:val="009E12F3"/>
    <w:rsid w:val="009E13DA"/>
    <w:rsid w:val="009E31F6"/>
    <w:rsid w:val="009E33E1"/>
    <w:rsid w:val="009E62CB"/>
    <w:rsid w:val="009E6713"/>
    <w:rsid w:val="009F16B1"/>
    <w:rsid w:val="009F18B2"/>
    <w:rsid w:val="009F29B8"/>
    <w:rsid w:val="009F36EA"/>
    <w:rsid w:val="009F5C47"/>
    <w:rsid w:val="009F6109"/>
    <w:rsid w:val="009F680D"/>
    <w:rsid w:val="00A00B89"/>
    <w:rsid w:val="00A039A2"/>
    <w:rsid w:val="00A03C2E"/>
    <w:rsid w:val="00A044E0"/>
    <w:rsid w:val="00A05924"/>
    <w:rsid w:val="00A06C36"/>
    <w:rsid w:val="00A06DCE"/>
    <w:rsid w:val="00A074B1"/>
    <w:rsid w:val="00A10CDA"/>
    <w:rsid w:val="00A1615C"/>
    <w:rsid w:val="00A166FF"/>
    <w:rsid w:val="00A16F13"/>
    <w:rsid w:val="00A225B3"/>
    <w:rsid w:val="00A22BC0"/>
    <w:rsid w:val="00A235FD"/>
    <w:rsid w:val="00A245D5"/>
    <w:rsid w:val="00A25E87"/>
    <w:rsid w:val="00A26013"/>
    <w:rsid w:val="00A26476"/>
    <w:rsid w:val="00A2796F"/>
    <w:rsid w:val="00A30BD1"/>
    <w:rsid w:val="00A32C2F"/>
    <w:rsid w:val="00A35C61"/>
    <w:rsid w:val="00A3644B"/>
    <w:rsid w:val="00A41F34"/>
    <w:rsid w:val="00A438CF"/>
    <w:rsid w:val="00A44B95"/>
    <w:rsid w:val="00A46911"/>
    <w:rsid w:val="00A46E50"/>
    <w:rsid w:val="00A473CB"/>
    <w:rsid w:val="00A47F51"/>
    <w:rsid w:val="00A50B9F"/>
    <w:rsid w:val="00A50C34"/>
    <w:rsid w:val="00A52065"/>
    <w:rsid w:val="00A5257D"/>
    <w:rsid w:val="00A52B6D"/>
    <w:rsid w:val="00A55108"/>
    <w:rsid w:val="00A55E09"/>
    <w:rsid w:val="00A560F4"/>
    <w:rsid w:val="00A56903"/>
    <w:rsid w:val="00A610D7"/>
    <w:rsid w:val="00A624D6"/>
    <w:rsid w:val="00A63B5A"/>
    <w:rsid w:val="00A65BE0"/>
    <w:rsid w:val="00A67857"/>
    <w:rsid w:val="00A71055"/>
    <w:rsid w:val="00A724D7"/>
    <w:rsid w:val="00A747C0"/>
    <w:rsid w:val="00A74F5B"/>
    <w:rsid w:val="00A75A61"/>
    <w:rsid w:val="00A800FB"/>
    <w:rsid w:val="00A806B7"/>
    <w:rsid w:val="00A80928"/>
    <w:rsid w:val="00A82BE5"/>
    <w:rsid w:val="00A85070"/>
    <w:rsid w:val="00A87B8E"/>
    <w:rsid w:val="00A87BA0"/>
    <w:rsid w:val="00A92B8F"/>
    <w:rsid w:val="00A94C01"/>
    <w:rsid w:val="00A95725"/>
    <w:rsid w:val="00AA0977"/>
    <w:rsid w:val="00AA1789"/>
    <w:rsid w:val="00AA1ACD"/>
    <w:rsid w:val="00AA24D7"/>
    <w:rsid w:val="00AA2847"/>
    <w:rsid w:val="00AB0D9E"/>
    <w:rsid w:val="00AB2194"/>
    <w:rsid w:val="00AB298C"/>
    <w:rsid w:val="00AB2C5C"/>
    <w:rsid w:val="00AB4B63"/>
    <w:rsid w:val="00AB59B7"/>
    <w:rsid w:val="00AB7511"/>
    <w:rsid w:val="00AC0CCE"/>
    <w:rsid w:val="00AC1192"/>
    <w:rsid w:val="00AC15D6"/>
    <w:rsid w:val="00AC19B9"/>
    <w:rsid w:val="00AC3ECF"/>
    <w:rsid w:val="00AC4469"/>
    <w:rsid w:val="00AC52BA"/>
    <w:rsid w:val="00AC55E3"/>
    <w:rsid w:val="00AC6E17"/>
    <w:rsid w:val="00AD1261"/>
    <w:rsid w:val="00AD177A"/>
    <w:rsid w:val="00AD3697"/>
    <w:rsid w:val="00AD37AA"/>
    <w:rsid w:val="00AD5281"/>
    <w:rsid w:val="00AD65E5"/>
    <w:rsid w:val="00AD78DD"/>
    <w:rsid w:val="00AE3140"/>
    <w:rsid w:val="00AE3189"/>
    <w:rsid w:val="00AE72F9"/>
    <w:rsid w:val="00AF0678"/>
    <w:rsid w:val="00AF0B46"/>
    <w:rsid w:val="00AF4912"/>
    <w:rsid w:val="00AF578D"/>
    <w:rsid w:val="00AF57FF"/>
    <w:rsid w:val="00AF5DD7"/>
    <w:rsid w:val="00AF6096"/>
    <w:rsid w:val="00AF6DBC"/>
    <w:rsid w:val="00AF70F1"/>
    <w:rsid w:val="00AF737D"/>
    <w:rsid w:val="00B00D7A"/>
    <w:rsid w:val="00B0298B"/>
    <w:rsid w:val="00B03464"/>
    <w:rsid w:val="00B05212"/>
    <w:rsid w:val="00B106DC"/>
    <w:rsid w:val="00B10938"/>
    <w:rsid w:val="00B125AF"/>
    <w:rsid w:val="00B128C4"/>
    <w:rsid w:val="00B12E62"/>
    <w:rsid w:val="00B157D3"/>
    <w:rsid w:val="00B1783E"/>
    <w:rsid w:val="00B17F1D"/>
    <w:rsid w:val="00B21107"/>
    <w:rsid w:val="00B21637"/>
    <w:rsid w:val="00B23049"/>
    <w:rsid w:val="00B245B1"/>
    <w:rsid w:val="00B252B5"/>
    <w:rsid w:val="00B3081F"/>
    <w:rsid w:val="00B32EB4"/>
    <w:rsid w:val="00B33BA1"/>
    <w:rsid w:val="00B3421E"/>
    <w:rsid w:val="00B3528E"/>
    <w:rsid w:val="00B358BB"/>
    <w:rsid w:val="00B36F69"/>
    <w:rsid w:val="00B41387"/>
    <w:rsid w:val="00B41765"/>
    <w:rsid w:val="00B429CF"/>
    <w:rsid w:val="00B43B6A"/>
    <w:rsid w:val="00B44892"/>
    <w:rsid w:val="00B4771B"/>
    <w:rsid w:val="00B479CC"/>
    <w:rsid w:val="00B51751"/>
    <w:rsid w:val="00B535B0"/>
    <w:rsid w:val="00B55881"/>
    <w:rsid w:val="00B55F2F"/>
    <w:rsid w:val="00B56711"/>
    <w:rsid w:val="00B56A67"/>
    <w:rsid w:val="00B57237"/>
    <w:rsid w:val="00B60567"/>
    <w:rsid w:val="00B621AF"/>
    <w:rsid w:val="00B64414"/>
    <w:rsid w:val="00B64CE5"/>
    <w:rsid w:val="00B65047"/>
    <w:rsid w:val="00B66E69"/>
    <w:rsid w:val="00B7019A"/>
    <w:rsid w:val="00B70C83"/>
    <w:rsid w:val="00B72E16"/>
    <w:rsid w:val="00B74034"/>
    <w:rsid w:val="00B74E7D"/>
    <w:rsid w:val="00B7533C"/>
    <w:rsid w:val="00B775CC"/>
    <w:rsid w:val="00B814B9"/>
    <w:rsid w:val="00B8214C"/>
    <w:rsid w:val="00B821C1"/>
    <w:rsid w:val="00B85002"/>
    <w:rsid w:val="00B8721D"/>
    <w:rsid w:val="00B9185F"/>
    <w:rsid w:val="00B92362"/>
    <w:rsid w:val="00B92A7C"/>
    <w:rsid w:val="00B931F9"/>
    <w:rsid w:val="00B94393"/>
    <w:rsid w:val="00B9508D"/>
    <w:rsid w:val="00B95D4C"/>
    <w:rsid w:val="00B96A54"/>
    <w:rsid w:val="00B96F17"/>
    <w:rsid w:val="00B97A62"/>
    <w:rsid w:val="00BA1527"/>
    <w:rsid w:val="00BA5112"/>
    <w:rsid w:val="00BA7589"/>
    <w:rsid w:val="00BA7BF2"/>
    <w:rsid w:val="00BA7F1F"/>
    <w:rsid w:val="00BB0DA8"/>
    <w:rsid w:val="00BB0F43"/>
    <w:rsid w:val="00BB364B"/>
    <w:rsid w:val="00BB57D1"/>
    <w:rsid w:val="00BB76F5"/>
    <w:rsid w:val="00BC025C"/>
    <w:rsid w:val="00BC155E"/>
    <w:rsid w:val="00BC4EFA"/>
    <w:rsid w:val="00BC571A"/>
    <w:rsid w:val="00BC6A3D"/>
    <w:rsid w:val="00BD16C7"/>
    <w:rsid w:val="00BD1D26"/>
    <w:rsid w:val="00BD27BA"/>
    <w:rsid w:val="00BD36DE"/>
    <w:rsid w:val="00BD386D"/>
    <w:rsid w:val="00BD671C"/>
    <w:rsid w:val="00BD690A"/>
    <w:rsid w:val="00BE15C7"/>
    <w:rsid w:val="00BE2E71"/>
    <w:rsid w:val="00BF10F2"/>
    <w:rsid w:val="00BF2912"/>
    <w:rsid w:val="00BF2C34"/>
    <w:rsid w:val="00BF5EE7"/>
    <w:rsid w:val="00BF6002"/>
    <w:rsid w:val="00BF673D"/>
    <w:rsid w:val="00BF74EE"/>
    <w:rsid w:val="00C00039"/>
    <w:rsid w:val="00C00479"/>
    <w:rsid w:val="00C005F2"/>
    <w:rsid w:val="00C00785"/>
    <w:rsid w:val="00C029FE"/>
    <w:rsid w:val="00C05CA3"/>
    <w:rsid w:val="00C07C59"/>
    <w:rsid w:val="00C12543"/>
    <w:rsid w:val="00C16A34"/>
    <w:rsid w:val="00C16A98"/>
    <w:rsid w:val="00C179A8"/>
    <w:rsid w:val="00C17A09"/>
    <w:rsid w:val="00C20E9F"/>
    <w:rsid w:val="00C21833"/>
    <w:rsid w:val="00C22271"/>
    <w:rsid w:val="00C22DF5"/>
    <w:rsid w:val="00C23DE7"/>
    <w:rsid w:val="00C248DD"/>
    <w:rsid w:val="00C273B2"/>
    <w:rsid w:val="00C3349D"/>
    <w:rsid w:val="00C33978"/>
    <w:rsid w:val="00C34629"/>
    <w:rsid w:val="00C3541F"/>
    <w:rsid w:val="00C3606D"/>
    <w:rsid w:val="00C3659F"/>
    <w:rsid w:val="00C36AE7"/>
    <w:rsid w:val="00C37F33"/>
    <w:rsid w:val="00C4004F"/>
    <w:rsid w:val="00C41864"/>
    <w:rsid w:val="00C42B47"/>
    <w:rsid w:val="00C42FD5"/>
    <w:rsid w:val="00C439CC"/>
    <w:rsid w:val="00C444EB"/>
    <w:rsid w:val="00C45491"/>
    <w:rsid w:val="00C50172"/>
    <w:rsid w:val="00C51727"/>
    <w:rsid w:val="00C53135"/>
    <w:rsid w:val="00C54AC6"/>
    <w:rsid w:val="00C60723"/>
    <w:rsid w:val="00C618E1"/>
    <w:rsid w:val="00C63042"/>
    <w:rsid w:val="00C64AD1"/>
    <w:rsid w:val="00C65348"/>
    <w:rsid w:val="00C66156"/>
    <w:rsid w:val="00C66FFC"/>
    <w:rsid w:val="00C672D6"/>
    <w:rsid w:val="00C67668"/>
    <w:rsid w:val="00C677F6"/>
    <w:rsid w:val="00C71353"/>
    <w:rsid w:val="00C7226D"/>
    <w:rsid w:val="00C75A7A"/>
    <w:rsid w:val="00C77CAB"/>
    <w:rsid w:val="00C80573"/>
    <w:rsid w:val="00C80980"/>
    <w:rsid w:val="00C8291E"/>
    <w:rsid w:val="00C83199"/>
    <w:rsid w:val="00C83FFE"/>
    <w:rsid w:val="00C86D3D"/>
    <w:rsid w:val="00C86DAD"/>
    <w:rsid w:val="00C93AB0"/>
    <w:rsid w:val="00C95C99"/>
    <w:rsid w:val="00C9603D"/>
    <w:rsid w:val="00CA437D"/>
    <w:rsid w:val="00CA4542"/>
    <w:rsid w:val="00CA462F"/>
    <w:rsid w:val="00CA5091"/>
    <w:rsid w:val="00CA687D"/>
    <w:rsid w:val="00CA7695"/>
    <w:rsid w:val="00CB0D51"/>
    <w:rsid w:val="00CB124F"/>
    <w:rsid w:val="00CB1A9A"/>
    <w:rsid w:val="00CB2D29"/>
    <w:rsid w:val="00CB66A1"/>
    <w:rsid w:val="00CB6CB9"/>
    <w:rsid w:val="00CB78A4"/>
    <w:rsid w:val="00CC3B1B"/>
    <w:rsid w:val="00CC3E03"/>
    <w:rsid w:val="00CD0B9D"/>
    <w:rsid w:val="00CD1E7C"/>
    <w:rsid w:val="00CD3CCA"/>
    <w:rsid w:val="00CD6B88"/>
    <w:rsid w:val="00CE0110"/>
    <w:rsid w:val="00CE302B"/>
    <w:rsid w:val="00CE3864"/>
    <w:rsid w:val="00CE711F"/>
    <w:rsid w:val="00CE74C2"/>
    <w:rsid w:val="00CF0C84"/>
    <w:rsid w:val="00CF26C0"/>
    <w:rsid w:val="00CF28AB"/>
    <w:rsid w:val="00CF2CF9"/>
    <w:rsid w:val="00CF2D84"/>
    <w:rsid w:val="00CF3929"/>
    <w:rsid w:val="00CF3C14"/>
    <w:rsid w:val="00CF44C1"/>
    <w:rsid w:val="00CF483F"/>
    <w:rsid w:val="00CF6244"/>
    <w:rsid w:val="00D00A56"/>
    <w:rsid w:val="00D01DB2"/>
    <w:rsid w:val="00D03C72"/>
    <w:rsid w:val="00D057DC"/>
    <w:rsid w:val="00D06934"/>
    <w:rsid w:val="00D10C40"/>
    <w:rsid w:val="00D114C6"/>
    <w:rsid w:val="00D1233F"/>
    <w:rsid w:val="00D145D9"/>
    <w:rsid w:val="00D14F91"/>
    <w:rsid w:val="00D21D04"/>
    <w:rsid w:val="00D2280C"/>
    <w:rsid w:val="00D22BF5"/>
    <w:rsid w:val="00D23D4B"/>
    <w:rsid w:val="00D2709A"/>
    <w:rsid w:val="00D360E1"/>
    <w:rsid w:val="00D4035E"/>
    <w:rsid w:val="00D409E9"/>
    <w:rsid w:val="00D41727"/>
    <w:rsid w:val="00D42D0A"/>
    <w:rsid w:val="00D44F28"/>
    <w:rsid w:val="00D46388"/>
    <w:rsid w:val="00D53EBF"/>
    <w:rsid w:val="00D54ED7"/>
    <w:rsid w:val="00D6141C"/>
    <w:rsid w:val="00D653A9"/>
    <w:rsid w:val="00D653EE"/>
    <w:rsid w:val="00D70BD2"/>
    <w:rsid w:val="00D72261"/>
    <w:rsid w:val="00D732C7"/>
    <w:rsid w:val="00D73DC1"/>
    <w:rsid w:val="00D741D1"/>
    <w:rsid w:val="00D74A04"/>
    <w:rsid w:val="00D75235"/>
    <w:rsid w:val="00D75AB4"/>
    <w:rsid w:val="00D77989"/>
    <w:rsid w:val="00D92A88"/>
    <w:rsid w:val="00D930A4"/>
    <w:rsid w:val="00D933CA"/>
    <w:rsid w:val="00D957C5"/>
    <w:rsid w:val="00D96C56"/>
    <w:rsid w:val="00DA2459"/>
    <w:rsid w:val="00DA4955"/>
    <w:rsid w:val="00DA4E1F"/>
    <w:rsid w:val="00DA6B80"/>
    <w:rsid w:val="00DA78DE"/>
    <w:rsid w:val="00DB0E11"/>
    <w:rsid w:val="00DB55CC"/>
    <w:rsid w:val="00DB580A"/>
    <w:rsid w:val="00DB6473"/>
    <w:rsid w:val="00DC03DA"/>
    <w:rsid w:val="00DC2B91"/>
    <w:rsid w:val="00DC2E88"/>
    <w:rsid w:val="00DC57DD"/>
    <w:rsid w:val="00DD07AA"/>
    <w:rsid w:val="00DD309E"/>
    <w:rsid w:val="00DD4DFC"/>
    <w:rsid w:val="00DD6527"/>
    <w:rsid w:val="00DE3835"/>
    <w:rsid w:val="00DE5B69"/>
    <w:rsid w:val="00DE5EC8"/>
    <w:rsid w:val="00DE7591"/>
    <w:rsid w:val="00DF177B"/>
    <w:rsid w:val="00DF1ADE"/>
    <w:rsid w:val="00DF277F"/>
    <w:rsid w:val="00DF3DC8"/>
    <w:rsid w:val="00DF3FAB"/>
    <w:rsid w:val="00DF6EF9"/>
    <w:rsid w:val="00E00169"/>
    <w:rsid w:val="00E01853"/>
    <w:rsid w:val="00E023AA"/>
    <w:rsid w:val="00E04036"/>
    <w:rsid w:val="00E04075"/>
    <w:rsid w:val="00E042DF"/>
    <w:rsid w:val="00E04D08"/>
    <w:rsid w:val="00E058DB"/>
    <w:rsid w:val="00E1228D"/>
    <w:rsid w:val="00E12A42"/>
    <w:rsid w:val="00E12C5C"/>
    <w:rsid w:val="00E15362"/>
    <w:rsid w:val="00E21146"/>
    <w:rsid w:val="00E211B6"/>
    <w:rsid w:val="00E21954"/>
    <w:rsid w:val="00E21A18"/>
    <w:rsid w:val="00E21D28"/>
    <w:rsid w:val="00E22859"/>
    <w:rsid w:val="00E30FBF"/>
    <w:rsid w:val="00E316D0"/>
    <w:rsid w:val="00E3210E"/>
    <w:rsid w:val="00E335C5"/>
    <w:rsid w:val="00E35673"/>
    <w:rsid w:val="00E35722"/>
    <w:rsid w:val="00E364B7"/>
    <w:rsid w:val="00E37709"/>
    <w:rsid w:val="00E41A70"/>
    <w:rsid w:val="00E4352F"/>
    <w:rsid w:val="00E43DA1"/>
    <w:rsid w:val="00E44EF3"/>
    <w:rsid w:val="00E4556B"/>
    <w:rsid w:val="00E475AB"/>
    <w:rsid w:val="00E535E5"/>
    <w:rsid w:val="00E5398A"/>
    <w:rsid w:val="00E55D0A"/>
    <w:rsid w:val="00E55DCE"/>
    <w:rsid w:val="00E600AE"/>
    <w:rsid w:val="00E6234F"/>
    <w:rsid w:val="00E62C4D"/>
    <w:rsid w:val="00E6428E"/>
    <w:rsid w:val="00E66BBA"/>
    <w:rsid w:val="00E67690"/>
    <w:rsid w:val="00E67A30"/>
    <w:rsid w:val="00E70B52"/>
    <w:rsid w:val="00E7271F"/>
    <w:rsid w:val="00E73161"/>
    <w:rsid w:val="00E735D8"/>
    <w:rsid w:val="00E7427F"/>
    <w:rsid w:val="00E744F0"/>
    <w:rsid w:val="00E74FC3"/>
    <w:rsid w:val="00E751C3"/>
    <w:rsid w:val="00E757F8"/>
    <w:rsid w:val="00E77E84"/>
    <w:rsid w:val="00E81B53"/>
    <w:rsid w:val="00E82ED1"/>
    <w:rsid w:val="00E86506"/>
    <w:rsid w:val="00E87B90"/>
    <w:rsid w:val="00E90BC5"/>
    <w:rsid w:val="00E9109D"/>
    <w:rsid w:val="00E91F9D"/>
    <w:rsid w:val="00E920B0"/>
    <w:rsid w:val="00E92FFA"/>
    <w:rsid w:val="00E94CD4"/>
    <w:rsid w:val="00E96701"/>
    <w:rsid w:val="00EA001E"/>
    <w:rsid w:val="00EA146E"/>
    <w:rsid w:val="00EA1B4D"/>
    <w:rsid w:val="00EA1EC7"/>
    <w:rsid w:val="00EA46C7"/>
    <w:rsid w:val="00EA5361"/>
    <w:rsid w:val="00EA683C"/>
    <w:rsid w:val="00EA6A59"/>
    <w:rsid w:val="00EB0E07"/>
    <w:rsid w:val="00EB126D"/>
    <w:rsid w:val="00EB2A80"/>
    <w:rsid w:val="00EB3904"/>
    <w:rsid w:val="00EB4018"/>
    <w:rsid w:val="00EB5D78"/>
    <w:rsid w:val="00EB5D97"/>
    <w:rsid w:val="00EB7044"/>
    <w:rsid w:val="00EB70AB"/>
    <w:rsid w:val="00EB7817"/>
    <w:rsid w:val="00EC0D4A"/>
    <w:rsid w:val="00EC2822"/>
    <w:rsid w:val="00EC2F7A"/>
    <w:rsid w:val="00EC3386"/>
    <w:rsid w:val="00EC50EE"/>
    <w:rsid w:val="00ED0417"/>
    <w:rsid w:val="00ED08E5"/>
    <w:rsid w:val="00ED1C87"/>
    <w:rsid w:val="00ED424C"/>
    <w:rsid w:val="00ED642E"/>
    <w:rsid w:val="00ED770B"/>
    <w:rsid w:val="00ED77D3"/>
    <w:rsid w:val="00EE02C7"/>
    <w:rsid w:val="00EE05C5"/>
    <w:rsid w:val="00EE3139"/>
    <w:rsid w:val="00EE4655"/>
    <w:rsid w:val="00EE56DF"/>
    <w:rsid w:val="00EE6698"/>
    <w:rsid w:val="00EF03F7"/>
    <w:rsid w:val="00EF09FB"/>
    <w:rsid w:val="00EF2696"/>
    <w:rsid w:val="00EF3271"/>
    <w:rsid w:val="00EF51CC"/>
    <w:rsid w:val="00EF6837"/>
    <w:rsid w:val="00EF69A5"/>
    <w:rsid w:val="00EF7664"/>
    <w:rsid w:val="00EF7CDC"/>
    <w:rsid w:val="00EF7DD7"/>
    <w:rsid w:val="00F0672C"/>
    <w:rsid w:val="00F0681F"/>
    <w:rsid w:val="00F077DC"/>
    <w:rsid w:val="00F107EF"/>
    <w:rsid w:val="00F10EBA"/>
    <w:rsid w:val="00F12D25"/>
    <w:rsid w:val="00F175E8"/>
    <w:rsid w:val="00F21F30"/>
    <w:rsid w:val="00F220FF"/>
    <w:rsid w:val="00F24D74"/>
    <w:rsid w:val="00F25E8D"/>
    <w:rsid w:val="00F276B4"/>
    <w:rsid w:val="00F30877"/>
    <w:rsid w:val="00F33563"/>
    <w:rsid w:val="00F352A0"/>
    <w:rsid w:val="00F36E37"/>
    <w:rsid w:val="00F36E70"/>
    <w:rsid w:val="00F37CE1"/>
    <w:rsid w:val="00F403DA"/>
    <w:rsid w:val="00F40426"/>
    <w:rsid w:val="00F44D19"/>
    <w:rsid w:val="00F458A5"/>
    <w:rsid w:val="00F45E2E"/>
    <w:rsid w:val="00F45FCA"/>
    <w:rsid w:val="00F46202"/>
    <w:rsid w:val="00F476BB"/>
    <w:rsid w:val="00F516B1"/>
    <w:rsid w:val="00F526F6"/>
    <w:rsid w:val="00F550F5"/>
    <w:rsid w:val="00F556F6"/>
    <w:rsid w:val="00F607B5"/>
    <w:rsid w:val="00F60E6C"/>
    <w:rsid w:val="00F61415"/>
    <w:rsid w:val="00F63AB4"/>
    <w:rsid w:val="00F6524A"/>
    <w:rsid w:val="00F6600F"/>
    <w:rsid w:val="00F6697B"/>
    <w:rsid w:val="00F70FB3"/>
    <w:rsid w:val="00F736A2"/>
    <w:rsid w:val="00F7544E"/>
    <w:rsid w:val="00F7544F"/>
    <w:rsid w:val="00F779F9"/>
    <w:rsid w:val="00F810C8"/>
    <w:rsid w:val="00F839C9"/>
    <w:rsid w:val="00F841E3"/>
    <w:rsid w:val="00F84D45"/>
    <w:rsid w:val="00F87BD5"/>
    <w:rsid w:val="00F93269"/>
    <w:rsid w:val="00F93315"/>
    <w:rsid w:val="00F948FC"/>
    <w:rsid w:val="00F95047"/>
    <w:rsid w:val="00FA1053"/>
    <w:rsid w:val="00FA418D"/>
    <w:rsid w:val="00FA570D"/>
    <w:rsid w:val="00FA6545"/>
    <w:rsid w:val="00FB1492"/>
    <w:rsid w:val="00FB2240"/>
    <w:rsid w:val="00FB382A"/>
    <w:rsid w:val="00FB4710"/>
    <w:rsid w:val="00FB47D7"/>
    <w:rsid w:val="00FB534A"/>
    <w:rsid w:val="00FB5AAC"/>
    <w:rsid w:val="00FB79A6"/>
    <w:rsid w:val="00FC01B3"/>
    <w:rsid w:val="00FC0221"/>
    <w:rsid w:val="00FC1502"/>
    <w:rsid w:val="00FC1EA8"/>
    <w:rsid w:val="00FC2B4E"/>
    <w:rsid w:val="00FC58B9"/>
    <w:rsid w:val="00FC7117"/>
    <w:rsid w:val="00FC7603"/>
    <w:rsid w:val="00FD21BF"/>
    <w:rsid w:val="00FD3D4C"/>
    <w:rsid w:val="00FD4CF7"/>
    <w:rsid w:val="00FD5E30"/>
    <w:rsid w:val="00FD6692"/>
    <w:rsid w:val="00FD773B"/>
    <w:rsid w:val="00FE022F"/>
    <w:rsid w:val="00FE18DB"/>
    <w:rsid w:val="00FE66F8"/>
    <w:rsid w:val="00FE68F7"/>
    <w:rsid w:val="00FE6996"/>
    <w:rsid w:val="00FF1CCC"/>
    <w:rsid w:val="00FF1F43"/>
    <w:rsid w:val="00FF41CC"/>
    <w:rsid w:val="00FF4E95"/>
    <w:rsid w:val="00FF7BF7"/>
    <w:rsid w:val="02691FCE"/>
    <w:rsid w:val="043D09D3"/>
    <w:rsid w:val="048F4874"/>
    <w:rsid w:val="083D5871"/>
    <w:rsid w:val="08884D84"/>
    <w:rsid w:val="0ABF5013"/>
    <w:rsid w:val="0E516924"/>
    <w:rsid w:val="0F22458F"/>
    <w:rsid w:val="10017A19"/>
    <w:rsid w:val="11483D66"/>
    <w:rsid w:val="11702F3A"/>
    <w:rsid w:val="11A83264"/>
    <w:rsid w:val="136261DE"/>
    <w:rsid w:val="15891E60"/>
    <w:rsid w:val="15EE5FD1"/>
    <w:rsid w:val="15FB4C7F"/>
    <w:rsid w:val="1662268E"/>
    <w:rsid w:val="17C05FF9"/>
    <w:rsid w:val="188618C7"/>
    <w:rsid w:val="18B46B17"/>
    <w:rsid w:val="19287A29"/>
    <w:rsid w:val="1D682B0D"/>
    <w:rsid w:val="1DD10AA9"/>
    <w:rsid w:val="1E9B2A6E"/>
    <w:rsid w:val="1F130AD7"/>
    <w:rsid w:val="1F244029"/>
    <w:rsid w:val="1F3A2287"/>
    <w:rsid w:val="1FA3607E"/>
    <w:rsid w:val="1FFD0266"/>
    <w:rsid w:val="224909DE"/>
    <w:rsid w:val="243A2D8F"/>
    <w:rsid w:val="25867FD4"/>
    <w:rsid w:val="267D0C93"/>
    <w:rsid w:val="27BF1A0A"/>
    <w:rsid w:val="2A027E45"/>
    <w:rsid w:val="2A967AD1"/>
    <w:rsid w:val="2BF13CCD"/>
    <w:rsid w:val="2C763D7D"/>
    <w:rsid w:val="2D297497"/>
    <w:rsid w:val="2E1428B6"/>
    <w:rsid w:val="2F4D3910"/>
    <w:rsid w:val="2FAB16A4"/>
    <w:rsid w:val="2FFB15BE"/>
    <w:rsid w:val="30506217"/>
    <w:rsid w:val="30647164"/>
    <w:rsid w:val="357B23B5"/>
    <w:rsid w:val="35B37917"/>
    <w:rsid w:val="36901B27"/>
    <w:rsid w:val="37A84685"/>
    <w:rsid w:val="383C5AE5"/>
    <w:rsid w:val="39037259"/>
    <w:rsid w:val="3B17219A"/>
    <w:rsid w:val="3B404329"/>
    <w:rsid w:val="3BA26D92"/>
    <w:rsid w:val="3C7A1210"/>
    <w:rsid w:val="3CF7098C"/>
    <w:rsid w:val="3EB71137"/>
    <w:rsid w:val="3F412663"/>
    <w:rsid w:val="41746202"/>
    <w:rsid w:val="429A1C1E"/>
    <w:rsid w:val="4361159F"/>
    <w:rsid w:val="44991D93"/>
    <w:rsid w:val="45321187"/>
    <w:rsid w:val="45556EC2"/>
    <w:rsid w:val="46DE69BB"/>
    <w:rsid w:val="48567CB8"/>
    <w:rsid w:val="4976429F"/>
    <w:rsid w:val="49A31ED8"/>
    <w:rsid w:val="49D2118A"/>
    <w:rsid w:val="4C5616BD"/>
    <w:rsid w:val="52615B0F"/>
    <w:rsid w:val="52945984"/>
    <w:rsid w:val="52F2383B"/>
    <w:rsid w:val="532B7386"/>
    <w:rsid w:val="539E5BEF"/>
    <w:rsid w:val="53C733E2"/>
    <w:rsid w:val="55D53411"/>
    <w:rsid w:val="5726177E"/>
    <w:rsid w:val="576176AA"/>
    <w:rsid w:val="61ED089A"/>
    <w:rsid w:val="62593D9F"/>
    <w:rsid w:val="62DF233A"/>
    <w:rsid w:val="64220BE9"/>
    <w:rsid w:val="66372EE3"/>
    <w:rsid w:val="666A50FE"/>
    <w:rsid w:val="66904F7B"/>
    <w:rsid w:val="67066277"/>
    <w:rsid w:val="671D410F"/>
    <w:rsid w:val="68210DCA"/>
    <w:rsid w:val="6A160172"/>
    <w:rsid w:val="6A813E93"/>
    <w:rsid w:val="6C1E27E7"/>
    <w:rsid w:val="6C212D00"/>
    <w:rsid w:val="6E8746B1"/>
    <w:rsid w:val="710D4677"/>
    <w:rsid w:val="75FC065D"/>
    <w:rsid w:val="77ED6D6B"/>
    <w:rsid w:val="78854AE5"/>
    <w:rsid w:val="797509D8"/>
    <w:rsid w:val="7A313596"/>
    <w:rsid w:val="7B090F35"/>
    <w:rsid w:val="7B3867F0"/>
    <w:rsid w:val="7C4D7967"/>
    <w:rsid w:val="7CDC6A3C"/>
    <w:rsid w:val="7E014BC1"/>
    <w:rsid w:val="7F941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qFormat="1" w:unhideWhenUsed="0" w:uiPriority="0"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312" w:lineRule="auto"/>
    </w:pPr>
    <w:rPr>
      <w:rFonts w:asciiTheme="minorHAnsi" w:hAnsiTheme="minorHAnsi" w:eastAsiaTheme="minorEastAsia" w:cstheme="minorBidi"/>
      <w:sz w:val="21"/>
      <w:szCs w:val="21"/>
      <w:lang w:val="en-US" w:eastAsia="zh-CN" w:bidi="ar-SA"/>
    </w:rPr>
  </w:style>
  <w:style w:type="paragraph" w:styleId="3">
    <w:name w:val="heading 1"/>
    <w:basedOn w:val="1"/>
    <w:next w:val="1"/>
    <w:link w:val="62"/>
    <w:qFormat/>
    <w:uiPriority w:val="0"/>
    <w:pPr>
      <w:keepNext/>
      <w:keepLines/>
      <w:pBdr>
        <w:left w:val="single" w:color="ED7D31" w:themeColor="accent2" w:sz="12" w:space="12"/>
      </w:pBdr>
      <w:spacing w:before="80" w:after="80" w:line="240" w:lineRule="auto"/>
      <w:outlineLvl w:val="0"/>
    </w:pPr>
    <w:rPr>
      <w:rFonts w:asciiTheme="majorHAnsi" w:hAnsiTheme="majorHAnsi" w:eastAsiaTheme="majorEastAsia" w:cstheme="majorBidi"/>
      <w:caps/>
      <w:spacing w:val="10"/>
      <w:sz w:val="36"/>
      <w:szCs w:val="36"/>
    </w:rPr>
  </w:style>
  <w:style w:type="paragraph" w:styleId="4">
    <w:name w:val="heading 2"/>
    <w:basedOn w:val="1"/>
    <w:next w:val="1"/>
    <w:link w:val="63"/>
    <w:unhideWhenUsed/>
    <w:qFormat/>
    <w:uiPriority w:val="0"/>
    <w:pPr>
      <w:keepNext/>
      <w:keepLines/>
      <w:spacing w:before="120" w:after="0" w:line="240" w:lineRule="auto"/>
      <w:outlineLvl w:val="1"/>
    </w:pPr>
    <w:rPr>
      <w:rFonts w:asciiTheme="majorHAnsi" w:hAnsiTheme="majorHAnsi" w:eastAsiaTheme="majorEastAsia" w:cstheme="majorBidi"/>
      <w:sz w:val="36"/>
      <w:szCs w:val="36"/>
    </w:rPr>
  </w:style>
  <w:style w:type="paragraph" w:styleId="5">
    <w:name w:val="heading 3"/>
    <w:basedOn w:val="1"/>
    <w:next w:val="1"/>
    <w:link w:val="64"/>
    <w:unhideWhenUsed/>
    <w:qFormat/>
    <w:uiPriority w:val="0"/>
    <w:pPr>
      <w:keepNext/>
      <w:keepLines/>
      <w:spacing w:before="80" w:after="0" w:line="240" w:lineRule="auto"/>
      <w:outlineLvl w:val="2"/>
    </w:pPr>
    <w:rPr>
      <w:rFonts w:asciiTheme="majorHAnsi" w:hAnsiTheme="majorHAnsi" w:eastAsiaTheme="majorEastAsia" w:cstheme="majorBidi"/>
      <w:caps/>
      <w:sz w:val="28"/>
      <w:szCs w:val="28"/>
    </w:rPr>
  </w:style>
  <w:style w:type="paragraph" w:styleId="6">
    <w:name w:val="heading 4"/>
    <w:basedOn w:val="1"/>
    <w:next w:val="1"/>
    <w:link w:val="65"/>
    <w:unhideWhenUsed/>
    <w:qFormat/>
    <w:uiPriority w:val="0"/>
    <w:pPr>
      <w:keepNext/>
      <w:keepLines/>
      <w:spacing w:before="80" w:after="0" w:line="240" w:lineRule="auto"/>
      <w:outlineLvl w:val="3"/>
    </w:pPr>
    <w:rPr>
      <w:rFonts w:asciiTheme="majorHAnsi" w:hAnsiTheme="majorHAnsi" w:eastAsiaTheme="majorEastAsia" w:cstheme="majorBidi"/>
      <w:i/>
      <w:iCs/>
      <w:sz w:val="28"/>
      <w:szCs w:val="28"/>
    </w:rPr>
  </w:style>
  <w:style w:type="paragraph" w:styleId="7">
    <w:name w:val="heading 5"/>
    <w:basedOn w:val="1"/>
    <w:next w:val="1"/>
    <w:link w:val="66"/>
    <w:unhideWhenUsed/>
    <w:qFormat/>
    <w:uiPriority w:val="0"/>
    <w:pPr>
      <w:keepNext/>
      <w:keepLines/>
      <w:spacing w:before="80" w:after="0" w:line="240" w:lineRule="auto"/>
      <w:outlineLvl w:val="4"/>
    </w:pPr>
    <w:rPr>
      <w:rFonts w:asciiTheme="majorHAnsi" w:hAnsiTheme="majorHAnsi" w:eastAsiaTheme="majorEastAsia" w:cstheme="majorBidi"/>
      <w:sz w:val="24"/>
      <w:szCs w:val="24"/>
    </w:rPr>
  </w:style>
  <w:style w:type="paragraph" w:styleId="8">
    <w:name w:val="heading 6"/>
    <w:basedOn w:val="1"/>
    <w:next w:val="1"/>
    <w:link w:val="67"/>
    <w:unhideWhenUsed/>
    <w:qFormat/>
    <w:uiPriority w:val="0"/>
    <w:pPr>
      <w:keepNext/>
      <w:keepLines/>
      <w:spacing w:before="80" w:after="0" w:line="240" w:lineRule="auto"/>
      <w:outlineLvl w:val="5"/>
    </w:pPr>
    <w:rPr>
      <w:rFonts w:asciiTheme="majorHAnsi" w:hAnsiTheme="majorHAnsi" w:eastAsiaTheme="majorEastAsia" w:cstheme="majorBidi"/>
      <w:i/>
      <w:iCs/>
      <w:sz w:val="24"/>
      <w:szCs w:val="24"/>
    </w:rPr>
  </w:style>
  <w:style w:type="paragraph" w:styleId="9">
    <w:name w:val="heading 7"/>
    <w:basedOn w:val="1"/>
    <w:next w:val="1"/>
    <w:link w:val="68"/>
    <w:unhideWhenUsed/>
    <w:qFormat/>
    <w:uiPriority w:val="0"/>
    <w:pPr>
      <w:keepNext/>
      <w:keepLines/>
      <w:spacing w:before="80" w:after="0" w:line="240" w:lineRule="auto"/>
      <w:outlineLvl w:val="6"/>
    </w:pPr>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paragraph" w:styleId="10">
    <w:name w:val="heading 8"/>
    <w:basedOn w:val="1"/>
    <w:next w:val="1"/>
    <w:link w:val="69"/>
    <w:unhideWhenUsed/>
    <w:qFormat/>
    <w:uiPriority w:val="0"/>
    <w:pPr>
      <w:keepNext/>
      <w:keepLines/>
      <w:spacing w:before="80" w:after="0" w:line="240" w:lineRule="auto"/>
      <w:outlineLvl w:val="7"/>
    </w:pPr>
    <w:rPr>
      <w:rFonts w:asciiTheme="majorHAnsi" w:hAnsiTheme="majorHAnsi" w:eastAsiaTheme="majorEastAsia" w:cstheme="majorBidi"/>
      <w:caps/>
    </w:rPr>
  </w:style>
  <w:style w:type="paragraph" w:styleId="11">
    <w:name w:val="heading 9"/>
    <w:basedOn w:val="1"/>
    <w:next w:val="1"/>
    <w:link w:val="70"/>
    <w:unhideWhenUsed/>
    <w:qFormat/>
    <w:uiPriority w:val="0"/>
    <w:pPr>
      <w:keepNext/>
      <w:keepLines/>
      <w:spacing w:before="80" w:after="0" w:line="240" w:lineRule="auto"/>
      <w:outlineLvl w:val="8"/>
    </w:pPr>
    <w:rPr>
      <w:rFonts w:asciiTheme="majorHAnsi" w:hAnsiTheme="majorHAnsi" w:eastAsiaTheme="majorEastAsia" w:cstheme="majorBidi"/>
      <w:i/>
      <w:iCs/>
      <w:caps/>
    </w:rPr>
  </w:style>
  <w:style w:type="character" w:default="1" w:styleId="48">
    <w:name w:val="Default Paragraph Font"/>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2">
    <w:name w:val="toc 7"/>
    <w:basedOn w:val="1"/>
    <w:next w:val="1"/>
    <w:qFormat/>
    <w:uiPriority w:val="39"/>
    <w:pPr>
      <w:widowControl w:val="0"/>
      <w:adjustRightInd w:val="0"/>
      <w:spacing w:after="0" w:line="360" w:lineRule="auto"/>
      <w:ind w:left="1440"/>
    </w:pPr>
    <w:rPr>
      <w:rFonts w:ascii="Calibri" w:hAnsi="Calibri" w:eastAsia="宋体" w:cs="Times New Roman"/>
      <w:kern w:val="2"/>
      <w:sz w:val="18"/>
      <w:szCs w:val="18"/>
    </w:rPr>
  </w:style>
  <w:style w:type="paragraph" w:styleId="13">
    <w:name w:val="Note Heading"/>
    <w:basedOn w:val="1"/>
    <w:next w:val="1"/>
    <w:link w:val="92"/>
    <w:qFormat/>
    <w:uiPriority w:val="0"/>
    <w:pPr>
      <w:widowControl w:val="0"/>
      <w:adjustRightInd w:val="0"/>
      <w:spacing w:after="0" w:line="312" w:lineRule="atLeast"/>
      <w:jc w:val="center"/>
      <w:textAlignment w:val="baseline"/>
    </w:pPr>
    <w:rPr>
      <w:rFonts w:ascii="Times New Roman" w:hAnsi="Times New Roman" w:eastAsia="宋体" w:cs="Times New Roman"/>
      <w:szCs w:val="20"/>
    </w:rPr>
  </w:style>
  <w:style w:type="paragraph" w:styleId="14">
    <w:name w:val="Normal Indent"/>
    <w:basedOn w:val="1"/>
    <w:link w:val="122"/>
    <w:qFormat/>
    <w:uiPriority w:val="0"/>
    <w:pPr>
      <w:widowControl w:val="0"/>
      <w:adjustRightInd w:val="0"/>
      <w:spacing w:after="0" w:line="360" w:lineRule="auto"/>
      <w:ind w:firstLine="420" w:firstLineChars="200"/>
    </w:pPr>
    <w:rPr>
      <w:rFonts w:ascii="宋体" w:hAnsi="宋体" w:eastAsia="宋体" w:cs="宋体"/>
      <w:color w:val="000000"/>
      <w:sz w:val="24"/>
    </w:rPr>
  </w:style>
  <w:style w:type="paragraph" w:styleId="15">
    <w:name w:val="caption"/>
    <w:basedOn w:val="1"/>
    <w:next w:val="1"/>
    <w:link w:val="87"/>
    <w:unhideWhenUsed/>
    <w:qFormat/>
    <w:uiPriority w:val="0"/>
    <w:pPr>
      <w:spacing w:line="240" w:lineRule="auto"/>
    </w:pPr>
    <w:rPr>
      <w:b/>
      <w:bCs/>
      <w:color w:val="ED7D31" w:themeColor="accent2"/>
      <w:spacing w:val="10"/>
      <w:sz w:val="16"/>
      <w:szCs w:val="16"/>
      <w14:textFill>
        <w14:solidFill>
          <w14:schemeClr w14:val="accent2"/>
        </w14:solidFill>
      </w14:textFill>
    </w:rPr>
  </w:style>
  <w:style w:type="paragraph" w:styleId="16">
    <w:name w:val="List Bullet"/>
    <w:basedOn w:val="1"/>
    <w:qFormat/>
    <w:uiPriority w:val="0"/>
    <w:pPr>
      <w:widowControl w:val="0"/>
      <w:tabs>
        <w:tab w:val="left" w:pos="420"/>
      </w:tabs>
      <w:overflowPunct w:val="0"/>
      <w:spacing w:after="0" w:line="240" w:lineRule="auto"/>
      <w:ind w:left="420"/>
      <w:jc w:val="both"/>
    </w:pPr>
    <w:rPr>
      <w:rFonts w:ascii="Times New Roman" w:hAnsi="Times New Roman" w:eastAsia="宋体" w:cs="Times New Roman"/>
      <w:kern w:val="2"/>
      <w:sz w:val="24"/>
    </w:rPr>
  </w:style>
  <w:style w:type="paragraph" w:styleId="17">
    <w:name w:val="Document Map"/>
    <w:basedOn w:val="1"/>
    <w:link w:val="93"/>
    <w:qFormat/>
    <w:uiPriority w:val="0"/>
    <w:pPr>
      <w:widowControl w:val="0"/>
      <w:shd w:val="clear" w:color="auto" w:fill="000080"/>
      <w:spacing w:after="0" w:line="240" w:lineRule="auto"/>
      <w:jc w:val="both"/>
    </w:pPr>
    <w:rPr>
      <w:rFonts w:ascii="Times New Roman" w:hAnsi="Times New Roman" w:eastAsia="宋体" w:cs="Times New Roman"/>
      <w:kern w:val="2"/>
    </w:rPr>
  </w:style>
  <w:style w:type="paragraph" w:styleId="18">
    <w:name w:val="annotation text"/>
    <w:basedOn w:val="1"/>
    <w:link w:val="88"/>
    <w:qFormat/>
    <w:uiPriority w:val="99"/>
    <w:pPr>
      <w:widowControl w:val="0"/>
      <w:spacing w:after="0" w:line="240" w:lineRule="auto"/>
      <w:ind w:firstLine="573"/>
    </w:pPr>
    <w:rPr>
      <w:rFonts w:eastAsia="宋体"/>
      <w:sz w:val="28"/>
    </w:rPr>
  </w:style>
  <w:style w:type="paragraph" w:styleId="19">
    <w:name w:val="Body Text 3"/>
    <w:basedOn w:val="1"/>
    <w:link w:val="94"/>
    <w:qFormat/>
    <w:uiPriority w:val="0"/>
    <w:pPr>
      <w:widowControl w:val="0"/>
      <w:autoSpaceDE w:val="0"/>
      <w:autoSpaceDN w:val="0"/>
      <w:adjustRightInd w:val="0"/>
      <w:spacing w:after="0" w:line="240" w:lineRule="auto"/>
      <w:jc w:val="both"/>
    </w:pPr>
    <w:rPr>
      <w:rFonts w:ascii="Times New Roman" w:hAnsi="Times New Roman" w:eastAsia="宋体" w:cs="Times New Roman"/>
      <w:color w:val="000000"/>
      <w:kern w:val="2"/>
      <w:sz w:val="18"/>
      <w:szCs w:val="28"/>
    </w:rPr>
  </w:style>
  <w:style w:type="paragraph" w:styleId="20">
    <w:name w:val="Body Text"/>
    <w:basedOn w:val="1"/>
    <w:link w:val="95"/>
    <w:qFormat/>
    <w:uiPriority w:val="0"/>
    <w:pPr>
      <w:widowControl w:val="0"/>
      <w:adjustRightInd w:val="0"/>
      <w:spacing w:before="100" w:beforeAutospacing="1" w:after="120" w:line="360" w:lineRule="auto"/>
    </w:pPr>
    <w:rPr>
      <w:rFonts w:ascii="Times New Roman" w:hAnsi="Times New Roman" w:eastAsia="宋体" w:cs="Times New Roman"/>
      <w:kern w:val="2"/>
      <w:sz w:val="24"/>
    </w:rPr>
  </w:style>
  <w:style w:type="paragraph" w:styleId="21">
    <w:name w:val="Body Text Indent"/>
    <w:basedOn w:val="1"/>
    <w:link w:val="96"/>
    <w:qFormat/>
    <w:uiPriority w:val="0"/>
    <w:pPr>
      <w:widowControl w:val="0"/>
      <w:adjustRightInd w:val="0"/>
      <w:spacing w:before="50" w:after="100" w:afterAutospacing="1" w:line="360" w:lineRule="auto"/>
      <w:ind w:left="720" w:leftChars="300"/>
    </w:pPr>
    <w:rPr>
      <w:rFonts w:ascii="宋体" w:hAnsi="宋体" w:eastAsia="宋体" w:cs="宋体"/>
      <w:color w:val="FF0000"/>
      <w:sz w:val="24"/>
    </w:rPr>
  </w:style>
  <w:style w:type="paragraph" w:styleId="22">
    <w:name w:val="toc 5"/>
    <w:basedOn w:val="1"/>
    <w:next w:val="1"/>
    <w:qFormat/>
    <w:uiPriority w:val="39"/>
    <w:pPr>
      <w:widowControl w:val="0"/>
      <w:adjustRightInd w:val="0"/>
      <w:spacing w:after="0" w:line="360" w:lineRule="auto"/>
      <w:ind w:left="960"/>
    </w:pPr>
    <w:rPr>
      <w:rFonts w:ascii="Calibri" w:hAnsi="Calibri" w:eastAsia="宋体" w:cs="Times New Roman"/>
      <w:kern w:val="2"/>
      <w:sz w:val="18"/>
      <w:szCs w:val="18"/>
    </w:rPr>
  </w:style>
  <w:style w:type="paragraph" w:styleId="23">
    <w:name w:val="toc 3"/>
    <w:basedOn w:val="1"/>
    <w:next w:val="1"/>
    <w:qFormat/>
    <w:uiPriority w:val="39"/>
    <w:pPr>
      <w:widowControl w:val="0"/>
      <w:adjustRightInd w:val="0"/>
      <w:spacing w:after="0" w:line="360" w:lineRule="auto"/>
      <w:ind w:left="480"/>
    </w:pPr>
    <w:rPr>
      <w:rFonts w:ascii="Calibri" w:hAnsi="Calibri" w:eastAsia="宋体" w:cs="Times New Roman"/>
      <w:i/>
      <w:iCs/>
      <w:kern w:val="2"/>
      <w:sz w:val="20"/>
      <w:szCs w:val="20"/>
    </w:rPr>
  </w:style>
  <w:style w:type="paragraph" w:styleId="24">
    <w:name w:val="Plain Text"/>
    <w:basedOn w:val="1"/>
    <w:link w:val="97"/>
    <w:qFormat/>
    <w:uiPriority w:val="0"/>
    <w:pPr>
      <w:widowControl w:val="0"/>
      <w:adjustRightInd w:val="0"/>
      <w:spacing w:after="0" w:line="360" w:lineRule="auto"/>
    </w:pPr>
    <w:rPr>
      <w:rFonts w:ascii="MS Mincho" w:hAnsi="Courier New" w:eastAsia="MS Mincho" w:cs="Times New Roman"/>
      <w:kern w:val="2"/>
      <w:sz w:val="24"/>
    </w:rPr>
  </w:style>
  <w:style w:type="paragraph" w:styleId="25">
    <w:name w:val="toc 8"/>
    <w:basedOn w:val="1"/>
    <w:next w:val="1"/>
    <w:qFormat/>
    <w:uiPriority w:val="39"/>
    <w:pPr>
      <w:widowControl w:val="0"/>
      <w:adjustRightInd w:val="0"/>
      <w:spacing w:after="0" w:line="360" w:lineRule="auto"/>
      <w:ind w:left="1680"/>
    </w:pPr>
    <w:rPr>
      <w:rFonts w:ascii="Calibri" w:hAnsi="Calibri" w:eastAsia="宋体" w:cs="Times New Roman"/>
      <w:kern w:val="2"/>
      <w:sz w:val="18"/>
      <w:szCs w:val="18"/>
    </w:rPr>
  </w:style>
  <w:style w:type="paragraph" w:styleId="26">
    <w:name w:val="Date"/>
    <w:basedOn w:val="1"/>
    <w:next w:val="1"/>
    <w:link w:val="98"/>
    <w:qFormat/>
    <w:uiPriority w:val="0"/>
    <w:pPr>
      <w:widowControl w:val="0"/>
      <w:adjustRightInd w:val="0"/>
      <w:spacing w:after="0" w:line="360" w:lineRule="auto"/>
      <w:jc w:val="both"/>
      <w:textAlignment w:val="baseline"/>
    </w:pPr>
    <w:rPr>
      <w:rFonts w:ascii="Times New Roman" w:hAnsi="Times New Roman" w:eastAsia="黑体" w:cs="Times New Roman"/>
      <w:sz w:val="24"/>
      <w:szCs w:val="20"/>
    </w:rPr>
  </w:style>
  <w:style w:type="paragraph" w:styleId="27">
    <w:name w:val="Body Text Indent 2"/>
    <w:basedOn w:val="1"/>
    <w:link w:val="119"/>
    <w:qFormat/>
    <w:uiPriority w:val="0"/>
    <w:pPr>
      <w:widowControl w:val="0"/>
      <w:adjustRightInd w:val="0"/>
      <w:spacing w:before="100" w:beforeAutospacing="1" w:after="120" w:line="480" w:lineRule="auto"/>
      <w:ind w:left="420" w:leftChars="200"/>
    </w:pPr>
    <w:rPr>
      <w:rFonts w:ascii="Times New Roman" w:hAnsi="Times New Roman" w:eastAsia="宋体" w:cs="Times New Roman"/>
      <w:kern w:val="2"/>
      <w:sz w:val="24"/>
    </w:rPr>
  </w:style>
  <w:style w:type="paragraph" w:styleId="28">
    <w:name w:val="Balloon Text"/>
    <w:basedOn w:val="1"/>
    <w:link w:val="90"/>
    <w:unhideWhenUsed/>
    <w:qFormat/>
    <w:uiPriority w:val="0"/>
    <w:pPr>
      <w:spacing w:after="0" w:line="240" w:lineRule="auto"/>
    </w:pPr>
    <w:rPr>
      <w:sz w:val="18"/>
      <w:szCs w:val="18"/>
    </w:rPr>
  </w:style>
  <w:style w:type="paragraph" w:styleId="29">
    <w:name w:val="footer"/>
    <w:basedOn w:val="1"/>
    <w:link w:val="85"/>
    <w:unhideWhenUsed/>
    <w:qFormat/>
    <w:uiPriority w:val="99"/>
    <w:pPr>
      <w:tabs>
        <w:tab w:val="center" w:pos="4153"/>
        <w:tab w:val="right" w:pos="8306"/>
      </w:tabs>
      <w:snapToGrid w:val="0"/>
      <w:spacing w:line="240" w:lineRule="auto"/>
    </w:pPr>
    <w:rPr>
      <w:sz w:val="18"/>
      <w:szCs w:val="18"/>
    </w:rPr>
  </w:style>
  <w:style w:type="paragraph" w:styleId="30">
    <w:name w:val="header"/>
    <w:basedOn w:val="1"/>
    <w:link w:val="8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1">
    <w:name w:val="toc 1"/>
    <w:basedOn w:val="1"/>
    <w:next w:val="1"/>
    <w:qFormat/>
    <w:uiPriority w:val="39"/>
    <w:pPr>
      <w:widowControl w:val="0"/>
      <w:adjustRightInd w:val="0"/>
      <w:spacing w:before="120" w:after="120" w:line="360" w:lineRule="auto"/>
    </w:pPr>
    <w:rPr>
      <w:rFonts w:ascii="Calibri" w:hAnsi="Calibri" w:eastAsia="宋体" w:cs="Times New Roman"/>
      <w:b/>
      <w:bCs/>
      <w:caps/>
      <w:kern w:val="2"/>
      <w:sz w:val="20"/>
      <w:szCs w:val="20"/>
    </w:rPr>
  </w:style>
  <w:style w:type="paragraph" w:styleId="32">
    <w:name w:val="toc 4"/>
    <w:basedOn w:val="1"/>
    <w:next w:val="1"/>
    <w:qFormat/>
    <w:uiPriority w:val="39"/>
    <w:pPr>
      <w:widowControl w:val="0"/>
      <w:adjustRightInd w:val="0"/>
      <w:spacing w:after="0" w:line="360" w:lineRule="auto"/>
      <w:ind w:left="720"/>
    </w:pPr>
    <w:rPr>
      <w:rFonts w:ascii="Calibri" w:hAnsi="Calibri" w:eastAsia="宋体" w:cs="Times New Roman"/>
      <w:kern w:val="2"/>
      <w:sz w:val="18"/>
      <w:szCs w:val="18"/>
    </w:rPr>
  </w:style>
  <w:style w:type="paragraph" w:styleId="33">
    <w:name w:val="Subtitle"/>
    <w:basedOn w:val="1"/>
    <w:next w:val="1"/>
    <w:link w:val="72"/>
    <w:qFormat/>
    <w:uiPriority w:val="11"/>
    <w:pPr>
      <w:spacing w:after="240"/>
    </w:pPr>
    <w:rPr>
      <w:color w:val="000000" w:themeColor="text1"/>
      <w:sz w:val="24"/>
      <w:szCs w:val="24"/>
      <w14:textFill>
        <w14:solidFill>
          <w14:schemeClr w14:val="tx1"/>
        </w14:solidFill>
      </w14:textFill>
    </w:rPr>
  </w:style>
  <w:style w:type="paragraph" w:styleId="34">
    <w:name w:val="toc 6"/>
    <w:basedOn w:val="1"/>
    <w:next w:val="1"/>
    <w:qFormat/>
    <w:uiPriority w:val="39"/>
    <w:pPr>
      <w:widowControl w:val="0"/>
      <w:adjustRightInd w:val="0"/>
      <w:spacing w:after="0" w:line="360" w:lineRule="auto"/>
      <w:ind w:left="1200"/>
    </w:pPr>
    <w:rPr>
      <w:rFonts w:ascii="Calibri" w:hAnsi="Calibri" w:eastAsia="宋体" w:cs="Times New Roman"/>
      <w:kern w:val="2"/>
      <w:sz w:val="18"/>
      <w:szCs w:val="18"/>
    </w:rPr>
  </w:style>
  <w:style w:type="paragraph" w:styleId="35">
    <w:name w:val="Body Text Indent 3"/>
    <w:basedOn w:val="1"/>
    <w:link w:val="101"/>
    <w:qFormat/>
    <w:uiPriority w:val="0"/>
    <w:pPr>
      <w:widowControl w:val="0"/>
      <w:spacing w:after="0" w:line="500" w:lineRule="exact"/>
      <w:ind w:firstLine="480"/>
      <w:jc w:val="both"/>
    </w:pPr>
    <w:rPr>
      <w:rFonts w:ascii="Times New Roman" w:hAnsi="Times New Roman" w:eastAsia="宋体" w:cs="Times New Roman"/>
      <w:color w:val="000000"/>
      <w:sz w:val="24"/>
      <w:szCs w:val="20"/>
    </w:rPr>
  </w:style>
  <w:style w:type="paragraph" w:styleId="36">
    <w:name w:val="table of figures"/>
    <w:basedOn w:val="1"/>
    <w:next w:val="1"/>
    <w:qFormat/>
    <w:uiPriority w:val="0"/>
    <w:pPr>
      <w:widowControl w:val="0"/>
      <w:spacing w:after="0" w:line="560" w:lineRule="exact"/>
      <w:ind w:left="200" w:hanging="200" w:hangingChars="200"/>
      <w:jc w:val="both"/>
    </w:pPr>
    <w:rPr>
      <w:rFonts w:ascii="Times New Roman" w:hAnsi="Times New Roman" w:eastAsia="宋体" w:cs="Times New Roman"/>
      <w:kern w:val="2"/>
      <w:sz w:val="24"/>
    </w:rPr>
  </w:style>
  <w:style w:type="paragraph" w:styleId="37">
    <w:name w:val="toc 2"/>
    <w:basedOn w:val="1"/>
    <w:next w:val="1"/>
    <w:qFormat/>
    <w:uiPriority w:val="39"/>
    <w:pPr>
      <w:widowControl w:val="0"/>
      <w:adjustRightInd w:val="0"/>
      <w:spacing w:after="0" w:line="360" w:lineRule="auto"/>
      <w:ind w:left="240"/>
    </w:pPr>
    <w:rPr>
      <w:rFonts w:ascii="Calibri" w:hAnsi="Calibri" w:eastAsia="宋体" w:cs="Times New Roman"/>
      <w:smallCaps/>
      <w:kern w:val="2"/>
      <w:sz w:val="20"/>
      <w:szCs w:val="20"/>
    </w:rPr>
  </w:style>
  <w:style w:type="paragraph" w:styleId="38">
    <w:name w:val="toc 9"/>
    <w:basedOn w:val="1"/>
    <w:next w:val="1"/>
    <w:qFormat/>
    <w:uiPriority w:val="39"/>
    <w:pPr>
      <w:widowControl w:val="0"/>
      <w:adjustRightInd w:val="0"/>
      <w:spacing w:after="0" w:line="360" w:lineRule="auto"/>
      <w:ind w:left="1920"/>
    </w:pPr>
    <w:rPr>
      <w:rFonts w:ascii="Calibri" w:hAnsi="Calibri" w:eastAsia="宋体" w:cs="Times New Roman"/>
      <w:kern w:val="2"/>
      <w:sz w:val="18"/>
      <w:szCs w:val="18"/>
    </w:rPr>
  </w:style>
  <w:style w:type="paragraph" w:styleId="39">
    <w:name w:val="Body Text 2"/>
    <w:basedOn w:val="1"/>
    <w:link w:val="102"/>
    <w:qFormat/>
    <w:uiPriority w:val="0"/>
    <w:pPr>
      <w:widowControl w:val="0"/>
      <w:spacing w:after="0" w:line="240" w:lineRule="auto"/>
      <w:jc w:val="center"/>
    </w:pPr>
    <w:rPr>
      <w:rFonts w:ascii="Times New Roman" w:hAnsi="Times New Roman" w:eastAsia="宋体" w:cs="Times New Roman"/>
      <w:kern w:val="2"/>
      <w:sz w:val="18"/>
    </w:rPr>
  </w:style>
  <w:style w:type="paragraph" w:styleId="40">
    <w:name w:val="HTML Preformatted"/>
    <w:basedOn w:val="1"/>
    <w:link w:val="10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hAnsi="宋体" w:eastAsia="宋体" w:cs="宋体"/>
      <w:sz w:val="24"/>
    </w:rPr>
  </w:style>
  <w:style w:type="paragraph" w:styleId="41">
    <w:name w:val="Normal (Web)"/>
    <w:basedOn w:val="1"/>
    <w:qFormat/>
    <w:uiPriority w:val="0"/>
    <w:pPr>
      <w:widowControl w:val="0"/>
      <w:adjustRightInd w:val="0"/>
      <w:spacing w:before="100" w:beforeAutospacing="1" w:after="100" w:afterAutospacing="1" w:line="360" w:lineRule="auto"/>
    </w:pPr>
    <w:rPr>
      <w:rFonts w:ascii="Calibri" w:hAnsi="Calibri" w:eastAsia="宋体" w:cs="宋体"/>
      <w:sz w:val="24"/>
    </w:rPr>
  </w:style>
  <w:style w:type="paragraph" w:styleId="42">
    <w:name w:val="List Continue 3"/>
    <w:basedOn w:val="1"/>
    <w:qFormat/>
    <w:uiPriority w:val="0"/>
    <w:pPr>
      <w:widowControl w:val="0"/>
      <w:spacing w:after="120" w:line="240" w:lineRule="auto"/>
      <w:ind w:left="1260" w:leftChars="600"/>
      <w:jc w:val="both"/>
    </w:pPr>
    <w:rPr>
      <w:rFonts w:ascii="Times New Roman" w:hAnsi="Times New Roman" w:eastAsia="宋体" w:cs="Times New Roman"/>
      <w:color w:val="000000"/>
      <w:sz w:val="24"/>
      <w:szCs w:val="20"/>
    </w:rPr>
  </w:style>
  <w:style w:type="paragraph" w:styleId="43">
    <w:name w:val="index 1"/>
    <w:basedOn w:val="1"/>
    <w:next w:val="1"/>
    <w:qFormat/>
    <w:uiPriority w:val="0"/>
    <w:pPr>
      <w:widowControl w:val="0"/>
      <w:spacing w:after="0" w:line="360" w:lineRule="auto"/>
      <w:jc w:val="both"/>
    </w:pPr>
    <w:rPr>
      <w:rFonts w:ascii="Times New Roman" w:hAnsi="Times New Roman" w:eastAsia="宋体" w:cs="Times New Roman"/>
      <w:sz w:val="24"/>
    </w:rPr>
  </w:style>
  <w:style w:type="paragraph" w:styleId="44">
    <w:name w:val="Title"/>
    <w:basedOn w:val="1"/>
    <w:next w:val="1"/>
    <w:link w:val="71"/>
    <w:qFormat/>
    <w:uiPriority w:val="0"/>
    <w:pPr>
      <w:spacing w:after="0" w:line="240" w:lineRule="auto"/>
      <w:contextualSpacing/>
    </w:pPr>
    <w:rPr>
      <w:rFonts w:asciiTheme="majorHAnsi" w:hAnsiTheme="majorHAnsi" w:eastAsiaTheme="majorEastAsia" w:cstheme="majorBidi"/>
      <w:caps/>
      <w:spacing w:val="40"/>
      <w:sz w:val="76"/>
      <w:szCs w:val="76"/>
    </w:rPr>
  </w:style>
  <w:style w:type="paragraph" w:styleId="45">
    <w:name w:val="annotation subject"/>
    <w:basedOn w:val="18"/>
    <w:next w:val="18"/>
    <w:link w:val="91"/>
    <w:qFormat/>
    <w:uiPriority w:val="0"/>
    <w:pPr>
      <w:adjustRightInd w:val="0"/>
      <w:spacing w:line="360" w:lineRule="auto"/>
      <w:ind w:firstLine="0"/>
    </w:pPr>
    <w:rPr>
      <w:rFonts w:ascii="Times New Roman" w:hAnsi="Times New Roman" w:cs="Times New Roman"/>
      <w:b/>
      <w:bCs/>
      <w:kern w:val="2"/>
      <w:sz w:val="24"/>
    </w:rPr>
  </w:style>
  <w:style w:type="table" w:styleId="47">
    <w:name w:val="Table Grid"/>
    <w:basedOn w:val="46"/>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rFonts w:asciiTheme="minorHAnsi" w:hAnsiTheme="minorHAnsi" w:eastAsiaTheme="minorEastAsia" w:cstheme="minorBidi"/>
      <w:b/>
      <w:bCs/>
      <w:spacing w:val="0"/>
      <w:w w:val="100"/>
      <w:position w:val="0"/>
      <w:sz w:val="20"/>
      <w:szCs w:val="20"/>
    </w:rPr>
  </w:style>
  <w:style w:type="character" w:styleId="50">
    <w:name w:val="page number"/>
    <w:basedOn w:val="48"/>
    <w:qFormat/>
    <w:uiPriority w:val="0"/>
  </w:style>
  <w:style w:type="character" w:styleId="51">
    <w:name w:val="FollowedHyperlink"/>
    <w:qFormat/>
    <w:uiPriority w:val="0"/>
    <w:rPr>
      <w:color w:val="00AAE8"/>
      <w:u w:val="none"/>
    </w:rPr>
  </w:style>
  <w:style w:type="character" w:styleId="52">
    <w:name w:val="Emphasis"/>
    <w:basedOn w:val="48"/>
    <w:qFormat/>
    <w:uiPriority w:val="0"/>
    <w:rPr>
      <w:rFonts w:asciiTheme="minorHAnsi" w:hAnsiTheme="minorHAnsi" w:eastAsiaTheme="minorEastAsia" w:cstheme="minorBidi"/>
      <w:i/>
      <w:iCs/>
      <w:color w:val="C55A11" w:themeColor="accent2" w:themeShade="BF"/>
      <w:sz w:val="20"/>
      <w:szCs w:val="20"/>
    </w:rPr>
  </w:style>
  <w:style w:type="character" w:styleId="53">
    <w:name w:val="HTML Definition"/>
    <w:qFormat/>
    <w:uiPriority w:val="0"/>
    <w:rPr>
      <w:i/>
      <w:color w:val="555555"/>
      <w:sz w:val="21"/>
      <w:szCs w:val="21"/>
      <w:bdr w:val="single" w:color="CCCCCC" w:sz="6" w:space="0"/>
      <w:shd w:val="clear" w:color="auto" w:fill="EEEEEE"/>
    </w:rPr>
  </w:style>
  <w:style w:type="character" w:styleId="54">
    <w:name w:val="HTML Acronym"/>
    <w:basedOn w:val="48"/>
    <w:qFormat/>
    <w:uiPriority w:val="0"/>
  </w:style>
  <w:style w:type="character" w:styleId="55">
    <w:name w:val="HTML Variable"/>
    <w:qFormat/>
    <w:uiPriority w:val="0"/>
  </w:style>
  <w:style w:type="character" w:styleId="56">
    <w:name w:val="Hyperlink"/>
    <w:qFormat/>
    <w:uiPriority w:val="99"/>
    <w:rPr>
      <w:color w:val="0000FF"/>
      <w:u w:val="none"/>
    </w:rPr>
  </w:style>
  <w:style w:type="character" w:styleId="57">
    <w:name w:val="HTML Code"/>
    <w:qFormat/>
    <w:uiPriority w:val="0"/>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szCs w:val="21"/>
    </w:rPr>
  </w:style>
  <w:style w:type="character" w:styleId="59">
    <w:name w:val="HTML Cite"/>
    <w:qFormat/>
    <w:uiPriority w:val="0"/>
  </w:style>
  <w:style w:type="character" w:styleId="60">
    <w:name w:val="HTML Keyboard"/>
    <w:qFormat/>
    <w:uiPriority w:val="0"/>
    <w:rPr>
      <w:rFonts w:ascii="Consolas" w:hAnsi="Consolas" w:eastAsia="Consolas" w:cs="Consolas"/>
      <w:color w:val="FFFFFF"/>
      <w:sz w:val="21"/>
      <w:szCs w:val="21"/>
      <w:shd w:val="clear" w:color="auto" w:fill="333333"/>
    </w:rPr>
  </w:style>
  <w:style w:type="character" w:styleId="61">
    <w:name w:val="HTML Sample"/>
    <w:qFormat/>
    <w:uiPriority w:val="0"/>
    <w:rPr>
      <w:rFonts w:hint="default" w:ascii="Consolas" w:hAnsi="Consolas" w:eastAsia="Consolas" w:cs="Consolas"/>
      <w:sz w:val="21"/>
      <w:szCs w:val="21"/>
    </w:rPr>
  </w:style>
  <w:style w:type="character" w:customStyle="1" w:styleId="62">
    <w:name w:val="标题 1 字符"/>
    <w:basedOn w:val="48"/>
    <w:link w:val="3"/>
    <w:qFormat/>
    <w:uiPriority w:val="0"/>
    <w:rPr>
      <w:rFonts w:asciiTheme="majorHAnsi" w:hAnsiTheme="majorHAnsi" w:eastAsiaTheme="majorEastAsia" w:cstheme="majorBidi"/>
      <w:caps/>
      <w:spacing w:val="10"/>
      <w:sz w:val="36"/>
      <w:szCs w:val="36"/>
    </w:rPr>
  </w:style>
  <w:style w:type="character" w:customStyle="1" w:styleId="63">
    <w:name w:val="标题 2 字符"/>
    <w:basedOn w:val="48"/>
    <w:link w:val="4"/>
    <w:qFormat/>
    <w:uiPriority w:val="0"/>
    <w:rPr>
      <w:rFonts w:asciiTheme="majorHAnsi" w:hAnsiTheme="majorHAnsi" w:eastAsiaTheme="majorEastAsia" w:cstheme="majorBidi"/>
      <w:sz w:val="36"/>
      <w:szCs w:val="36"/>
    </w:rPr>
  </w:style>
  <w:style w:type="character" w:customStyle="1" w:styleId="64">
    <w:name w:val="标题 3 字符"/>
    <w:basedOn w:val="48"/>
    <w:link w:val="5"/>
    <w:qFormat/>
    <w:uiPriority w:val="0"/>
    <w:rPr>
      <w:rFonts w:asciiTheme="majorHAnsi" w:hAnsiTheme="majorHAnsi" w:eastAsiaTheme="majorEastAsia" w:cstheme="majorBidi"/>
      <w:caps/>
      <w:sz w:val="28"/>
      <w:szCs w:val="28"/>
    </w:rPr>
  </w:style>
  <w:style w:type="character" w:customStyle="1" w:styleId="65">
    <w:name w:val="标题 4 字符"/>
    <w:basedOn w:val="48"/>
    <w:link w:val="6"/>
    <w:qFormat/>
    <w:uiPriority w:val="0"/>
    <w:rPr>
      <w:rFonts w:asciiTheme="majorHAnsi" w:hAnsiTheme="majorHAnsi" w:eastAsiaTheme="majorEastAsia" w:cstheme="majorBidi"/>
      <w:i/>
      <w:iCs/>
      <w:sz w:val="28"/>
      <w:szCs w:val="28"/>
    </w:rPr>
  </w:style>
  <w:style w:type="character" w:customStyle="1" w:styleId="66">
    <w:name w:val="标题 5 字符"/>
    <w:basedOn w:val="48"/>
    <w:link w:val="7"/>
    <w:qFormat/>
    <w:uiPriority w:val="0"/>
    <w:rPr>
      <w:rFonts w:asciiTheme="majorHAnsi" w:hAnsiTheme="majorHAnsi" w:eastAsiaTheme="majorEastAsia" w:cstheme="majorBidi"/>
      <w:sz w:val="24"/>
      <w:szCs w:val="24"/>
    </w:rPr>
  </w:style>
  <w:style w:type="character" w:customStyle="1" w:styleId="67">
    <w:name w:val="标题 6 字符"/>
    <w:basedOn w:val="48"/>
    <w:link w:val="8"/>
    <w:qFormat/>
    <w:uiPriority w:val="0"/>
    <w:rPr>
      <w:rFonts w:asciiTheme="majorHAnsi" w:hAnsiTheme="majorHAnsi" w:eastAsiaTheme="majorEastAsia" w:cstheme="majorBidi"/>
      <w:i/>
      <w:iCs/>
      <w:sz w:val="24"/>
      <w:szCs w:val="24"/>
    </w:rPr>
  </w:style>
  <w:style w:type="character" w:customStyle="1" w:styleId="68">
    <w:name w:val="标题 7 字符"/>
    <w:basedOn w:val="48"/>
    <w:link w:val="9"/>
    <w:qFormat/>
    <w:uiPriority w:val="0"/>
    <w:rPr>
      <w:rFonts w:asciiTheme="majorHAnsi" w:hAnsiTheme="majorHAnsi" w:eastAsiaTheme="majorEastAsia" w:cstheme="majorBidi"/>
      <w:color w:val="595959" w:themeColor="text1" w:themeTint="A6"/>
      <w:sz w:val="24"/>
      <w:szCs w:val="24"/>
      <w14:textFill>
        <w14:solidFill>
          <w14:schemeClr w14:val="tx1">
            <w14:lumMod w14:val="65000"/>
            <w14:lumOff w14:val="35000"/>
          </w14:schemeClr>
        </w14:solidFill>
      </w14:textFill>
    </w:rPr>
  </w:style>
  <w:style w:type="character" w:customStyle="1" w:styleId="69">
    <w:name w:val="标题 8 字符"/>
    <w:basedOn w:val="48"/>
    <w:link w:val="10"/>
    <w:qFormat/>
    <w:uiPriority w:val="0"/>
    <w:rPr>
      <w:rFonts w:asciiTheme="majorHAnsi" w:hAnsiTheme="majorHAnsi" w:eastAsiaTheme="majorEastAsia" w:cstheme="majorBidi"/>
      <w:caps/>
    </w:rPr>
  </w:style>
  <w:style w:type="character" w:customStyle="1" w:styleId="70">
    <w:name w:val="标题 9 字符"/>
    <w:basedOn w:val="48"/>
    <w:link w:val="11"/>
    <w:qFormat/>
    <w:uiPriority w:val="0"/>
    <w:rPr>
      <w:rFonts w:asciiTheme="majorHAnsi" w:hAnsiTheme="majorHAnsi" w:eastAsiaTheme="majorEastAsia" w:cstheme="majorBidi"/>
      <w:i/>
      <w:iCs/>
      <w:caps/>
    </w:rPr>
  </w:style>
  <w:style w:type="character" w:customStyle="1" w:styleId="71">
    <w:name w:val="标题 字符"/>
    <w:basedOn w:val="48"/>
    <w:link w:val="44"/>
    <w:qFormat/>
    <w:uiPriority w:val="0"/>
    <w:rPr>
      <w:rFonts w:asciiTheme="majorHAnsi" w:hAnsiTheme="majorHAnsi" w:eastAsiaTheme="majorEastAsia" w:cstheme="majorBidi"/>
      <w:caps/>
      <w:spacing w:val="40"/>
      <w:sz w:val="76"/>
      <w:szCs w:val="76"/>
    </w:rPr>
  </w:style>
  <w:style w:type="character" w:customStyle="1" w:styleId="72">
    <w:name w:val="副标题 字符"/>
    <w:basedOn w:val="48"/>
    <w:link w:val="33"/>
    <w:qFormat/>
    <w:uiPriority w:val="11"/>
    <w:rPr>
      <w:color w:val="000000" w:themeColor="text1"/>
      <w:sz w:val="24"/>
      <w:szCs w:val="24"/>
      <w14:textFill>
        <w14:solidFill>
          <w14:schemeClr w14:val="tx1"/>
        </w14:solidFill>
      </w14:textFill>
    </w:rPr>
  </w:style>
  <w:style w:type="paragraph" w:styleId="73">
    <w:name w:val="No Spacing"/>
    <w:qFormat/>
    <w:uiPriority w:val="1"/>
    <w:rPr>
      <w:rFonts w:asciiTheme="minorHAnsi" w:hAnsiTheme="minorHAnsi" w:eastAsiaTheme="minorEastAsia" w:cstheme="minorBidi"/>
      <w:sz w:val="21"/>
      <w:szCs w:val="21"/>
      <w:lang w:val="en-US" w:eastAsia="zh-CN" w:bidi="ar-SA"/>
    </w:rPr>
  </w:style>
  <w:style w:type="paragraph" w:styleId="74">
    <w:name w:val="Quote"/>
    <w:basedOn w:val="1"/>
    <w:next w:val="1"/>
    <w:link w:val="75"/>
    <w:qFormat/>
    <w:uiPriority w:val="29"/>
    <w:pPr>
      <w:spacing w:before="160"/>
      <w:ind w:left="720"/>
    </w:pPr>
    <w:rPr>
      <w:rFonts w:asciiTheme="majorHAnsi" w:hAnsiTheme="majorHAnsi" w:eastAsiaTheme="majorEastAsia" w:cstheme="majorBidi"/>
      <w:sz w:val="24"/>
      <w:szCs w:val="24"/>
    </w:rPr>
  </w:style>
  <w:style w:type="character" w:customStyle="1" w:styleId="75">
    <w:name w:val="引用 字符"/>
    <w:basedOn w:val="48"/>
    <w:link w:val="74"/>
    <w:qFormat/>
    <w:uiPriority w:val="29"/>
    <w:rPr>
      <w:rFonts w:asciiTheme="majorHAnsi" w:hAnsiTheme="majorHAnsi" w:eastAsiaTheme="majorEastAsia" w:cstheme="majorBidi"/>
      <w:sz w:val="24"/>
      <w:szCs w:val="24"/>
    </w:rPr>
  </w:style>
  <w:style w:type="paragraph" w:styleId="76">
    <w:name w:val="Intense Quote"/>
    <w:basedOn w:val="1"/>
    <w:next w:val="1"/>
    <w:link w:val="77"/>
    <w:qFormat/>
    <w:uiPriority w:val="30"/>
    <w:pPr>
      <w:spacing w:before="100" w:beforeAutospacing="1" w:after="240"/>
      <w:ind w:left="936" w:right="936"/>
      <w:jc w:val="center"/>
    </w:pPr>
    <w:rPr>
      <w:rFonts w:asciiTheme="majorHAnsi" w:hAnsiTheme="majorHAnsi" w:eastAsiaTheme="majorEastAsia" w:cstheme="majorBidi"/>
      <w:caps/>
      <w:color w:val="C55A11" w:themeColor="accent2" w:themeShade="BF"/>
      <w:spacing w:val="10"/>
      <w:sz w:val="28"/>
      <w:szCs w:val="28"/>
    </w:rPr>
  </w:style>
  <w:style w:type="character" w:customStyle="1" w:styleId="77">
    <w:name w:val="明显引用 字符"/>
    <w:basedOn w:val="48"/>
    <w:link w:val="76"/>
    <w:qFormat/>
    <w:uiPriority w:val="30"/>
    <w:rPr>
      <w:rFonts w:asciiTheme="majorHAnsi" w:hAnsiTheme="majorHAnsi" w:eastAsiaTheme="majorEastAsia" w:cstheme="majorBidi"/>
      <w:caps/>
      <w:color w:val="C55A11" w:themeColor="accent2" w:themeShade="BF"/>
      <w:spacing w:val="10"/>
      <w:sz w:val="28"/>
      <w:szCs w:val="28"/>
    </w:rPr>
  </w:style>
  <w:style w:type="character" w:customStyle="1" w:styleId="78">
    <w:name w:val="不明显强调1"/>
    <w:basedOn w:val="48"/>
    <w:qFormat/>
    <w:uiPriority w:val="19"/>
    <w:rPr>
      <w:i/>
      <w:iCs/>
      <w:color w:val="auto"/>
    </w:rPr>
  </w:style>
  <w:style w:type="character" w:customStyle="1" w:styleId="79">
    <w:name w:val="明显强调1"/>
    <w:basedOn w:val="48"/>
    <w:qFormat/>
    <w:uiPriority w:val="21"/>
    <w:rPr>
      <w:rFonts w:asciiTheme="minorHAnsi" w:hAnsiTheme="minorHAnsi" w:eastAsiaTheme="minorEastAsia" w:cstheme="minorBidi"/>
      <w:b/>
      <w:bCs/>
      <w:i/>
      <w:iCs/>
      <w:color w:val="C55A11" w:themeColor="accent2" w:themeShade="BF"/>
      <w:spacing w:val="0"/>
      <w:w w:val="100"/>
      <w:position w:val="0"/>
      <w:sz w:val="20"/>
      <w:szCs w:val="20"/>
    </w:rPr>
  </w:style>
  <w:style w:type="character" w:customStyle="1" w:styleId="80">
    <w:name w:val="不明显参考1"/>
    <w:basedOn w:val="48"/>
    <w:qFormat/>
    <w:uiPriority w:val="31"/>
    <w:rPr>
      <w:rFonts w:asciiTheme="minorHAnsi" w:hAnsiTheme="minorHAnsi" w:eastAsiaTheme="minorEastAsia" w:cstheme="minorBidi"/>
      <w:smallCaps/>
      <w:color w:val="auto"/>
      <w:spacing w:val="10"/>
      <w:w w:val="100"/>
      <w:sz w:val="20"/>
      <w:szCs w:val="20"/>
      <w:u w:val="single" w:color="7E7E7E" w:themeColor="text1" w:themeTint="80"/>
    </w:rPr>
  </w:style>
  <w:style w:type="character" w:customStyle="1" w:styleId="81">
    <w:name w:val="明显参考1"/>
    <w:basedOn w:val="48"/>
    <w:qFormat/>
    <w:uiPriority w:val="32"/>
    <w:rPr>
      <w:rFonts w:asciiTheme="minorHAnsi" w:hAnsiTheme="minorHAnsi" w:eastAsiaTheme="minorEastAsia" w:cstheme="minorBidi"/>
      <w:b/>
      <w:bCs/>
      <w:smallCaps/>
      <w:color w:val="1A1A1A" w:themeColor="text1" w:themeTint="E6"/>
      <w:spacing w:val="10"/>
      <w:w w:val="100"/>
      <w:position w:val="0"/>
      <w:sz w:val="20"/>
      <w:szCs w:val="20"/>
      <w:u w:val="single"/>
      <w14:textFill>
        <w14:solidFill>
          <w14:schemeClr w14:val="tx1">
            <w14:lumMod w14:val="90000"/>
            <w14:lumOff w14:val="10000"/>
          </w14:schemeClr>
        </w14:solidFill>
      </w14:textFill>
    </w:rPr>
  </w:style>
  <w:style w:type="character" w:customStyle="1" w:styleId="82">
    <w:name w:val="书籍标题1"/>
    <w:basedOn w:val="48"/>
    <w:qFormat/>
    <w:uiPriority w:val="33"/>
    <w:rPr>
      <w:rFonts w:asciiTheme="minorHAnsi" w:hAnsiTheme="minorHAnsi" w:eastAsiaTheme="minorEastAsia" w:cstheme="minorBidi"/>
      <w:b/>
      <w:bCs/>
      <w:i/>
      <w:iCs/>
      <w:color w:val="auto"/>
      <w:spacing w:val="10"/>
      <w:w w:val="100"/>
      <w:sz w:val="20"/>
      <w:szCs w:val="20"/>
    </w:rPr>
  </w:style>
  <w:style w:type="paragraph" w:customStyle="1" w:styleId="83">
    <w:name w:val="TOC 标题1"/>
    <w:basedOn w:val="3"/>
    <w:next w:val="1"/>
    <w:unhideWhenUsed/>
    <w:qFormat/>
    <w:uiPriority w:val="39"/>
    <w:pPr>
      <w:outlineLvl w:val="9"/>
    </w:pPr>
  </w:style>
  <w:style w:type="character" w:customStyle="1" w:styleId="84">
    <w:name w:val="页眉 字符"/>
    <w:basedOn w:val="48"/>
    <w:link w:val="30"/>
    <w:qFormat/>
    <w:uiPriority w:val="99"/>
    <w:rPr>
      <w:sz w:val="18"/>
      <w:szCs w:val="18"/>
    </w:rPr>
  </w:style>
  <w:style w:type="character" w:customStyle="1" w:styleId="85">
    <w:name w:val="页脚 字符"/>
    <w:basedOn w:val="48"/>
    <w:link w:val="29"/>
    <w:qFormat/>
    <w:uiPriority w:val="99"/>
    <w:rPr>
      <w:sz w:val="18"/>
      <w:szCs w:val="18"/>
    </w:rPr>
  </w:style>
  <w:style w:type="paragraph" w:customStyle="1" w:styleId="86">
    <w:name w:val="表格文字"/>
    <w:basedOn w:val="1"/>
    <w:link w:val="244"/>
    <w:qFormat/>
    <w:uiPriority w:val="0"/>
    <w:pPr>
      <w:widowControl w:val="0"/>
      <w:spacing w:after="0" w:line="240" w:lineRule="auto"/>
      <w:jc w:val="center"/>
    </w:pPr>
    <w:rPr>
      <w:rFonts w:ascii="Times New Roman" w:hAnsi="Times New Roman" w:eastAsia="宋体" w:cs="Times New Roman"/>
      <w:kern w:val="2"/>
      <w:sz w:val="24"/>
      <w:szCs w:val="24"/>
    </w:rPr>
  </w:style>
  <w:style w:type="character" w:customStyle="1" w:styleId="87">
    <w:name w:val="题注 字符"/>
    <w:link w:val="15"/>
    <w:qFormat/>
    <w:uiPriority w:val="0"/>
    <w:rPr>
      <w:b/>
      <w:bCs/>
      <w:color w:val="ED7D31" w:themeColor="accent2"/>
      <w:spacing w:val="10"/>
      <w:sz w:val="16"/>
      <w:szCs w:val="16"/>
      <w14:textFill>
        <w14:solidFill>
          <w14:schemeClr w14:val="accent2"/>
        </w14:solidFill>
      </w14:textFill>
    </w:rPr>
  </w:style>
  <w:style w:type="character" w:customStyle="1" w:styleId="88">
    <w:name w:val="批注文字 字符"/>
    <w:link w:val="18"/>
    <w:qFormat/>
    <w:uiPriority w:val="99"/>
    <w:rPr>
      <w:rFonts w:eastAsia="宋体"/>
      <w:sz w:val="28"/>
    </w:rPr>
  </w:style>
  <w:style w:type="character" w:customStyle="1" w:styleId="89">
    <w:name w:val="批注文字 Char1"/>
    <w:basedOn w:val="48"/>
    <w:qFormat/>
    <w:uiPriority w:val="99"/>
  </w:style>
  <w:style w:type="character" w:customStyle="1" w:styleId="90">
    <w:name w:val="批注框文本 字符"/>
    <w:basedOn w:val="48"/>
    <w:link w:val="28"/>
    <w:qFormat/>
    <w:uiPriority w:val="99"/>
    <w:rPr>
      <w:sz w:val="18"/>
      <w:szCs w:val="18"/>
    </w:rPr>
  </w:style>
  <w:style w:type="character" w:customStyle="1" w:styleId="91">
    <w:name w:val="批注主题 字符"/>
    <w:basedOn w:val="88"/>
    <w:link w:val="45"/>
    <w:qFormat/>
    <w:uiPriority w:val="0"/>
    <w:rPr>
      <w:rFonts w:ascii="Times New Roman" w:hAnsi="Times New Roman" w:eastAsia="宋体" w:cs="Times New Roman"/>
      <w:b/>
      <w:bCs/>
      <w:kern w:val="2"/>
      <w:sz w:val="24"/>
    </w:rPr>
  </w:style>
  <w:style w:type="character" w:customStyle="1" w:styleId="92">
    <w:name w:val="注释标题 字符"/>
    <w:basedOn w:val="48"/>
    <w:link w:val="13"/>
    <w:qFormat/>
    <w:uiPriority w:val="0"/>
    <w:rPr>
      <w:rFonts w:ascii="Times New Roman" w:hAnsi="Times New Roman" w:eastAsia="宋体" w:cs="Times New Roman"/>
      <w:szCs w:val="20"/>
    </w:rPr>
  </w:style>
  <w:style w:type="character" w:customStyle="1" w:styleId="93">
    <w:name w:val="文档结构图 字符"/>
    <w:basedOn w:val="48"/>
    <w:link w:val="17"/>
    <w:qFormat/>
    <w:uiPriority w:val="0"/>
    <w:rPr>
      <w:rFonts w:ascii="Times New Roman" w:hAnsi="Times New Roman" w:eastAsia="宋体" w:cs="Times New Roman"/>
      <w:kern w:val="2"/>
      <w:shd w:val="clear" w:color="auto" w:fill="000080"/>
    </w:rPr>
  </w:style>
  <w:style w:type="character" w:customStyle="1" w:styleId="94">
    <w:name w:val="正文文本 3 字符"/>
    <w:basedOn w:val="48"/>
    <w:link w:val="19"/>
    <w:qFormat/>
    <w:uiPriority w:val="0"/>
    <w:rPr>
      <w:rFonts w:ascii="Times New Roman" w:hAnsi="Times New Roman" w:eastAsia="宋体" w:cs="Times New Roman"/>
      <w:color w:val="000000"/>
      <w:kern w:val="2"/>
      <w:sz w:val="18"/>
      <w:szCs w:val="28"/>
    </w:rPr>
  </w:style>
  <w:style w:type="character" w:customStyle="1" w:styleId="95">
    <w:name w:val="正文文本 字符"/>
    <w:basedOn w:val="48"/>
    <w:link w:val="20"/>
    <w:qFormat/>
    <w:uiPriority w:val="0"/>
    <w:rPr>
      <w:rFonts w:ascii="Times New Roman" w:hAnsi="Times New Roman" w:eastAsia="宋体" w:cs="Times New Roman"/>
      <w:kern w:val="2"/>
      <w:sz w:val="24"/>
    </w:rPr>
  </w:style>
  <w:style w:type="character" w:customStyle="1" w:styleId="96">
    <w:name w:val="正文文本缩进 字符"/>
    <w:basedOn w:val="48"/>
    <w:link w:val="21"/>
    <w:qFormat/>
    <w:uiPriority w:val="0"/>
    <w:rPr>
      <w:rFonts w:ascii="宋体" w:hAnsi="宋体" w:eastAsia="宋体" w:cs="宋体"/>
      <w:color w:val="FF0000"/>
      <w:sz w:val="24"/>
    </w:rPr>
  </w:style>
  <w:style w:type="character" w:customStyle="1" w:styleId="97">
    <w:name w:val="纯文本 字符"/>
    <w:basedOn w:val="48"/>
    <w:link w:val="24"/>
    <w:qFormat/>
    <w:uiPriority w:val="0"/>
    <w:rPr>
      <w:rFonts w:ascii="MS Mincho" w:hAnsi="Courier New" w:eastAsia="MS Mincho" w:cs="Times New Roman"/>
      <w:kern w:val="2"/>
      <w:sz w:val="24"/>
    </w:rPr>
  </w:style>
  <w:style w:type="character" w:customStyle="1" w:styleId="98">
    <w:name w:val="日期 字符"/>
    <w:basedOn w:val="48"/>
    <w:link w:val="26"/>
    <w:qFormat/>
    <w:uiPriority w:val="0"/>
    <w:rPr>
      <w:rFonts w:ascii="Times New Roman" w:hAnsi="Times New Roman" w:eastAsia="黑体" w:cs="Times New Roman"/>
      <w:sz w:val="24"/>
      <w:szCs w:val="20"/>
    </w:rPr>
  </w:style>
  <w:style w:type="character" w:customStyle="1" w:styleId="99">
    <w:name w:val="正文文本缩进 2 Char"/>
    <w:basedOn w:val="48"/>
    <w:link w:val="100"/>
    <w:qFormat/>
    <w:uiPriority w:val="0"/>
  </w:style>
  <w:style w:type="paragraph" w:customStyle="1" w:styleId="100">
    <w:name w:val="正文文本缩进 21"/>
    <w:basedOn w:val="1"/>
    <w:link w:val="99"/>
    <w:qFormat/>
    <w:uiPriority w:val="0"/>
    <w:pPr>
      <w:widowControl w:val="0"/>
      <w:adjustRightInd w:val="0"/>
      <w:spacing w:after="0" w:line="312" w:lineRule="atLeast"/>
      <w:ind w:firstLine="570"/>
      <w:jc w:val="distribute"/>
      <w:textAlignment w:val="baseline"/>
    </w:pPr>
  </w:style>
  <w:style w:type="character" w:customStyle="1" w:styleId="101">
    <w:name w:val="正文文本缩进 3 字符"/>
    <w:basedOn w:val="48"/>
    <w:link w:val="35"/>
    <w:qFormat/>
    <w:uiPriority w:val="0"/>
    <w:rPr>
      <w:rFonts w:ascii="Times New Roman" w:hAnsi="Times New Roman" w:eastAsia="宋体" w:cs="Times New Roman"/>
      <w:color w:val="000000"/>
      <w:sz w:val="24"/>
      <w:szCs w:val="20"/>
    </w:rPr>
  </w:style>
  <w:style w:type="character" w:customStyle="1" w:styleId="102">
    <w:name w:val="正文文本 2 字符"/>
    <w:basedOn w:val="48"/>
    <w:link w:val="39"/>
    <w:qFormat/>
    <w:uiPriority w:val="0"/>
    <w:rPr>
      <w:rFonts w:ascii="Times New Roman" w:hAnsi="Times New Roman" w:eastAsia="宋体" w:cs="Times New Roman"/>
      <w:kern w:val="2"/>
      <w:sz w:val="18"/>
    </w:rPr>
  </w:style>
  <w:style w:type="character" w:customStyle="1" w:styleId="103">
    <w:name w:val="HTML 预设格式 字符"/>
    <w:basedOn w:val="48"/>
    <w:link w:val="40"/>
    <w:qFormat/>
    <w:uiPriority w:val="0"/>
    <w:rPr>
      <w:rFonts w:ascii="Times New Roman" w:hAnsi="宋体" w:eastAsia="宋体" w:cs="宋体"/>
      <w:sz w:val="24"/>
    </w:rPr>
  </w:style>
  <w:style w:type="character" w:customStyle="1" w:styleId="104">
    <w:name w:val="text2"/>
    <w:qFormat/>
    <w:uiPriority w:val="0"/>
    <w:rPr>
      <w:rFonts w:eastAsia="宋体"/>
      <w:kern w:val="2"/>
      <w:sz w:val="24"/>
      <w:szCs w:val="24"/>
      <w:u w:val="none"/>
      <w:lang w:val="en-US" w:eastAsia="zh-CN" w:bidi="ar-SA"/>
    </w:rPr>
  </w:style>
  <w:style w:type="character" w:customStyle="1" w:styleId="105">
    <w:name w:val="Char Char2"/>
    <w:qFormat/>
    <w:uiPriority w:val="0"/>
    <w:rPr>
      <w:rFonts w:ascii="宋体" w:hAnsi="Courier New" w:eastAsia="宋体"/>
      <w:kern w:val="2"/>
      <w:sz w:val="21"/>
      <w:lang w:val="en-US" w:eastAsia="zh-CN" w:bidi="ar-SA"/>
    </w:rPr>
  </w:style>
  <w:style w:type="character" w:customStyle="1" w:styleId="106">
    <w:name w:val="不明显强调11"/>
    <w:qFormat/>
    <w:uiPriority w:val="19"/>
    <w:rPr>
      <w:i/>
      <w:iCs/>
      <w:color w:val="808080"/>
    </w:rPr>
  </w:style>
  <w:style w:type="character" w:customStyle="1" w:styleId="107">
    <w:name w:val="注释标题 Char1"/>
    <w:qFormat/>
    <w:uiPriority w:val="0"/>
    <w:rPr>
      <w:kern w:val="2"/>
      <w:sz w:val="24"/>
      <w:szCs w:val="21"/>
    </w:rPr>
  </w:style>
  <w:style w:type="character" w:customStyle="1" w:styleId="108">
    <w:name w:val="z-窗体底端 Char"/>
    <w:link w:val="109"/>
    <w:qFormat/>
    <w:uiPriority w:val="0"/>
    <w:rPr>
      <w:rFonts w:ascii="Arial"/>
      <w:vanish/>
      <w:kern w:val="2"/>
      <w:sz w:val="16"/>
    </w:rPr>
  </w:style>
  <w:style w:type="paragraph" w:customStyle="1" w:styleId="109">
    <w:name w:val="z-窗体底端1"/>
    <w:basedOn w:val="1"/>
    <w:next w:val="1"/>
    <w:link w:val="108"/>
    <w:qFormat/>
    <w:uiPriority w:val="0"/>
    <w:pPr>
      <w:widowControl w:val="0"/>
      <w:pBdr>
        <w:top w:val="single" w:color="auto" w:sz="6" w:space="1"/>
      </w:pBdr>
      <w:adjustRightInd w:val="0"/>
      <w:spacing w:after="0" w:line="360" w:lineRule="auto"/>
      <w:jc w:val="center"/>
    </w:pPr>
    <w:rPr>
      <w:rFonts w:ascii="Arial"/>
      <w:vanish/>
      <w:kern w:val="2"/>
      <w:sz w:val="16"/>
    </w:rPr>
  </w:style>
  <w:style w:type="character" w:customStyle="1" w:styleId="110">
    <w:name w:val="Body text + MingLiU"/>
    <w:qFormat/>
    <w:uiPriority w:val="0"/>
    <w:rPr>
      <w:rFonts w:ascii="MingLiU" w:hAnsi="MingLiU" w:eastAsia="MingLiU" w:cs="MingLiU"/>
      <w:color w:val="000000"/>
      <w:spacing w:val="10"/>
      <w:w w:val="100"/>
      <w:position w:val="0"/>
      <w:sz w:val="18"/>
      <w:szCs w:val="18"/>
      <w:shd w:val="clear" w:color="auto" w:fill="FFFFFF"/>
      <w:lang w:val="zh-CN"/>
    </w:rPr>
  </w:style>
  <w:style w:type="character" w:customStyle="1" w:styleId="111">
    <w:name w:val="图标格式 Char"/>
    <w:link w:val="112"/>
    <w:qFormat/>
    <w:uiPriority w:val="0"/>
    <w:rPr>
      <w:rFonts w:cs="宋体"/>
      <w:sz w:val="24"/>
      <w:szCs w:val="24"/>
    </w:rPr>
  </w:style>
  <w:style w:type="paragraph" w:customStyle="1" w:styleId="112">
    <w:name w:val="图标格式"/>
    <w:basedOn w:val="1"/>
    <w:next w:val="1"/>
    <w:link w:val="111"/>
    <w:qFormat/>
    <w:uiPriority w:val="0"/>
    <w:pPr>
      <w:widowControl w:val="0"/>
      <w:adjustRightInd w:val="0"/>
      <w:snapToGrid w:val="0"/>
      <w:spacing w:after="0" w:line="240" w:lineRule="auto"/>
      <w:jc w:val="center"/>
    </w:pPr>
    <w:rPr>
      <w:rFonts w:cs="宋体"/>
      <w:sz w:val="24"/>
      <w:szCs w:val="24"/>
    </w:rPr>
  </w:style>
  <w:style w:type="character" w:customStyle="1" w:styleId="113">
    <w:name w:val="日期 Char1"/>
    <w:qFormat/>
    <w:uiPriority w:val="0"/>
    <w:rPr>
      <w:kern w:val="2"/>
      <w:sz w:val="24"/>
      <w:szCs w:val="21"/>
    </w:rPr>
  </w:style>
  <w:style w:type="character" w:customStyle="1" w:styleId="114">
    <w:name w:val="纯文本 Char1"/>
    <w:qFormat/>
    <w:uiPriority w:val="0"/>
    <w:rPr>
      <w:rFonts w:ascii="宋体" w:hAnsi="Courier New" w:cs="Courier New"/>
      <w:kern w:val="2"/>
      <w:sz w:val="21"/>
      <w:szCs w:val="21"/>
    </w:rPr>
  </w:style>
  <w:style w:type="character" w:customStyle="1" w:styleId="115">
    <w:name w:val="页码1"/>
    <w:qFormat/>
    <w:uiPriority w:val="0"/>
  </w:style>
  <w:style w:type="character" w:customStyle="1" w:styleId="116">
    <w:name w:val="Char Char21"/>
    <w:qFormat/>
    <w:uiPriority w:val="0"/>
    <w:rPr>
      <w:rFonts w:ascii="宋体" w:hAnsi="Courier New" w:eastAsia="宋体"/>
      <w:kern w:val="2"/>
      <w:sz w:val="21"/>
      <w:lang w:val="en-US" w:eastAsia="zh-CN" w:bidi="ar-SA"/>
    </w:rPr>
  </w:style>
  <w:style w:type="character" w:customStyle="1" w:styleId="117">
    <w:name w:val="15"/>
    <w:qFormat/>
    <w:uiPriority w:val="0"/>
    <w:rPr>
      <w:rFonts w:hint="default" w:ascii="Times New Roman" w:hAnsi="Times New Roman" w:cs="Times New Roman"/>
      <w:color w:val="0000FF"/>
      <w:u w:val="single"/>
    </w:rPr>
  </w:style>
  <w:style w:type="character" w:customStyle="1" w:styleId="118">
    <w:name w:val="文档结构图 Char1"/>
    <w:qFormat/>
    <w:uiPriority w:val="0"/>
    <w:rPr>
      <w:rFonts w:ascii="Microsoft YaHei UI" w:eastAsia="Microsoft YaHei UI"/>
      <w:kern w:val="2"/>
      <w:sz w:val="18"/>
      <w:szCs w:val="18"/>
    </w:rPr>
  </w:style>
  <w:style w:type="character" w:customStyle="1" w:styleId="119">
    <w:name w:val="正文文本缩进 2 字符"/>
    <w:link w:val="27"/>
    <w:qFormat/>
    <w:uiPriority w:val="0"/>
    <w:rPr>
      <w:rFonts w:ascii="Times New Roman" w:hAnsi="Times New Roman" w:eastAsia="宋体" w:cs="Times New Roman"/>
      <w:kern w:val="2"/>
      <w:sz w:val="24"/>
    </w:rPr>
  </w:style>
  <w:style w:type="character" w:customStyle="1" w:styleId="120">
    <w:name w:val="页码2"/>
    <w:basedOn w:val="48"/>
    <w:qFormat/>
    <w:uiPriority w:val="0"/>
  </w:style>
  <w:style w:type="character" w:customStyle="1" w:styleId="121">
    <w:name w:val="批注框文本 Char1"/>
    <w:qFormat/>
    <w:uiPriority w:val="0"/>
    <w:rPr>
      <w:kern w:val="2"/>
      <w:sz w:val="18"/>
      <w:szCs w:val="18"/>
    </w:rPr>
  </w:style>
  <w:style w:type="character" w:customStyle="1" w:styleId="122">
    <w:name w:val="正文缩进 字符"/>
    <w:link w:val="14"/>
    <w:qFormat/>
    <w:uiPriority w:val="0"/>
    <w:rPr>
      <w:rFonts w:ascii="宋体" w:hAnsi="宋体" w:eastAsia="宋体" w:cs="宋体"/>
      <w:color w:val="000000"/>
      <w:sz w:val="24"/>
    </w:rPr>
  </w:style>
  <w:style w:type="character" w:customStyle="1" w:styleId="123">
    <w:name w:val="font01"/>
    <w:qFormat/>
    <w:uiPriority w:val="0"/>
    <w:rPr>
      <w:rFonts w:hint="eastAsia" w:ascii="宋体" w:hAnsi="宋体" w:eastAsia="宋体"/>
      <w:color w:val="000000"/>
      <w:sz w:val="22"/>
      <w:szCs w:val="22"/>
      <w:u w:val="none"/>
    </w:rPr>
  </w:style>
  <w:style w:type="character" w:customStyle="1" w:styleId="124">
    <w:name w:val="标题 Char1"/>
    <w:qFormat/>
    <w:uiPriority w:val="0"/>
    <w:rPr>
      <w:rFonts w:ascii="Calibri Light" w:hAnsi="Calibri Light" w:cs="Times New Roman"/>
      <w:b/>
      <w:bCs/>
      <w:kern w:val="2"/>
      <w:sz w:val="32"/>
      <w:szCs w:val="32"/>
    </w:rPr>
  </w:style>
  <w:style w:type="character" w:customStyle="1" w:styleId="125">
    <w:name w:val="标题4 Char"/>
    <w:link w:val="126"/>
    <w:qFormat/>
    <w:uiPriority w:val="0"/>
    <w:rPr>
      <w:color w:val="000000"/>
      <w:kern w:val="2"/>
      <w:sz w:val="24"/>
      <w:szCs w:val="24"/>
    </w:rPr>
  </w:style>
  <w:style w:type="paragraph" w:customStyle="1" w:styleId="126">
    <w:name w:val="标题4"/>
    <w:basedOn w:val="1"/>
    <w:link w:val="125"/>
    <w:qFormat/>
    <w:uiPriority w:val="0"/>
    <w:pPr>
      <w:widowControl w:val="0"/>
      <w:adjustRightInd w:val="0"/>
      <w:snapToGrid w:val="0"/>
      <w:spacing w:after="0" w:line="360" w:lineRule="auto"/>
    </w:pPr>
    <w:rPr>
      <w:color w:val="000000"/>
      <w:kern w:val="2"/>
      <w:sz w:val="24"/>
      <w:szCs w:val="24"/>
    </w:rPr>
  </w:style>
  <w:style w:type="character" w:customStyle="1" w:styleId="127">
    <w:name w:val="正文格式 Char"/>
    <w:link w:val="128"/>
    <w:qFormat/>
    <w:uiPriority w:val="0"/>
    <w:rPr>
      <w:rFonts w:ascii="Arial" w:hAnsi="Arial"/>
      <w:kern w:val="2"/>
      <w:sz w:val="24"/>
    </w:rPr>
  </w:style>
  <w:style w:type="paragraph" w:customStyle="1" w:styleId="128">
    <w:name w:val="正文格式"/>
    <w:basedOn w:val="1"/>
    <w:link w:val="127"/>
    <w:qFormat/>
    <w:uiPriority w:val="0"/>
    <w:pPr>
      <w:widowControl w:val="0"/>
      <w:spacing w:before="60" w:after="60" w:line="400" w:lineRule="exact"/>
      <w:ind w:left="300" w:leftChars="300"/>
      <w:jc w:val="both"/>
    </w:pPr>
    <w:rPr>
      <w:rFonts w:ascii="Arial" w:hAnsi="Arial"/>
      <w:kern w:val="2"/>
      <w:sz w:val="24"/>
    </w:rPr>
  </w:style>
  <w:style w:type="character" w:customStyle="1" w:styleId="129">
    <w:name w:val="表头 Char Char"/>
    <w:link w:val="130"/>
    <w:qFormat/>
    <w:uiPriority w:val="0"/>
    <w:rPr>
      <w:rFonts w:eastAsia="黑体"/>
      <w:kern w:val="2"/>
      <w:sz w:val="24"/>
      <w:szCs w:val="24"/>
    </w:rPr>
  </w:style>
  <w:style w:type="paragraph" w:customStyle="1" w:styleId="130">
    <w:name w:val="表头"/>
    <w:basedOn w:val="1"/>
    <w:link w:val="129"/>
    <w:qFormat/>
    <w:uiPriority w:val="0"/>
    <w:pPr>
      <w:widowControl w:val="0"/>
      <w:adjustRightInd w:val="0"/>
      <w:snapToGrid w:val="0"/>
      <w:spacing w:after="0" w:line="360" w:lineRule="auto"/>
      <w:jc w:val="center"/>
    </w:pPr>
    <w:rPr>
      <w:rFonts w:eastAsia="黑体"/>
      <w:kern w:val="2"/>
      <w:sz w:val="24"/>
      <w:szCs w:val="24"/>
    </w:rPr>
  </w:style>
  <w:style w:type="character" w:customStyle="1" w:styleId="131">
    <w:name w:val="正文文本 3 Char1"/>
    <w:qFormat/>
    <w:uiPriority w:val="0"/>
    <w:rPr>
      <w:kern w:val="2"/>
      <w:sz w:val="16"/>
      <w:szCs w:val="16"/>
    </w:rPr>
  </w:style>
  <w:style w:type="character" w:customStyle="1" w:styleId="132">
    <w:name w:val="正文文本缩进 3 Char1"/>
    <w:qFormat/>
    <w:uiPriority w:val="0"/>
    <w:rPr>
      <w:kern w:val="2"/>
      <w:sz w:val="16"/>
      <w:szCs w:val="16"/>
    </w:rPr>
  </w:style>
  <w:style w:type="character" w:customStyle="1" w:styleId="133">
    <w:name w:val="正文文本 2 Char1"/>
    <w:qFormat/>
    <w:uiPriority w:val="0"/>
    <w:rPr>
      <w:kern w:val="2"/>
      <w:sz w:val="24"/>
      <w:szCs w:val="21"/>
    </w:rPr>
  </w:style>
  <w:style w:type="character" w:customStyle="1" w:styleId="134">
    <w:name w:val="正文2 Char"/>
    <w:link w:val="135"/>
    <w:qFormat/>
    <w:uiPriority w:val="0"/>
    <w:rPr>
      <w:kern w:val="2"/>
      <w:sz w:val="24"/>
      <w:szCs w:val="18"/>
    </w:rPr>
  </w:style>
  <w:style w:type="paragraph" w:customStyle="1" w:styleId="135">
    <w:name w:val="正文2"/>
    <w:basedOn w:val="1"/>
    <w:link w:val="134"/>
    <w:qFormat/>
    <w:uiPriority w:val="0"/>
    <w:pPr>
      <w:widowControl w:val="0"/>
      <w:adjustRightInd w:val="0"/>
      <w:spacing w:after="0" w:line="360" w:lineRule="auto"/>
      <w:ind w:firstLine="200" w:firstLineChars="200"/>
    </w:pPr>
    <w:rPr>
      <w:kern w:val="2"/>
      <w:sz w:val="24"/>
      <w:szCs w:val="18"/>
    </w:rPr>
  </w:style>
  <w:style w:type="character" w:customStyle="1" w:styleId="136">
    <w:name w:val="z-窗体顶端 Char"/>
    <w:link w:val="137"/>
    <w:qFormat/>
    <w:uiPriority w:val="0"/>
    <w:rPr>
      <w:rFonts w:ascii="Arial"/>
      <w:vanish/>
      <w:kern w:val="2"/>
      <w:sz w:val="16"/>
    </w:rPr>
  </w:style>
  <w:style w:type="paragraph" w:customStyle="1" w:styleId="137">
    <w:name w:val="z-窗体顶端1"/>
    <w:basedOn w:val="1"/>
    <w:next w:val="1"/>
    <w:link w:val="136"/>
    <w:qFormat/>
    <w:uiPriority w:val="0"/>
    <w:pPr>
      <w:widowControl w:val="0"/>
      <w:pBdr>
        <w:bottom w:val="single" w:color="auto" w:sz="6" w:space="1"/>
      </w:pBdr>
      <w:adjustRightInd w:val="0"/>
      <w:spacing w:after="0" w:line="360" w:lineRule="auto"/>
      <w:jc w:val="center"/>
    </w:pPr>
    <w:rPr>
      <w:rFonts w:ascii="Arial"/>
      <w:vanish/>
      <w:kern w:val="2"/>
      <w:sz w:val="16"/>
    </w:rPr>
  </w:style>
  <w:style w:type="character" w:customStyle="1" w:styleId="138">
    <w:name w:val="fontstyle01"/>
    <w:qFormat/>
    <w:uiPriority w:val="0"/>
    <w:rPr>
      <w:rFonts w:hint="eastAsia" w:ascii="宋体" w:hAnsi="宋体" w:eastAsia="宋体"/>
      <w:color w:val="000000"/>
      <w:sz w:val="24"/>
      <w:szCs w:val="24"/>
    </w:rPr>
  </w:style>
  <w:style w:type="character" w:customStyle="1" w:styleId="139">
    <w:name w:val="明显引用 Char1"/>
    <w:qFormat/>
    <w:uiPriority w:val="30"/>
    <w:rPr>
      <w:i/>
      <w:iCs/>
      <w:color w:val="5B9BD5"/>
      <w:kern w:val="2"/>
      <w:sz w:val="24"/>
      <w:szCs w:val="21"/>
    </w:rPr>
  </w:style>
  <w:style w:type="character" w:customStyle="1" w:styleId="140">
    <w:name w:val="HTML 预设格式 Char1"/>
    <w:qFormat/>
    <w:uiPriority w:val="0"/>
    <w:rPr>
      <w:rFonts w:ascii="Courier New" w:hAnsi="Courier New" w:cs="Courier New"/>
      <w:kern w:val="2"/>
    </w:rPr>
  </w:style>
  <w:style w:type="character" w:customStyle="1" w:styleId="141">
    <w:name w:val="17"/>
    <w:qFormat/>
    <w:uiPriority w:val="0"/>
    <w:rPr>
      <w:rFonts w:hint="default" w:ascii="Times New Roman" w:hAnsi="Times New Roman" w:cs="Times New Roman"/>
    </w:rPr>
  </w:style>
  <w:style w:type="character" w:customStyle="1" w:styleId="142">
    <w:name w:val="16"/>
    <w:qFormat/>
    <w:uiPriority w:val="0"/>
    <w:rPr>
      <w:rFonts w:hint="default" w:ascii="Times New Roman" w:hAnsi="Times New Roman" w:cs="Times New Roman"/>
      <w:b/>
      <w:bCs/>
    </w:rPr>
  </w:style>
  <w:style w:type="paragraph" w:customStyle="1" w:styleId="143">
    <w:name w:val="p15"/>
    <w:basedOn w:val="1"/>
    <w:qFormat/>
    <w:uiPriority w:val="0"/>
    <w:pPr>
      <w:spacing w:after="0" w:line="500" w:lineRule="atLeast"/>
      <w:jc w:val="center"/>
    </w:pPr>
    <w:rPr>
      <w:rFonts w:ascii="Times New Roman" w:hAnsi="Times New Roman" w:eastAsia="宋体" w:cs="Times New Roman"/>
      <w:b/>
      <w:bCs/>
      <w:sz w:val="24"/>
    </w:rPr>
  </w:style>
  <w:style w:type="paragraph" w:customStyle="1" w:styleId="144">
    <w:name w:val="项目符段"/>
    <w:basedOn w:val="26"/>
    <w:qFormat/>
    <w:uiPriority w:val="0"/>
    <w:pPr>
      <w:tabs>
        <w:tab w:val="left" w:pos="720"/>
      </w:tabs>
      <w:snapToGrid w:val="0"/>
      <w:spacing w:before="60" w:after="60" w:line="240" w:lineRule="auto"/>
      <w:ind w:left="720" w:right="567" w:hanging="720"/>
    </w:pPr>
    <w:rPr>
      <w:rFonts w:eastAsia="宋体"/>
    </w:rPr>
  </w:style>
  <w:style w:type="paragraph" w:customStyle="1" w:styleId="145">
    <w:name w:val="p0"/>
    <w:basedOn w:val="1"/>
    <w:qFormat/>
    <w:uiPriority w:val="0"/>
    <w:pPr>
      <w:adjustRightInd w:val="0"/>
      <w:spacing w:after="0" w:line="360" w:lineRule="auto"/>
    </w:pPr>
    <w:rPr>
      <w:rFonts w:ascii="宋体" w:hAnsi="宋体" w:eastAsia="宋体" w:cs="宋体"/>
      <w:sz w:val="24"/>
    </w:rPr>
  </w:style>
  <w:style w:type="paragraph" w:customStyle="1" w:styleId="146">
    <w:name w:val="样式 样式2 + 首行缩进:  2 字符"/>
    <w:basedOn w:val="1"/>
    <w:qFormat/>
    <w:uiPriority w:val="0"/>
    <w:pPr>
      <w:widowControl w:val="0"/>
      <w:snapToGrid w:val="0"/>
      <w:spacing w:after="0" w:line="240" w:lineRule="auto"/>
      <w:jc w:val="center"/>
    </w:pPr>
    <w:rPr>
      <w:rFonts w:ascii="Times New Roman" w:hAnsi="宋体" w:eastAsia="宋体" w:cs="Times New Roman"/>
      <w:snapToGrid w:val="0"/>
      <w:sz w:val="24"/>
      <w:lang w:val="de-DE"/>
    </w:rPr>
  </w:style>
  <w:style w:type="paragraph" w:customStyle="1" w:styleId="147">
    <w:name w:val="正文01"/>
    <w:basedOn w:val="1"/>
    <w:qFormat/>
    <w:uiPriority w:val="0"/>
    <w:pPr>
      <w:widowControl w:val="0"/>
      <w:spacing w:before="60" w:after="0" w:line="460" w:lineRule="exact"/>
      <w:ind w:firstLine="200" w:firstLineChars="200"/>
      <w:jc w:val="both"/>
    </w:pPr>
    <w:rPr>
      <w:rFonts w:ascii="Times New Roman" w:hAnsi="Times New Roman" w:eastAsia="宋体" w:cs="Times New Roman"/>
      <w:kern w:val="2"/>
      <w:sz w:val="24"/>
    </w:rPr>
  </w:style>
  <w:style w:type="paragraph" w:customStyle="1" w:styleId="148">
    <w:name w:val="EIR段落"/>
    <w:basedOn w:val="1"/>
    <w:qFormat/>
    <w:uiPriority w:val="0"/>
    <w:pPr>
      <w:widowControl w:val="0"/>
      <w:spacing w:after="0" w:line="460" w:lineRule="exact"/>
      <w:ind w:firstLine="480" w:firstLineChars="200"/>
      <w:jc w:val="both"/>
    </w:pPr>
    <w:rPr>
      <w:rFonts w:ascii="Times New Roman" w:hAnsi="Times New Roman" w:eastAsia="宋体" w:cs="Times New Roman"/>
      <w:kern w:val="2"/>
      <w:sz w:val="24"/>
      <w:szCs w:val="24"/>
    </w:rPr>
  </w:style>
  <w:style w:type="paragraph" w:customStyle="1" w:styleId="149">
    <w:name w:val="正文1"/>
    <w:qFormat/>
    <w:uiPriority w:val="0"/>
    <w:pPr>
      <w:jc w:val="both"/>
    </w:pPr>
    <w:rPr>
      <w:rFonts w:ascii="Times New Roman" w:hAnsi="Times New Roman" w:eastAsia="宋体" w:cs="Times New Roman"/>
      <w:kern w:val="2"/>
      <w:sz w:val="24"/>
      <w:szCs w:val="21"/>
      <w:lang w:val="en-US" w:eastAsia="zh-CN" w:bidi="ar-SA"/>
    </w:rPr>
  </w:style>
  <w:style w:type="paragraph" w:customStyle="1" w:styleId="150">
    <w:name w:val="正文文本1"/>
    <w:basedOn w:val="1"/>
    <w:qFormat/>
    <w:uiPriority w:val="0"/>
    <w:pPr>
      <w:widowControl w:val="0"/>
      <w:shd w:val="clear" w:color="auto" w:fill="FFFFFF"/>
      <w:adjustRightInd w:val="0"/>
      <w:spacing w:after="0" w:line="360" w:lineRule="auto"/>
    </w:pPr>
    <w:rPr>
      <w:rFonts w:ascii="Times New Roman" w:hAnsi="Times New Roman" w:eastAsia="Times New Roman" w:cs="Times New Roman"/>
      <w:kern w:val="2"/>
      <w:sz w:val="20"/>
      <w:szCs w:val="20"/>
    </w:rPr>
  </w:style>
  <w:style w:type="paragraph" w:customStyle="1" w:styleId="151">
    <w:name w:val="Char Char5 Char Char Char Char Char Char1 Char Char Char Char Char Char Char"/>
    <w:basedOn w:val="17"/>
    <w:qFormat/>
    <w:uiPriority w:val="0"/>
  </w:style>
  <w:style w:type="paragraph" w:customStyle="1" w:styleId="152">
    <w:name w:val="mtitle"/>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customStyle="1" w:styleId="153">
    <w:name w:val="列出段落1"/>
    <w:basedOn w:val="1"/>
    <w:qFormat/>
    <w:uiPriority w:val="0"/>
    <w:pPr>
      <w:widowControl w:val="0"/>
      <w:spacing w:after="0" w:line="240" w:lineRule="auto"/>
      <w:ind w:firstLine="420" w:firstLineChars="200"/>
      <w:jc w:val="both"/>
    </w:pPr>
    <w:rPr>
      <w:rFonts w:ascii="Calibri" w:hAnsi="Calibri" w:eastAsia="宋体" w:cs="Times New Roman"/>
      <w:kern w:val="2"/>
      <w:szCs w:val="22"/>
    </w:rPr>
  </w:style>
  <w:style w:type="paragraph" w:customStyle="1" w:styleId="154">
    <w:name w:val="tc"/>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customStyle="1" w:styleId="155">
    <w:name w:val="_Style 7"/>
    <w:basedOn w:val="1"/>
    <w:qFormat/>
    <w:uiPriority w:val="0"/>
    <w:pPr>
      <w:widowControl w:val="0"/>
      <w:adjustRightInd w:val="0"/>
      <w:spacing w:after="0" w:line="360" w:lineRule="atLeast"/>
    </w:pPr>
    <w:rPr>
      <w:rFonts w:ascii="宋体" w:hAnsi="Times New Roman" w:eastAsia="宋体" w:cs="Times New Roman"/>
      <w:color w:val="000000"/>
      <w:sz w:val="24"/>
      <w:szCs w:val="20"/>
    </w:rPr>
  </w:style>
  <w:style w:type="paragraph" w:customStyle="1" w:styleId="156">
    <w:name w:val="Char Char Char Char"/>
    <w:basedOn w:val="1"/>
    <w:qFormat/>
    <w:uiPriority w:val="0"/>
    <w:pPr>
      <w:widowControl w:val="0"/>
      <w:spacing w:after="0" w:line="240" w:lineRule="auto"/>
      <w:jc w:val="both"/>
    </w:pPr>
    <w:rPr>
      <w:rFonts w:ascii="Times New Roman" w:hAnsi="Times New Roman" w:eastAsia="宋体" w:cs="Times New Roman"/>
      <w:kern w:val="2"/>
    </w:rPr>
  </w:style>
  <w:style w:type="paragraph" w:customStyle="1" w:styleId="157">
    <w:name w:val="正文（居中）"/>
    <w:basedOn w:val="14"/>
    <w:next w:val="14"/>
    <w:qFormat/>
    <w:uiPriority w:val="0"/>
    <w:pPr>
      <w:adjustRightInd/>
      <w:spacing w:before="78" w:beforeLines="25" w:after="78" w:afterLines="25" w:line="480" w:lineRule="exact"/>
      <w:ind w:firstLine="0" w:firstLineChars="0"/>
      <w:jc w:val="center"/>
    </w:pPr>
    <w:rPr>
      <w:rFonts w:ascii="Times New Roman" w:hAnsi="Times New Roman" w:eastAsia="仿宋_GB2312" w:cs="Times New Roman"/>
      <w:snapToGrid w:val="0"/>
      <w:color w:val="auto"/>
      <w:kern w:val="2"/>
      <w:sz w:val="28"/>
      <w:szCs w:val="24"/>
    </w:rPr>
  </w:style>
  <w:style w:type="paragraph" w:customStyle="1" w:styleId="158">
    <w:name w:val="zw"/>
    <w:basedOn w:val="1"/>
    <w:qFormat/>
    <w:uiPriority w:val="0"/>
    <w:pPr>
      <w:adjustRightInd w:val="0"/>
      <w:spacing w:before="100" w:beforeAutospacing="1" w:after="100" w:afterAutospacing="1" w:line="360" w:lineRule="auto"/>
    </w:pPr>
    <w:rPr>
      <w:rFonts w:ascii="宋体" w:hAnsi="宋体" w:eastAsia="宋体" w:cs="宋体"/>
      <w:color w:val="000000"/>
      <w:sz w:val="24"/>
    </w:rPr>
  </w:style>
  <w:style w:type="paragraph" w:styleId="159">
    <w:name w:val="List Paragraph"/>
    <w:basedOn w:val="1"/>
    <w:qFormat/>
    <w:uiPriority w:val="34"/>
    <w:pPr>
      <w:widowControl w:val="0"/>
      <w:adjustRightInd w:val="0"/>
      <w:spacing w:after="0" w:line="360" w:lineRule="auto"/>
      <w:ind w:firstLine="420" w:firstLineChars="200"/>
    </w:pPr>
    <w:rPr>
      <w:rFonts w:ascii="Calibri" w:hAnsi="Calibri" w:eastAsia="宋体" w:cs="Times New Roman"/>
      <w:kern w:val="2"/>
      <w:sz w:val="24"/>
      <w:szCs w:val="22"/>
      <w:lang w:val="en-GB"/>
    </w:rPr>
  </w:style>
  <w:style w:type="paragraph" w:customStyle="1" w:styleId="160">
    <w:name w:val="列出段落2"/>
    <w:basedOn w:val="1"/>
    <w:qFormat/>
    <w:uiPriority w:val="99"/>
    <w:pPr>
      <w:adjustRightInd w:val="0"/>
      <w:snapToGrid w:val="0"/>
      <w:spacing w:after="200" w:line="240" w:lineRule="auto"/>
      <w:ind w:firstLine="420" w:firstLineChars="200"/>
    </w:pPr>
    <w:rPr>
      <w:rFonts w:ascii="Tahoma" w:hAnsi="Tahoma" w:eastAsia="微软雅黑" w:cs="Tahoma"/>
      <w:sz w:val="22"/>
      <w:szCs w:val="22"/>
    </w:rPr>
  </w:style>
  <w:style w:type="paragraph" w:customStyle="1" w:styleId="161">
    <w:name w:val="Char Char Char Char Char Char Char Char Char Char Char Char1 Char Char Char Char Char Char Char Char Char Char Char Char Char Char Char Char Char"/>
    <w:basedOn w:val="1"/>
    <w:qFormat/>
    <w:uiPriority w:val="0"/>
    <w:pPr>
      <w:widowControl w:val="0"/>
      <w:adjustRightInd w:val="0"/>
      <w:spacing w:after="0" w:line="360" w:lineRule="auto"/>
    </w:pPr>
    <w:rPr>
      <w:rFonts w:ascii="Times New Roman" w:hAnsi="Times New Roman" w:eastAsia="宋体" w:cs="Times New Roman"/>
      <w:kern w:val="2"/>
      <w:sz w:val="24"/>
    </w:rPr>
  </w:style>
  <w:style w:type="paragraph" w:customStyle="1" w:styleId="162">
    <w:name w:val="font9"/>
    <w:basedOn w:val="1"/>
    <w:qFormat/>
    <w:uiPriority w:val="0"/>
    <w:pPr>
      <w:spacing w:before="100" w:beforeAutospacing="1" w:after="100" w:afterAutospacing="1" w:line="240" w:lineRule="auto"/>
    </w:pPr>
    <w:rPr>
      <w:rFonts w:hint="eastAsia" w:ascii="Times New Roman" w:hAnsi="宋体" w:eastAsia="宋体" w:cs="Times New Roman"/>
      <w:color w:val="993300"/>
      <w:sz w:val="15"/>
      <w:szCs w:val="15"/>
    </w:rPr>
  </w:style>
  <w:style w:type="paragraph" w:customStyle="1" w:styleId="163">
    <w:name w:val="顺序单项编号"/>
    <w:basedOn w:val="144"/>
    <w:qFormat/>
    <w:uiPriority w:val="0"/>
    <w:pPr>
      <w:tabs>
        <w:tab w:val="left" w:pos="735"/>
        <w:tab w:val="clear" w:pos="720"/>
      </w:tabs>
      <w:ind w:left="735" w:hanging="735"/>
    </w:pPr>
  </w:style>
  <w:style w:type="paragraph" w:customStyle="1" w:styleId="164">
    <w:name w:val="TOC 标题11"/>
    <w:basedOn w:val="3"/>
    <w:next w:val="1"/>
    <w:qFormat/>
    <w:uiPriority w:val="39"/>
    <w:pPr>
      <w:pBdr>
        <w:left w:val="none" w:color="auto" w:sz="0" w:space="0"/>
      </w:pBdr>
      <w:spacing w:before="480" w:after="0" w:line="276" w:lineRule="auto"/>
      <w:outlineLvl w:val="9"/>
    </w:pPr>
    <w:rPr>
      <w:rFonts w:ascii="Cambria" w:hAnsi="Cambria" w:eastAsia="宋体" w:cs="Times New Roman"/>
      <w:b/>
      <w:bCs/>
      <w:caps w:val="0"/>
      <w:color w:val="365F91"/>
      <w:spacing w:val="0"/>
      <w:sz w:val="28"/>
      <w:szCs w:val="28"/>
    </w:rPr>
  </w:style>
  <w:style w:type="paragraph" w:customStyle="1" w:styleId="165">
    <w:name w:val="Char Char Char Char1"/>
    <w:basedOn w:val="1"/>
    <w:qFormat/>
    <w:uiPriority w:val="0"/>
    <w:pPr>
      <w:widowControl w:val="0"/>
      <w:spacing w:after="0" w:line="240" w:lineRule="auto"/>
      <w:jc w:val="both"/>
    </w:pPr>
    <w:rPr>
      <w:rFonts w:ascii="Times New Roman" w:hAnsi="Times New Roman" w:eastAsia="宋体" w:cs="Times New Roman"/>
      <w:kern w:val="2"/>
    </w:rPr>
  </w:style>
  <w:style w:type="paragraph" w:customStyle="1" w:styleId="166">
    <w:name w:val="题注1"/>
    <w:basedOn w:val="1"/>
    <w:next w:val="1"/>
    <w:qFormat/>
    <w:uiPriority w:val="0"/>
    <w:pPr>
      <w:widowControl w:val="0"/>
      <w:adjustRightInd w:val="0"/>
      <w:spacing w:after="0" w:line="500" w:lineRule="exact"/>
      <w:jc w:val="center"/>
    </w:pPr>
    <w:rPr>
      <w:rFonts w:ascii="Times New Roman" w:hAnsi="Times New Roman" w:eastAsia="宋体" w:cs="Times New Roman"/>
      <w:b/>
      <w:bCs/>
      <w:kern w:val="2"/>
      <w:sz w:val="24"/>
    </w:rPr>
  </w:style>
  <w:style w:type="paragraph" w:customStyle="1" w:styleId="167">
    <w:name w:val="正文文本缩进 211"/>
    <w:basedOn w:val="1"/>
    <w:qFormat/>
    <w:uiPriority w:val="0"/>
    <w:pPr>
      <w:widowControl w:val="0"/>
      <w:adjustRightInd w:val="0"/>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168">
    <w:name w:val="1表格"/>
    <w:basedOn w:val="1"/>
    <w:qFormat/>
    <w:uiPriority w:val="0"/>
    <w:pPr>
      <w:widowControl w:val="0"/>
      <w:adjustRightInd w:val="0"/>
      <w:snapToGrid w:val="0"/>
      <w:spacing w:after="0" w:line="360" w:lineRule="auto"/>
      <w:jc w:val="center"/>
      <w:outlineLvl w:val="4"/>
    </w:pPr>
    <w:rPr>
      <w:rFonts w:ascii="Times New Roman" w:hAnsi="Times New Roman" w:eastAsia="宋体" w:cs="Times New Roman"/>
      <w:spacing w:val="4"/>
      <w:kern w:val="2"/>
      <w:sz w:val="24"/>
    </w:rPr>
  </w:style>
  <w:style w:type="paragraph" w:customStyle="1" w:styleId="169">
    <w:name w:val="p19"/>
    <w:basedOn w:val="1"/>
    <w:qFormat/>
    <w:uiPriority w:val="0"/>
    <w:pPr>
      <w:spacing w:after="0" w:line="500" w:lineRule="atLeast"/>
      <w:jc w:val="center"/>
    </w:pPr>
    <w:rPr>
      <w:rFonts w:ascii="Times New Roman" w:hAnsi="Times New Roman" w:eastAsia="宋体" w:cs="Times New Roman"/>
      <w:b/>
      <w:bCs/>
      <w:sz w:val="24"/>
    </w:rPr>
  </w:style>
  <w:style w:type="paragraph" w:customStyle="1" w:styleId="170">
    <w:name w:val="Char Char Char Char Char Char Char Char Char Char Char Char1 Char Char Char Char Char Char Char Char Char Char Char Char Char Char Char Char Char1"/>
    <w:basedOn w:val="1"/>
    <w:qFormat/>
    <w:uiPriority w:val="0"/>
    <w:pPr>
      <w:widowControl w:val="0"/>
      <w:adjustRightInd w:val="0"/>
      <w:spacing w:after="0" w:line="360" w:lineRule="auto"/>
    </w:pPr>
    <w:rPr>
      <w:rFonts w:ascii="Times New Roman" w:hAnsi="Times New Roman" w:eastAsia="宋体" w:cs="Times New Roman"/>
      <w:kern w:val="2"/>
      <w:sz w:val="24"/>
    </w:rPr>
  </w:style>
  <w:style w:type="paragraph" w:customStyle="1" w:styleId="171">
    <w:name w:val="表格"/>
    <w:basedOn w:val="15"/>
    <w:qFormat/>
    <w:uiPriority w:val="0"/>
    <w:pPr>
      <w:widowControl w:val="0"/>
      <w:adjustRightInd w:val="0"/>
      <w:snapToGrid w:val="0"/>
      <w:spacing w:before="100" w:beforeAutospacing="1" w:after="100" w:afterAutospacing="1" w:line="240" w:lineRule="atLeast"/>
      <w:jc w:val="center"/>
    </w:pPr>
    <w:rPr>
      <w:rFonts w:ascii="Arial" w:hAnsi="Arial" w:eastAsia="宋体" w:cs="Arial"/>
      <w:b w:val="0"/>
      <w:bCs w:val="0"/>
      <w:snapToGrid w:val="0"/>
      <w:color w:val="auto"/>
      <w:spacing w:val="0"/>
      <w:sz w:val="21"/>
      <w:szCs w:val="21"/>
    </w:rPr>
  </w:style>
  <w:style w:type="paragraph" w:customStyle="1" w:styleId="172">
    <w:name w:val="列出段落11"/>
    <w:basedOn w:val="1"/>
    <w:qFormat/>
    <w:uiPriority w:val="0"/>
    <w:pPr>
      <w:widowControl w:val="0"/>
      <w:spacing w:after="0" w:line="240" w:lineRule="auto"/>
      <w:ind w:firstLine="420" w:firstLineChars="200"/>
      <w:jc w:val="both"/>
    </w:pPr>
    <w:rPr>
      <w:rFonts w:ascii="Calibri" w:hAnsi="Calibri" w:eastAsia="宋体" w:cs="Times New Roman"/>
      <w:kern w:val="2"/>
      <w:szCs w:val="22"/>
    </w:rPr>
  </w:style>
  <w:style w:type="paragraph" w:customStyle="1" w:styleId="173">
    <w:name w:val="Char Char5 Char Char Char Char Char Char1 Char Char Char Char Char Char Char1"/>
    <w:basedOn w:val="17"/>
    <w:qFormat/>
    <w:uiPriority w:val="0"/>
    <w:rPr>
      <w:szCs w:val="24"/>
    </w:rPr>
  </w:style>
  <w:style w:type="paragraph" w:customStyle="1" w:styleId="174">
    <w:name w:val="p18"/>
    <w:basedOn w:val="1"/>
    <w:qFormat/>
    <w:uiPriority w:val="0"/>
    <w:pPr>
      <w:adjustRightInd w:val="0"/>
      <w:spacing w:after="0" w:line="360" w:lineRule="auto"/>
      <w:ind w:firstLine="420"/>
    </w:pPr>
    <w:rPr>
      <w:rFonts w:ascii="Calibri" w:hAnsi="Calibri" w:eastAsia="宋体" w:cs="宋体"/>
      <w:sz w:val="24"/>
    </w:rPr>
  </w:style>
  <w:style w:type="paragraph" w:customStyle="1" w:styleId="175">
    <w:name w:val="正文3"/>
    <w:qFormat/>
    <w:uiPriority w:val="0"/>
    <w:pPr>
      <w:jc w:val="both"/>
    </w:pPr>
    <w:rPr>
      <w:rFonts w:ascii="Times New Roman" w:hAnsi="Times New Roman" w:eastAsia="宋体" w:cs="Times New Roman"/>
      <w:kern w:val="2"/>
      <w:sz w:val="24"/>
      <w:szCs w:val="21"/>
      <w:lang w:val="en-US" w:eastAsia="zh-CN" w:bidi="ar-SA"/>
    </w:rPr>
  </w:style>
  <w:style w:type="table" w:customStyle="1" w:styleId="176">
    <w:name w:val="网格型4"/>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7">
    <w:name w:val="网格型1"/>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2"/>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21"/>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网格型3"/>
    <w:basedOn w:val="46"/>
    <w:qFormat/>
    <w:uiPriority w:val="0"/>
    <w:rPr>
      <w:rFonts w:ascii="Calibri" w:hAnsi="Calibri" w:eastAsia="宋体" w:cs="Times New Roman"/>
      <w:kern w:val="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
    <w:name w:val="网格型12"/>
    <w:basedOn w:val="46"/>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2">
    <w:name w:val="页码21"/>
    <w:qFormat/>
    <w:uiPriority w:val="0"/>
  </w:style>
  <w:style w:type="character" w:customStyle="1" w:styleId="183">
    <w:name w:val="注释标题 Char2"/>
    <w:qFormat/>
    <w:uiPriority w:val="0"/>
    <w:rPr>
      <w:kern w:val="2"/>
      <w:sz w:val="24"/>
      <w:szCs w:val="21"/>
    </w:rPr>
  </w:style>
  <w:style w:type="character" w:customStyle="1" w:styleId="184">
    <w:name w:val="批注框文本 Char2"/>
    <w:qFormat/>
    <w:uiPriority w:val="0"/>
    <w:rPr>
      <w:kern w:val="2"/>
      <w:sz w:val="18"/>
      <w:szCs w:val="18"/>
    </w:rPr>
  </w:style>
  <w:style w:type="character" w:customStyle="1" w:styleId="185">
    <w:name w:val="日期 Char2"/>
    <w:qFormat/>
    <w:uiPriority w:val="0"/>
    <w:rPr>
      <w:kern w:val="2"/>
      <w:sz w:val="24"/>
      <w:szCs w:val="21"/>
    </w:rPr>
  </w:style>
  <w:style w:type="character" w:customStyle="1" w:styleId="186">
    <w:name w:val="正文文本缩进 3 Char2"/>
    <w:qFormat/>
    <w:uiPriority w:val="0"/>
    <w:rPr>
      <w:kern w:val="2"/>
      <w:sz w:val="16"/>
      <w:szCs w:val="16"/>
    </w:rPr>
  </w:style>
  <w:style w:type="character" w:customStyle="1" w:styleId="187">
    <w:name w:val="文档结构图 Char2"/>
    <w:qFormat/>
    <w:uiPriority w:val="0"/>
    <w:rPr>
      <w:rFonts w:ascii="Microsoft YaHei UI" w:eastAsia="Microsoft YaHei UI"/>
      <w:kern w:val="2"/>
      <w:sz w:val="18"/>
      <w:szCs w:val="18"/>
    </w:rPr>
  </w:style>
  <w:style w:type="character" w:customStyle="1" w:styleId="188">
    <w:name w:val="正文文本 Char1"/>
    <w:qFormat/>
    <w:uiPriority w:val="0"/>
    <w:rPr>
      <w:kern w:val="2"/>
      <w:sz w:val="24"/>
      <w:szCs w:val="21"/>
    </w:rPr>
  </w:style>
  <w:style w:type="character" w:customStyle="1" w:styleId="189">
    <w:name w:val="批注文字 Char2"/>
    <w:qFormat/>
    <w:uiPriority w:val="0"/>
    <w:rPr>
      <w:kern w:val="2"/>
      <w:sz w:val="24"/>
      <w:szCs w:val="21"/>
    </w:rPr>
  </w:style>
  <w:style w:type="character" w:customStyle="1" w:styleId="190">
    <w:name w:val="HTML 预设格式 Char2"/>
    <w:qFormat/>
    <w:uiPriority w:val="0"/>
    <w:rPr>
      <w:rFonts w:ascii="Courier New" w:hAnsi="Courier New" w:cs="Courier New"/>
      <w:kern w:val="2"/>
    </w:rPr>
  </w:style>
  <w:style w:type="character" w:customStyle="1" w:styleId="191">
    <w:name w:val="正文文本 2 Char2"/>
    <w:qFormat/>
    <w:uiPriority w:val="0"/>
    <w:rPr>
      <w:kern w:val="2"/>
      <w:sz w:val="24"/>
      <w:szCs w:val="21"/>
    </w:rPr>
  </w:style>
  <w:style w:type="character" w:customStyle="1" w:styleId="192">
    <w:name w:val="正文文本缩进 2 Char2"/>
    <w:qFormat/>
    <w:uiPriority w:val="0"/>
    <w:rPr>
      <w:kern w:val="2"/>
      <w:sz w:val="24"/>
      <w:szCs w:val="21"/>
    </w:rPr>
  </w:style>
  <w:style w:type="character" w:customStyle="1" w:styleId="193">
    <w:name w:val="正文文本缩进 Char1"/>
    <w:qFormat/>
    <w:uiPriority w:val="0"/>
    <w:rPr>
      <w:kern w:val="2"/>
      <w:sz w:val="24"/>
      <w:szCs w:val="21"/>
    </w:rPr>
  </w:style>
  <w:style w:type="character" w:customStyle="1" w:styleId="194">
    <w:name w:val="正文文本 3 Char2"/>
    <w:qFormat/>
    <w:uiPriority w:val="0"/>
    <w:rPr>
      <w:kern w:val="2"/>
      <w:sz w:val="16"/>
      <w:szCs w:val="16"/>
    </w:rPr>
  </w:style>
  <w:style w:type="character" w:customStyle="1" w:styleId="195">
    <w:name w:val="标题 Char2"/>
    <w:qFormat/>
    <w:uiPriority w:val="0"/>
    <w:rPr>
      <w:rFonts w:ascii="Calibri Light" w:hAnsi="Calibri Light" w:cs="Times New Roman"/>
      <w:b/>
      <w:bCs/>
      <w:kern w:val="2"/>
      <w:sz w:val="32"/>
      <w:szCs w:val="32"/>
    </w:rPr>
  </w:style>
  <w:style w:type="character" w:customStyle="1" w:styleId="196">
    <w:name w:val="纯文本 Char2"/>
    <w:qFormat/>
    <w:uiPriority w:val="0"/>
    <w:rPr>
      <w:rFonts w:ascii="宋体" w:hAnsi="Courier New" w:cs="Courier New"/>
      <w:kern w:val="2"/>
      <w:sz w:val="21"/>
      <w:szCs w:val="21"/>
    </w:rPr>
  </w:style>
  <w:style w:type="character" w:customStyle="1" w:styleId="197">
    <w:name w:val="z-窗体顶端 Char1"/>
    <w:qFormat/>
    <w:uiPriority w:val="0"/>
    <w:rPr>
      <w:rFonts w:ascii="Arial" w:hAnsi="Arial" w:cs="Arial"/>
      <w:vanish/>
      <w:kern w:val="2"/>
      <w:sz w:val="16"/>
      <w:szCs w:val="16"/>
    </w:rPr>
  </w:style>
  <w:style w:type="character" w:customStyle="1" w:styleId="198">
    <w:name w:val="明显引用 Char2"/>
    <w:qFormat/>
    <w:uiPriority w:val="30"/>
    <w:rPr>
      <w:i/>
      <w:iCs/>
      <w:color w:val="5B9BD5"/>
      <w:kern w:val="2"/>
      <w:sz w:val="24"/>
      <w:szCs w:val="21"/>
    </w:rPr>
  </w:style>
  <w:style w:type="character" w:customStyle="1" w:styleId="199">
    <w:name w:val="z-窗体底端 Char1"/>
    <w:qFormat/>
    <w:uiPriority w:val="0"/>
    <w:rPr>
      <w:rFonts w:ascii="Arial" w:hAnsi="Arial" w:cs="Arial"/>
      <w:vanish/>
      <w:kern w:val="2"/>
      <w:sz w:val="16"/>
      <w:szCs w:val="16"/>
    </w:rPr>
  </w:style>
  <w:style w:type="paragraph" w:customStyle="1" w:styleId="200">
    <w:name w:val="正文31"/>
    <w:qFormat/>
    <w:uiPriority w:val="0"/>
    <w:pPr>
      <w:jc w:val="both"/>
    </w:pPr>
    <w:rPr>
      <w:rFonts w:ascii="Times New Roman" w:hAnsi="Times New Roman" w:eastAsia="宋体" w:cs="Times New Roman"/>
      <w:kern w:val="2"/>
      <w:sz w:val="24"/>
      <w:szCs w:val="21"/>
      <w:lang w:val="en-US" w:eastAsia="zh-CN" w:bidi="ar-SA"/>
    </w:rPr>
  </w:style>
  <w:style w:type="paragraph" w:customStyle="1" w:styleId="201">
    <w:name w:val="表文"/>
    <w:basedOn w:val="1"/>
    <w:qFormat/>
    <w:uiPriority w:val="0"/>
    <w:pPr>
      <w:overflowPunct w:val="0"/>
      <w:spacing w:after="0" w:line="360" w:lineRule="auto"/>
      <w:jc w:val="center"/>
      <w:textAlignment w:val="baseline"/>
    </w:pPr>
    <w:rPr>
      <w:rFonts w:ascii="Arial" w:hAnsi="Arial" w:eastAsia="宋体" w:cs="Times New Roman"/>
      <w:kern w:val="2"/>
      <w:szCs w:val="20"/>
    </w:rPr>
  </w:style>
  <w:style w:type="paragraph" w:customStyle="1" w:styleId="202">
    <w:name w:val="普通(网站)1"/>
    <w:basedOn w:val="1"/>
    <w:qFormat/>
    <w:uiPriority w:val="0"/>
    <w:pPr>
      <w:widowControl w:val="0"/>
      <w:spacing w:before="100" w:beforeAutospacing="1" w:after="100" w:afterAutospacing="1" w:line="360" w:lineRule="auto"/>
    </w:pPr>
    <w:rPr>
      <w:rFonts w:ascii="宋体" w:hAnsi="宋体" w:eastAsia="宋体" w:cs="宋体"/>
      <w:kern w:val="2"/>
      <w:sz w:val="24"/>
      <w:szCs w:val="24"/>
    </w:rPr>
  </w:style>
  <w:style w:type="character" w:styleId="203">
    <w:name w:val="Placeholder Text"/>
    <w:basedOn w:val="48"/>
    <w:semiHidden/>
    <w:qFormat/>
    <w:uiPriority w:val="99"/>
    <w:rPr>
      <w:color w:val="808080"/>
    </w:rPr>
  </w:style>
  <w:style w:type="paragraph" w:customStyle="1" w:styleId="204">
    <w:name w:val="我的正文"/>
    <w:basedOn w:val="1"/>
    <w:link w:val="235"/>
    <w:qFormat/>
    <w:uiPriority w:val="0"/>
    <w:pPr>
      <w:widowControl w:val="0"/>
      <w:spacing w:after="0" w:line="240" w:lineRule="auto"/>
      <w:ind w:firstLine="192" w:firstLineChars="192"/>
      <w:jc w:val="both"/>
    </w:pPr>
    <w:rPr>
      <w:rFonts w:ascii="Times New Roman" w:hAnsi="Times New Roman" w:eastAsia="宋体" w:cs="Times New Roman"/>
      <w:kern w:val="2"/>
      <w:sz w:val="28"/>
      <w:szCs w:val="24"/>
    </w:rPr>
  </w:style>
  <w:style w:type="paragraph" w:customStyle="1" w:styleId="205">
    <w:name w:val="Char Char3 Char Char"/>
    <w:basedOn w:val="17"/>
    <w:qFormat/>
    <w:uiPriority w:val="0"/>
    <w:rPr>
      <w:rFonts w:ascii="Tahoma" w:hAnsi="Tahoma"/>
      <w:sz w:val="24"/>
      <w:szCs w:val="24"/>
    </w:rPr>
  </w:style>
  <w:style w:type="paragraph" w:customStyle="1" w:styleId="206">
    <w:name w:val="我的标题1"/>
    <w:basedOn w:val="1"/>
    <w:qFormat/>
    <w:uiPriority w:val="0"/>
    <w:pPr>
      <w:widowControl w:val="0"/>
      <w:spacing w:after="0" w:line="240" w:lineRule="auto"/>
      <w:jc w:val="both"/>
      <w:outlineLvl w:val="0"/>
    </w:pPr>
    <w:rPr>
      <w:rFonts w:ascii="Times New Roman" w:hAnsi="Times New Roman" w:eastAsia="宋体" w:cs="Times New Roman"/>
      <w:b/>
      <w:kern w:val="2"/>
      <w:sz w:val="32"/>
      <w:szCs w:val="24"/>
    </w:rPr>
  </w:style>
  <w:style w:type="paragraph" w:customStyle="1" w:styleId="207">
    <w:name w:val="正文 + 首行缩进:  2 字符"/>
    <w:basedOn w:val="1"/>
    <w:qFormat/>
    <w:uiPriority w:val="0"/>
    <w:pPr>
      <w:widowControl w:val="0"/>
      <w:spacing w:after="0" w:line="360" w:lineRule="auto"/>
      <w:ind w:firstLine="480" w:firstLineChars="200"/>
      <w:jc w:val="both"/>
    </w:pPr>
    <w:rPr>
      <w:rFonts w:ascii="Times New Roman" w:hAnsi="Times New Roman" w:eastAsia="宋体" w:cs="宋体"/>
      <w:kern w:val="2"/>
      <w:sz w:val="24"/>
      <w:szCs w:val="20"/>
    </w:rPr>
  </w:style>
  <w:style w:type="paragraph" w:customStyle="1" w:styleId="208">
    <w:name w:val="Char Char3 Char Char2"/>
    <w:basedOn w:val="17"/>
    <w:qFormat/>
    <w:uiPriority w:val="0"/>
    <w:rPr>
      <w:rFonts w:ascii="Tahoma" w:hAnsi="Tahoma"/>
      <w:sz w:val="24"/>
      <w:szCs w:val="24"/>
    </w:rPr>
  </w:style>
  <w:style w:type="paragraph" w:customStyle="1" w:styleId="209">
    <w:name w:val="Char Char3 Char Char1"/>
    <w:basedOn w:val="17"/>
    <w:qFormat/>
    <w:uiPriority w:val="0"/>
    <w:rPr>
      <w:rFonts w:ascii="Tahoma" w:hAnsi="Tahoma"/>
      <w:sz w:val="24"/>
      <w:szCs w:val="24"/>
    </w:rPr>
  </w:style>
  <w:style w:type="paragraph" w:customStyle="1" w:styleId="210">
    <w:name w:val="Char"/>
    <w:basedOn w:val="17"/>
    <w:qFormat/>
    <w:uiPriority w:val="0"/>
    <w:rPr>
      <w:rFonts w:ascii="Tahoma" w:hAnsi="Tahoma"/>
      <w:sz w:val="24"/>
      <w:szCs w:val="24"/>
    </w:rPr>
  </w:style>
  <w:style w:type="paragraph" w:customStyle="1" w:styleId="211">
    <w:name w:val="Char Char3 Char Char15"/>
    <w:basedOn w:val="17"/>
    <w:qFormat/>
    <w:uiPriority w:val="0"/>
    <w:rPr>
      <w:rFonts w:ascii="Tahoma" w:hAnsi="Tahoma"/>
      <w:sz w:val="24"/>
      <w:szCs w:val="24"/>
    </w:rPr>
  </w:style>
  <w:style w:type="paragraph" w:customStyle="1" w:styleId="212">
    <w:name w:val="Char Char3 Char Char14"/>
    <w:basedOn w:val="17"/>
    <w:qFormat/>
    <w:uiPriority w:val="0"/>
    <w:rPr>
      <w:rFonts w:ascii="Tahoma" w:hAnsi="Tahoma"/>
      <w:sz w:val="24"/>
      <w:szCs w:val="24"/>
    </w:rPr>
  </w:style>
  <w:style w:type="paragraph" w:customStyle="1" w:styleId="213">
    <w:name w:val="Char Char3 Char Char13"/>
    <w:basedOn w:val="17"/>
    <w:qFormat/>
    <w:uiPriority w:val="0"/>
    <w:rPr>
      <w:rFonts w:ascii="Tahoma" w:hAnsi="Tahoma"/>
      <w:sz w:val="24"/>
      <w:szCs w:val="24"/>
    </w:rPr>
  </w:style>
  <w:style w:type="paragraph" w:customStyle="1" w:styleId="214">
    <w:name w:val="正文文本缩进 22"/>
    <w:basedOn w:val="1"/>
    <w:qFormat/>
    <w:uiPriority w:val="0"/>
    <w:pPr>
      <w:widowControl w:val="0"/>
      <w:adjustRightInd w:val="0"/>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215">
    <w:name w:val="Char Char3 Char Char12"/>
    <w:basedOn w:val="17"/>
    <w:qFormat/>
    <w:uiPriority w:val="0"/>
    <w:rPr>
      <w:rFonts w:ascii="Tahoma" w:hAnsi="Tahoma"/>
      <w:sz w:val="24"/>
      <w:szCs w:val="24"/>
    </w:rPr>
  </w:style>
  <w:style w:type="paragraph" w:customStyle="1" w:styleId="216">
    <w:name w:val="Char Char3 Char Char11"/>
    <w:basedOn w:val="17"/>
    <w:qFormat/>
    <w:uiPriority w:val="0"/>
    <w:rPr>
      <w:rFonts w:ascii="Tahoma" w:hAnsi="Tahoma"/>
      <w:sz w:val="24"/>
      <w:szCs w:val="24"/>
    </w:rPr>
  </w:style>
  <w:style w:type="paragraph" w:customStyle="1" w:styleId="217">
    <w:name w:val="我的标题3"/>
    <w:basedOn w:val="1"/>
    <w:qFormat/>
    <w:uiPriority w:val="0"/>
    <w:pPr>
      <w:widowControl w:val="0"/>
      <w:spacing w:after="0" w:line="240" w:lineRule="auto"/>
      <w:jc w:val="both"/>
      <w:outlineLvl w:val="2"/>
    </w:pPr>
    <w:rPr>
      <w:rFonts w:ascii="Times New Roman" w:hAnsi="Times New Roman" w:eastAsia="宋体" w:cs="Times New Roman"/>
      <w:b/>
      <w:kern w:val="2"/>
      <w:sz w:val="28"/>
      <w:szCs w:val="24"/>
    </w:rPr>
  </w:style>
  <w:style w:type="paragraph" w:customStyle="1" w:styleId="218">
    <w:name w:val="正文文本缩进1"/>
    <w:basedOn w:val="1"/>
    <w:qFormat/>
    <w:uiPriority w:val="0"/>
    <w:pPr>
      <w:widowControl w:val="0"/>
      <w:adjustRightInd w:val="0"/>
      <w:spacing w:after="0" w:line="233" w:lineRule="auto"/>
      <w:ind w:firstLine="570"/>
      <w:jc w:val="both"/>
      <w:textAlignment w:val="baseline"/>
    </w:pPr>
    <w:rPr>
      <w:rFonts w:ascii="仿宋_GB2312" w:hAnsi="Times New Roman" w:eastAsia="仿宋_GB2312" w:cs="Times New Roman"/>
      <w:sz w:val="28"/>
      <w:szCs w:val="20"/>
    </w:rPr>
  </w:style>
  <w:style w:type="paragraph" w:customStyle="1" w:styleId="219">
    <w:name w:val="Char Char3 Char Char10"/>
    <w:basedOn w:val="17"/>
    <w:qFormat/>
    <w:uiPriority w:val="0"/>
    <w:rPr>
      <w:rFonts w:ascii="Tahoma" w:hAnsi="Tahoma"/>
      <w:sz w:val="24"/>
      <w:szCs w:val="24"/>
    </w:rPr>
  </w:style>
  <w:style w:type="character" w:customStyle="1" w:styleId="220">
    <w:name w:val="fontstyle21"/>
    <w:qFormat/>
    <w:uiPriority w:val="0"/>
    <w:rPr>
      <w:rFonts w:hint="default" w:ascii="TimesNewRomanPSMT" w:hAnsi="TimesNewRomanPSMT"/>
      <w:color w:val="000000"/>
      <w:sz w:val="24"/>
      <w:szCs w:val="24"/>
    </w:rPr>
  </w:style>
  <w:style w:type="paragraph" w:customStyle="1" w:styleId="221">
    <w:name w:val="Char Char3 Char Char9"/>
    <w:basedOn w:val="17"/>
    <w:qFormat/>
    <w:uiPriority w:val="0"/>
    <w:rPr>
      <w:rFonts w:ascii="Tahoma" w:hAnsi="Tahoma"/>
      <w:sz w:val="24"/>
      <w:szCs w:val="24"/>
    </w:rPr>
  </w:style>
  <w:style w:type="paragraph" w:customStyle="1" w:styleId="222">
    <w:name w:val="我的标题2"/>
    <w:basedOn w:val="1"/>
    <w:qFormat/>
    <w:uiPriority w:val="0"/>
    <w:pPr>
      <w:widowControl w:val="0"/>
      <w:spacing w:after="0" w:line="240" w:lineRule="auto"/>
      <w:jc w:val="both"/>
      <w:outlineLvl w:val="1"/>
    </w:pPr>
    <w:rPr>
      <w:rFonts w:ascii="Times New Roman" w:hAnsi="Times New Roman" w:eastAsia="宋体" w:cs="Times New Roman"/>
      <w:b/>
      <w:kern w:val="2"/>
      <w:sz w:val="30"/>
      <w:szCs w:val="24"/>
    </w:rPr>
  </w:style>
  <w:style w:type="paragraph" w:customStyle="1" w:styleId="223">
    <w:name w:val="普通(网站)2"/>
    <w:basedOn w:val="1"/>
    <w:qFormat/>
    <w:uiPriority w:val="0"/>
    <w:pPr>
      <w:spacing w:before="100" w:beforeAutospacing="1" w:after="100" w:afterAutospacing="1" w:line="240" w:lineRule="auto"/>
    </w:pPr>
    <w:rPr>
      <w:rFonts w:ascii="宋体" w:hAnsi="宋体" w:eastAsia="宋体" w:cs="宋体"/>
      <w:sz w:val="24"/>
      <w:szCs w:val="24"/>
    </w:rPr>
  </w:style>
  <w:style w:type="paragraph" w:customStyle="1" w:styleId="224">
    <w:name w:val="Char Char3 Char Char8"/>
    <w:basedOn w:val="17"/>
    <w:qFormat/>
    <w:uiPriority w:val="0"/>
    <w:rPr>
      <w:rFonts w:ascii="Tahoma" w:hAnsi="Tahoma"/>
      <w:sz w:val="24"/>
      <w:szCs w:val="24"/>
    </w:rPr>
  </w:style>
  <w:style w:type="paragraph" w:customStyle="1" w:styleId="225">
    <w:name w:val="Char Char3 Char Char7"/>
    <w:basedOn w:val="17"/>
    <w:qFormat/>
    <w:uiPriority w:val="0"/>
    <w:rPr>
      <w:rFonts w:ascii="Tahoma" w:hAnsi="Tahoma"/>
      <w:sz w:val="24"/>
      <w:szCs w:val="24"/>
    </w:rPr>
  </w:style>
  <w:style w:type="paragraph" w:customStyle="1" w:styleId="226">
    <w:name w:val="Char Char3 Char Char6"/>
    <w:basedOn w:val="17"/>
    <w:qFormat/>
    <w:uiPriority w:val="0"/>
    <w:rPr>
      <w:rFonts w:ascii="Tahoma" w:hAnsi="Tahoma"/>
      <w:sz w:val="24"/>
      <w:szCs w:val="24"/>
    </w:rPr>
  </w:style>
  <w:style w:type="paragraph" w:customStyle="1" w:styleId="227">
    <w:name w:val="xl24"/>
    <w:basedOn w:val="1"/>
    <w:qFormat/>
    <w:uiPriority w:val="0"/>
    <w:pPr>
      <w:spacing w:before="100" w:beforeAutospacing="1" w:after="100" w:afterAutospacing="1" w:line="240" w:lineRule="auto"/>
      <w:jc w:val="center"/>
    </w:pPr>
    <w:rPr>
      <w:rFonts w:ascii="宋体" w:hAnsi="宋体" w:eastAsia="宋体" w:cs="Times New Roman"/>
      <w:sz w:val="24"/>
      <w:szCs w:val="24"/>
    </w:rPr>
  </w:style>
  <w:style w:type="paragraph" w:customStyle="1" w:styleId="228">
    <w:name w:val="表标题"/>
    <w:basedOn w:val="1"/>
    <w:qFormat/>
    <w:uiPriority w:val="0"/>
    <w:pPr>
      <w:keepNext/>
      <w:widowControl w:val="0"/>
      <w:adjustRightInd w:val="0"/>
      <w:spacing w:before="180" w:after="120" w:line="440" w:lineRule="atLeast"/>
      <w:ind w:right="238" w:firstLine="510"/>
      <w:jc w:val="center"/>
      <w:textAlignment w:val="baseline"/>
    </w:pPr>
    <w:rPr>
      <w:rFonts w:ascii="宋体" w:hAnsi="宋体" w:eastAsia="宋体" w:cs="Times New Roman"/>
      <w:b/>
      <w:color w:val="0000FF"/>
      <w:sz w:val="24"/>
      <w:szCs w:val="20"/>
    </w:rPr>
  </w:style>
  <w:style w:type="paragraph" w:customStyle="1" w:styleId="229">
    <w:name w:val="样式2"/>
    <w:basedOn w:val="1"/>
    <w:qFormat/>
    <w:uiPriority w:val="0"/>
    <w:pPr>
      <w:widowControl w:val="0"/>
      <w:spacing w:after="0" w:line="360" w:lineRule="auto"/>
      <w:ind w:firstLine="584" w:firstLineChars="200"/>
    </w:pPr>
    <w:rPr>
      <w:rFonts w:ascii="宋体" w:hAnsi="宋体" w:eastAsia="宋体" w:cs="宋体"/>
      <w:spacing w:val="6"/>
      <w:sz w:val="28"/>
      <w:szCs w:val="28"/>
    </w:rPr>
  </w:style>
  <w:style w:type="paragraph" w:customStyle="1" w:styleId="230">
    <w:name w:val="Char Char Char Char2"/>
    <w:basedOn w:val="1"/>
    <w:qFormat/>
    <w:uiPriority w:val="0"/>
    <w:pPr>
      <w:widowControl w:val="0"/>
      <w:spacing w:after="0" w:line="360" w:lineRule="auto"/>
      <w:ind w:firstLine="200" w:firstLineChars="200"/>
      <w:jc w:val="both"/>
    </w:pPr>
    <w:rPr>
      <w:rFonts w:ascii="宋体" w:hAnsi="宋体" w:eastAsia="宋体" w:cs="宋体"/>
      <w:kern w:val="2"/>
      <w:sz w:val="24"/>
      <w:szCs w:val="24"/>
    </w:rPr>
  </w:style>
  <w:style w:type="paragraph" w:customStyle="1" w:styleId="231">
    <w:name w:val="Char Char Char Char Char Char1 Char Char Char Char Char Char Char Char Char Char Char Char Char Char Char Char Char Char Char Char Char Char Char"/>
    <w:basedOn w:val="1"/>
    <w:qFormat/>
    <w:uiPriority w:val="0"/>
    <w:pPr>
      <w:spacing w:line="240" w:lineRule="exact"/>
    </w:pPr>
    <w:rPr>
      <w:rFonts w:ascii="Verdana" w:hAnsi="Verdana" w:eastAsia="Batang" w:cs="Times New Roman"/>
      <w:sz w:val="20"/>
      <w:szCs w:val="20"/>
      <w:lang w:eastAsia="en-US"/>
    </w:rPr>
  </w:style>
  <w:style w:type="paragraph" w:customStyle="1" w:styleId="232">
    <w:name w:val="Char Char3 Char Char5"/>
    <w:basedOn w:val="17"/>
    <w:qFormat/>
    <w:uiPriority w:val="0"/>
    <w:rPr>
      <w:rFonts w:ascii="Tahoma" w:hAnsi="Tahoma"/>
      <w:sz w:val="24"/>
      <w:szCs w:val="24"/>
    </w:rPr>
  </w:style>
  <w:style w:type="paragraph" w:customStyle="1" w:styleId="233">
    <w:name w:val="Char Char3 Char Char4"/>
    <w:basedOn w:val="17"/>
    <w:qFormat/>
    <w:uiPriority w:val="0"/>
    <w:rPr>
      <w:rFonts w:ascii="Tahoma" w:hAnsi="Tahoma"/>
      <w:sz w:val="24"/>
      <w:szCs w:val="24"/>
    </w:rPr>
  </w:style>
  <w:style w:type="paragraph" w:customStyle="1" w:styleId="234">
    <w:name w:val="Char Char3 Char Char3"/>
    <w:basedOn w:val="17"/>
    <w:qFormat/>
    <w:uiPriority w:val="0"/>
    <w:rPr>
      <w:rFonts w:ascii="Tahoma" w:hAnsi="Tahoma"/>
      <w:sz w:val="24"/>
      <w:szCs w:val="24"/>
    </w:rPr>
  </w:style>
  <w:style w:type="character" w:customStyle="1" w:styleId="235">
    <w:name w:val="我的正文 Char1"/>
    <w:link w:val="204"/>
    <w:qFormat/>
    <w:uiPriority w:val="0"/>
    <w:rPr>
      <w:rFonts w:ascii="Times New Roman" w:hAnsi="Times New Roman" w:eastAsia="宋体" w:cs="Times New Roman"/>
      <w:kern w:val="2"/>
      <w:sz w:val="28"/>
      <w:szCs w:val="24"/>
    </w:rPr>
  </w:style>
  <w:style w:type="character" w:customStyle="1" w:styleId="236">
    <w:name w:val="!正文_ALT+Z Char Char"/>
    <w:link w:val="237"/>
    <w:qFormat/>
    <w:locked/>
    <w:uiPriority w:val="0"/>
    <w:rPr>
      <w:rFonts w:ascii="仿宋_GB2312" w:eastAsia="仿宋_GB2312"/>
      <w:kern w:val="2"/>
      <w:sz w:val="28"/>
      <w:szCs w:val="28"/>
    </w:rPr>
  </w:style>
  <w:style w:type="paragraph" w:customStyle="1" w:styleId="237">
    <w:name w:val="!正文_ALT+Z"/>
    <w:basedOn w:val="1"/>
    <w:link w:val="236"/>
    <w:qFormat/>
    <w:uiPriority w:val="0"/>
    <w:pPr>
      <w:widowControl w:val="0"/>
      <w:spacing w:after="0" w:line="520" w:lineRule="exact"/>
      <w:ind w:firstLine="200" w:firstLineChars="200"/>
      <w:jc w:val="both"/>
    </w:pPr>
    <w:rPr>
      <w:rFonts w:ascii="仿宋_GB2312" w:eastAsia="仿宋_GB2312"/>
      <w:kern w:val="2"/>
      <w:sz w:val="28"/>
      <w:szCs w:val="28"/>
    </w:rPr>
  </w:style>
  <w:style w:type="character" w:customStyle="1" w:styleId="238">
    <w:name w:val="报告正文 Char"/>
    <w:link w:val="239"/>
    <w:qFormat/>
    <w:uiPriority w:val="0"/>
    <w:rPr>
      <w:sz w:val="24"/>
      <w:szCs w:val="24"/>
    </w:rPr>
  </w:style>
  <w:style w:type="paragraph" w:customStyle="1" w:styleId="239">
    <w:name w:val="报告正文"/>
    <w:next w:val="1"/>
    <w:link w:val="238"/>
    <w:qFormat/>
    <w:uiPriority w:val="0"/>
    <w:pPr>
      <w:spacing w:line="360" w:lineRule="auto"/>
      <w:ind w:firstLine="200" w:firstLineChars="200"/>
    </w:pPr>
    <w:rPr>
      <w:rFonts w:asciiTheme="minorHAnsi" w:hAnsiTheme="minorHAnsi" w:eastAsiaTheme="minorEastAsia" w:cstheme="minorBidi"/>
      <w:sz w:val="24"/>
      <w:szCs w:val="24"/>
      <w:lang w:val="en-US" w:eastAsia="zh-CN" w:bidi="ar-SA"/>
    </w:rPr>
  </w:style>
  <w:style w:type="character" w:customStyle="1" w:styleId="240">
    <w:name w:val="表头 Char"/>
    <w:qFormat/>
    <w:uiPriority w:val="0"/>
    <w:rPr>
      <w:rFonts w:ascii="Arial" w:hAnsi="Arial" w:eastAsia="黑体"/>
      <w:b/>
      <w:kern w:val="2"/>
      <w:sz w:val="24"/>
      <w:szCs w:val="24"/>
    </w:rPr>
  </w:style>
  <w:style w:type="character" w:customStyle="1" w:styleId="241">
    <w:name w:val="表格(张曦) Char"/>
    <w:link w:val="242"/>
    <w:qFormat/>
    <w:uiPriority w:val="0"/>
    <w:rPr>
      <w:rFonts w:ascii="Arial" w:hAnsi="Arial"/>
      <w:kern w:val="2"/>
      <w:szCs w:val="24"/>
    </w:rPr>
  </w:style>
  <w:style w:type="paragraph" w:customStyle="1" w:styleId="242">
    <w:name w:val="表格(张曦)"/>
    <w:basedOn w:val="1"/>
    <w:link w:val="241"/>
    <w:qFormat/>
    <w:uiPriority w:val="0"/>
    <w:pPr>
      <w:widowControl w:val="0"/>
      <w:snapToGrid w:val="0"/>
      <w:spacing w:after="0" w:line="240" w:lineRule="auto"/>
      <w:jc w:val="center"/>
    </w:pPr>
    <w:rPr>
      <w:rFonts w:ascii="Arial" w:hAnsi="Arial"/>
      <w:kern w:val="2"/>
      <w:szCs w:val="24"/>
    </w:rPr>
  </w:style>
  <w:style w:type="character" w:customStyle="1" w:styleId="243">
    <w:name w:val="页脚 Char1"/>
    <w:qFormat/>
    <w:uiPriority w:val="99"/>
    <w:rPr>
      <w:rFonts w:ascii="Arial" w:hAnsi="Arial"/>
      <w:kern w:val="2"/>
      <w:sz w:val="18"/>
      <w:szCs w:val="18"/>
    </w:rPr>
  </w:style>
  <w:style w:type="character" w:customStyle="1" w:styleId="244">
    <w:name w:val="表格文字 Char"/>
    <w:link w:val="86"/>
    <w:qFormat/>
    <w:uiPriority w:val="0"/>
    <w:rPr>
      <w:rFonts w:ascii="Times New Roman" w:hAnsi="Times New Roman" w:eastAsia="宋体" w:cs="Times New Roman"/>
      <w:kern w:val="2"/>
      <w:sz w:val="24"/>
      <w:szCs w:val="24"/>
    </w:rPr>
  </w:style>
  <w:style w:type="paragraph" w:customStyle="1" w:styleId="245">
    <w:name w:val="表字居中"/>
    <w:basedOn w:val="1"/>
    <w:qFormat/>
    <w:uiPriority w:val="0"/>
    <w:pPr>
      <w:widowControl w:val="0"/>
      <w:tabs>
        <w:tab w:val="left" w:pos="3626"/>
      </w:tabs>
      <w:spacing w:after="0" w:line="240" w:lineRule="exact"/>
      <w:jc w:val="center"/>
    </w:pPr>
    <w:rPr>
      <w:rFonts w:ascii="Arial" w:hAnsi="Arial" w:eastAsia="宋体" w:cs="Times New Roman"/>
      <w:kern w:val="2"/>
      <w:szCs w:val="18"/>
    </w:rPr>
  </w:style>
  <w:style w:type="paragraph" w:customStyle="1" w:styleId="246">
    <w:name w:val="表中文字"/>
    <w:basedOn w:val="1"/>
    <w:qFormat/>
    <w:uiPriority w:val="0"/>
    <w:pPr>
      <w:widowControl w:val="0"/>
      <w:tabs>
        <w:tab w:val="left" w:pos="2700"/>
      </w:tabs>
      <w:spacing w:after="0" w:line="360" w:lineRule="exact"/>
      <w:jc w:val="center"/>
    </w:pPr>
    <w:rPr>
      <w:rFonts w:ascii="Arial" w:hAnsi="Arial" w:eastAsia="宋体" w:cs="Times New Roman"/>
    </w:rPr>
  </w:style>
  <w:style w:type="character" w:customStyle="1" w:styleId="247">
    <w:name w:val="样式11111 Char Char"/>
    <w:link w:val="248"/>
    <w:qFormat/>
    <w:uiPriority w:val="0"/>
    <w:rPr>
      <w:color w:val="000000"/>
      <w:sz w:val="24"/>
      <w:szCs w:val="24"/>
    </w:rPr>
  </w:style>
  <w:style w:type="paragraph" w:customStyle="1" w:styleId="248">
    <w:name w:val="样式11111"/>
    <w:basedOn w:val="1"/>
    <w:link w:val="247"/>
    <w:qFormat/>
    <w:uiPriority w:val="0"/>
    <w:pPr>
      <w:widowControl w:val="0"/>
      <w:spacing w:beforeLines="50" w:after="0" w:afterLines="50" w:line="360" w:lineRule="auto"/>
      <w:ind w:firstLine="480" w:firstLineChars="200"/>
      <w:jc w:val="both"/>
    </w:pPr>
    <w:rPr>
      <w:color w:val="000000"/>
      <w:sz w:val="24"/>
      <w:szCs w:val="24"/>
    </w:rPr>
  </w:style>
  <w:style w:type="paragraph" w:customStyle="1" w:styleId="249">
    <w:name w:val="表表表表"/>
    <w:basedOn w:val="1"/>
    <w:link w:val="250"/>
    <w:qFormat/>
    <w:uiPriority w:val="0"/>
    <w:pPr>
      <w:widowControl w:val="0"/>
      <w:spacing w:after="0" w:line="280" w:lineRule="exact"/>
      <w:jc w:val="center"/>
    </w:pPr>
    <w:rPr>
      <w:rFonts w:ascii="Arial" w:hAnsi="Arial" w:eastAsia="宋体" w:cs="Times New Roman"/>
      <w:kern w:val="2"/>
      <w:szCs w:val="20"/>
    </w:rPr>
  </w:style>
  <w:style w:type="character" w:customStyle="1" w:styleId="250">
    <w:name w:val="表表表表 字符"/>
    <w:link w:val="249"/>
    <w:qFormat/>
    <w:uiPriority w:val="0"/>
    <w:rPr>
      <w:rFonts w:ascii="Arial" w:hAnsi="Arial" w:eastAsia="宋体" w:cs="Times New Roman"/>
      <w:kern w:val="2"/>
      <w:szCs w:val="20"/>
    </w:rPr>
  </w:style>
  <w:style w:type="character" w:customStyle="1" w:styleId="251">
    <w:name w:val="1正文段落 Char Char"/>
    <w:link w:val="252"/>
    <w:qFormat/>
    <w:uiPriority w:val="0"/>
    <w:rPr>
      <w:sz w:val="24"/>
      <w:szCs w:val="24"/>
    </w:rPr>
  </w:style>
  <w:style w:type="paragraph" w:customStyle="1" w:styleId="252">
    <w:name w:val="1正文段落 Char"/>
    <w:basedOn w:val="1"/>
    <w:link w:val="251"/>
    <w:qFormat/>
    <w:uiPriority w:val="0"/>
    <w:pPr>
      <w:widowControl w:val="0"/>
      <w:spacing w:after="0" w:line="360" w:lineRule="auto"/>
      <w:ind w:firstLine="200" w:firstLineChars="200"/>
    </w:pPr>
    <w:rPr>
      <w:sz w:val="24"/>
      <w:szCs w:val="24"/>
    </w:rPr>
  </w:style>
  <w:style w:type="paragraph" w:customStyle="1" w:styleId="253">
    <w:name w:val="Char Char3 Char Char16"/>
    <w:basedOn w:val="17"/>
    <w:qFormat/>
    <w:uiPriority w:val="0"/>
    <w:rPr>
      <w:rFonts w:ascii="Tahoma" w:hAnsi="Tahoma"/>
      <w:sz w:val="24"/>
      <w:szCs w:val="24"/>
    </w:rPr>
  </w:style>
  <w:style w:type="paragraph" w:customStyle="1" w:styleId="254">
    <w:name w:val="普通(网站)3"/>
    <w:basedOn w:val="1"/>
    <w:qFormat/>
    <w:uiPriority w:val="0"/>
    <w:pPr>
      <w:spacing w:before="100" w:beforeAutospacing="1" w:after="100" w:afterAutospacing="1" w:line="240" w:lineRule="auto"/>
    </w:pPr>
    <w:rPr>
      <w:rFonts w:hint="eastAsia" w:ascii="宋体" w:hAnsi="宋体" w:eastAsia="宋体"/>
      <w:sz w:val="24"/>
    </w:rPr>
  </w:style>
  <w:style w:type="character" w:customStyle="1" w:styleId="255">
    <w:name w:val="标题 2 字符1"/>
    <w:qFormat/>
    <w:uiPriority w:val="0"/>
    <w:rPr>
      <w:rFonts w:ascii="Times New Roman" w:hAnsi="Times New Roman" w:eastAsia="黑体"/>
      <w:b/>
      <w:bCs/>
      <w:kern w:val="2"/>
      <w:sz w:val="28"/>
      <w:szCs w:val="32"/>
    </w:rPr>
  </w:style>
  <w:style w:type="character" w:customStyle="1" w:styleId="256">
    <w:name w:val="标题 3 字符1"/>
    <w:qFormat/>
    <w:uiPriority w:val="0"/>
    <w:rPr>
      <w:rFonts w:ascii="Times New Roman" w:hAnsi="Times New Roman" w:eastAsia="黑体"/>
      <w:b/>
      <w:bCs/>
      <w:kern w:val="2"/>
      <w:sz w:val="24"/>
      <w:szCs w:val="32"/>
    </w:rPr>
  </w:style>
  <w:style w:type="character" w:customStyle="1" w:styleId="257">
    <w:name w:val="标题 4 字符1"/>
    <w:qFormat/>
    <w:uiPriority w:val="0"/>
    <w:rPr>
      <w:rFonts w:ascii="Times New Roman" w:hAnsi="Times New Roman" w:eastAsia="黑体"/>
      <w:bCs/>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wmf"/><Relationship Id="rId28" Type="http://schemas.openxmlformats.org/officeDocument/2006/relationships/image" Target="media/image11.wmf"/><Relationship Id="rId27" Type="http://schemas.openxmlformats.org/officeDocument/2006/relationships/image" Target="media/image10.wmf"/><Relationship Id="rId26" Type="http://schemas.openxmlformats.org/officeDocument/2006/relationships/image" Target="media/image9.wmf"/><Relationship Id="rId25" Type="http://schemas.openxmlformats.org/officeDocument/2006/relationships/image" Target="media/image8.wmf"/><Relationship Id="rId24" Type="http://schemas.openxmlformats.org/officeDocument/2006/relationships/oleObject" Target="embeddings/oleObject2.bin"/><Relationship Id="rId23" Type="http://schemas.openxmlformats.org/officeDocument/2006/relationships/image" Target="media/image7.wmf"/><Relationship Id="rId22" Type="http://schemas.openxmlformats.org/officeDocument/2006/relationships/oleObject" Target="embeddings/oleObject1.bin"/><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40A24-6A42-4444-BC59-468706CC71C3}">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71</Pages>
  <Words>6389</Words>
  <Characters>7455</Characters>
  <Lines>354</Lines>
  <Paragraphs>99</Paragraphs>
  <TotalTime>1</TotalTime>
  <ScaleCrop>false</ScaleCrop>
  <LinksUpToDate>false</LinksUpToDate>
  <CharactersWithSpaces>7710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2025-04-02T02:24:00Z</dcterms:created>
  <dc:creator>Administrator</dc:creator>
  <cp:lastModifiedBy>20314</cp:lastModifiedBy>
  <cp:lastPrinted>2025-04-02T02:25:00Z</cp:lastPrinted>
  <dcterms:modified xsi:type="dcterms:W3CDTF">2025-04-29T02:31:09Z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AB836ADBB75746E9AE990C52118C8BAD</vt:lpwstr>
  </property>
  <property fmtid="{D5CDD505-2E9C-101B-9397-08002B2CF9AE}" pid="4" name="KSOTemplateDocerSaveRecord">
    <vt:lpwstr>eyJoZGlkIjoiN2I4YzVlMmUyMjc0YjZhY2E1YmJiMWRiMWI0YzAwNTIiLCJ1c2VySWQiOiIxMDM3NjMxMjY0In0=</vt:lpwstr>
  </property>
</Properties>
</file>