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emf" ContentType="image/x-emf"/>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__1.vsdx" ContentType="application/vnd.ms-visio.drawing"/>
  <Override PartName="/word/embeddings/Microsoft_Visio___2.vsdx" ContentType="application/vnd.ms-visio.drawing"/>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6012F50">
      <w:pPr>
        <w:rPr>
          <w:rFonts w:cs="仿宋_GB2312"/>
          <w:color w:val="0D0D0D" w:themeColor="text1" w:themeTint="F2"/>
          <w:sz w:val="36"/>
          <w:szCs w:val="36"/>
          <w14:textFill>
            <w14:solidFill>
              <w14:schemeClr w14:val="tx1">
                <w14:lumMod w14:val="95000"/>
                <w14:lumOff w14:val="5000"/>
              </w14:schemeClr>
            </w14:solidFill>
          </w14:textFill>
        </w:rPr>
      </w:pPr>
    </w:p>
    <w:p w14:paraId="568106D3">
      <w:pPr>
        <w:rPr>
          <w:rFonts w:cs="仿宋_GB2312"/>
          <w:color w:val="0D0D0D" w:themeColor="text1" w:themeTint="F2"/>
          <w:sz w:val="36"/>
          <w:szCs w:val="36"/>
          <w14:textFill>
            <w14:solidFill>
              <w14:schemeClr w14:val="tx1">
                <w14:lumMod w14:val="95000"/>
                <w14:lumOff w14:val="5000"/>
              </w14:schemeClr>
            </w14:solidFill>
          </w14:textFill>
        </w:rPr>
      </w:pPr>
    </w:p>
    <w:p w14:paraId="2EEFB9AD">
      <w:pPr>
        <w:rPr>
          <w:rFonts w:cs="仿宋_GB2312"/>
          <w:color w:val="0D0D0D" w:themeColor="text1" w:themeTint="F2"/>
          <w:sz w:val="36"/>
          <w:szCs w:val="36"/>
          <w14:textFill>
            <w14:solidFill>
              <w14:schemeClr w14:val="tx1">
                <w14:lumMod w14:val="95000"/>
                <w14:lumOff w14:val="5000"/>
              </w14:schemeClr>
            </w14:solidFill>
          </w14:textFill>
        </w:rPr>
      </w:pPr>
    </w:p>
    <w:p w14:paraId="3DB2E057">
      <w:pPr>
        <w:rPr>
          <w:rFonts w:cs="仿宋_GB2312"/>
          <w:color w:val="0D0D0D" w:themeColor="text1" w:themeTint="F2"/>
          <w:sz w:val="36"/>
          <w:szCs w:val="36"/>
          <w14:textFill>
            <w14:solidFill>
              <w14:schemeClr w14:val="tx1">
                <w14:lumMod w14:val="95000"/>
                <w14:lumOff w14:val="5000"/>
              </w14:schemeClr>
            </w14:solidFill>
          </w14:textFill>
        </w:rPr>
      </w:pPr>
    </w:p>
    <w:p w14:paraId="12552FD1">
      <w:pPr>
        <w:rPr>
          <w:rFonts w:cs="仿宋_GB2312"/>
          <w:color w:val="0D0D0D" w:themeColor="text1" w:themeTint="F2"/>
          <w:sz w:val="36"/>
          <w:szCs w:val="36"/>
          <w14:textFill>
            <w14:solidFill>
              <w14:schemeClr w14:val="tx1">
                <w14:lumMod w14:val="95000"/>
                <w14:lumOff w14:val="5000"/>
              </w14:schemeClr>
            </w14:solidFill>
          </w14:textFill>
        </w:rPr>
      </w:pPr>
    </w:p>
    <w:p w14:paraId="69181FF8">
      <w:pPr>
        <w:jc w:val="center"/>
        <w:rPr>
          <w:b/>
          <w:bCs/>
          <w:color w:val="0D0D0D" w:themeColor="text1" w:themeTint="F2"/>
          <w:sz w:val="72"/>
          <w:szCs w:val="72"/>
          <w14:textFill>
            <w14:solidFill>
              <w14:schemeClr w14:val="tx1">
                <w14:lumMod w14:val="95000"/>
                <w14:lumOff w14:val="5000"/>
              </w14:schemeClr>
            </w14:solidFill>
          </w14:textFill>
        </w:rPr>
      </w:pPr>
      <w:r>
        <w:rPr>
          <w:rFonts w:hint="eastAsia"/>
          <w:b/>
          <w:bCs/>
          <w:color w:val="0D0D0D" w:themeColor="text1" w:themeTint="F2"/>
          <w:sz w:val="72"/>
          <w:szCs w:val="72"/>
          <w14:textFill>
            <w14:solidFill>
              <w14:schemeClr w14:val="tx1">
                <w14:lumMod w14:val="95000"/>
                <w14:lumOff w14:val="5000"/>
              </w14:schemeClr>
            </w14:solidFill>
          </w14:textFill>
        </w:rPr>
        <w:t>建设项目环境影响报告表</w:t>
      </w:r>
    </w:p>
    <w:p w14:paraId="5D8F4C07">
      <w:pPr>
        <w:adjustRightInd w:val="0"/>
        <w:snapToGrid w:val="0"/>
        <w:spacing w:before="192" w:beforeLines="80"/>
        <w:jc w:val="center"/>
        <w:rPr>
          <w:b/>
          <w:bCs/>
          <w:color w:val="0D0D0D" w:themeColor="text1" w:themeTint="F2"/>
          <w:sz w:val="48"/>
          <w:szCs w:val="48"/>
          <w14:textFill>
            <w14:solidFill>
              <w14:schemeClr w14:val="tx1">
                <w14:lumMod w14:val="95000"/>
                <w14:lumOff w14:val="5000"/>
              </w14:schemeClr>
            </w14:solidFill>
          </w14:textFill>
        </w:rPr>
      </w:pPr>
      <w:r>
        <w:rPr>
          <w:rFonts w:hint="eastAsia"/>
          <w:b/>
          <w:bCs/>
          <w:color w:val="0D0D0D" w:themeColor="text1" w:themeTint="F2"/>
          <w:sz w:val="48"/>
          <w:szCs w:val="48"/>
          <w14:textFill>
            <w14:solidFill>
              <w14:schemeClr w14:val="tx1">
                <w14:lumMod w14:val="95000"/>
                <w14:lumOff w14:val="5000"/>
              </w14:schemeClr>
            </w14:solidFill>
          </w14:textFill>
        </w:rPr>
        <w:t>（污染影响类）</w:t>
      </w:r>
    </w:p>
    <w:p w14:paraId="3D8FA706">
      <w:pPr>
        <w:adjustRightInd w:val="0"/>
        <w:snapToGrid w:val="0"/>
        <w:spacing w:before="192" w:beforeLines="80"/>
        <w:jc w:val="center"/>
        <w:rPr>
          <w:rFonts w:hint="eastAsia"/>
          <w:b/>
          <w:bCs/>
          <w:color w:val="0D0D0D" w:themeColor="text1" w:themeTint="F2"/>
          <w:sz w:val="48"/>
          <w:szCs w:val="48"/>
          <w14:textFill>
            <w14:solidFill>
              <w14:schemeClr w14:val="tx1">
                <w14:lumMod w14:val="95000"/>
                <w14:lumOff w14:val="5000"/>
              </w14:schemeClr>
            </w14:solidFill>
          </w14:textFill>
        </w:rPr>
      </w:pPr>
      <w:r>
        <w:rPr>
          <w:rFonts w:hint="eastAsia"/>
          <w:b/>
          <w:bCs/>
          <w:color w:val="0D0D0D" w:themeColor="text1" w:themeTint="F2"/>
          <w:sz w:val="48"/>
          <w:szCs w:val="48"/>
          <w14:textFill>
            <w14:solidFill>
              <w14:schemeClr w14:val="tx1">
                <w14:lumMod w14:val="95000"/>
                <w14:lumOff w14:val="5000"/>
              </w14:schemeClr>
            </w14:solidFill>
          </w14:textFill>
        </w:rPr>
        <w:t>（公示本）</w:t>
      </w:r>
    </w:p>
    <w:p w14:paraId="6C3EAEC8">
      <w:pPr>
        <w:spacing w:line="360" w:lineRule="auto"/>
        <w:rPr>
          <w:color w:val="0D0D0D" w:themeColor="text1" w:themeTint="F2"/>
          <w:sz w:val="44"/>
          <w:szCs w:val="44"/>
          <w14:textFill>
            <w14:solidFill>
              <w14:schemeClr w14:val="tx1">
                <w14:lumMod w14:val="95000"/>
                <w14:lumOff w14:val="5000"/>
              </w14:schemeClr>
            </w14:solidFill>
          </w14:textFill>
        </w:rPr>
      </w:pPr>
    </w:p>
    <w:p w14:paraId="3BC412FC">
      <w:pPr>
        <w:spacing w:line="360" w:lineRule="auto"/>
        <w:rPr>
          <w:color w:val="0D0D0D" w:themeColor="text1" w:themeTint="F2"/>
          <w:sz w:val="44"/>
          <w:szCs w:val="44"/>
          <w14:textFill>
            <w14:solidFill>
              <w14:schemeClr w14:val="tx1">
                <w14:lumMod w14:val="95000"/>
                <w14:lumOff w14:val="5000"/>
              </w14:schemeClr>
            </w14:solidFill>
          </w14:textFill>
        </w:rPr>
      </w:pPr>
    </w:p>
    <w:p w14:paraId="6C192FC7">
      <w:pPr>
        <w:spacing w:line="360" w:lineRule="auto"/>
        <w:rPr>
          <w:color w:val="0D0D0D" w:themeColor="text1" w:themeTint="F2"/>
          <w:sz w:val="44"/>
          <w:szCs w:val="44"/>
          <w14:textFill>
            <w14:solidFill>
              <w14:schemeClr w14:val="tx1">
                <w14:lumMod w14:val="95000"/>
                <w14:lumOff w14:val="5000"/>
              </w14:schemeClr>
            </w14:solidFill>
          </w14:textFill>
        </w:rPr>
      </w:pPr>
    </w:p>
    <w:p w14:paraId="1D4AC428">
      <w:pPr>
        <w:spacing w:line="360" w:lineRule="auto"/>
        <w:rPr>
          <w:color w:val="0D0D0D" w:themeColor="text1" w:themeTint="F2"/>
          <w:sz w:val="44"/>
          <w:szCs w:val="44"/>
          <w14:textFill>
            <w14:solidFill>
              <w14:schemeClr w14:val="tx1">
                <w14:lumMod w14:val="95000"/>
                <w14:lumOff w14:val="5000"/>
              </w14:schemeClr>
            </w14:solidFill>
          </w14:textFill>
        </w:rPr>
      </w:pPr>
    </w:p>
    <w:p w14:paraId="5853E482">
      <w:pPr>
        <w:adjustRightInd w:val="0"/>
        <w:snapToGrid w:val="0"/>
        <w:spacing w:line="360" w:lineRule="auto"/>
        <w:rPr>
          <w:color w:val="0D0D0D" w:themeColor="text1" w:themeTint="F2"/>
          <w:sz w:val="30"/>
          <w:szCs w:val="30"/>
          <w:u w:val="single"/>
          <w14:textFill>
            <w14:solidFill>
              <w14:schemeClr w14:val="tx1">
                <w14:lumMod w14:val="95000"/>
                <w14:lumOff w14:val="5000"/>
              </w14:schemeClr>
            </w14:solidFill>
          </w14:textFill>
        </w:rPr>
      </w:pPr>
      <w:r>
        <w:rPr>
          <w:rFonts w:hint="eastAsia"/>
          <w:color w:val="0D0D0D" w:themeColor="text1" w:themeTint="F2"/>
          <w:sz w:val="30"/>
          <w:szCs w:val="30"/>
          <w14:textFill>
            <w14:solidFill>
              <w14:schemeClr w14:val="tx1">
                <w14:lumMod w14:val="95000"/>
                <w14:lumOff w14:val="5000"/>
              </w14:schemeClr>
            </w14:solidFill>
          </w14:textFill>
        </w:rPr>
        <w:t>项目名称：</w:t>
      </w:r>
      <w:r>
        <w:rPr>
          <w:rFonts w:hint="eastAsia"/>
          <w:color w:val="0D0D0D" w:themeColor="text1" w:themeTint="F2"/>
          <w:sz w:val="30"/>
          <w:szCs w:val="30"/>
          <w:u w:val="single"/>
          <w14:textFill>
            <w14:solidFill>
              <w14:schemeClr w14:val="tx1">
                <w14:lumMod w14:val="95000"/>
                <w14:lumOff w14:val="5000"/>
              </w14:schemeClr>
            </w14:solidFill>
          </w14:textFill>
        </w:rPr>
        <w:t>广西华谊钦州化工新材料一体化基地配套集中防腐项目</w:t>
      </w:r>
    </w:p>
    <w:p w14:paraId="25722EFD">
      <w:pPr>
        <w:adjustRightInd w:val="0"/>
        <w:snapToGrid w:val="0"/>
        <w:spacing w:line="360" w:lineRule="auto"/>
        <w:rPr>
          <w:color w:val="0D0D0D" w:themeColor="text1" w:themeTint="F2"/>
          <w:sz w:val="30"/>
          <w:szCs w:val="30"/>
          <w:u w:val="single"/>
          <w14:textFill>
            <w14:solidFill>
              <w14:schemeClr w14:val="tx1">
                <w14:lumMod w14:val="95000"/>
                <w14:lumOff w14:val="5000"/>
              </w14:schemeClr>
            </w14:solidFill>
          </w14:textFill>
        </w:rPr>
      </w:pPr>
      <w:r>
        <w:rPr>
          <w:rFonts w:hint="eastAsia"/>
          <w:color w:val="0D0D0D" w:themeColor="text1" w:themeTint="F2"/>
          <w:sz w:val="30"/>
          <w:szCs w:val="30"/>
          <w14:textFill>
            <w14:solidFill>
              <w14:schemeClr w14:val="tx1">
                <w14:lumMod w14:val="95000"/>
                <w14:lumOff w14:val="5000"/>
              </w14:schemeClr>
            </w14:solidFill>
          </w14:textFill>
        </w:rPr>
        <w:t>建设单位（盖章）：</w:t>
      </w:r>
      <w:r>
        <w:rPr>
          <w:rFonts w:hint="eastAsia"/>
          <w:color w:val="0D0D0D" w:themeColor="text1" w:themeTint="F2"/>
          <w:sz w:val="30"/>
          <w:szCs w:val="30"/>
          <w:u w:val="single"/>
          <w14:textFill>
            <w14:solidFill>
              <w14:schemeClr w14:val="tx1">
                <w14:lumMod w14:val="95000"/>
                <w14:lumOff w14:val="5000"/>
              </w14:schemeClr>
            </w14:solidFill>
          </w14:textFill>
        </w:rPr>
        <w:t xml:space="preserve">   河南省晟原工程建设集团有限公司       </w:t>
      </w:r>
    </w:p>
    <w:p w14:paraId="288158A2">
      <w:pPr>
        <w:adjustRightInd w:val="0"/>
        <w:snapToGrid w:val="0"/>
        <w:spacing w:line="360" w:lineRule="auto"/>
        <w:rPr>
          <w:color w:val="0D0D0D" w:themeColor="text1" w:themeTint="F2"/>
          <w:sz w:val="30"/>
          <w:szCs w:val="30"/>
          <w:u w:val="single"/>
          <w14:textFill>
            <w14:solidFill>
              <w14:schemeClr w14:val="tx1">
                <w14:lumMod w14:val="95000"/>
                <w14:lumOff w14:val="5000"/>
              </w14:schemeClr>
            </w14:solidFill>
          </w14:textFill>
        </w:rPr>
      </w:pPr>
      <w:r>
        <w:rPr>
          <w:rFonts w:hint="eastAsia"/>
          <w:color w:val="0D0D0D" w:themeColor="text1" w:themeTint="F2"/>
          <w:sz w:val="30"/>
          <w:szCs w:val="30"/>
          <w14:textFill>
            <w14:solidFill>
              <w14:schemeClr w14:val="tx1">
                <w14:lumMod w14:val="95000"/>
                <w14:lumOff w14:val="5000"/>
              </w14:schemeClr>
            </w14:solidFill>
          </w14:textFill>
        </w:rPr>
        <w:t>编制日期：</w:t>
      </w:r>
      <w:r>
        <w:rPr>
          <w:rFonts w:hint="eastAsia"/>
          <w:color w:val="0D0D0D" w:themeColor="text1" w:themeTint="F2"/>
          <w:sz w:val="30"/>
          <w:szCs w:val="30"/>
          <w:u w:val="single"/>
          <w14:textFill>
            <w14:solidFill>
              <w14:schemeClr w14:val="tx1">
                <w14:lumMod w14:val="95000"/>
                <w14:lumOff w14:val="5000"/>
              </w14:schemeClr>
            </w14:solidFill>
          </w14:textFill>
        </w:rPr>
        <w:t xml:space="preserve">                  2025年7月                     </w:t>
      </w:r>
    </w:p>
    <w:p w14:paraId="05320596">
      <w:pPr>
        <w:adjustRightInd w:val="0"/>
        <w:snapToGrid w:val="0"/>
        <w:spacing w:line="360" w:lineRule="auto"/>
        <w:rPr>
          <w:color w:val="0D0D0D" w:themeColor="text1" w:themeTint="F2"/>
          <w:sz w:val="36"/>
          <w:szCs w:val="36"/>
          <w14:textFill>
            <w14:solidFill>
              <w14:schemeClr w14:val="tx1">
                <w14:lumMod w14:val="95000"/>
                <w14:lumOff w14:val="5000"/>
              </w14:schemeClr>
            </w14:solidFill>
          </w14:textFill>
        </w:rPr>
      </w:pPr>
      <w:bookmarkStart w:id="0" w:name="_Hlk57884087"/>
    </w:p>
    <w:p w14:paraId="6B0D10F3">
      <w:pPr>
        <w:adjustRightInd w:val="0"/>
        <w:snapToGrid w:val="0"/>
        <w:spacing w:line="360" w:lineRule="auto"/>
        <w:rPr>
          <w:color w:val="0D0D0D" w:themeColor="text1" w:themeTint="F2"/>
          <w:sz w:val="36"/>
          <w:szCs w:val="36"/>
          <w14:textFill>
            <w14:solidFill>
              <w14:schemeClr w14:val="tx1">
                <w14:lumMod w14:val="95000"/>
                <w14:lumOff w14:val="5000"/>
              </w14:schemeClr>
            </w14:solidFill>
          </w14:textFill>
        </w:rPr>
      </w:pPr>
    </w:p>
    <w:p w14:paraId="6F5022BA">
      <w:pPr>
        <w:adjustRightInd w:val="0"/>
        <w:snapToGrid w:val="0"/>
        <w:spacing w:line="360" w:lineRule="auto"/>
        <w:rPr>
          <w:color w:val="0D0D0D" w:themeColor="text1" w:themeTint="F2"/>
          <w:sz w:val="36"/>
          <w:szCs w:val="36"/>
          <w14:textFill>
            <w14:solidFill>
              <w14:schemeClr w14:val="tx1">
                <w14:lumMod w14:val="95000"/>
                <w14:lumOff w14:val="5000"/>
              </w14:schemeClr>
            </w14:solidFill>
          </w14:textFill>
        </w:rPr>
      </w:pPr>
    </w:p>
    <w:p w14:paraId="70511B80">
      <w:pPr>
        <w:adjustRightInd w:val="0"/>
        <w:snapToGrid w:val="0"/>
        <w:spacing w:line="360" w:lineRule="auto"/>
        <w:rPr>
          <w:color w:val="0D0D0D" w:themeColor="text1" w:themeTint="F2"/>
          <w:sz w:val="36"/>
          <w:szCs w:val="36"/>
          <w14:textFill>
            <w14:solidFill>
              <w14:schemeClr w14:val="tx1">
                <w14:lumMod w14:val="95000"/>
                <w14:lumOff w14:val="5000"/>
              </w14:schemeClr>
            </w14:solidFill>
          </w14:textFill>
        </w:rPr>
      </w:pPr>
    </w:p>
    <w:bookmarkEnd w:id="0"/>
    <w:p w14:paraId="6EDFDB73">
      <w:pPr>
        <w:adjustRightInd w:val="0"/>
        <w:snapToGrid w:val="0"/>
        <w:spacing w:line="288" w:lineRule="auto"/>
        <w:jc w:val="center"/>
        <w:rPr>
          <w:color w:val="0D0D0D" w:themeColor="text1" w:themeTint="F2"/>
          <w:sz w:val="36"/>
          <w:szCs w:val="36"/>
          <w14:textFill>
            <w14:solidFill>
              <w14:schemeClr w14:val="tx1">
                <w14:lumMod w14:val="95000"/>
                <w14:lumOff w14:val="5000"/>
              </w14:schemeClr>
            </w14:solidFill>
          </w14:textFill>
        </w:rPr>
      </w:pPr>
      <w:r>
        <w:rPr>
          <w:rFonts w:hint="eastAsia"/>
          <w:color w:val="0D0D0D" w:themeColor="text1" w:themeTint="F2"/>
          <w:sz w:val="36"/>
          <w:szCs w:val="36"/>
          <w14:textFill>
            <w14:solidFill>
              <w14:schemeClr w14:val="tx1">
                <w14:lumMod w14:val="95000"/>
                <w14:lumOff w14:val="5000"/>
              </w14:schemeClr>
            </w14:solidFill>
          </w14:textFill>
        </w:rPr>
        <w:t>中华人民共和国生态环境部制</w:t>
      </w:r>
    </w:p>
    <w:p w14:paraId="0D79AC7A">
      <w:pPr>
        <w:widowControl/>
        <w:jc w:val="left"/>
        <w:rPr>
          <w:color w:val="0D0D0D" w:themeColor="text1" w:themeTint="F2"/>
          <w:sz w:val="36"/>
          <w:szCs w:val="36"/>
          <w14:textFill>
            <w14:solidFill>
              <w14:schemeClr w14:val="tx1">
                <w14:lumMod w14:val="95000"/>
                <w14:lumOff w14:val="5000"/>
              </w14:schemeClr>
            </w14:solidFill>
          </w14:textFill>
        </w:rPr>
      </w:pPr>
      <w:r>
        <w:rPr>
          <w:color w:val="0D0D0D" w:themeColor="text1" w:themeTint="F2"/>
          <w:sz w:val="36"/>
          <w:szCs w:val="36"/>
          <w14:textFill>
            <w14:solidFill>
              <w14:schemeClr w14:val="tx1">
                <w14:lumMod w14:val="95000"/>
                <w14:lumOff w14:val="5000"/>
              </w14:schemeClr>
            </w14:solidFill>
          </w14:textFill>
        </w:rPr>
        <w:br w:type="page"/>
      </w:r>
    </w:p>
    <w:p w14:paraId="49E52DC8">
      <w:pPr>
        <w:widowControl/>
        <w:spacing w:line="360" w:lineRule="auto"/>
        <w:jc w:val="center"/>
        <w:rPr>
          <w:b/>
          <w:bCs/>
          <w:color w:val="0D0D0D" w:themeColor="text1" w:themeTint="F2"/>
          <w:szCs w:val="21"/>
          <w14:textFill>
            <w14:solidFill>
              <w14:schemeClr w14:val="tx1">
                <w14:lumMod w14:val="95000"/>
                <w14:lumOff w14:val="5000"/>
              </w14:schemeClr>
            </w14:solidFill>
          </w14:textFill>
        </w:rPr>
      </w:pPr>
      <w:r>
        <w:rPr>
          <w:rFonts w:hint="eastAsia"/>
          <w:b/>
          <w:bCs/>
          <w:color w:val="0D0D0D" w:themeColor="text1" w:themeTint="F2"/>
          <w:szCs w:val="21"/>
          <w14:textFill>
            <w14:solidFill>
              <w14:schemeClr w14:val="tx1">
                <w14:lumMod w14:val="95000"/>
                <w14:lumOff w14:val="5000"/>
              </w14:schemeClr>
            </w14:solidFill>
          </w14:textFill>
        </w:rPr>
        <w:t>广西华谊钦州化工新材料一体化基地配套集中防腐项目修改说明表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1"/>
        <w:gridCol w:w="4508"/>
        <w:gridCol w:w="3831"/>
      </w:tblGrid>
      <w:tr w14:paraId="4FF9F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8" w:type="pct"/>
            <w:vAlign w:val="center"/>
          </w:tcPr>
          <w:p w14:paraId="1ED2AEF6">
            <w:pPr>
              <w:widowControl/>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序号</w:t>
            </w:r>
          </w:p>
        </w:tc>
        <w:tc>
          <w:tcPr>
            <w:tcW w:w="2488" w:type="pct"/>
            <w:vAlign w:val="center"/>
          </w:tcPr>
          <w:p w14:paraId="138ED54F">
            <w:pPr>
              <w:widowControl/>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评审意见</w:t>
            </w:r>
          </w:p>
        </w:tc>
        <w:tc>
          <w:tcPr>
            <w:tcW w:w="2115" w:type="pct"/>
            <w:vAlign w:val="center"/>
          </w:tcPr>
          <w:p w14:paraId="6999E52E">
            <w:pPr>
              <w:widowControl/>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修改说明</w:t>
            </w:r>
          </w:p>
        </w:tc>
      </w:tr>
      <w:tr w14:paraId="4F30D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8" w:type="pct"/>
            <w:vAlign w:val="center"/>
          </w:tcPr>
          <w:p w14:paraId="43E054F4">
            <w:pPr>
              <w:widowControl/>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w:t>
            </w:r>
          </w:p>
        </w:tc>
        <w:tc>
          <w:tcPr>
            <w:tcW w:w="2488" w:type="pct"/>
            <w:vAlign w:val="center"/>
          </w:tcPr>
          <w:p w14:paraId="1027EB43">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核实、完善项目与《广西钦州石化产业园总体发展规划（2020-2035年）》相符性分析；结合项目地块的性质（工业用海？），进一步完善项目选址合理性分析。</w:t>
            </w:r>
          </w:p>
        </w:tc>
        <w:tc>
          <w:tcPr>
            <w:tcW w:w="2115" w:type="pct"/>
            <w:vAlign w:val="center"/>
          </w:tcPr>
          <w:p w14:paraId="77DBA3AF">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（1）已核实完善园区规划相符性分析，详见P4~P5；</w:t>
            </w:r>
          </w:p>
          <w:p w14:paraId="66791BEA">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（2）已完善选址合理性分析，详见P32。</w:t>
            </w:r>
          </w:p>
        </w:tc>
      </w:tr>
      <w:tr w14:paraId="6EE7F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8" w:type="pct"/>
            <w:vAlign w:val="center"/>
          </w:tcPr>
          <w:p w14:paraId="1ED48349">
            <w:pPr>
              <w:widowControl/>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w:t>
            </w:r>
          </w:p>
        </w:tc>
        <w:tc>
          <w:tcPr>
            <w:tcW w:w="2488" w:type="pct"/>
            <w:vAlign w:val="center"/>
          </w:tcPr>
          <w:p w14:paraId="59BD513F">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补充项目来由；补充伸缩式干式喷漆房的建设结构；核实各种底漆、粉漆、面漆等中稀释剂的比例，核实喷涂上漆率，进一步核实涂料和稀释剂的用量。</w:t>
            </w:r>
          </w:p>
        </w:tc>
        <w:tc>
          <w:tcPr>
            <w:tcW w:w="2115" w:type="pct"/>
            <w:vAlign w:val="center"/>
          </w:tcPr>
          <w:p w14:paraId="66E8486D">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（1）已补充项目来由，详见P33；</w:t>
            </w:r>
          </w:p>
          <w:p w14:paraId="51D9F3E0">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（2）已补充喷漆房的建设结构，详见P60~P61；</w:t>
            </w:r>
          </w:p>
          <w:p w14:paraId="4EE2D3E6">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（3）已核实完善涂料比例，上漆率以及用量，详见P34~P37。</w:t>
            </w:r>
          </w:p>
        </w:tc>
      </w:tr>
      <w:tr w14:paraId="43115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8" w:type="pct"/>
            <w:vAlign w:val="center"/>
          </w:tcPr>
          <w:p w14:paraId="54ACA6CD">
            <w:pPr>
              <w:widowControl/>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w:t>
            </w:r>
          </w:p>
        </w:tc>
        <w:tc>
          <w:tcPr>
            <w:tcW w:w="2488" w:type="pct"/>
            <w:vAlign w:val="center"/>
          </w:tcPr>
          <w:p w14:paraId="7E87EE8B">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根据《国家污染防治技术指导目录》（2024年限制类和淘汰类），核实项目有机废气处理工艺；核实生产用水量、水平衡分析；补充依托工程介绍。</w:t>
            </w:r>
          </w:p>
        </w:tc>
        <w:tc>
          <w:tcPr>
            <w:tcW w:w="2115" w:type="pct"/>
            <w:vAlign w:val="center"/>
          </w:tcPr>
          <w:p w14:paraId="7E9E783D">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（1）已核实项目有机废气处理工艺，详见P13；</w:t>
            </w:r>
          </w:p>
          <w:p w14:paraId="16A33194">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（2）已核实生产用水量、水平衡分析，详见P40~P41；</w:t>
            </w:r>
          </w:p>
          <w:p w14:paraId="3FD7562A">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（3）已补充依托工程介绍，详见P73~P74。</w:t>
            </w:r>
          </w:p>
        </w:tc>
      </w:tr>
      <w:tr w14:paraId="104F8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8" w:type="pct"/>
            <w:vAlign w:val="center"/>
          </w:tcPr>
          <w:p w14:paraId="0AA6A3B1">
            <w:pPr>
              <w:widowControl/>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w:t>
            </w:r>
          </w:p>
        </w:tc>
        <w:tc>
          <w:tcPr>
            <w:tcW w:w="2488" w:type="pct"/>
            <w:vAlign w:val="center"/>
          </w:tcPr>
          <w:p w14:paraId="35E2781F">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完善项目工艺过程及产排污描述，按规范绘制工艺</w:t>
            </w:r>
            <w:r>
              <w:rPr>
                <w:rFonts w:hint="eastAsia"/>
                <w:color w:val="0D0D0D" w:themeColor="text1" w:themeTint="F2"/>
                <w:szCs w:val="21"/>
                <w:lang w:eastAsia="zh-CN"/>
                <w14:textFill>
                  <w14:solidFill>
                    <w14:schemeClr w14:val="tx1">
                      <w14:lumMod w14:val="95000"/>
                      <w14:lumOff w14:val="5000"/>
                    </w14:schemeClr>
                  </w14:solidFill>
                </w14:textFill>
              </w:rPr>
              <w:t>流程</w:t>
            </w:r>
            <w:r>
              <w:rPr>
                <w:rFonts w:hint="eastAsia"/>
                <w:color w:val="0D0D0D" w:themeColor="text1" w:themeTint="F2"/>
                <w:szCs w:val="21"/>
                <w14:textFill>
                  <w14:solidFill>
                    <w14:schemeClr w14:val="tx1">
                      <w14:lumMod w14:val="95000"/>
                      <w14:lumOff w14:val="5000"/>
                    </w14:schemeClr>
                  </w14:solidFill>
                </w14:textFill>
              </w:rPr>
              <w:t>和产排污节点图；细化各种废气收集过程和处理过程，补充喷枪头清洗废液的处理方法和去向，进一步完善建设项目工程分析。</w:t>
            </w:r>
          </w:p>
        </w:tc>
        <w:tc>
          <w:tcPr>
            <w:tcW w:w="2115" w:type="pct"/>
            <w:vAlign w:val="center"/>
          </w:tcPr>
          <w:p w14:paraId="01DB6D1A">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（1）已完善工程分析内容，详见P42~P45；</w:t>
            </w:r>
          </w:p>
          <w:p w14:paraId="00309F5A">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（2）已细化各种废气收集过程和处理过程，详见P55~P58；</w:t>
            </w:r>
          </w:p>
          <w:p w14:paraId="4C27074A">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（3）已补充喷枪头清洗废液的处理方法和去向，详见P44；</w:t>
            </w:r>
          </w:p>
        </w:tc>
      </w:tr>
      <w:tr w14:paraId="33E64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8" w:type="pct"/>
            <w:vAlign w:val="center"/>
          </w:tcPr>
          <w:p w14:paraId="56F09B5B">
            <w:pPr>
              <w:widowControl/>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w:t>
            </w:r>
          </w:p>
        </w:tc>
        <w:tc>
          <w:tcPr>
            <w:tcW w:w="2488" w:type="pct"/>
            <w:vAlign w:val="center"/>
          </w:tcPr>
          <w:p w14:paraId="6784E452">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核实项目大气污染特征因子，补充环境质量标准，完善大气环境质量调查；核实各废气排气筒主要污染物排放执行标准、大气污染物总量控制要求。</w:t>
            </w:r>
          </w:p>
        </w:tc>
        <w:tc>
          <w:tcPr>
            <w:tcW w:w="2115" w:type="pct"/>
            <w:vAlign w:val="center"/>
          </w:tcPr>
          <w:p w14:paraId="72448A27">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（1）已核实项目大气污染特征因子，详见P44；</w:t>
            </w:r>
          </w:p>
          <w:p w14:paraId="0DDB0447">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（2）已补充环境质量标准，完善大气环境质量调查，详见P47~P48；</w:t>
            </w:r>
          </w:p>
          <w:p w14:paraId="31B407DB">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（3）已核实各废气排气筒主要污染物排放执行标准，详见P52；</w:t>
            </w:r>
          </w:p>
          <w:p w14:paraId="70381E10">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（4）已核实完善大气污染物总量控制要求，详见P54。</w:t>
            </w:r>
          </w:p>
        </w:tc>
      </w:tr>
      <w:tr w14:paraId="4DE4F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8" w:type="pct"/>
            <w:vAlign w:val="center"/>
          </w:tcPr>
          <w:p w14:paraId="445F73F0">
            <w:pPr>
              <w:widowControl/>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w:t>
            </w:r>
          </w:p>
        </w:tc>
        <w:tc>
          <w:tcPr>
            <w:tcW w:w="2488" w:type="pct"/>
            <w:vAlign w:val="center"/>
          </w:tcPr>
          <w:p w14:paraId="1CEFA4B1">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核实抛丸工序粉法的产生系数、废气收集率、废气主要污染物处理效率，重新核实排放浓度和排放速率；核实喷涂工序漆雾、有机废气的产排分析，根据《吸附法有机废气处理工程技术规范》（HJ2026-2013），进一步核实废气主要污染物排放达标分析内容。</w:t>
            </w:r>
          </w:p>
        </w:tc>
        <w:tc>
          <w:tcPr>
            <w:tcW w:w="2115" w:type="pct"/>
            <w:vAlign w:val="center"/>
          </w:tcPr>
          <w:p w14:paraId="40633B79">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（1）已核实完善抛丸粉尘源强核算，详见P55~P56；</w:t>
            </w:r>
          </w:p>
          <w:p w14:paraId="09BCAEA6">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（2）已核实完善喷漆废气源强核算，详见P56~P59；</w:t>
            </w:r>
          </w:p>
          <w:p w14:paraId="308DE05C">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（3）已核实完善废气主要污染物排放达标分析内容。</w:t>
            </w:r>
          </w:p>
        </w:tc>
      </w:tr>
      <w:tr w14:paraId="2354B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8" w:type="pct"/>
            <w:vAlign w:val="center"/>
          </w:tcPr>
          <w:p w14:paraId="1402CB47">
            <w:pPr>
              <w:widowControl/>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w:t>
            </w:r>
          </w:p>
        </w:tc>
        <w:tc>
          <w:tcPr>
            <w:tcW w:w="2488" w:type="pct"/>
            <w:vAlign w:val="center"/>
          </w:tcPr>
          <w:p w14:paraId="4A3D2D0C">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按核实后的大气污染物排放源强，重新估算项目大气环境影响分析内容；完善项目大气污染防治措施经济技术可行性分析。</w:t>
            </w:r>
          </w:p>
        </w:tc>
        <w:tc>
          <w:tcPr>
            <w:tcW w:w="2115" w:type="pct"/>
            <w:vAlign w:val="center"/>
          </w:tcPr>
          <w:p w14:paraId="673F98B9">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（1）已完善大气环境影响分析内容，详见P71；</w:t>
            </w:r>
          </w:p>
          <w:p w14:paraId="27F5FF6D">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（2）已完善大气污染防治措施经济技术可行性分析，详见P61~P67。</w:t>
            </w:r>
          </w:p>
        </w:tc>
      </w:tr>
      <w:tr w14:paraId="535A0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8" w:type="pct"/>
            <w:vAlign w:val="center"/>
          </w:tcPr>
          <w:p w14:paraId="798AC840">
            <w:pPr>
              <w:widowControl/>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8</w:t>
            </w:r>
          </w:p>
        </w:tc>
        <w:tc>
          <w:tcPr>
            <w:tcW w:w="2488" w:type="pct"/>
            <w:vAlign w:val="center"/>
          </w:tcPr>
          <w:p w14:paraId="5C313F4D">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核实一般工业固废污染控制标准；核实固废的产生量，进一步完善固体废物影响分析内容。</w:t>
            </w:r>
          </w:p>
        </w:tc>
        <w:tc>
          <w:tcPr>
            <w:tcW w:w="2115" w:type="pct"/>
            <w:vAlign w:val="center"/>
          </w:tcPr>
          <w:p w14:paraId="5C66E944">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（1）已核实一般工业固废污染控制标准，P53~P54；</w:t>
            </w:r>
          </w:p>
          <w:p w14:paraId="68565725">
            <w:pPr>
              <w:widowControl/>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（2）核实固废的产生量，进一步完善固体废物影响分析内容，详见P79~P86。</w:t>
            </w:r>
          </w:p>
        </w:tc>
      </w:tr>
    </w:tbl>
    <w:p w14:paraId="6AC4B95B">
      <w:pPr>
        <w:widowControl/>
        <w:jc w:val="left"/>
        <w:rPr>
          <w:color w:val="0D0D0D" w:themeColor="text1" w:themeTint="F2"/>
          <w:sz w:val="36"/>
          <w:szCs w:val="36"/>
          <w14:textFill>
            <w14:solidFill>
              <w14:schemeClr w14:val="tx1">
                <w14:lumMod w14:val="95000"/>
                <w14:lumOff w14:val="5000"/>
              </w14:schemeClr>
            </w14:solidFill>
          </w14:textFill>
        </w:rPr>
      </w:pPr>
      <w:r>
        <w:rPr>
          <w:color w:val="0D0D0D" w:themeColor="text1" w:themeTint="F2"/>
          <w:sz w:val="36"/>
          <w:szCs w:val="36"/>
          <w14:textFill>
            <w14:solidFill>
              <w14:schemeClr w14:val="tx1">
                <w14:lumMod w14:val="95000"/>
                <w14:lumOff w14:val="5000"/>
              </w14:schemeClr>
            </w14:solidFill>
          </w14:textFill>
        </w:rPr>
        <w:br w:type="page"/>
      </w:r>
      <w:r>
        <w:drawing>
          <wp:inline distT="0" distB="0" distL="0" distR="0">
            <wp:extent cx="5615940" cy="7937500"/>
            <wp:effectExtent l="0" t="0" r="3810" b="6350"/>
            <wp:docPr id="10317681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768122" name="图片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615940" cy="7937500"/>
                    </a:xfrm>
                    <a:prstGeom prst="rect">
                      <a:avLst/>
                    </a:prstGeom>
                    <a:noFill/>
                    <a:ln>
                      <a:noFill/>
                    </a:ln>
                  </pic:spPr>
                </pic:pic>
              </a:graphicData>
            </a:graphic>
          </wp:inline>
        </w:drawing>
      </w:r>
      <w:r>
        <w:drawing>
          <wp:inline distT="0" distB="0" distL="0" distR="0">
            <wp:extent cx="5615940" cy="7937500"/>
            <wp:effectExtent l="0" t="0" r="3810" b="6350"/>
            <wp:docPr id="8914606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460691" name="图片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615940" cy="7937500"/>
                    </a:xfrm>
                    <a:prstGeom prst="rect">
                      <a:avLst/>
                    </a:prstGeom>
                    <a:noFill/>
                    <a:ln>
                      <a:noFill/>
                    </a:ln>
                  </pic:spPr>
                </pic:pic>
              </a:graphicData>
            </a:graphic>
          </wp:inline>
        </w:drawing>
      </w:r>
      <w:r>
        <w:drawing>
          <wp:inline distT="0" distB="0" distL="0" distR="0">
            <wp:extent cx="5615940" cy="7937500"/>
            <wp:effectExtent l="0" t="0" r="3810" b="6350"/>
            <wp:docPr id="57058320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583208" name="图片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615940" cy="7937500"/>
                    </a:xfrm>
                    <a:prstGeom prst="rect">
                      <a:avLst/>
                    </a:prstGeom>
                    <a:noFill/>
                    <a:ln>
                      <a:noFill/>
                    </a:ln>
                  </pic:spPr>
                </pic:pic>
              </a:graphicData>
            </a:graphic>
          </wp:inline>
        </w:drawing>
      </w:r>
      <w:r>
        <w:drawing>
          <wp:inline distT="0" distB="0" distL="0" distR="0">
            <wp:extent cx="5615940" cy="7939405"/>
            <wp:effectExtent l="0" t="0" r="3810" b="4445"/>
            <wp:docPr id="18138184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818432" name="图片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615940" cy="7939405"/>
                    </a:xfrm>
                    <a:prstGeom prst="rect">
                      <a:avLst/>
                    </a:prstGeom>
                    <a:noFill/>
                    <a:ln>
                      <a:noFill/>
                    </a:ln>
                  </pic:spPr>
                </pic:pic>
              </a:graphicData>
            </a:graphic>
          </wp:inline>
        </w:drawing>
      </w:r>
      <w:r>
        <w:drawing>
          <wp:inline distT="0" distB="0" distL="0" distR="0">
            <wp:extent cx="5615940" cy="7939405"/>
            <wp:effectExtent l="0" t="0" r="3810" b="4445"/>
            <wp:docPr id="19443680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368086" name="图片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615940" cy="7939405"/>
                    </a:xfrm>
                    <a:prstGeom prst="rect">
                      <a:avLst/>
                    </a:prstGeom>
                    <a:noFill/>
                    <a:ln>
                      <a:noFill/>
                    </a:ln>
                  </pic:spPr>
                </pic:pic>
              </a:graphicData>
            </a:graphic>
          </wp:inline>
        </w:drawing>
      </w:r>
      <w:r>
        <w:rPr>
          <w:color w:val="0D0D0D" w:themeColor="text1" w:themeTint="F2"/>
          <w:sz w:val="36"/>
          <w:szCs w:val="36"/>
          <w14:textFill>
            <w14:solidFill>
              <w14:schemeClr w14:val="tx1">
                <w14:lumMod w14:val="95000"/>
                <w14:lumOff w14:val="5000"/>
              </w14:schemeClr>
            </w14:solidFill>
          </w14:textFill>
        </w:rPr>
        <w:br w:type="page"/>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99"/>
        <w:gridCol w:w="4461"/>
      </w:tblGrid>
      <w:tr w14:paraId="4BCA3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38" w:type="pct"/>
            <w:vAlign w:val="center"/>
          </w:tcPr>
          <w:p w14:paraId="19C4864B">
            <w:pPr>
              <w:widowControl/>
              <w:jc w:val="center"/>
              <w:rPr>
                <w:b/>
                <w:bCs/>
                <w:color w:val="0D0D0D" w:themeColor="text1" w:themeTint="F2"/>
                <w14:textFill>
                  <w14:solidFill>
                    <w14:schemeClr w14:val="tx1">
                      <w14:lumMod w14:val="95000"/>
                      <w14:lumOff w14:val="5000"/>
                    </w14:schemeClr>
                  </w14:solidFill>
                </w14:textFill>
              </w:rPr>
            </w:pPr>
            <w:bookmarkStart w:id="1" w:name="_Hlk91581752"/>
            <w:r>
              <w:rPr>
                <w:b/>
                <w:bCs/>
                <w:color w:val="0D0D0D" w:themeColor="text1" w:themeTint="F2"/>
                <w14:textFill>
                  <w14:solidFill>
                    <w14:schemeClr w14:val="tx1">
                      <w14:lumMod w14:val="95000"/>
                      <w14:lumOff w14:val="5000"/>
                    </w14:schemeClr>
                  </w14:solidFill>
                </w14:textFill>
              </w:rPr>
              <w:drawing>
                <wp:inline distT="0" distB="0" distL="0" distR="0">
                  <wp:extent cx="2559050" cy="1439545"/>
                  <wp:effectExtent l="0" t="0" r="0" b="8255"/>
                  <wp:docPr id="8227184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718429" name="图片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2559600" cy="1440000"/>
                          </a:xfrm>
                          <a:prstGeom prst="rect">
                            <a:avLst/>
                          </a:prstGeom>
                          <a:noFill/>
                          <a:ln>
                            <a:noFill/>
                          </a:ln>
                        </pic:spPr>
                      </pic:pic>
                    </a:graphicData>
                  </a:graphic>
                </wp:inline>
              </w:drawing>
            </w:r>
          </w:p>
        </w:tc>
        <w:tc>
          <w:tcPr>
            <w:tcW w:w="2462" w:type="pct"/>
            <w:vAlign w:val="center"/>
          </w:tcPr>
          <w:p w14:paraId="23609894">
            <w:pPr>
              <w:widowControl/>
              <w:jc w:val="center"/>
              <w:rPr>
                <w:b/>
                <w:bCs/>
                <w:color w:val="0D0D0D" w:themeColor="text1" w:themeTint="F2"/>
                <w14:textFill>
                  <w14:solidFill>
                    <w14:schemeClr w14:val="tx1">
                      <w14:lumMod w14:val="95000"/>
                      <w14:lumOff w14:val="5000"/>
                    </w14:schemeClr>
                  </w14:solidFill>
                </w14:textFill>
              </w:rPr>
            </w:pPr>
            <w:r>
              <w:rPr>
                <w:b/>
                <w:bCs/>
                <w:color w:val="0D0D0D" w:themeColor="text1" w:themeTint="F2"/>
                <w14:textFill>
                  <w14:solidFill>
                    <w14:schemeClr w14:val="tx1">
                      <w14:lumMod w14:val="95000"/>
                      <w14:lumOff w14:val="5000"/>
                    </w14:schemeClr>
                  </w14:solidFill>
                </w14:textFill>
              </w:rPr>
              <w:drawing>
                <wp:inline distT="0" distB="0" distL="0" distR="0">
                  <wp:extent cx="2423795" cy="1452880"/>
                  <wp:effectExtent l="0" t="0" r="0" b="0"/>
                  <wp:docPr id="111556089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560896" name="图片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2436961" cy="1461243"/>
                          </a:xfrm>
                          <a:prstGeom prst="rect">
                            <a:avLst/>
                          </a:prstGeom>
                          <a:noFill/>
                          <a:ln>
                            <a:noFill/>
                          </a:ln>
                        </pic:spPr>
                      </pic:pic>
                    </a:graphicData>
                  </a:graphic>
                </wp:inline>
              </w:drawing>
            </w:r>
          </w:p>
        </w:tc>
      </w:tr>
      <w:tr w14:paraId="4E2D56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38" w:type="pct"/>
            <w:vAlign w:val="center"/>
          </w:tcPr>
          <w:p w14:paraId="2858D618">
            <w:pPr>
              <w:widowControl/>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t>项目东侧</w:t>
            </w:r>
          </w:p>
        </w:tc>
        <w:tc>
          <w:tcPr>
            <w:tcW w:w="2462" w:type="pct"/>
            <w:vAlign w:val="center"/>
          </w:tcPr>
          <w:p w14:paraId="731A2C95">
            <w:pPr>
              <w:widowControl/>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t>项目南侧</w:t>
            </w:r>
          </w:p>
        </w:tc>
      </w:tr>
      <w:tr w14:paraId="72994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38" w:type="pct"/>
            <w:vAlign w:val="center"/>
          </w:tcPr>
          <w:p w14:paraId="3C5B5406">
            <w:pPr>
              <w:widowControl/>
              <w:jc w:val="center"/>
              <w:rPr>
                <w:b/>
                <w:bCs/>
                <w:color w:val="0D0D0D" w:themeColor="text1" w:themeTint="F2"/>
                <w14:textFill>
                  <w14:solidFill>
                    <w14:schemeClr w14:val="tx1">
                      <w14:lumMod w14:val="95000"/>
                      <w14:lumOff w14:val="5000"/>
                    </w14:schemeClr>
                  </w14:solidFill>
                </w14:textFill>
              </w:rPr>
            </w:pPr>
            <w:r>
              <w:rPr>
                <w:b/>
                <w:bCs/>
                <w:color w:val="0D0D0D" w:themeColor="text1" w:themeTint="F2"/>
                <w14:textFill>
                  <w14:solidFill>
                    <w14:schemeClr w14:val="tx1">
                      <w14:lumMod w14:val="95000"/>
                      <w14:lumOff w14:val="5000"/>
                    </w14:schemeClr>
                  </w14:solidFill>
                </w14:textFill>
              </w:rPr>
              <w:drawing>
                <wp:inline distT="0" distB="0" distL="0" distR="0">
                  <wp:extent cx="2529205" cy="1368425"/>
                  <wp:effectExtent l="0" t="0" r="4445" b="3175"/>
                  <wp:docPr id="161826205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262051" name="图片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2550224" cy="1379785"/>
                          </a:xfrm>
                          <a:prstGeom prst="rect">
                            <a:avLst/>
                          </a:prstGeom>
                          <a:noFill/>
                          <a:ln>
                            <a:noFill/>
                          </a:ln>
                        </pic:spPr>
                      </pic:pic>
                    </a:graphicData>
                  </a:graphic>
                </wp:inline>
              </w:drawing>
            </w:r>
          </w:p>
        </w:tc>
        <w:tc>
          <w:tcPr>
            <w:tcW w:w="2462" w:type="pct"/>
            <w:vAlign w:val="center"/>
          </w:tcPr>
          <w:p w14:paraId="16B32B85">
            <w:pPr>
              <w:widowControl/>
              <w:jc w:val="center"/>
              <w:rPr>
                <w:b/>
                <w:bCs/>
                <w:color w:val="0D0D0D" w:themeColor="text1" w:themeTint="F2"/>
                <w14:textFill>
                  <w14:solidFill>
                    <w14:schemeClr w14:val="tx1">
                      <w14:lumMod w14:val="95000"/>
                      <w14:lumOff w14:val="5000"/>
                    </w14:schemeClr>
                  </w14:solidFill>
                </w14:textFill>
              </w:rPr>
            </w:pPr>
            <w:r>
              <w:rPr>
                <w:b/>
                <w:bCs/>
                <w:color w:val="0D0D0D" w:themeColor="text1" w:themeTint="F2"/>
                <w14:textFill>
                  <w14:solidFill>
                    <w14:schemeClr w14:val="tx1">
                      <w14:lumMod w14:val="95000"/>
                      <w14:lumOff w14:val="5000"/>
                    </w14:schemeClr>
                  </w14:solidFill>
                </w14:textFill>
              </w:rPr>
              <w:drawing>
                <wp:inline distT="0" distB="0" distL="0" distR="0">
                  <wp:extent cx="2668270" cy="1346200"/>
                  <wp:effectExtent l="0" t="0" r="0" b="6350"/>
                  <wp:docPr id="20400450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045029" name="图片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2701436" cy="1363242"/>
                          </a:xfrm>
                          <a:prstGeom prst="rect">
                            <a:avLst/>
                          </a:prstGeom>
                          <a:noFill/>
                          <a:ln>
                            <a:noFill/>
                          </a:ln>
                        </pic:spPr>
                      </pic:pic>
                    </a:graphicData>
                  </a:graphic>
                </wp:inline>
              </w:drawing>
            </w:r>
          </w:p>
        </w:tc>
      </w:tr>
      <w:tr w14:paraId="4CBF7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38" w:type="pct"/>
            <w:vAlign w:val="center"/>
          </w:tcPr>
          <w:p w14:paraId="7E96638D">
            <w:pPr>
              <w:widowControl/>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t>项目西侧</w:t>
            </w:r>
          </w:p>
        </w:tc>
        <w:tc>
          <w:tcPr>
            <w:tcW w:w="2462" w:type="pct"/>
            <w:vAlign w:val="center"/>
          </w:tcPr>
          <w:p w14:paraId="6A76058A">
            <w:pPr>
              <w:widowControl/>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t>项目北侧</w:t>
            </w:r>
          </w:p>
        </w:tc>
      </w:tr>
      <w:tr w14:paraId="44D43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38" w:type="pct"/>
            <w:vAlign w:val="center"/>
          </w:tcPr>
          <w:p w14:paraId="77CEC884">
            <w:pPr>
              <w:widowControl/>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drawing>
                <wp:inline distT="0" distB="0" distL="114300" distR="114300">
                  <wp:extent cx="2708910" cy="1671320"/>
                  <wp:effectExtent l="0" t="0" r="0" b="5080"/>
                  <wp:docPr id="2" name="图片 2" descr="抛丸机施工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抛丸机施工图"/>
                          <pic:cNvPicPr>
                            <a:picLocks noChangeAspect="1"/>
                          </pic:cNvPicPr>
                        </pic:nvPicPr>
                        <pic:blipFill>
                          <a:blip r:embed="rId17"/>
                          <a:stretch>
                            <a:fillRect/>
                          </a:stretch>
                        </pic:blipFill>
                        <pic:spPr>
                          <a:xfrm>
                            <a:off x="0" y="0"/>
                            <a:ext cx="2728033" cy="1683547"/>
                          </a:xfrm>
                          <a:prstGeom prst="rect">
                            <a:avLst/>
                          </a:prstGeom>
                        </pic:spPr>
                      </pic:pic>
                    </a:graphicData>
                  </a:graphic>
                </wp:inline>
              </w:drawing>
            </w:r>
          </w:p>
        </w:tc>
        <w:tc>
          <w:tcPr>
            <w:tcW w:w="2462" w:type="pct"/>
            <w:vAlign w:val="center"/>
          </w:tcPr>
          <w:p w14:paraId="52EF63CB">
            <w:pPr>
              <w:widowControl/>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drawing>
                <wp:inline distT="0" distB="0" distL="114300" distR="114300">
                  <wp:extent cx="2564765" cy="1596390"/>
                  <wp:effectExtent l="0" t="0" r="6985" b="3810"/>
                  <wp:docPr id="7" name="图片 7" descr="499ea4d41945156d78fa04595f209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499ea4d41945156d78fa04595f209bd"/>
                          <pic:cNvPicPr>
                            <a:picLocks noChangeAspect="1"/>
                          </pic:cNvPicPr>
                        </pic:nvPicPr>
                        <pic:blipFill>
                          <a:blip r:embed="rId18"/>
                          <a:stretch>
                            <a:fillRect/>
                          </a:stretch>
                        </pic:blipFill>
                        <pic:spPr>
                          <a:xfrm>
                            <a:off x="0" y="0"/>
                            <a:ext cx="2591967" cy="1612927"/>
                          </a:xfrm>
                          <a:prstGeom prst="rect">
                            <a:avLst/>
                          </a:prstGeom>
                        </pic:spPr>
                      </pic:pic>
                    </a:graphicData>
                  </a:graphic>
                </wp:inline>
              </w:drawing>
            </w:r>
          </w:p>
        </w:tc>
      </w:tr>
      <w:tr w14:paraId="6EC43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38" w:type="pct"/>
            <w:vAlign w:val="center"/>
          </w:tcPr>
          <w:p w14:paraId="5CF0051E">
            <w:pPr>
              <w:widowControl/>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t>抛丸区</w:t>
            </w:r>
          </w:p>
        </w:tc>
        <w:tc>
          <w:tcPr>
            <w:tcW w:w="2462" w:type="pct"/>
            <w:vAlign w:val="center"/>
          </w:tcPr>
          <w:p w14:paraId="7F014515">
            <w:pPr>
              <w:widowControl/>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t>原料区</w:t>
            </w:r>
          </w:p>
        </w:tc>
      </w:tr>
      <w:tr w14:paraId="3FAF9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38" w:type="pct"/>
            <w:vAlign w:val="center"/>
          </w:tcPr>
          <w:p w14:paraId="05C08C93">
            <w:pPr>
              <w:widowControl/>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drawing>
                <wp:inline distT="0" distB="0" distL="114300" distR="114300">
                  <wp:extent cx="2701290" cy="1814830"/>
                  <wp:effectExtent l="0" t="0" r="3810" b="0"/>
                  <wp:docPr id="8" name="图片 8" descr="fea313830dbe77d9b0a43bc1330f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fea313830dbe77d9b0a43bc1330f527"/>
                          <pic:cNvPicPr>
                            <a:picLocks noChangeAspect="1"/>
                          </pic:cNvPicPr>
                        </pic:nvPicPr>
                        <pic:blipFill>
                          <a:blip r:embed="rId19"/>
                          <a:stretch>
                            <a:fillRect/>
                          </a:stretch>
                        </pic:blipFill>
                        <pic:spPr>
                          <a:xfrm>
                            <a:off x="0" y="0"/>
                            <a:ext cx="2713840" cy="1823160"/>
                          </a:xfrm>
                          <a:prstGeom prst="rect">
                            <a:avLst/>
                          </a:prstGeom>
                        </pic:spPr>
                      </pic:pic>
                    </a:graphicData>
                  </a:graphic>
                </wp:inline>
              </w:drawing>
            </w:r>
          </w:p>
        </w:tc>
        <w:tc>
          <w:tcPr>
            <w:tcW w:w="2462" w:type="pct"/>
            <w:vAlign w:val="center"/>
          </w:tcPr>
          <w:p w14:paraId="46DDA27E">
            <w:pPr>
              <w:widowControl/>
              <w:jc w:val="center"/>
              <w:rPr>
                <w:b/>
                <w:bCs/>
                <w:color w:val="0D0D0D" w:themeColor="text1" w:themeTint="F2"/>
                <w14:textFill>
                  <w14:solidFill>
                    <w14:schemeClr w14:val="tx1">
                      <w14:lumMod w14:val="95000"/>
                      <w14:lumOff w14:val="5000"/>
                    </w14:schemeClr>
                  </w14:solidFill>
                </w14:textFill>
              </w:rPr>
            </w:pPr>
            <w:r>
              <w:rPr>
                <w:b/>
                <w:bCs/>
                <w:color w:val="0D0D0D" w:themeColor="text1" w:themeTint="F2"/>
                <w14:textFill>
                  <w14:solidFill>
                    <w14:schemeClr w14:val="tx1">
                      <w14:lumMod w14:val="95000"/>
                      <w14:lumOff w14:val="5000"/>
                    </w14:schemeClr>
                  </w14:solidFill>
                </w14:textFill>
              </w:rPr>
              <w:drawing>
                <wp:inline distT="0" distB="0" distL="0" distR="0">
                  <wp:extent cx="2637155" cy="1732915"/>
                  <wp:effectExtent l="0" t="0" r="0" b="635"/>
                  <wp:docPr id="8975362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536242" name="图片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2668725" cy="1753798"/>
                          </a:xfrm>
                          <a:prstGeom prst="rect">
                            <a:avLst/>
                          </a:prstGeom>
                          <a:noFill/>
                          <a:ln>
                            <a:noFill/>
                          </a:ln>
                        </pic:spPr>
                      </pic:pic>
                    </a:graphicData>
                  </a:graphic>
                </wp:inline>
              </w:drawing>
            </w:r>
          </w:p>
        </w:tc>
      </w:tr>
      <w:tr w14:paraId="4BFBC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38" w:type="pct"/>
            <w:vAlign w:val="center"/>
          </w:tcPr>
          <w:p w14:paraId="220CB551">
            <w:pPr>
              <w:widowControl/>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t>喷漆区</w:t>
            </w:r>
          </w:p>
        </w:tc>
        <w:tc>
          <w:tcPr>
            <w:tcW w:w="2462" w:type="pct"/>
            <w:vAlign w:val="center"/>
          </w:tcPr>
          <w:p w14:paraId="5C949A99">
            <w:pPr>
              <w:widowControl/>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t>成品区</w:t>
            </w:r>
          </w:p>
        </w:tc>
      </w:tr>
      <w:tr w14:paraId="4259E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38" w:type="pct"/>
            <w:vAlign w:val="center"/>
          </w:tcPr>
          <w:p w14:paraId="47B4A5FB">
            <w:pPr>
              <w:widowControl/>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drawing>
                <wp:inline distT="0" distB="0" distL="114300" distR="114300">
                  <wp:extent cx="2708910" cy="2031365"/>
                  <wp:effectExtent l="0" t="0" r="0" b="6985"/>
                  <wp:docPr id="3" name="图片 3" descr="油漆仓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油漆仓库"/>
                          <pic:cNvPicPr>
                            <a:picLocks noChangeAspect="1"/>
                          </pic:cNvPicPr>
                        </pic:nvPicPr>
                        <pic:blipFill>
                          <a:blip r:embed="rId21"/>
                          <a:stretch>
                            <a:fillRect/>
                          </a:stretch>
                        </pic:blipFill>
                        <pic:spPr>
                          <a:xfrm>
                            <a:off x="0" y="0"/>
                            <a:ext cx="2710316" cy="2032737"/>
                          </a:xfrm>
                          <a:prstGeom prst="rect">
                            <a:avLst/>
                          </a:prstGeom>
                        </pic:spPr>
                      </pic:pic>
                    </a:graphicData>
                  </a:graphic>
                </wp:inline>
              </w:drawing>
            </w:r>
          </w:p>
        </w:tc>
        <w:tc>
          <w:tcPr>
            <w:tcW w:w="2462" w:type="pct"/>
            <w:vAlign w:val="center"/>
          </w:tcPr>
          <w:p w14:paraId="785079B4">
            <w:pPr>
              <w:widowControl/>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drawing>
                <wp:inline distT="0" distB="0" distL="114300" distR="114300">
                  <wp:extent cx="2046605" cy="2555875"/>
                  <wp:effectExtent l="0" t="6985" r="3810" b="3810"/>
                  <wp:docPr id="4" name="图片 4" descr="76176eac214c8e5f62f375d463037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76176eac214c8e5f62f375d463037b3"/>
                          <pic:cNvPicPr>
                            <a:picLocks noChangeAspect="1"/>
                          </pic:cNvPicPr>
                        </pic:nvPicPr>
                        <pic:blipFill>
                          <a:blip r:embed="rId22"/>
                          <a:srcRect l="18576" r="8401"/>
                          <a:stretch>
                            <a:fillRect/>
                          </a:stretch>
                        </pic:blipFill>
                        <pic:spPr>
                          <a:xfrm rot="5400000">
                            <a:off x="0" y="0"/>
                            <a:ext cx="2062951" cy="2576386"/>
                          </a:xfrm>
                          <a:prstGeom prst="rect">
                            <a:avLst/>
                          </a:prstGeom>
                        </pic:spPr>
                      </pic:pic>
                    </a:graphicData>
                  </a:graphic>
                </wp:inline>
              </w:drawing>
            </w:r>
          </w:p>
        </w:tc>
      </w:tr>
      <w:tr w14:paraId="71983C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38" w:type="pct"/>
            <w:vAlign w:val="center"/>
          </w:tcPr>
          <w:p w14:paraId="03F136B9">
            <w:pPr>
              <w:widowControl/>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t>仓库</w:t>
            </w:r>
          </w:p>
        </w:tc>
        <w:tc>
          <w:tcPr>
            <w:tcW w:w="2462" w:type="pct"/>
            <w:vAlign w:val="center"/>
          </w:tcPr>
          <w:p w14:paraId="57CD147F">
            <w:pPr>
              <w:widowControl/>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t>危废暂存间</w:t>
            </w:r>
          </w:p>
        </w:tc>
      </w:tr>
      <w:tr w14:paraId="5B144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38" w:type="pct"/>
            <w:vAlign w:val="center"/>
          </w:tcPr>
          <w:p w14:paraId="09BB51FC">
            <w:pPr>
              <w:widowControl/>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drawing>
                <wp:inline distT="0" distB="0" distL="114300" distR="114300">
                  <wp:extent cx="2750820" cy="2063115"/>
                  <wp:effectExtent l="0" t="0" r="5080" b="6985"/>
                  <wp:docPr id="6" name="图片 6" descr="9dd6d3a87738c3d32d5e354cbc094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9dd6d3a87738c3d32d5e354cbc094db"/>
                          <pic:cNvPicPr>
                            <a:picLocks noChangeAspect="1"/>
                          </pic:cNvPicPr>
                        </pic:nvPicPr>
                        <pic:blipFill>
                          <a:blip r:embed="rId23"/>
                          <a:stretch>
                            <a:fillRect/>
                          </a:stretch>
                        </pic:blipFill>
                        <pic:spPr>
                          <a:xfrm>
                            <a:off x="0" y="0"/>
                            <a:ext cx="2750820" cy="2063115"/>
                          </a:xfrm>
                          <a:prstGeom prst="rect">
                            <a:avLst/>
                          </a:prstGeom>
                        </pic:spPr>
                      </pic:pic>
                    </a:graphicData>
                  </a:graphic>
                </wp:inline>
              </w:drawing>
            </w:r>
          </w:p>
        </w:tc>
        <w:tc>
          <w:tcPr>
            <w:tcW w:w="2462" w:type="pct"/>
            <w:vAlign w:val="center"/>
          </w:tcPr>
          <w:p w14:paraId="7244F913">
            <w:pPr>
              <w:widowControl/>
              <w:jc w:val="center"/>
              <w:rPr>
                <w:b/>
                <w:bCs/>
                <w:color w:val="0D0D0D" w:themeColor="text1" w:themeTint="F2"/>
                <w14:textFill>
                  <w14:solidFill>
                    <w14:schemeClr w14:val="tx1">
                      <w14:lumMod w14:val="95000"/>
                      <w14:lumOff w14:val="5000"/>
                    </w14:schemeClr>
                  </w14:solidFill>
                </w14:textFill>
              </w:rPr>
            </w:pPr>
            <w:r>
              <w:rPr>
                <w:b/>
                <w:bCs/>
                <w:color w:val="0D0D0D" w:themeColor="text1" w:themeTint="F2"/>
                <w14:textFill>
                  <w14:solidFill>
                    <w14:schemeClr w14:val="tx1">
                      <w14:lumMod w14:val="95000"/>
                      <w14:lumOff w14:val="5000"/>
                    </w14:schemeClr>
                  </w14:solidFill>
                </w14:textFill>
              </w:rPr>
              <w:drawing>
                <wp:inline distT="0" distB="0" distL="0" distR="0">
                  <wp:extent cx="2540000" cy="1904365"/>
                  <wp:effectExtent l="0" t="0" r="0" b="635"/>
                  <wp:docPr id="342218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21835" name="图片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554026" cy="1915231"/>
                          </a:xfrm>
                          <a:prstGeom prst="rect">
                            <a:avLst/>
                          </a:prstGeom>
                          <a:noFill/>
                          <a:ln>
                            <a:noFill/>
                          </a:ln>
                        </pic:spPr>
                      </pic:pic>
                    </a:graphicData>
                  </a:graphic>
                </wp:inline>
              </w:drawing>
            </w:r>
          </w:p>
        </w:tc>
      </w:tr>
      <w:tr w14:paraId="51CD6E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38" w:type="pct"/>
            <w:vAlign w:val="center"/>
          </w:tcPr>
          <w:p w14:paraId="053D3776">
            <w:pPr>
              <w:widowControl/>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t>生活办公区</w:t>
            </w:r>
          </w:p>
        </w:tc>
        <w:tc>
          <w:tcPr>
            <w:tcW w:w="2462" w:type="pct"/>
            <w:vAlign w:val="center"/>
          </w:tcPr>
          <w:p w14:paraId="18856DAE">
            <w:pPr>
              <w:widowControl/>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t>工程师勘查现场</w:t>
            </w:r>
          </w:p>
        </w:tc>
      </w:tr>
      <w:tr w14:paraId="1F996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2"/>
            <w:vAlign w:val="center"/>
          </w:tcPr>
          <w:p w14:paraId="4FF5B123">
            <w:pPr>
              <w:widowControl/>
              <w:spacing w:line="276" w:lineRule="auto"/>
              <w:jc w:val="center"/>
              <w:rPr>
                <w:b/>
                <w:bCs/>
                <w:color w:val="0D0D0D" w:themeColor="text1" w:themeTint="F2"/>
                <w:szCs w:val="21"/>
                <w14:textFill>
                  <w14:solidFill>
                    <w14:schemeClr w14:val="tx1">
                      <w14:lumMod w14:val="95000"/>
                      <w14:lumOff w14:val="5000"/>
                    </w14:schemeClr>
                  </w14:solidFill>
                </w14:textFill>
              </w:rPr>
            </w:pPr>
            <w:r>
              <w:rPr>
                <w:rFonts w:hint="eastAsia"/>
                <w:b/>
                <w:bCs/>
                <w:color w:val="0D0D0D" w:themeColor="text1" w:themeTint="F2"/>
                <w:szCs w:val="21"/>
                <w14:textFill>
                  <w14:solidFill>
                    <w14:schemeClr w14:val="tx1">
                      <w14:lumMod w14:val="95000"/>
                      <w14:lumOff w14:val="5000"/>
                    </w14:schemeClr>
                  </w14:solidFill>
                </w14:textFill>
              </w:rPr>
              <w:t>现场照片页</w:t>
            </w:r>
          </w:p>
        </w:tc>
      </w:tr>
    </w:tbl>
    <w:p w14:paraId="076E90D9">
      <w:pPr>
        <w:widowControl/>
        <w:jc w:val="left"/>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br w:type="page"/>
      </w:r>
    </w:p>
    <w:bookmarkEnd w:id="1"/>
    <w:p w14:paraId="37B797E5">
      <w:pPr>
        <w:pStyle w:val="57"/>
        <w:spacing w:before="0" w:line="360" w:lineRule="auto"/>
        <w:jc w:val="center"/>
        <w:rPr>
          <w:rFonts w:ascii="Times New Roman" w:hAnsi="Times New Roman" w:eastAsia="宋体"/>
          <w:b/>
          <w:bCs/>
          <w:color w:val="0D0D0D" w:themeColor="text1" w:themeTint="F2"/>
          <w:sz w:val="28"/>
          <w:szCs w:val="28"/>
          <w14:textFill>
            <w14:solidFill>
              <w14:schemeClr w14:val="tx1">
                <w14:lumMod w14:val="95000"/>
                <w14:lumOff w14:val="5000"/>
              </w14:schemeClr>
            </w14:solidFill>
          </w14:textFill>
        </w:rPr>
      </w:pPr>
      <w:r>
        <w:rPr>
          <w:rFonts w:ascii="Times New Roman" w:hAnsi="Times New Roman" w:eastAsia="宋体"/>
          <w:b/>
          <w:bCs/>
          <w:color w:val="0D0D0D" w:themeColor="text1" w:themeTint="F2"/>
          <w:sz w:val="28"/>
          <w:szCs w:val="28"/>
          <w:lang w:val="zh-CN"/>
          <w14:textFill>
            <w14:solidFill>
              <w14:schemeClr w14:val="tx1">
                <w14:lumMod w14:val="95000"/>
                <w14:lumOff w14:val="5000"/>
              </w14:schemeClr>
            </w14:solidFill>
          </w14:textFill>
        </w:rPr>
        <w:t>目</w:t>
      </w:r>
      <w:r>
        <w:rPr>
          <w:rFonts w:hint="eastAsia" w:ascii="Times New Roman" w:hAnsi="Times New Roman" w:eastAsia="宋体"/>
          <w:b/>
          <w:bCs/>
          <w:color w:val="0D0D0D" w:themeColor="text1" w:themeTint="F2"/>
          <w:sz w:val="28"/>
          <w:szCs w:val="28"/>
          <w:lang w:val="zh-CN"/>
          <w14:textFill>
            <w14:solidFill>
              <w14:schemeClr w14:val="tx1">
                <w14:lumMod w14:val="95000"/>
                <w14:lumOff w14:val="5000"/>
              </w14:schemeClr>
            </w14:solidFill>
          </w14:textFill>
        </w:rPr>
        <w:t xml:space="preserve">  </w:t>
      </w:r>
      <w:r>
        <w:rPr>
          <w:rFonts w:ascii="Times New Roman" w:hAnsi="Times New Roman" w:eastAsia="宋体"/>
          <w:b/>
          <w:bCs/>
          <w:color w:val="0D0D0D" w:themeColor="text1" w:themeTint="F2"/>
          <w:sz w:val="28"/>
          <w:szCs w:val="28"/>
          <w:lang w:val="zh-CN"/>
          <w14:textFill>
            <w14:solidFill>
              <w14:schemeClr w14:val="tx1">
                <w14:lumMod w14:val="95000"/>
                <w14:lumOff w14:val="5000"/>
              </w14:schemeClr>
            </w14:solidFill>
          </w14:textFill>
        </w:rPr>
        <w:t>录</w:t>
      </w:r>
    </w:p>
    <w:p w14:paraId="194AF579">
      <w:pPr>
        <w:pStyle w:val="16"/>
        <w:tabs>
          <w:tab w:val="right" w:leader="dot" w:pos="8834"/>
        </w:tabs>
        <w:spacing w:line="360" w:lineRule="auto"/>
        <w:rPr>
          <w:rFonts w:cstheme="minorBidi"/>
          <w:color w:val="0D0D0D" w:themeColor="text1" w:themeTint="F2"/>
          <w:sz w:val="24"/>
          <w14:textFill>
            <w14:solidFill>
              <w14:schemeClr w14:val="tx1">
                <w14:lumMod w14:val="95000"/>
                <w14:lumOff w14:val="5000"/>
              </w14:schemeClr>
            </w14:solidFill>
          </w14:textFill>
          <w14:ligatures w14:val="standardContextual"/>
        </w:rPr>
      </w:pPr>
      <w:r>
        <w:rPr>
          <w:color w:val="0D0D0D" w:themeColor="text1" w:themeTint="F2"/>
          <w:sz w:val="24"/>
          <w14:textFill>
            <w14:solidFill>
              <w14:schemeClr w14:val="tx1">
                <w14:lumMod w14:val="95000"/>
                <w14:lumOff w14:val="5000"/>
              </w14:schemeClr>
            </w14:solidFill>
          </w14:textFill>
        </w:rPr>
        <w:fldChar w:fldCharType="begin"/>
      </w:r>
      <w:r>
        <w:rPr>
          <w:color w:val="0D0D0D" w:themeColor="text1" w:themeTint="F2"/>
          <w:sz w:val="24"/>
          <w14:textFill>
            <w14:solidFill>
              <w14:schemeClr w14:val="tx1">
                <w14:lumMod w14:val="95000"/>
                <w14:lumOff w14:val="5000"/>
              </w14:schemeClr>
            </w14:solidFill>
          </w14:textFill>
        </w:rPr>
        <w:instrText xml:space="preserve"> TOC \o "1-3" \h \z \u </w:instrText>
      </w:r>
      <w:r>
        <w:rPr>
          <w:color w:val="0D0D0D" w:themeColor="text1" w:themeTint="F2"/>
          <w:sz w:val="24"/>
          <w14:textFill>
            <w14:solidFill>
              <w14:schemeClr w14:val="tx1">
                <w14:lumMod w14:val="95000"/>
                <w14:lumOff w14:val="5000"/>
              </w14:schemeClr>
            </w14:solidFill>
          </w14:textFill>
        </w:rPr>
        <w:fldChar w:fldCharType="separate"/>
      </w:r>
      <w:r>
        <w:fldChar w:fldCharType="begin"/>
      </w:r>
      <w:r>
        <w:instrText xml:space="preserve"> HYPERLINK \l "_Toc136522023" </w:instrText>
      </w:r>
      <w:r>
        <w:fldChar w:fldCharType="separate"/>
      </w:r>
      <w:r>
        <w:rPr>
          <w:rStyle w:val="25"/>
          <w:snapToGrid w:val="0"/>
          <w:color w:val="0D0D0D" w:themeColor="text1" w:themeTint="F2"/>
          <w:sz w:val="24"/>
          <w:u w:val="none"/>
          <w14:textFill>
            <w14:solidFill>
              <w14:schemeClr w14:val="tx1">
                <w14:lumMod w14:val="95000"/>
                <w14:lumOff w14:val="5000"/>
              </w14:schemeClr>
            </w14:solidFill>
          </w14:textFill>
        </w:rPr>
        <w:t>一、建设项目基本情况</w:t>
      </w:r>
      <w:r>
        <w:rPr>
          <w:color w:val="0D0D0D" w:themeColor="text1" w:themeTint="F2"/>
          <w:sz w:val="24"/>
          <w14:textFill>
            <w14:solidFill>
              <w14:schemeClr w14:val="tx1">
                <w14:lumMod w14:val="95000"/>
                <w14:lumOff w14:val="5000"/>
              </w14:schemeClr>
            </w14:solidFill>
          </w14:textFill>
        </w:rPr>
        <w:tab/>
      </w:r>
      <w:r>
        <w:rPr>
          <w:color w:val="0D0D0D" w:themeColor="text1" w:themeTint="F2"/>
          <w:sz w:val="24"/>
          <w14:textFill>
            <w14:solidFill>
              <w14:schemeClr w14:val="tx1">
                <w14:lumMod w14:val="95000"/>
                <w14:lumOff w14:val="5000"/>
              </w14:schemeClr>
            </w14:solidFill>
          </w14:textFill>
        </w:rPr>
        <w:fldChar w:fldCharType="begin"/>
      </w:r>
      <w:r>
        <w:rPr>
          <w:color w:val="0D0D0D" w:themeColor="text1" w:themeTint="F2"/>
          <w:sz w:val="24"/>
          <w14:textFill>
            <w14:solidFill>
              <w14:schemeClr w14:val="tx1">
                <w14:lumMod w14:val="95000"/>
                <w14:lumOff w14:val="5000"/>
              </w14:schemeClr>
            </w14:solidFill>
          </w14:textFill>
        </w:rPr>
        <w:instrText xml:space="preserve"> PAGEREF _Toc136522023 \h </w:instrText>
      </w:r>
      <w:r>
        <w:rPr>
          <w:color w:val="0D0D0D" w:themeColor="text1" w:themeTint="F2"/>
          <w:sz w:val="24"/>
          <w14:textFill>
            <w14:solidFill>
              <w14:schemeClr w14:val="tx1">
                <w14:lumMod w14:val="95000"/>
                <w14:lumOff w14:val="5000"/>
              </w14:schemeClr>
            </w14:solidFill>
          </w14:textFill>
        </w:rPr>
        <w:fldChar w:fldCharType="separate"/>
      </w:r>
      <w:r>
        <w:rPr>
          <w:color w:val="0D0D0D" w:themeColor="text1" w:themeTint="F2"/>
          <w:sz w:val="24"/>
          <w14:textFill>
            <w14:solidFill>
              <w14:schemeClr w14:val="tx1">
                <w14:lumMod w14:val="95000"/>
                <w14:lumOff w14:val="5000"/>
              </w14:schemeClr>
            </w14:solidFill>
          </w14:textFill>
        </w:rPr>
        <w:t>1</w:t>
      </w:r>
      <w:r>
        <w:rPr>
          <w:color w:val="0D0D0D" w:themeColor="text1" w:themeTint="F2"/>
          <w:sz w:val="24"/>
          <w14:textFill>
            <w14:solidFill>
              <w14:schemeClr w14:val="tx1">
                <w14:lumMod w14:val="95000"/>
                <w14:lumOff w14:val="5000"/>
              </w14:schemeClr>
            </w14:solidFill>
          </w14:textFill>
        </w:rPr>
        <w:fldChar w:fldCharType="end"/>
      </w:r>
      <w:r>
        <w:rPr>
          <w:color w:val="0D0D0D" w:themeColor="text1" w:themeTint="F2"/>
          <w:sz w:val="24"/>
          <w14:textFill>
            <w14:solidFill>
              <w14:schemeClr w14:val="tx1">
                <w14:lumMod w14:val="95000"/>
                <w14:lumOff w14:val="5000"/>
              </w14:schemeClr>
            </w14:solidFill>
          </w14:textFill>
        </w:rPr>
        <w:fldChar w:fldCharType="end"/>
      </w:r>
    </w:p>
    <w:p w14:paraId="6BB7EF28">
      <w:pPr>
        <w:pStyle w:val="16"/>
        <w:tabs>
          <w:tab w:val="right" w:leader="dot" w:pos="8834"/>
        </w:tabs>
        <w:spacing w:line="360" w:lineRule="auto"/>
        <w:rPr>
          <w:rFonts w:cstheme="minorBidi"/>
          <w:color w:val="0D0D0D" w:themeColor="text1" w:themeTint="F2"/>
          <w:sz w:val="24"/>
          <w14:textFill>
            <w14:solidFill>
              <w14:schemeClr w14:val="tx1">
                <w14:lumMod w14:val="95000"/>
                <w14:lumOff w14:val="5000"/>
              </w14:schemeClr>
            </w14:solidFill>
          </w14:textFill>
          <w14:ligatures w14:val="standardContextual"/>
        </w:rPr>
      </w:pPr>
      <w:r>
        <w:fldChar w:fldCharType="begin"/>
      </w:r>
      <w:r>
        <w:instrText xml:space="preserve"> HYPERLINK \l "_Toc136522024" </w:instrText>
      </w:r>
      <w:r>
        <w:fldChar w:fldCharType="separate"/>
      </w:r>
      <w:r>
        <w:rPr>
          <w:rStyle w:val="25"/>
          <w:snapToGrid w:val="0"/>
          <w:color w:val="0D0D0D" w:themeColor="text1" w:themeTint="F2"/>
          <w:sz w:val="24"/>
          <w:u w:val="none"/>
          <w14:textFill>
            <w14:solidFill>
              <w14:schemeClr w14:val="tx1">
                <w14:lumMod w14:val="95000"/>
                <w14:lumOff w14:val="5000"/>
              </w14:schemeClr>
            </w14:solidFill>
          </w14:textFill>
        </w:rPr>
        <w:t>二、建设项目工程分析</w:t>
      </w:r>
      <w:r>
        <w:rPr>
          <w:color w:val="0D0D0D" w:themeColor="text1" w:themeTint="F2"/>
          <w:sz w:val="24"/>
          <w14:textFill>
            <w14:solidFill>
              <w14:schemeClr w14:val="tx1">
                <w14:lumMod w14:val="95000"/>
                <w14:lumOff w14:val="5000"/>
              </w14:schemeClr>
            </w14:solidFill>
          </w14:textFill>
        </w:rPr>
        <w:tab/>
      </w:r>
      <w:r>
        <w:rPr>
          <w:color w:val="0D0D0D" w:themeColor="text1" w:themeTint="F2"/>
          <w:sz w:val="24"/>
          <w14:textFill>
            <w14:solidFill>
              <w14:schemeClr w14:val="tx1">
                <w14:lumMod w14:val="95000"/>
                <w14:lumOff w14:val="5000"/>
              </w14:schemeClr>
            </w14:solidFill>
          </w14:textFill>
        </w:rPr>
        <w:fldChar w:fldCharType="begin"/>
      </w:r>
      <w:r>
        <w:rPr>
          <w:color w:val="0D0D0D" w:themeColor="text1" w:themeTint="F2"/>
          <w:sz w:val="24"/>
          <w14:textFill>
            <w14:solidFill>
              <w14:schemeClr w14:val="tx1">
                <w14:lumMod w14:val="95000"/>
                <w14:lumOff w14:val="5000"/>
              </w14:schemeClr>
            </w14:solidFill>
          </w14:textFill>
        </w:rPr>
        <w:instrText xml:space="preserve"> PAGEREF _Toc136522024 \h </w:instrText>
      </w:r>
      <w:r>
        <w:rPr>
          <w:color w:val="0D0D0D" w:themeColor="text1" w:themeTint="F2"/>
          <w:sz w:val="24"/>
          <w14:textFill>
            <w14:solidFill>
              <w14:schemeClr w14:val="tx1">
                <w14:lumMod w14:val="95000"/>
                <w14:lumOff w14:val="5000"/>
              </w14:schemeClr>
            </w14:solidFill>
          </w14:textFill>
        </w:rPr>
        <w:fldChar w:fldCharType="separate"/>
      </w:r>
      <w:r>
        <w:rPr>
          <w:color w:val="0D0D0D" w:themeColor="text1" w:themeTint="F2"/>
          <w:sz w:val="24"/>
          <w14:textFill>
            <w14:solidFill>
              <w14:schemeClr w14:val="tx1">
                <w14:lumMod w14:val="95000"/>
                <w14:lumOff w14:val="5000"/>
              </w14:schemeClr>
            </w14:solidFill>
          </w14:textFill>
        </w:rPr>
        <w:t>33</w:t>
      </w:r>
      <w:r>
        <w:rPr>
          <w:color w:val="0D0D0D" w:themeColor="text1" w:themeTint="F2"/>
          <w:sz w:val="24"/>
          <w14:textFill>
            <w14:solidFill>
              <w14:schemeClr w14:val="tx1">
                <w14:lumMod w14:val="95000"/>
                <w14:lumOff w14:val="5000"/>
              </w14:schemeClr>
            </w14:solidFill>
          </w14:textFill>
        </w:rPr>
        <w:fldChar w:fldCharType="end"/>
      </w:r>
      <w:r>
        <w:rPr>
          <w:color w:val="0D0D0D" w:themeColor="text1" w:themeTint="F2"/>
          <w:sz w:val="24"/>
          <w14:textFill>
            <w14:solidFill>
              <w14:schemeClr w14:val="tx1">
                <w14:lumMod w14:val="95000"/>
                <w14:lumOff w14:val="5000"/>
              </w14:schemeClr>
            </w14:solidFill>
          </w14:textFill>
        </w:rPr>
        <w:fldChar w:fldCharType="end"/>
      </w:r>
    </w:p>
    <w:p w14:paraId="0A5EC752">
      <w:pPr>
        <w:pStyle w:val="16"/>
        <w:tabs>
          <w:tab w:val="right" w:leader="dot" w:pos="8834"/>
        </w:tabs>
        <w:spacing w:line="360" w:lineRule="auto"/>
        <w:rPr>
          <w:rFonts w:cstheme="minorBidi"/>
          <w:color w:val="0D0D0D" w:themeColor="text1" w:themeTint="F2"/>
          <w:sz w:val="24"/>
          <w14:textFill>
            <w14:solidFill>
              <w14:schemeClr w14:val="tx1">
                <w14:lumMod w14:val="95000"/>
                <w14:lumOff w14:val="5000"/>
              </w14:schemeClr>
            </w14:solidFill>
          </w14:textFill>
          <w14:ligatures w14:val="standardContextual"/>
        </w:rPr>
      </w:pPr>
      <w:r>
        <w:fldChar w:fldCharType="begin"/>
      </w:r>
      <w:r>
        <w:instrText xml:space="preserve"> HYPERLINK \l "_Toc136522025" </w:instrText>
      </w:r>
      <w:r>
        <w:fldChar w:fldCharType="separate"/>
      </w:r>
      <w:r>
        <w:rPr>
          <w:rStyle w:val="25"/>
          <w:snapToGrid w:val="0"/>
          <w:color w:val="0D0D0D" w:themeColor="text1" w:themeTint="F2"/>
          <w:sz w:val="24"/>
          <w:u w:val="none"/>
          <w14:textFill>
            <w14:solidFill>
              <w14:schemeClr w14:val="tx1">
                <w14:lumMod w14:val="95000"/>
                <w14:lumOff w14:val="5000"/>
              </w14:schemeClr>
            </w14:solidFill>
          </w14:textFill>
        </w:rPr>
        <w:t>三、区域环境质量现状、环境保护目标及评价标准</w:t>
      </w:r>
      <w:r>
        <w:rPr>
          <w:color w:val="0D0D0D" w:themeColor="text1" w:themeTint="F2"/>
          <w:sz w:val="24"/>
          <w14:textFill>
            <w14:solidFill>
              <w14:schemeClr w14:val="tx1">
                <w14:lumMod w14:val="95000"/>
                <w14:lumOff w14:val="5000"/>
              </w14:schemeClr>
            </w14:solidFill>
          </w14:textFill>
        </w:rPr>
        <w:tab/>
      </w:r>
      <w:r>
        <w:rPr>
          <w:color w:val="0D0D0D" w:themeColor="text1" w:themeTint="F2"/>
          <w:sz w:val="24"/>
          <w14:textFill>
            <w14:solidFill>
              <w14:schemeClr w14:val="tx1">
                <w14:lumMod w14:val="95000"/>
                <w14:lumOff w14:val="5000"/>
              </w14:schemeClr>
            </w14:solidFill>
          </w14:textFill>
        </w:rPr>
        <w:fldChar w:fldCharType="begin"/>
      </w:r>
      <w:r>
        <w:rPr>
          <w:color w:val="0D0D0D" w:themeColor="text1" w:themeTint="F2"/>
          <w:sz w:val="24"/>
          <w14:textFill>
            <w14:solidFill>
              <w14:schemeClr w14:val="tx1">
                <w14:lumMod w14:val="95000"/>
                <w14:lumOff w14:val="5000"/>
              </w14:schemeClr>
            </w14:solidFill>
          </w14:textFill>
        </w:rPr>
        <w:instrText xml:space="preserve"> PAGEREF _Toc136522025 \h </w:instrText>
      </w:r>
      <w:r>
        <w:rPr>
          <w:color w:val="0D0D0D" w:themeColor="text1" w:themeTint="F2"/>
          <w:sz w:val="24"/>
          <w14:textFill>
            <w14:solidFill>
              <w14:schemeClr w14:val="tx1">
                <w14:lumMod w14:val="95000"/>
                <w14:lumOff w14:val="5000"/>
              </w14:schemeClr>
            </w14:solidFill>
          </w14:textFill>
        </w:rPr>
        <w:fldChar w:fldCharType="separate"/>
      </w:r>
      <w:r>
        <w:rPr>
          <w:color w:val="0D0D0D" w:themeColor="text1" w:themeTint="F2"/>
          <w:sz w:val="24"/>
          <w14:textFill>
            <w14:solidFill>
              <w14:schemeClr w14:val="tx1">
                <w14:lumMod w14:val="95000"/>
                <w14:lumOff w14:val="5000"/>
              </w14:schemeClr>
            </w14:solidFill>
          </w14:textFill>
        </w:rPr>
        <w:t>47</w:t>
      </w:r>
      <w:r>
        <w:rPr>
          <w:color w:val="0D0D0D" w:themeColor="text1" w:themeTint="F2"/>
          <w:sz w:val="24"/>
          <w14:textFill>
            <w14:solidFill>
              <w14:schemeClr w14:val="tx1">
                <w14:lumMod w14:val="95000"/>
                <w14:lumOff w14:val="5000"/>
              </w14:schemeClr>
            </w14:solidFill>
          </w14:textFill>
        </w:rPr>
        <w:fldChar w:fldCharType="end"/>
      </w:r>
      <w:r>
        <w:rPr>
          <w:color w:val="0D0D0D" w:themeColor="text1" w:themeTint="F2"/>
          <w:sz w:val="24"/>
          <w14:textFill>
            <w14:solidFill>
              <w14:schemeClr w14:val="tx1">
                <w14:lumMod w14:val="95000"/>
                <w14:lumOff w14:val="5000"/>
              </w14:schemeClr>
            </w14:solidFill>
          </w14:textFill>
        </w:rPr>
        <w:fldChar w:fldCharType="end"/>
      </w:r>
    </w:p>
    <w:p w14:paraId="71115CF1">
      <w:pPr>
        <w:pStyle w:val="16"/>
        <w:tabs>
          <w:tab w:val="right" w:leader="dot" w:pos="8834"/>
        </w:tabs>
        <w:spacing w:line="360" w:lineRule="auto"/>
        <w:rPr>
          <w:rFonts w:cstheme="minorBidi"/>
          <w:color w:val="0D0D0D" w:themeColor="text1" w:themeTint="F2"/>
          <w:sz w:val="24"/>
          <w14:textFill>
            <w14:solidFill>
              <w14:schemeClr w14:val="tx1">
                <w14:lumMod w14:val="95000"/>
                <w14:lumOff w14:val="5000"/>
              </w14:schemeClr>
            </w14:solidFill>
          </w14:textFill>
          <w14:ligatures w14:val="standardContextual"/>
        </w:rPr>
      </w:pPr>
      <w:r>
        <w:fldChar w:fldCharType="begin"/>
      </w:r>
      <w:r>
        <w:instrText xml:space="preserve"> HYPERLINK \l "_Toc136522026" </w:instrText>
      </w:r>
      <w:r>
        <w:fldChar w:fldCharType="separate"/>
      </w:r>
      <w:r>
        <w:rPr>
          <w:rStyle w:val="25"/>
          <w:snapToGrid w:val="0"/>
          <w:color w:val="0D0D0D" w:themeColor="text1" w:themeTint="F2"/>
          <w:sz w:val="24"/>
          <w:u w:val="none"/>
          <w14:textFill>
            <w14:solidFill>
              <w14:schemeClr w14:val="tx1">
                <w14:lumMod w14:val="95000"/>
                <w14:lumOff w14:val="5000"/>
              </w14:schemeClr>
            </w14:solidFill>
          </w14:textFill>
        </w:rPr>
        <w:t>四、主要环境影响和保护措施</w:t>
      </w:r>
      <w:r>
        <w:rPr>
          <w:color w:val="0D0D0D" w:themeColor="text1" w:themeTint="F2"/>
          <w:sz w:val="24"/>
          <w14:textFill>
            <w14:solidFill>
              <w14:schemeClr w14:val="tx1">
                <w14:lumMod w14:val="95000"/>
                <w14:lumOff w14:val="5000"/>
              </w14:schemeClr>
            </w14:solidFill>
          </w14:textFill>
        </w:rPr>
        <w:tab/>
      </w:r>
      <w:r>
        <w:rPr>
          <w:color w:val="0D0D0D" w:themeColor="text1" w:themeTint="F2"/>
          <w:sz w:val="24"/>
          <w14:textFill>
            <w14:solidFill>
              <w14:schemeClr w14:val="tx1">
                <w14:lumMod w14:val="95000"/>
                <w14:lumOff w14:val="5000"/>
              </w14:schemeClr>
            </w14:solidFill>
          </w14:textFill>
        </w:rPr>
        <w:fldChar w:fldCharType="begin"/>
      </w:r>
      <w:r>
        <w:rPr>
          <w:color w:val="0D0D0D" w:themeColor="text1" w:themeTint="F2"/>
          <w:sz w:val="24"/>
          <w14:textFill>
            <w14:solidFill>
              <w14:schemeClr w14:val="tx1">
                <w14:lumMod w14:val="95000"/>
                <w14:lumOff w14:val="5000"/>
              </w14:schemeClr>
            </w14:solidFill>
          </w14:textFill>
        </w:rPr>
        <w:instrText xml:space="preserve"> PAGEREF _Toc136522026 \h </w:instrText>
      </w:r>
      <w:r>
        <w:rPr>
          <w:color w:val="0D0D0D" w:themeColor="text1" w:themeTint="F2"/>
          <w:sz w:val="24"/>
          <w14:textFill>
            <w14:solidFill>
              <w14:schemeClr w14:val="tx1">
                <w14:lumMod w14:val="95000"/>
                <w14:lumOff w14:val="5000"/>
              </w14:schemeClr>
            </w14:solidFill>
          </w14:textFill>
        </w:rPr>
        <w:fldChar w:fldCharType="separate"/>
      </w:r>
      <w:r>
        <w:rPr>
          <w:color w:val="0D0D0D" w:themeColor="text1" w:themeTint="F2"/>
          <w:sz w:val="24"/>
          <w14:textFill>
            <w14:solidFill>
              <w14:schemeClr w14:val="tx1">
                <w14:lumMod w14:val="95000"/>
                <w14:lumOff w14:val="5000"/>
              </w14:schemeClr>
            </w14:solidFill>
          </w14:textFill>
        </w:rPr>
        <w:t>55</w:t>
      </w:r>
      <w:r>
        <w:rPr>
          <w:color w:val="0D0D0D" w:themeColor="text1" w:themeTint="F2"/>
          <w:sz w:val="24"/>
          <w14:textFill>
            <w14:solidFill>
              <w14:schemeClr w14:val="tx1">
                <w14:lumMod w14:val="95000"/>
                <w14:lumOff w14:val="5000"/>
              </w14:schemeClr>
            </w14:solidFill>
          </w14:textFill>
        </w:rPr>
        <w:fldChar w:fldCharType="end"/>
      </w:r>
      <w:r>
        <w:rPr>
          <w:color w:val="0D0D0D" w:themeColor="text1" w:themeTint="F2"/>
          <w:sz w:val="24"/>
          <w14:textFill>
            <w14:solidFill>
              <w14:schemeClr w14:val="tx1">
                <w14:lumMod w14:val="95000"/>
                <w14:lumOff w14:val="5000"/>
              </w14:schemeClr>
            </w14:solidFill>
          </w14:textFill>
        </w:rPr>
        <w:fldChar w:fldCharType="end"/>
      </w:r>
    </w:p>
    <w:p w14:paraId="422786AE">
      <w:pPr>
        <w:pStyle w:val="16"/>
        <w:tabs>
          <w:tab w:val="right" w:leader="dot" w:pos="8834"/>
        </w:tabs>
        <w:spacing w:line="360" w:lineRule="auto"/>
        <w:rPr>
          <w:rFonts w:cstheme="minorBidi"/>
          <w:color w:val="0D0D0D" w:themeColor="text1" w:themeTint="F2"/>
          <w:sz w:val="24"/>
          <w14:textFill>
            <w14:solidFill>
              <w14:schemeClr w14:val="tx1">
                <w14:lumMod w14:val="95000"/>
                <w14:lumOff w14:val="5000"/>
              </w14:schemeClr>
            </w14:solidFill>
          </w14:textFill>
          <w14:ligatures w14:val="standardContextual"/>
        </w:rPr>
      </w:pPr>
      <w:r>
        <w:fldChar w:fldCharType="begin"/>
      </w:r>
      <w:r>
        <w:instrText xml:space="preserve"> HYPERLINK \l "_Toc136522027" </w:instrText>
      </w:r>
      <w:r>
        <w:fldChar w:fldCharType="separate"/>
      </w:r>
      <w:r>
        <w:rPr>
          <w:rStyle w:val="25"/>
          <w:snapToGrid w:val="0"/>
          <w:color w:val="0D0D0D" w:themeColor="text1" w:themeTint="F2"/>
          <w:sz w:val="24"/>
          <w:u w:val="none"/>
          <w14:textFill>
            <w14:solidFill>
              <w14:schemeClr w14:val="tx1">
                <w14:lumMod w14:val="95000"/>
                <w14:lumOff w14:val="5000"/>
              </w14:schemeClr>
            </w14:solidFill>
          </w14:textFill>
        </w:rPr>
        <w:t>五、环境保护措施监督检查清单</w:t>
      </w:r>
      <w:r>
        <w:rPr>
          <w:color w:val="0D0D0D" w:themeColor="text1" w:themeTint="F2"/>
          <w:sz w:val="24"/>
          <w14:textFill>
            <w14:solidFill>
              <w14:schemeClr w14:val="tx1">
                <w14:lumMod w14:val="95000"/>
                <w14:lumOff w14:val="5000"/>
              </w14:schemeClr>
            </w14:solidFill>
          </w14:textFill>
        </w:rPr>
        <w:tab/>
      </w:r>
      <w:r>
        <w:rPr>
          <w:color w:val="0D0D0D" w:themeColor="text1" w:themeTint="F2"/>
          <w:sz w:val="24"/>
          <w14:textFill>
            <w14:solidFill>
              <w14:schemeClr w14:val="tx1">
                <w14:lumMod w14:val="95000"/>
                <w14:lumOff w14:val="5000"/>
              </w14:schemeClr>
            </w14:solidFill>
          </w14:textFill>
        </w:rPr>
        <w:fldChar w:fldCharType="begin"/>
      </w:r>
      <w:r>
        <w:rPr>
          <w:color w:val="0D0D0D" w:themeColor="text1" w:themeTint="F2"/>
          <w:sz w:val="24"/>
          <w14:textFill>
            <w14:solidFill>
              <w14:schemeClr w14:val="tx1">
                <w14:lumMod w14:val="95000"/>
                <w14:lumOff w14:val="5000"/>
              </w14:schemeClr>
            </w14:solidFill>
          </w14:textFill>
        </w:rPr>
        <w:instrText xml:space="preserve"> PAGEREF _Toc136522027 \h </w:instrText>
      </w:r>
      <w:r>
        <w:rPr>
          <w:color w:val="0D0D0D" w:themeColor="text1" w:themeTint="F2"/>
          <w:sz w:val="24"/>
          <w14:textFill>
            <w14:solidFill>
              <w14:schemeClr w14:val="tx1">
                <w14:lumMod w14:val="95000"/>
                <w14:lumOff w14:val="5000"/>
              </w14:schemeClr>
            </w14:solidFill>
          </w14:textFill>
        </w:rPr>
        <w:fldChar w:fldCharType="separate"/>
      </w:r>
      <w:r>
        <w:rPr>
          <w:color w:val="0D0D0D" w:themeColor="text1" w:themeTint="F2"/>
          <w:sz w:val="24"/>
          <w14:textFill>
            <w14:solidFill>
              <w14:schemeClr w14:val="tx1">
                <w14:lumMod w14:val="95000"/>
                <w14:lumOff w14:val="5000"/>
              </w14:schemeClr>
            </w14:solidFill>
          </w14:textFill>
        </w:rPr>
        <w:t>95</w:t>
      </w:r>
      <w:r>
        <w:rPr>
          <w:color w:val="0D0D0D" w:themeColor="text1" w:themeTint="F2"/>
          <w:sz w:val="24"/>
          <w14:textFill>
            <w14:solidFill>
              <w14:schemeClr w14:val="tx1">
                <w14:lumMod w14:val="95000"/>
                <w14:lumOff w14:val="5000"/>
              </w14:schemeClr>
            </w14:solidFill>
          </w14:textFill>
        </w:rPr>
        <w:fldChar w:fldCharType="end"/>
      </w:r>
      <w:r>
        <w:rPr>
          <w:color w:val="0D0D0D" w:themeColor="text1" w:themeTint="F2"/>
          <w:sz w:val="24"/>
          <w14:textFill>
            <w14:solidFill>
              <w14:schemeClr w14:val="tx1">
                <w14:lumMod w14:val="95000"/>
                <w14:lumOff w14:val="5000"/>
              </w14:schemeClr>
            </w14:solidFill>
          </w14:textFill>
        </w:rPr>
        <w:fldChar w:fldCharType="end"/>
      </w:r>
    </w:p>
    <w:p w14:paraId="0166A83E">
      <w:pPr>
        <w:pStyle w:val="16"/>
        <w:tabs>
          <w:tab w:val="right" w:leader="dot" w:pos="8834"/>
        </w:tabs>
        <w:spacing w:line="360" w:lineRule="auto"/>
        <w:rPr>
          <w:rFonts w:cstheme="minorBidi"/>
          <w:color w:val="0D0D0D" w:themeColor="text1" w:themeTint="F2"/>
          <w:sz w:val="24"/>
          <w14:textFill>
            <w14:solidFill>
              <w14:schemeClr w14:val="tx1">
                <w14:lumMod w14:val="95000"/>
                <w14:lumOff w14:val="5000"/>
              </w14:schemeClr>
            </w14:solidFill>
          </w14:textFill>
          <w14:ligatures w14:val="standardContextual"/>
        </w:rPr>
      </w:pPr>
      <w:r>
        <w:fldChar w:fldCharType="begin"/>
      </w:r>
      <w:r>
        <w:instrText xml:space="preserve"> HYPERLINK \l "_Toc136522028" </w:instrText>
      </w:r>
      <w:r>
        <w:fldChar w:fldCharType="separate"/>
      </w:r>
      <w:r>
        <w:rPr>
          <w:rStyle w:val="25"/>
          <w:snapToGrid w:val="0"/>
          <w:color w:val="0D0D0D" w:themeColor="text1" w:themeTint="F2"/>
          <w:sz w:val="24"/>
          <w:u w:val="none"/>
          <w14:textFill>
            <w14:solidFill>
              <w14:schemeClr w14:val="tx1">
                <w14:lumMod w14:val="95000"/>
                <w14:lumOff w14:val="5000"/>
              </w14:schemeClr>
            </w14:solidFill>
          </w14:textFill>
        </w:rPr>
        <w:t>六、结论</w:t>
      </w:r>
      <w:r>
        <w:rPr>
          <w:color w:val="0D0D0D" w:themeColor="text1" w:themeTint="F2"/>
          <w:sz w:val="24"/>
          <w14:textFill>
            <w14:solidFill>
              <w14:schemeClr w14:val="tx1">
                <w14:lumMod w14:val="95000"/>
                <w14:lumOff w14:val="5000"/>
              </w14:schemeClr>
            </w14:solidFill>
          </w14:textFill>
        </w:rPr>
        <w:tab/>
      </w:r>
      <w:r>
        <w:rPr>
          <w:color w:val="0D0D0D" w:themeColor="text1" w:themeTint="F2"/>
          <w:sz w:val="24"/>
          <w14:textFill>
            <w14:solidFill>
              <w14:schemeClr w14:val="tx1">
                <w14:lumMod w14:val="95000"/>
                <w14:lumOff w14:val="5000"/>
              </w14:schemeClr>
            </w14:solidFill>
          </w14:textFill>
        </w:rPr>
        <w:fldChar w:fldCharType="begin"/>
      </w:r>
      <w:r>
        <w:rPr>
          <w:color w:val="0D0D0D" w:themeColor="text1" w:themeTint="F2"/>
          <w:sz w:val="24"/>
          <w14:textFill>
            <w14:solidFill>
              <w14:schemeClr w14:val="tx1">
                <w14:lumMod w14:val="95000"/>
                <w14:lumOff w14:val="5000"/>
              </w14:schemeClr>
            </w14:solidFill>
          </w14:textFill>
        </w:rPr>
        <w:instrText xml:space="preserve"> PAGEREF _Toc136522028 \h </w:instrText>
      </w:r>
      <w:r>
        <w:rPr>
          <w:color w:val="0D0D0D" w:themeColor="text1" w:themeTint="F2"/>
          <w:sz w:val="24"/>
          <w14:textFill>
            <w14:solidFill>
              <w14:schemeClr w14:val="tx1">
                <w14:lumMod w14:val="95000"/>
                <w14:lumOff w14:val="5000"/>
              </w14:schemeClr>
            </w14:solidFill>
          </w14:textFill>
        </w:rPr>
        <w:fldChar w:fldCharType="separate"/>
      </w:r>
      <w:r>
        <w:rPr>
          <w:color w:val="0D0D0D" w:themeColor="text1" w:themeTint="F2"/>
          <w:sz w:val="24"/>
          <w14:textFill>
            <w14:solidFill>
              <w14:schemeClr w14:val="tx1">
                <w14:lumMod w14:val="95000"/>
                <w14:lumOff w14:val="5000"/>
              </w14:schemeClr>
            </w14:solidFill>
          </w14:textFill>
        </w:rPr>
        <w:t>97</w:t>
      </w:r>
      <w:r>
        <w:rPr>
          <w:color w:val="0D0D0D" w:themeColor="text1" w:themeTint="F2"/>
          <w:sz w:val="24"/>
          <w14:textFill>
            <w14:solidFill>
              <w14:schemeClr w14:val="tx1">
                <w14:lumMod w14:val="95000"/>
                <w14:lumOff w14:val="5000"/>
              </w14:schemeClr>
            </w14:solidFill>
          </w14:textFill>
        </w:rPr>
        <w:fldChar w:fldCharType="end"/>
      </w:r>
      <w:r>
        <w:rPr>
          <w:color w:val="0D0D0D" w:themeColor="text1" w:themeTint="F2"/>
          <w:sz w:val="24"/>
          <w14:textFill>
            <w14:solidFill>
              <w14:schemeClr w14:val="tx1">
                <w14:lumMod w14:val="95000"/>
                <w14:lumOff w14:val="5000"/>
              </w14:schemeClr>
            </w14:solidFill>
          </w14:textFill>
        </w:rPr>
        <w:fldChar w:fldCharType="end"/>
      </w:r>
    </w:p>
    <w:p w14:paraId="5A50FCA2">
      <w:pPr>
        <w:pStyle w:val="16"/>
        <w:tabs>
          <w:tab w:val="right" w:leader="dot" w:pos="8834"/>
        </w:tabs>
        <w:spacing w:line="360" w:lineRule="auto"/>
        <w:rPr>
          <w:rFonts w:cstheme="minorBidi"/>
          <w:color w:val="0D0D0D" w:themeColor="text1" w:themeTint="F2"/>
          <w:sz w:val="24"/>
          <w14:textFill>
            <w14:solidFill>
              <w14:schemeClr w14:val="tx1">
                <w14:lumMod w14:val="95000"/>
                <w14:lumOff w14:val="5000"/>
              </w14:schemeClr>
            </w14:solidFill>
          </w14:textFill>
          <w14:ligatures w14:val="standardContextual"/>
        </w:rPr>
      </w:pPr>
      <w:r>
        <w:fldChar w:fldCharType="begin"/>
      </w:r>
      <w:r>
        <w:instrText xml:space="preserve"> HYPERLINK \l "_Toc136522029" </w:instrText>
      </w:r>
      <w:r>
        <w:fldChar w:fldCharType="separate"/>
      </w:r>
      <w:r>
        <w:rPr>
          <w:rStyle w:val="25"/>
          <w:snapToGrid w:val="0"/>
          <w:color w:val="0D0D0D" w:themeColor="text1" w:themeTint="F2"/>
          <w:kern w:val="0"/>
          <w:sz w:val="24"/>
          <w:u w:val="none"/>
          <w14:textFill>
            <w14:solidFill>
              <w14:schemeClr w14:val="tx1">
                <w14:lumMod w14:val="95000"/>
                <w14:lumOff w14:val="5000"/>
              </w14:schemeClr>
            </w14:solidFill>
          </w14:textFill>
        </w:rPr>
        <w:t>建设项目污染物排放量汇总表</w:t>
      </w:r>
      <w:r>
        <w:rPr>
          <w:color w:val="0D0D0D" w:themeColor="text1" w:themeTint="F2"/>
          <w:sz w:val="24"/>
          <w14:textFill>
            <w14:solidFill>
              <w14:schemeClr w14:val="tx1">
                <w14:lumMod w14:val="95000"/>
                <w14:lumOff w14:val="5000"/>
              </w14:schemeClr>
            </w14:solidFill>
          </w14:textFill>
        </w:rPr>
        <w:tab/>
      </w:r>
      <w:r>
        <w:rPr>
          <w:color w:val="0D0D0D" w:themeColor="text1" w:themeTint="F2"/>
          <w:sz w:val="24"/>
          <w14:textFill>
            <w14:solidFill>
              <w14:schemeClr w14:val="tx1">
                <w14:lumMod w14:val="95000"/>
                <w14:lumOff w14:val="5000"/>
              </w14:schemeClr>
            </w14:solidFill>
          </w14:textFill>
        </w:rPr>
        <w:fldChar w:fldCharType="begin"/>
      </w:r>
      <w:r>
        <w:rPr>
          <w:color w:val="0D0D0D" w:themeColor="text1" w:themeTint="F2"/>
          <w:sz w:val="24"/>
          <w14:textFill>
            <w14:solidFill>
              <w14:schemeClr w14:val="tx1">
                <w14:lumMod w14:val="95000"/>
                <w14:lumOff w14:val="5000"/>
              </w14:schemeClr>
            </w14:solidFill>
          </w14:textFill>
        </w:rPr>
        <w:instrText xml:space="preserve"> PAGEREF _Toc136522029 \h </w:instrText>
      </w:r>
      <w:r>
        <w:rPr>
          <w:color w:val="0D0D0D" w:themeColor="text1" w:themeTint="F2"/>
          <w:sz w:val="24"/>
          <w14:textFill>
            <w14:solidFill>
              <w14:schemeClr w14:val="tx1">
                <w14:lumMod w14:val="95000"/>
                <w14:lumOff w14:val="5000"/>
              </w14:schemeClr>
            </w14:solidFill>
          </w14:textFill>
        </w:rPr>
        <w:fldChar w:fldCharType="separate"/>
      </w:r>
      <w:r>
        <w:rPr>
          <w:color w:val="0D0D0D" w:themeColor="text1" w:themeTint="F2"/>
          <w:sz w:val="24"/>
          <w14:textFill>
            <w14:solidFill>
              <w14:schemeClr w14:val="tx1">
                <w14:lumMod w14:val="95000"/>
                <w14:lumOff w14:val="5000"/>
              </w14:schemeClr>
            </w14:solidFill>
          </w14:textFill>
        </w:rPr>
        <w:t>98</w:t>
      </w:r>
      <w:r>
        <w:rPr>
          <w:color w:val="0D0D0D" w:themeColor="text1" w:themeTint="F2"/>
          <w:sz w:val="24"/>
          <w14:textFill>
            <w14:solidFill>
              <w14:schemeClr w14:val="tx1">
                <w14:lumMod w14:val="95000"/>
                <w14:lumOff w14:val="5000"/>
              </w14:schemeClr>
            </w14:solidFill>
          </w14:textFill>
        </w:rPr>
        <w:fldChar w:fldCharType="end"/>
      </w:r>
      <w:r>
        <w:rPr>
          <w:color w:val="0D0D0D" w:themeColor="text1" w:themeTint="F2"/>
          <w:sz w:val="24"/>
          <w14:textFill>
            <w14:solidFill>
              <w14:schemeClr w14:val="tx1">
                <w14:lumMod w14:val="95000"/>
                <w14:lumOff w14:val="5000"/>
              </w14:schemeClr>
            </w14:solidFill>
          </w14:textFill>
        </w:rPr>
        <w:fldChar w:fldCharType="end"/>
      </w:r>
    </w:p>
    <w:p w14:paraId="6FF8AFD6">
      <w:pPr>
        <w:spacing w:line="360" w:lineRule="auto"/>
        <w:rPr>
          <w:b/>
          <w:bCs/>
          <w:color w:val="0D0D0D" w:themeColor="text1" w:themeTint="F2"/>
          <w:sz w:val="24"/>
          <w:lang w:val="zh-CN"/>
          <w14:textFill>
            <w14:solidFill>
              <w14:schemeClr w14:val="tx1">
                <w14:lumMod w14:val="95000"/>
                <w14:lumOff w14:val="5000"/>
              </w14:schemeClr>
            </w14:solidFill>
          </w14:textFill>
        </w:rPr>
      </w:pPr>
      <w:r>
        <w:rPr>
          <w:b/>
          <w:bCs/>
          <w:color w:val="0D0D0D" w:themeColor="text1" w:themeTint="F2"/>
          <w:sz w:val="24"/>
          <w:lang w:val="zh-CN"/>
          <w14:textFill>
            <w14:solidFill>
              <w14:schemeClr w14:val="tx1">
                <w14:lumMod w14:val="95000"/>
                <w14:lumOff w14:val="5000"/>
              </w14:schemeClr>
            </w14:solidFill>
          </w14:textFill>
        </w:rPr>
        <w:fldChar w:fldCharType="end"/>
      </w:r>
    </w:p>
    <w:p w14:paraId="7C661397">
      <w:pPr>
        <w:widowControl/>
        <w:jc w:val="left"/>
        <w:rPr>
          <w:b/>
          <w:bCs/>
          <w:color w:val="0D0D0D" w:themeColor="text1" w:themeTint="F2"/>
          <w:sz w:val="24"/>
          <w:lang w:val="zh-CN"/>
          <w14:textFill>
            <w14:solidFill>
              <w14:schemeClr w14:val="tx1">
                <w14:lumMod w14:val="95000"/>
                <w14:lumOff w14:val="5000"/>
              </w14:schemeClr>
            </w14:solidFill>
          </w14:textFill>
        </w:rPr>
      </w:pPr>
      <w:r>
        <w:rPr>
          <w:b/>
          <w:bCs/>
          <w:color w:val="0D0D0D" w:themeColor="text1" w:themeTint="F2"/>
          <w:sz w:val="24"/>
          <w:lang w:val="zh-CN"/>
          <w14:textFill>
            <w14:solidFill>
              <w14:schemeClr w14:val="tx1">
                <w14:lumMod w14:val="95000"/>
                <w14:lumOff w14:val="5000"/>
              </w14:schemeClr>
            </w14:solidFill>
          </w14:textFill>
        </w:rPr>
        <w:br w:type="page"/>
      </w:r>
    </w:p>
    <w:p w14:paraId="1BFE6B91">
      <w:pPr>
        <w:pStyle w:val="18"/>
        <w:jc w:val="center"/>
        <w:outlineLvl w:val="0"/>
        <w:rPr>
          <w:rFonts w:ascii="Times New Roman" w:hAnsi="Times New Roman"/>
          <w:snapToGrid w:val="0"/>
          <w:color w:val="0D0D0D" w:themeColor="text1" w:themeTint="F2"/>
          <w:sz w:val="30"/>
          <w:szCs w:val="30"/>
          <w14:textFill>
            <w14:solidFill>
              <w14:schemeClr w14:val="tx1">
                <w14:lumMod w14:val="95000"/>
                <w14:lumOff w14:val="5000"/>
              </w14:schemeClr>
            </w14:solidFill>
          </w14:textFill>
        </w:rPr>
        <w:sectPr>
          <w:footerReference r:id="rId3" w:type="default"/>
          <w:footerReference r:id="rId4" w:type="even"/>
          <w:pgSz w:w="11906" w:h="16838"/>
          <w:pgMar w:top="1701" w:right="1531" w:bottom="1701" w:left="1531" w:header="851" w:footer="1077" w:gutter="0"/>
          <w:pgNumType w:start="1"/>
          <w:cols w:space="720" w:num="1"/>
          <w:docGrid w:linePitch="312" w:charSpace="0"/>
        </w:sectPr>
      </w:pPr>
    </w:p>
    <w:p w14:paraId="18B09C33">
      <w:pPr>
        <w:pStyle w:val="18"/>
        <w:jc w:val="center"/>
        <w:outlineLvl w:val="0"/>
        <w:rPr>
          <w:rFonts w:ascii="Times New Roman" w:hAnsi="Times New Roman"/>
          <w:snapToGrid w:val="0"/>
          <w:color w:val="0D0D0D" w:themeColor="text1" w:themeTint="F2"/>
          <w:sz w:val="30"/>
          <w:szCs w:val="30"/>
          <w14:textFill>
            <w14:solidFill>
              <w14:schemeClr w14:val="tx1">
                <w14:lumMod w14:val="95000"/>
                <w14:lumOff w14:val="5000"/>
              </w14:schemeClr>
            </w14:solidFill>
          </w14:textFill>
        </w:rPr>
      </w:pPr>
      <w:bookmarkStart w:id="2" w:name="_Toc136522023"/>
      <w:r>
        <w:rPr>
          <w:rFonts w:hint="eastAsia" w:ascii="Times New Roman" w:hAnsi="Times New Roman"/>
          <w:snapToGrid w:val="0"/>
          <w:color w:val="0D0D0D" w:themeColor="text1" w:themeTint="F2"/>
          <w:sz w:val="30"/>
          <w:szCs w:val="30"/>
          <w14:textFill>
            <w14:solidFill>
              <w14:schemeClr w14:val="tx1">
                <w14:lumMod w14:val="95000"/>
                <w14:lumOff w14:val="5000"/>
              </w14:schemeClr>
            </w14:solidFill>
          </w14:textFill>
        </w:rPr>
        <w:t>一、建设项目基本情况</w:t>
      </w:r>
      <w:bookmarkEnd w:id="2"/>
    </w:p>
    <w:tbl>
      <w:tblPr>
        <w:tblStyle w:val="21"/>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2382"/>
        <w:gridCol w:w="1719"/>
        <w:gridCol w:w="2130"/>
        <w:gridCol w:w="2639"/>
      </w:tblGrid>
      <w:tr w14:paraId="09699F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14:paraId="4A651C21">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建设项目名称</w:t>
            </w:r>
          </w:p>
        </w:tc>
        <w:tc>
          <w:tcPr>
            <w:tcW w:w="6488" w:type="dxa"/>
            <w:gridSpan w:val="3"/>
            <w:vAlign w:val="center"/>
          </w:tcPr>
          <w:p w14:paraId="23F50265">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广西华谊钦州化工新材料一体化基地配套集中防腐项目</w:t>
            </w:r>
          </w:p>
        </w:tc>
      </w:tr>
      <w:tr w14:paraId="761F8D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14:paraId="3416F8E9">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项目代码</w:t>
            </w:r>
          </w:p>
        </w:tc>
        <w:tc>
          <w:tcPr>
            <w:tcW w:w="6488" w:type="dxa"/>
            <w:gridSpan w:val="3"/>
            <w:vAlign w:val="center"/>
          </w:tcPr>
          <w:p w14:paraId="7057DF54">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2503-450704-04-01-828673</w:t>
            </w:r>
          </w:p>
        </w:tc>
      </w:tr>
      <w:tr w14:paraId="2C5926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14:paraId="338FEE14">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建设单位联系人</w:t>
            </w:r>
          </w:p>
        </w:tc>
        <w:tc>
          <w:tcPr>
            <w:tcW w:w="1719" w:type="dxa"/>
            <w:vAlign w:val="center"/>
          </w:tcPr>
          <w:p w14:paraId="33AD51CE">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p>
        </w:tc>
        <w:tc>
          <w:tcPr>
            <w:tcW w:w="2130" w:type="dxa"/>
            <w:vAlign w:val="center"/>
          </w:tcPr>
          <w:p w14:paraId="1B280BD4">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联系方式</w:t>
            </w:r>
          </w:p>
        </w:tc>
        <w:tc>
          <w:tcPr>
            <w:tcW w:w="2639" w:type="dxa"/>
            <w:vAlign w:val="center"/>
          </w:tcPr>
          <w:p w14:paraId="6A5A7C22">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p>
        </w:tc>
      </w:tr>
      <w:tr w14:paraId="73F7B7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14:paraId="73240A06">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建设地点</w:t>
            </w:r>
          </w:p>
        </w:tc>
        <w:tc>
          <w:tcPr>
            <w:tcW w:w="6488" w:type="dxa"/>
            <w:gridSpan w:val="3"/>
            <w:vAlign w:val="center"/>
          </w:tcPr>
          <w:p w14:paraId="48A16DA2">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广西壮族自治区钦州市中国（广西）自由贸易试验区钦州港片区钦州港临海大道西侧、营盘街南侧、孚宝公司东侧</w:t>
            </w:r>
          </w:p>
        </w:tc>
      </w:tr>
      <w:tr w14:paraId="1FA61E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14:paraId="014B1099">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地理坐标</w:t>
            </w:r>
          </w:p>
        </w:tc>
        <w:tc>
          <w:tcPr>
            <w:tcW w:w="6488" w:type="dxa"/>
            <w:gridSpan w:val="3"/>
            <w:vAlign w:val="center"/>
          </w:tcPr>
          <w:p w14:paraId="37C8710F">
            <w:pPr>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（10</w:t>
            </w:r>
            <w:r>
              <w:rPr>
                <w:rFonts w:cs="宋体"/>
                <w:color w:val="0D0D0D" w:themeColor="text1" w:themeTint="F2"/>
                <w:sz w:val="24"/>
                <w14:textFill>
                  <w14:solidFill>
                    <w14:schemeClr w14:val="tx1">
                      <w14:lumMod w14:val="95000"/>
                      <w14:lumOff w14:val="5000"/>
                    </w14:schemeClr>
                  </w14:solidFill>
                </w14:textFill>
              </w:rPr>
              <w:t>8</w:t>
            </w:r>
            <w:r>
              <w:rPr>
                <w:rFonts w:hint="eastAsia" w:cs="宋体"/>
                <w:color w:val="0D0D0D" w:themeColor="text1" w:themeTint="F2"/>
                <w:sz w:val="24"/>
                <w14:textFill>
                  <w14:solidFill>
                    <w14:schemeClr w14:val="tx1">
                      <w14:lumMod w14:val="95000"/>
                      <w14:lumOff w14:val="5000"/>
                    </w14:schemeClr>
                  </w14:solidFill>
                </w14:textFill>
              </w:rPr>
              <w:t>度37分23.177秒，21度42分36.728秒）</w:t>
            </w:r>
          </w:p>
        </w:tc>
      </w:tr>
      <w:tr w14:paraId="4861CA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491" w:hRule="atLeast"/>
          <w:jc w:val="center"/>
        </w:trPr>
        <w:tc>
          <w:tcPr>
            <w:tcW w:w="2382" w:type="dxa"/>
            <w:tcMar>
              <w:top w:w="16" w:type="dxa"/>
              <w:left w:w="16" w:type="dxa"/>
              <w:right w:w="16" w:type="dxa"/>
            </w:tcMar>
            <w:vAlign w:val="center"/>
          </w:tcPr>
          <w:p w14:paraId="42DE701E">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国民经济</w:t>
            </w:r>
          </w:p>
          <w:p w14:paraId="6A7FF51B">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行业类别</w:t>
            </w:r>
          </w:p>
        </w:tc>
        <w:tc>
          <w:tcPr>
            <w:tcW w:w="1719" w:type="dxa"/>
            <w:vAlign w:val="center"/>
          </w:tcPr>
          <w:p w14:paraId="54C192EA">
            <w:pPr>
              <w:adjustRightInd w:val="0"/>
              <w:snapToGrid w:val="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C3360金属表面处理及热处理加工</w:t>
            </w:r>
          </w:p>
        </w:tc>
        <w:tc>
          <w:tcPr>
            <w:tcW w:w="2130" w:type="dxa"/>
            <w:vAlign w:val="center"/>
          </w:tcPr>
          <w:p w14:paraId="212DFA2B">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bookmarkStart w:id="3" w:name="_Hlk49843745"/>
            <w:r>
              <w:rPr>
                <w:rFonts w:hint="eastAsia" w:cs="宋体"/>
                <w:color w:val="0D0D0D" w:themeColor="text1" w:themeTint="F2"/>
                <w:sz w:val="24"/>
                <w14:textFill>
                  <w14:solidFill>
                    <w14:schemeClr w14:val="tx1">
                      <w14:lumMod w14:val="95000"/>
                      <w14:lumOff w14:val="5000"/>
                    </w14:schemeClr>
                  </w14:solidFill>
                </w14:textFill>
              </w:rPr>
              <w:t>建设项目</w:t>
            </w:r>
          </w:p>
          <w:p w14:paraId="7BE31152">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行业类别</w:t>
            </w:r>
            <w:bookmarkEnd w:id="3"/>
          </w:p>
        </w:tc>
        <w:tc>
          <w:tcPr>
            <w:tcW w:w="2639" w:type="dxa"/>
            <w:vAlign w:val="center"/>
          </w:tcPr>
          <w:p w14:paraId="511C5E7D">
            <w:pPr>
              <w:adjustRightInd w:val="0"/>
              <w:snapToGrid w:val="0"/>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三十、金属制品业33-67.金属表面处理及热处理加工-其他（年用非溶剂型低VOCs含量涂料10吨以下的除外）</w:t>
            </w:r>
          </w:p>
        </w:tc>
      </w:tr>
      <w:tr w14:paraId="1FDADE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382" w:type="dxa"/>
            <w:tcMar>
              <w:top w:w="16" w:type="dxa"/>
              <w:left w:w="16" w:type="dxa"/>
              <w:right w:w="16" w:type="dxa"/>
            </w:tcMar>
            <w:vAlign w:val="center"/>
          </w:tcPr>
          <w:p w14:paraId="6A983E0E">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建设性质</w:t>
            </w:r>
          </w:p>
        </w:tc>
        <w:tc>
          <w:tcPr>
            <w:tcW w:w="1719" w:type="dxa"/>
            <w:vAlign w:val="center"/>
          </w:tcPr>
          <w:p w14:paraId="6D918C41">
            <w:pPr>
              <w:rPr>
                <w:rFonts w:cs="宋体"/>
                <w:color w:val="0D0D0D" w:themeColor="text1" w:themeTint="F2"/>
                <w:sz w:val="24"/>
                <w14:textFill>
                  <w14:solidFill>
                    <w14:schemeClr w14:val="tx1">
                      <w14:lumMod w14:val="95000"/>
                      <w14:lumOff w14:val="5000"/>
                    </w14:schemeClr>
                  </w14:solidFill>
                </w14:textFill>
              </w:rPr>
            </w:pPr>
            <w:r>
              <w:rPr>
                <w:color w:val="0D0D0D" w:themeColor="text1" w:themeTint="F2"/>
                <w:sz w:val="24"/>
                <w14:textFill>
                  <w14:solidFill>
                    <w14:schemeClr w14:val="tx1">
                      <w14:lumMod w14:val="95000"/>
                      <w14:lumOff w14:val="5000"/>
                    </w14:schemeClr>
                  </w14:solidFill>
                </w14:textFill>
              </w:rPr>
              <w:sym w:font="Wingdings 2" w:char="0052"/>
            </w:r>
            <w:r>
              <w:rPr>
                <w:rFonts w:hint="eastAsia" w:cs="宋体"/>
                <w:color w:val="0D0D0D" w:themeColor="text1" w:themeTint="F2"/>
                <w:sz w:val="24"/>
                <w14:textFill>
                  <w14:solidFill>
                    <w14:schemeClr w14:val="tx1">
                      <w14:lumMod w14:val="95000"/>
                      <w14:lumOff w14:val="5000"/>
                    </w14:schemeClr>
                  </w14:solidFill>
                </w14:textFill>
              </w:rPr>
              <w:t>新建（迁建）</w:t>
            </w:r>
          </w:p>
          <w:p w14:paraId="03BE8C68">
            <w:pPr>
              <w:jc w:val="left"/>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□改建</w:t>
            </w:r>
          </w:p>
          <w:p w14:paraId="401D2FBF">
            <w:pPr>
              <w:jc w:val="left"/>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□扩建</w:t>
            </w:r>
          </w:p>
          <w:p w14:paraId="3ABD948B">
            <w:pPr>
              <w:jc w:val="left"/>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□技术改造</w:t>
            </w:r>
          </w:p>
        </w:tc>
        <w:tc>
          <w:tcPr>
            <w:tcW w:w="2130" w:type="dxa"/>
            <w:vAlign w:val="center"/>
          </w:tcPr>
          <w:p w14:paraId="15F87064">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建设项目</w:t>
            </w:r>
          </w:p>
          <w:p w14:paraId="76FC6246">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申报情形</w:t>
            </w:r>
          </w:p>
        </w:tc>
        <w:tc>
          <w:tcPr>
            <w:tcW w:w="2639" w:type="dxa"/>
            <w:vAlign w:val="center"/>
          </w:tcPr>
          <w:p w14:paraId="4B530F3D">
            <w:pPr>
              <w:rPr>
                <w:rFonts w:cs="宋体"/>
                <w:color w:val="0D0D0D" w:themeColor="text1" w:themeTint="F2"/>
                <w:sz w:val="24"/>
                <w14:textFill>
                  <w14:solidFill>
                    <w14:schemeClr w14:val="tx1">
                      <w14:lumMod w14:val="95000"/>
                      <w14:lumOff w14:val="5000"/>
                    </w14:schemeClr>
                  </w14:solidFill>
                </w14:textFill>
              </w:rPr>
            </w:pPr>
            <w:r>
              <w:rPr>
                <w:color w:val="0D0D0D" w:themeColor="text1" w:themeTint="F2"/>
                <w:sz w:val="24"/>
                <w14:textFill>
                  <w14:solidFill>
                    <w14:schemeClr w14:val="tx1">
                      <w14:lumMod w14:val="95000"/>
                      <w14:lumOff w14:val="5000"/>
                    </w14:schemeClr>
                  </w14:solidFill>
                </w14:textFill>
              </w:rPr>
              <w:sym w:font="Wingdings 2" w:char="0052"/>
            </w:r>
            <w:r>
              <w:rPr>
                <w:rFonts w:hint="eastAsia" w:cs="宋体"/>
                <w:color w:val="0D0D0D" w:themeColor="text1" w:themeTint="F2"/>
                <w:sz w:val="24"/>
                <w14:textFill>
                  <w14:solidFill>
                    <w14:schemeClr w14:val="tx1">
                      <w14:lumMod w14:val="95000"/>
                      <w14:lumOff w14:val="5000"/>
                    </w14:schemeClr>
                  </w14:solidFill>
                </w14:textFill>
              </w:rPr>
              <w:t>首次申报项目</w:t>
            </w:r>
          </w:p>
          <w:p w14:paraId="4C7C8215">
            <w:pP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□不予批准后再次申报项目</w:t>
            </w:r>
          </w:p>
          <w:p w14:paraId="5F97412F">
            <w:pP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□超五年重新审核项目</w:t>
            </w:r>
          </w:p>
          <w:p w14:paraId="48AC94F2">
            <w:pP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□重大变动重新报批项目</w:t>
            </w:r>
          </w:p>
        </w:tc>
      </w:tr>
      <w:tr w14:paraId="5CABE9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382" w:type="dxa"/>
            <w:tcMar>
              <w:top w:w="16" w:type="dxa"/>
              <w:left w:w="16" w:type="dxa"/>
              <w:right w:w="16" w:type="dxa"/>
            </w:tcMar>
            <w:vAlign w:val="center"/>
          </w:tcPr>
          <w:p w14:paraId="2AA35FD5">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项目审批（核准</w:t>
            </w:r>
            <w:r>
              <w:rPr>
                <w:rFonts w:cs="宋体"/>
                <w:color w:val="0D0D0D" w:themeColor="text1" w:themeTint="F2"/>
                <w:sz w:val="24"/>
                <w14:textFill>
                  <w14:solidFill>
                    <w14:schemeClr w14:val="tx1">
                      <w14:lumMod w14:val="95000"/>
                      <w14:lumOff w14:val="5000"/>
                    </w14:schemeClr>
                  </w14:solidFill>
                </w14:textFill>
              </w:rPr>
              <w:t>/</w:t>
            </w:r>
          </w:p>
          <w:p w14:paraId="58A028AC">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备案）部门（选填）</w:t>
            </w:r>
          </w:p>
        </w:tc>
        <w:tc>
          <w:tcPr>
            <w:tcW w:w="1719" w:type="dxa"/>
            <w:vAlign w:val="center"/>
          </w:tcPr>
          <w:p w14:paraId="13453477">
            <w:pPr>
              <w:adjustRightInd w:val="0"/>
              <w:snapToGrid w:val="0"/>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广西自贸区钦州港片区行政审批局</w:t>
            </w:r>
          </w:p>
        </w:tc>
        <w:tc>
          <w:tcPr>
            <w:tcW w:w="2130" w:type="dxa"/>
            <w:vAlign w:val="center"/>
          </w:tcPr>
          <w:p w14:paraId="60FA74DF">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项目审批（核准</w:t>
            </w:r>
            <w:r>
              <w:rPr>
                <w:rFonts w:cs="宋体"/>
                <w:color w:val="0D0D0D" w:themeColor="text1" w:themeTint="F2"/>
                <w:sz w:val="24"/>
                <w14:textFill>
                  <w14:solidFill>
                    <w14:schemeClr w14:val="tx1">
                      <w14:lumMod w14:val="95000"/>
                      <w14:lumOff w14:val="5000"/>
                    </w14:schemeClr>
                  </w14:solidFill>
                </w14:textFill>
              </w:rPr>
              <w:t>/</w:t>
            </w:r>
          </w:p>
          <w:p w14:paraId="03627F55">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备案）文号（选填）</w:t>
            </w:r>
          </w:p>
        </w:tc>
        <w:tc>
          <w:tcPr>
            <w:tcW w:w="2639" w:type="dxa"/>
            <w:vAlign w:val="center"/>
          </w:tcPr>
          <w:p w14:paraId="74BB9E11">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w:t>
            </w:r>
          </w:p>
        </w:tc>
      </w:tr>
      <w:tr w14:paraId="535D89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14:paraId="4A1F94C3">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总投资（万元）</w:t>
            </w:r>
          </w:p>
        </w:tc>
        <w:tc>
          <w:tcPr>
            <w:tcW w:w="1719" w:type="dxa"/>
            <w:vAlign w:val="center"/>
          </w:tcPr>
          <w:p w14:paraId="389AE13F">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1200</w:t>
            </w:r>
          </w:p>
        </w:tc>
        <w:tc>
          <w:tcPr>
            <w:tcW w:w="2130" w:type="dxa"/>
            <w:tcMar>
              <w:top w:w="16" w:type="dxa"/>
              <w:left w:w="16" w:type="dxa"/>
              <w:right w:w="16" w:type="dxa"/>
            </w:tcMar>
            <w:vAlign w:val="center"/>
          </w:tcPr>
          <w:p w14:paraId="28BFF0A6">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环保投资（万元）</w:t>
            </w:r>
          </w:p>
        </w:tc>
        <w:tc>
          <w:tcPr>
            <w:tcW w:w="2639" w:type="dxa"/>
            <w:vAlign w:val="center"/>
          </w:tcPr>
          <w:p w14:paraId="667FE413">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65</w:t>
            </w:r>
          </w:p>
        </w:tc>
      </w:tr>
      <w:tr w14:paraId="4C3CE9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tcMar>
              <w:top w:w="16" w:type="dxa"/>
              <w:left w:w="16" w:type="dxa"/>
              <w:right w:w="16" w:type="dxa"/>
            </w:tcMar>
            <w:vAlign w:val="center"/>
          </w:tcPr>
          <w:p w14:paraId="467433C8">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环保投资占比（</w:t>
            </w:r>
            <w:r>
              <w:rPr>
                <w:rFonts w:cs="宋体"/>
                <w:color w:val="0D0D0D" w:themeColor="text1" w:themeTint="F2"/>
                <w:sz w:val="24"/>
                <w14:textFill>
                  <w14:solidFill>
                    <w14:schemeClr w14:val="tx1">
                      <w14:lumMod w14:val="95000"/>
                      <w14:lumOff w14:val="5000"/>
                    </w14:schemeClr>
                  </w14:solidFill>
                </w14:textFill>
              </w:rPr>
              <w:t>%</w:t>
            </w:r>
            <w:r>
              <w:rPr>
                <w:rFonts w:hint="eastAsia" w:cs="宋体"/>
                <w:color w:val="0D0D0D" w:themeColor="text1" w:themeTint="F2"/>
                <w:sz w:val="24"/>
                <w14:textFill>
                  <w14:solidFill>
                    <w14:schemeClr w14:val="tx1">
                      <w14:lumMod w14:val="95000"/>
                      <w14:lumOff w14:val="5000"/>
                    </w14:schemeClr>
                  </w14:solidFill>
                </w14:textFill>
              </w:rPr>
              <w:t>）</w:t>
            </w:r>
          </w:p>
        </w:tc>
        <w:tc>
          <w:tcPr>
            <w:tcW w:w="1719" w:type="dxa"/>
            <w:vAlign w:val="center"/>
          </w:tcPr>
          <w:p w14:paraId="72F355E5">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5.4</w:t>
            </w:r>
          </w:p>
        </w:tc>
        <w:tc>
          <w:tcPr>
            <w:tcW w:w="2130" w:type="dxa"/>
            <w:tcMar>
              <w:top w:w="16" w:type="dxa"/>
              <w:left w:w="16" w:type="dxa"/>
              <w:right w:w="16" w:type="dxa"/>
            </w:tcMar>
            <w:vAlign w:val="center"/>
          </w:tcPr>
          <w:p w14:paraId="7C333503">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施工工期</w:t>
            </w:r>
          </w:p>
        </w:tc>
        <w:tc>
          <w:tcPr>
            <w:tcW w:w="2639" w:type="dxa"/>
            <w:vAlign w:val="center"/>
          </w:tcPr>
          <w:p w14:paraId="5385B9FC">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1个月</w:t>
            </w:r>
          </w:p>
        </w:tc>
      </w:tr>
      <w:tr w14:paraId="0EFD14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740" w:hRule="atLeast"/>
          <w:jc w:val="center"/>
        </w:trPr>
        <w:tc>
          <w:tcPr>
            <w:tcW w:w="2382" w:type="dxa"/>
            <w:tcMar>
              <w:top w:w="16" w:type="dxa"/>
              <w:left w:w="16" w:type="dxa"/>
              <w:right w:w="16" w:type="dxa"/>
            </w:tcMar>
            <w:vAlign w:val="center"/>
          </w:tcPr>
          <w:p w14:paraId="57C9CA52">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是否开工建设</w:t>
            </w:r>
          </w:p>
        </w:tc>
        <w:tc>
          <w:tcPr>
            <w:tcW w:w="1719" w:type="dxa"/>
            <w:vAlign w:val="center"/>
          </w:tcPr>
          <w:p w14:paraId="7363925D">
            <w:pPr>
              <w:adjustRightInd w:val="0"/>
              <w:snapToGrid w:val="0"/>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□否</w:t>
            </w:r>
          </w:p>
          <w:p w14:paraId="4DF2ED2D">
            <w:pPr>
              <w:adjustRightInd w:val="0"/>
              <w:snapToGrid w:val="0"/>
              <w:rPr>
                <w:rFonts w:cs="宋体"/>
                <w:color w:val="0D0D0D" w:themeColor="text1" w:themeTint="F2"/>
                <w:sz w:val="24"/>
                <w:u w:val="single"/>
                <w14:textFill>
                  <w14:solidFill>
                    <w14:schemeClr w14:val="tx1">
                      <w14:lumMod w14:val="95000"/>
                      <w14:lumOff w14:val="5000"/>
                    </w14:schemeClr>
                  </w14:solidFill>
                </w14:textFill>
              </w:rPr>
            </w:pPr>
            <w:r>
              <w:rPr>
                <w:color w:val="0D0D0D" w:themeColor="text1" w:themeTint="F2"/>
                <w:sz w:val="24"/>
                <w14:textFill>
                  <w14:solidFill>
                    <w14:schemeClr w14:val="tx1">
                      <w14:lumMod w14:val="95000"/>
                      <w14:lumOff w14:val="5000"/>
                    </w14:schemeClr>
                  </w14:solidFill>
                </w14:textFill>
              </w:rPr>
              <w:sym w:font="Wingdings 2" w:char="0052"/>
            </w:r>
            <w:r>
              <w:rPr>
                <w:rFonts w:hint="eastAsia" w:cs="宋体"/>
                <w:color w:val="0D0D0D" w:themeColor="text1" w:themeTint="F2"/>
                <w:sz w:val="24"/>
                <w14:textFill>
                  <w14:solidFill>
                    <w14:schemeClr w14:val="tx1">
                      <w14:lumMod w14:val="95000"/>
                      <w14:lumOff w14:val="5000"/>
                    </w14:schemeClr>
                  </w14:solidFill>
                </w14:textFill>
              </w:rPr>
              <w:t>是：</w:t>
            </w:r>
            <w:r>
              <w:rPr>
                <w:rFonts w:hint="eastAsia" w:cs="宋体"/>
                <w:color w:val="0D0D0D" w:themeColor="text1" w:themeTint="F2"/>
                <w:sz w:val="24"/>
                <w:u w:val="single"/>
                <w14:textFill>
                  <w14:solidFill>
                    <w14:schemeClr w14:val="tx1">
                      <w14:lumMod w14:val="95000"/>
                      <w14:lumOff w14:val="5000"/>
                    </w14:schemeClr>
                  </w14:solidFill>
                </w14:textFill>
              </w:rPr>
              <w:t>项目租赁广西自贸区临海资产管理有限公司空置场地进行生产，目前已建成生产车间、生活办公区、原料区、成品区和仓库，还需完善废气环保设施和一般固废暂存间，生产设备已安装，已投入生产，无处罚情况</w:t>
            </w:r>
          </w:p>
        </w:tc>
        <w:tc>
          <w:tcPr>
            <w:tcW w:w="2130" w:type="dxa"/>
            <w:tcMar>
              <w:top w:w="16" w:type="dxa"/>
              <w:left w:w="16" w:type="dxa"/>
              <w:right w:w="16" w:type="dxa"/>
            </w:tcMar>
            <w:vAlign w:val="center"/>
          </w:tcPr>
          <w:p w14:paraId="7B81A6B2">
            <w:pPr>
              <w:adjustRightInd w:val="0"/>
              <w:snapToGrid w:val="0"/>
              <w:jc w:val="center"/>
              <w:rPr>
                <w:rFonts w:cs="宋体"/>
                <w:color w:val="0D0D0D" w:themeColor="text1" w:themeTint="F2"/>
                <w:spacing w:val="-6"/>
                <w:sz w:val="24"/>
                <w14:textFill>
                  <w14:solidFill>
                    <w14:schemeClr w14:val="tx1">
                      <w14:lumMod w14:val="95000"/>
                      <w14:lumOff w14:val="5000"/>
                    </w14:schemeClr>
                  </w14:solidFill>
                </w14:textFill>
              </w:rPr>
            </w:pPr>
            <w:r>
              <w:rPr>
                <w:rFonts w:hint="eastAsia" w:cs="宋体"/>
                <w:color w:val="0D0D0D" w:themeColor="text1" w:themeTint="F2"/>
                <w:spacing w:val="-6"/>
                <w:sz w:val="24"/>
                <w14:textFill>
                  <w14:solidFill>
                    <w14:schemeClr w14:val="tx1">
                      <w14:lumMod w14:val="95000"/>
                      <w14:lumOff w14:val="5000"/>
                    </w14:schemeClr>
                  </w14:solidFill>
                </w14:textFill>
              </w:rPr>
              <w:t>用地（用海）</w:t>
            </w:r>
          </w:p>
          <w:p w14:paraId="37E4E237">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pacing w:val="-6"/>
                <w:sz w:val="24"/>
                <w14:textFill>
                  <w14:solidFill>
                    <w14:schemeClr w14:val="tx1">
                      <w14:lumMod w14:val="95000"/>
                      <w14:lumOff w14:val="5000"/>
                    </w14:schemeClr>
                  </w14:solidFill>
                </w14:textFill>
              </w:rPr>
              <w:t>面积（</w:t>
            </w:r>
            <w:r>
              <w:rPr>
                <w:rFonts w:cs="宋体"/>
                <w:color w:val="0D0D0D" w:themeColor="text1" w:themeTint="F2"/>
                <w:spacing w:val="-6"/>
                <w:sz w:val="24"/>
                <w14:textFill>
                  <w14:solidFill>
                    <w14:schemeClr w14:val="tx1">
                      <w14:lumMod w14:val="95000"/>
                      <w14:lumOff w14:val="5000"/>
                    </w14:schemeClr>
                  </w14:solidFill>
                </w14:textFill>
              </w:rPr>
              <w:t>m</w:t>
            </w:r>
            <w:r>
              <w:rPr>
                <w:rFonts w:cs="宋体"/>
                <w:color w:val="0D0D0D" w:themeColor="text1" w:themeTint="F2"/>
                <w:spacing w:val="-6"/>
                <w:sz w:val="24"/>
                <w:vertAlign w:val="superscript"/>
                <w14:textFill>
                  <w14:solidFill>
                    <w14:schemeClr w14:val="tx1">
                      <w14:lumMod w14:val="95000"/>
                      <w14:lumOff w14:val="5000"/>
                    </w14:schemeClr>
                  </w14:solidFill>
                </w14:textFill>
              </w:rPr>
              <w:t>2</w:t>
            </w:r>
            <w:r>
              <w:rPr>
                <w:rFonts w:hint="eastAsia" w:cs="宋体"/>
                <w:color w:val="0D0D0D" w:themeColor="text1" w:themeTint="F2"/>
                <w:spacing w:val="-6"/>
                <w:sz w:val="24"/>
                <w14:textFill>
                  <w14:solidFill>
                    <w14:schemeClr w14:val="tx1">
                      <w14:lumMod w14:val="95000"/>
                      <w14:lumOff w14:val="5000"/>
                    </w14:schemeClr>
                  </w14:solidFill>
                </w14:textFill>
              </w:rPr>
              <w:t>）</w:t>
            </w:r>
          </w:p>
        </w:tc>
        <w:tc>
          <w:tcPr>
            <w:tcW w:w="2639" w:type="dxa"/>
            <w:vAlign w:val="center"/>
          </w:tcPr>
          <w:p w14:paraId="62C73304">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17333.68</w:t>
            </w:r>
          </w:p>
        </w:tc>
      </w:tr>
      <w:tr w14:paraId="274CEF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338" w:hRule="atLeast"/>
          <w:jc w:val="center"/>
        </w:trPr>
        <w:tc>
          <w:tcPr>
            <w:tcW w:w="2382" w:type="dxa"/>
            <w:vAlign w:val="center"/>
          </w:tcPr>
          <w:p w14:paraId="1E175302">
            <w:pPr>
              <w:autoSpaceDE w:val="0"/>
              <w:autoSpaceDN w:val="0"/>
              <w:adjustRightInd w:val="0"/>
              <w:snapToGrid w:val="0"/>
              <w:jc w:val="center"/>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专项评价设置情况</w:t>
            </w:r>
          </w:p>
        </w:tc>
        <w:tc>
          <w:tcPr>
            <w:tcW w:w="6488" w:type="dxa"/>
            <w:gridSpan w:val="3"/>
            <w:vAlign w:val="center"/>
          </w:tcPr>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9"/>
              <w:gridCol w:w="2070"/>
              <w:gridCol w:w="2342"/>
              <w:gridCol w:w="831"/>
            </w:tblGrid>
            <w:tr w14:paraId="4F73B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8" w:type="dxa"/>
                  <w:vAlign w:val="center"/>
                </w:tcPr>
                <w:p w14:paraId="6EF1B09E">
                  <w:pPr>
                    <w:autoSpaceDE w:val="0"/>
                    <w:autoSpaceDN w:val="0"/>
                    <w:adjustRightInd w:val="0"/>
                    <w:snapToGrid w:val="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专项评价类别</w:t>
                  </w:r>
                </w:p>
              </w:tc>
              <w:tc>
                <w:tcPr>
                  <w:tcW w:w="2976" w:type="dxa"/>
                  <w:vAlign w:val="center"/>
                </w:tcPr>
                <w:p w14:paraId="49119E93">
                  <w:pPr>
                    <w:autoSpaceDE w:val="0"/>
                    <w:autoSpaceDN w:val="0"/>
                    <w:adjustRightInd w:val="0"/>
                    <w:snapToGrid w:val="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设置原则</w:t>
                  </w:r>
                </w:p>
              </w:tc>
              <w:tc>
                <w:tcPr>
                  <w:tcW w:w="2835" w:type="dxa"/>
                  <w:vAlign w:val="center"/>
                </w:tcPr>
                <w:p w14:paraId="43FD4CF0">
                  <w:pPr>
                    <w:autoSpaceDE w:val="0"/>
                    <w:autoSpaceDN w:val="0"/>
                    <w:adjustRightInd w:val="0"/>
                    <w:snapToGrid w:val="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项目情况</w:t>
                  </w:r>
                </w:p>
              </w:tc>
              <w:tc>
                <w:tcPr>
                  <w:tcW w:w="1131" w:type="dxa"/>
                  <w:vAlign w:val="center"/>
                </w:tcPr>
                <w:p w14:paraId="677D5D5D">
                  <w:pPr>
                    <w:autoSpaceDE w:val="0"/>
                    <w:autoSpaceDN w:val="0"/>
                    <w:adjustRightInd w:val="0"/>
                    <w:snapToGrid w:val="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结论</w:t>
                  </w:r>
                </w:p>
              </w:tc>
            </w:tr>
            <w:tr w14:paraId="6C5A7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5" w:hRule="atLeast"/>
                <w:jc w:val="center"/>
              </w:trPr>
              <w:tc>
                <w:tcPr>
                  <w:tcW w:w="1458" w:type="dxa"/>
                  <w:vAlign w:val="center"/>
                </w:tcPr>
                <w:p w14:paraId="2489DF39">
                  <w:pPr>
                    <w:autoSpaceDE w:val="0"/>
                    <w:autoSpaceDN w:val="0"/>
                    <w:adjustRightInd w:val="0"/>
                    <w:snapToGrid w:val="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大气</w:t>
                  </w:r>
                </w:p>
              </w:tc>
              <w:tc>
                <w:tcPr>
                  <w:tcW w:w="2976" w:type="dxa"/>
                  <w:vAlign w:val="center"/>
                </w:tcPr>
                <w:p w14:paraId="58455A5C">
                  <w:pPr>
                    <w:autoSpaceDE w:val="0"/>
                    <w:autoSpaceDN w:val="0"/>
                    <w:adjustRightInd w:val="0"/>
                    <w:snapToGrid w:val="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排放废气中含有毒有害污染物、二噁英、苯并[a]芘、氰化物、氯气且厂界外500m范围内有环境空气保护目标的建设项目</w:t>
                  </w:r>
                </w:p>
              </w:tc>
              <w:tc>
                <w:tcPr>
                  <w:tcW w:w="2835" w:type="dxa"/>
                  <w:vAlign w:val="center"/>
                </w:tcPr>
                <w:p w14:paraId="77A84E4A">
                  <w:pPr>
                    <w:autoSpaceDE w:val="0"/>
                    <w:autoSpaceDN w:val="0"/>
                    <w:adjustRightInd w:val="0"/>
                    <w:snapToGrid w:val="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项目使用的油漆和稀释剂未检出《有毒有害大气污染名录》中的污染物，排放废气不含《有毒有害大气污染名录》中的污染物、二噁英、苯并[a]芘、氯气</w:t>
                  </w:r>
                </w:p>
              </w:tc>
              <w:tc>
                <w:tcPr>
                  <w:tcW w:w="1131" w:type="dxa"/>
                  <w:vAlign w:val="center"/>
                </w:tcPr>
                <w:p w14:paraId="0ED0690B">
                  <w:pPr>
                    <w:autoSpaceDE w:val="0"/>
                    <w:autoSpaceDN w:val="0"/>
                    <w:adjustRightInd w:val="0"/>
                    <w:snapToGrid w:val="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无须设置大气专项评价</w:t>
                  </w:r>
                </w:p>
              </w:tc>
            </w:tr>
            <w:tr w14:paraId="7D434A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1" w:hRule="atLeast"/>
                <w:jc w:val="center"/>
              </w:trPr>
              <w:tc>
                <w:tcPr>
                  <w:tcW w:w="1458" w:type="dxa"/>
                  <w:vAlign w:val="center"/>
                </w:tcPr>
                <w:p w14:paraId="6695FAEC">
                  <w:pPr>
                    <w:autoSpaceDE w:val="0"/>
                    <w:autoSpaceDN w:val="0"/>
                    <w:adjustRightInd w:val="0"/>
                    <w:snapToGrid w:val="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地表水</w:t>
                  </w:r>
                </w:p>
              </w:tc>
              <w:tc>
                <w:tcPr>
                  <w:tcW w:w="2976" w:type="dxa"/>
                  <w:vAlign w:val="center"/>
                </w:tcPr>
                <w:p w14:paraId="22C80BF9">
                  <w:pPr>
                    <w:autoSpaceDE w:val="0"/>
                    <w:autoSpaceDN w:val="0"/>
                    <w:adjustRightInd w:val="0"/>
                    <w:snapToGrid w:val="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新增工业废水直排建设项目（槽罐车外送污水处理厂的除外）：新增废水直排的污水集中处理厂</w:t>
                  </w:r>
                </w:p>
              </w:tc>
              <w:tc>
                <w:tcPr>
                  <w:tcW w:w="2835" w:type="dxa"/>
                  <w:vAlign w:val="center"/>
                </w:tcPr>
                <w:p w14:paraId="6F8019EF">
                  <w:pPr>
                    <w:autoSpaceDE w:val="0"/>
                    <w:autoSpaceDN w:val="0"/>
                    <w:adjustRightInd w:val="0"/>
                    <w:snapToGrid w:val="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项目不涉及新增工业废水直排或新增废水直排的污水集中处理厂</w:t>
                  </w:r>
                </w:p>
              </w:tc>
              <w:tc>
                <w:tcPr>
                  <w:tcW w:w="1131" w:type="dxa"/>
                  <w:vAlign w:val="center"/>
                </w:tcPr>
                <w:p w14:paraId="206FD4CC">
                  <w:pPr>
                    <w:autoSpaceDE w:val="0"/>
                    <w:autoSpaceDN w:val="0"/>
                    <w:adjustRightInd w:val="0"/>
                    <w:snapToGrid w:val="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无须设置地表水专项评价</w:t>
                  </w:r>
                </w:p>
              </w:tc>
            </w:tr>
            <w:tr w14:paraId="0B0AC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7" w:hRule="atLeast"/>
                <w:jc w:val="center"/>
              </w:trPr>
              <w:tc>
                <w:tcPr>
                  <w:tcW w:w="1458" w:type="dxa"/>
                  <w:vAlign w:val="center"/>
                </w:tcPr>
                <w:p w14:paraId="197C1064">
                  <w:pPr>
                    <w:autoSpaceDE w:val="0"/>
                    <w:autoSpaceDN w:val="0"/>
                    <w:adjustRightInd w:val="0"/>
                    <w:snapToGrid w:val="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环境风险</w:t>
                  </w:r>
                </w:p>
              </w:tc>
              <w:tc>
                <w:tcPr>
                  <w:tcW w:w="2976" w:type="dxa"/>
                  <w:vAlign w:val="center"/>
                </w:tcPr>
                <w:p w14:paraId="478D8CFE">
                  <w:pPr>
                    <w:autoSpaceDE w:val="0"/>
                    <w:autoSpaceDN w:val="0"/>
                    <w:adjustRightInd w:val="0"/>
                    <w:snapToGrid w:val="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有毒有害和易燃易爆危险物质存储量超过临界值的建设项目</w:t>
                  </w:r>
                </w:p>
              </w:tc>
              <w:tc>
                <w:tcPr>
                  <w:tcW w:w="2835" w:type="dxa"/>
                  <w:vAlign w:val="center"/>
                </w:tcPr>
                <w:p w14:paraId="1C66BCC0">
                  <w:pPr>
                    <w:autoSpaceDE w:val="0"/>
                    <w:autoSpaceDN w:val="0"/>
                    <w:adjustRightInd w:val="0"/>
                    <w:snapToGrid w:val="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根据《建设项目环境风险评价技术导则》（HJ169-2018）附录B和附录C，项目风险物质为油漆、稀释剂和废机油，油漆、稀释剂临界量为50t，厂区最大存在量为1.6t，不超过50t的临界量，废机油临界量为2500t，厂区最大存在量为0.01t，不超过2500t的临界量</w:t>
                  </w:r>
                </w:p>
              </w:tc>
              <w:tc>
                <w:tcPr>
                  <w:tcW w:w="1131" w:type="dxa"/>
                  <w:vAlign w:val="center"/>
                </w:tcPr>
                <w:p w14:paraId="2C63C860">
                  <w:pPr>
                    <w:autoSpaceDE w:val="0"/>
                    <w:autoSpaceDN w:val="0"/>
                    <w:adjustRightInd w:val="0"/>
                    <w:snapToGrid w:val="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无须设置环境风险专项评价</w:t>
                  </w:r>
                </w:p>
              </w:tc>
            </w:tr>
            <w:tr w14:paraId="725CD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8" w:type="dxa"/>
                  <w:vAlign w:val="center"/>
                </w:tcPr>
                <w:p w14:paraId="389998D2">
                  <w:pPr>
                    <w:autoSpaceDE w:val="0"/>
                    <w:autoSpaceDN w:val="0"/>
                    <w:adjustRightInd w:val="0"/>
                    <w:snapToGrid w:val="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生态</w:t>
                  </w:r>
                </w:p>
              </w:tc>
              <w:tc>
                <w:tcPr>
                  <w:tcW w:w="2976" w:type="dxa"/>
                  <w:vAlign w:val="center"/>
                </w:tcPr>
                <w:p w14:paraId="77888E3F">
                  <w:pPr>
                    <w:autoSpaceDE w:val="0"/>
                    <w:autoSpaceDN w:val="0"/>
                    <w:adjustRightInd w:val="0"/>
                    <w:snapToGrid w:val="0"/>
                    <w:rPr>
                      <w:color w:val="0D0D0D" w:themeColor="text1" w:themeTint="F2"/>
                      <w:szCs w:val="21"/>
                      <w14:textFill>
                        <w14:solidFill>
                          <w14:schemeClr w14:val="tx1">
                            <w14:lumMod w14:val="95000"/>
                            <w14:lumOff w14:val="5000"/>
                          </w14:schemeClr>
                        </w14:solidFill>
                      </w14:textFill>
                    </w:rPr>
                  </w:pPr>
                  <w:r>
                    <w:rPr>
                      <w:color w:val="0D0D0D" w:themeColor="text1" w:themeTint="F2"/>
                      <w:kern w:val="0"/>
                      <w:szCs w:val="21"/>
                      <w14:textFill>
                        <w14:solidFill>
                          <w14:schemeClr w14:val="tx1">
                            <w14:lumMod w14:val="95000"/>
                            <w14:lumOff w14:val="5000"/>
                          </w14:schemeClr>
                        </w14:solidFill>
                      </w14:textFill>
                    </w:rPr>
                    <w:t>取水口下游500米范围内有重要水生生物的自然产卵场、索饵场、越冬场和洄游通道的新增河道取水的污染类建设项目</w:t>
                  </w:r>
                </w:p>
              </w:tc>
              <w:tc>
                <w:tcPr>
                  <w:tcW w:w="2835" w:type="dxa"/>
                  <w:vAlign w:val="center"/>
                </w:tcPr>
                <w:p w14:paraId="4CC5FE8C">
                  <w:pPr>
                    <w:autoSpaceDE w:val="0"/>
                    <w:autoSpaceDN w:val="0"/>
                    <w:adjustRightInd w:val="0"/>
                    <w:snapToGrid w:val="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项目生产生活用水接引园区自来水，不属于河道取水的污染类建设项目</w:t>
                  </w:r>
                </w:p>
              </w:tc>
              <w:tc>
                <w:tcPr>
                  <w:tcW w:w="1131" w:type="dxa"/>
                  <w:vAlign w:val="center"/>
                </w:tcPr>
                <w:p w14:paraId="62C31DD8">
                  <w:pPr>
                    <w:autoSpaceDE w:val="0"/>
                    <w:autoSpaceDN w:val="0"/>
                    <w:adjustRightInd w:val="0"/>
                    <w:snapToGrid w:val="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无须设置生态专项评价</w:t>
                  </w:r>
                </w:p>
              </w:tc>
            </w:tr>
            <w:tr w14:paraId="7C8B5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8" w:type="dxa"/>
                  <w:vAlign w:val="center"/>
                </w:tcPr>
                <w:p w14:paraId="6DD509D2">
                  <w:pPr>
                    <w:autoSpaceDE w:val="0"/>
                    <w:autoSpaceDN w:val="0"/>
                    <w:adjustRightInd w:val="0"/>
                    <w:snapToGrid w:val="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海洋</w:t>
                  </w:r>
                </w:p>
              </w:tc>
              <w:tc>
                <w:tcPr>
                  <w:tcW w:w="2976" w:type="dxa"/>
                  <w:vAlign w:val="center"/>
                </w:tcPr>
                <w:p w14:paraId="20E6C1B1">
                  <w:pPr>
                    <w:autoSpaceDE w:val="0"/>
                    <w:autoSpaceDN w:val="0"/>
                    <w:adjustRightInd w:val="0"/>
                    <w:snapToGrid w:val="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直接向海排放污染物的海洋工程建设项目</w:t>
                  </w:r>
                </w:p>
              </w:tc>
              <w:tc>
                <w:tcPr>
                  <w:tcW w:w="2835" w:type="dxa"/>
                  <w:vAlign w:val="center"/>
                </w:tcPr>
                <w:p w14:paraId="4FA15547">
                  <w:pPr>
                    <w:autoSpaceDE w:val="0"/>
                    <w:autoSpaceDN w:val="0"/>
                    <w:adjustRightInd w:val="0"/>
                    <w:snapToGrid w:val="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项目不属于</w:t>
                  </w:r>
                  <w:r>
                    <w:rPr>
                      <w:rFonts w:hint="eastAsia"/>
                      <w:color w:val="0D0D0D" w:themeColor="text1" w:themeTint="F2"/>
                      <w:kern w:val="0"/>
                      <w:szCs w:val="21"/>
                      <w14:textFill>
                        <w14:solidFill>
                          <w14:schemeClr w14:val="tx1">
                            <w14:lumMod w14:val="95000"/>
                            <w14:lumOff w14:val="5000"/>
                          </w14:schemeClr>
                        </w14:solidFill>
                      </w14:textFill>
                    </w:rPr>
                    <w:t>直接向海排放污染物的海洋工程建设项目</w:t>
                  </w:r>
                </w:p>
              </w:tc>
              <w:tc>
                <w:tcPr>
                  <w:tcW w:w="1131" w:type="dxa"/>
                  <w:vAlign w:val="center"/>
                </w:tcPr>
                <w:p w14:paraId="7B51648C">
                  <w:pPr>
                    <w:autoSpaceDE w:val="0"/>
                    <w:autoSpaceDN w:val="0"/>
                    <w:adjustRightInd w:val="0"/>
                    <w:snapToGrid w:val="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无须设置海洋专项评价</w:t>
                  </w:r>
                </w:p>
              </w:tc>
            </w:tr>
          </w:tbl>
          <w:p w14:paraId="7FD847F1">
            <w:pPr>
              <w:autoSpaceDE w:val="0"/>
              <w:autoSpaceDN w:val="0"/>
              <w:adjustRightInd w:val="0"/>
              <w:snapToGrid w:val="0"/>
              <w:spacing w:line="360" w:lineRule="auto"/>
              <w:jc w:val="center"/>
              <w:rPr>
                <w:rFonts w:cs="宋体"/>
                <w:color w:val="0D0D0D" w:themeColor="text1" w:themeTint="F2"/>
                <w:kern w:val="0"/>
                <w:sz w:val="24"/>
                <w14:textFill>
                  <w14:solidFill>
                    <w14:schemeClr w14:val="tx1">
                      <w14:lumMod w14:val="95000"/>
                      <w14:lumOff w14:val="5000"/>
                    </w14:schemeClr>
                  </w14:solidFill>
                </w14:textFill>
              </w:rPr>
            </w:pPr>
          </w:p>
        </w:tc>
      </w:tr>
      <w:tr w14:paraId="266AF5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1" w:hRule="atLeast"/>
          <w:jc w:val="center"/>
        </w:trPr>
        <w:tc>
          <w:tcPr>
            <w:tcW w:w="2382" w:type="dxa"/>
            <w:vAlign w:val="center"/>
          </w:tcPr>
          <w:p w14:paraId="4D7B7AFF">
            <w:pPr>
              <w:autoSpaceDE w:val="0"/>
              <w:autoSpaceDN w:val="0"/>
              <w:adjustRightInd w:val="0"/>
              <w:snapToGrid w:val="0"/>
              <w:jc w:val="center"/>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规划情况</w:t>
            </w:r>
          </w:p>
        </w:tc>
        <w:tc>
          <w:tcPr>
            <w:tcW w:w="6488" w:type="dxa"/>
            <w:gridSpan w:val="3"/>
            <w:vAlign w:val="center"/>
          </w:tcPr>
          <w:p w14:paraId="30828CEE">
            <w:pPr>
              <w:autoSpaceDE w:val="0"/>
              <w:autoSpaceDN w:val="0"/>
              <w:adjustRightInd w:val="0"/>
              <w:snapToGrid w:val="0"/>
              <w:spacing w:line="360" w:lineRule="auto"/>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（1）规划名称：《广西钦州石化产业园总体发展规划（2020-2035年）》；</w:t>
            </w:r>
          </w:p>
          <w:p w14:paraId="1B654328">
            <w:pPr>
              <w:autoSpaceDE w:val="0"/>
              <w:autoSpaceDN w:val="0"/>
              <w:adjustRightInd w:val="0"/>
              <w:snapToGrid w:val="0"/>
              <w:spacing w:line="360" w:lineRule="auto"/>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（2）审批机关：广西壮族自治区人民政府；</w:t>
            </w:r>
          </w:p>
          <w:p w14:paraId="6F6590A5">
            <w:pPr>
              <w:autoSpaceDE w:val="0"/>
              <w:autoSpaceDN w:val="0"/>
              <w:adjustRightInd w:val="0"/>
              <w:snapToGrid w:val="0"/>
              <w:spacing w:line="360" w:lineRule="auto"/>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（3）审批文件名称及文号：《广西壮族自治区人民政府关于广西钦州石化产业园总体发展规划（2020-2035年）的批复》（桂政函〔2021〕153号）</w:t>
            </w:r>
          </w:p>
        </w:tc>
      </w:tr>
      <w:tr w14:paraId="6D888B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382" w:type="dxa"/>
            <w:vAlign w:val="center"/>
          </w:tcPr>
          <w:p w14:paraId="706BC20D">
            <w:pPr>
              <w:adjustRightInd w:val="0"/>
              <w:snapToGrid w:val="0"/>
              <w:jc w:val="center"/>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规划环境影响</w:t>
            </w:r>
          </w:p>
          <w:p w14:paraId="71005013">
            <w:pPr>
              <w:adjustRightInd w:val="0"/>
              <w:snapToGrid w:val="0"/>
              <w:jc w:val="center"/>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评价情况</w:t>
            </w:r>
          </w:p>
        </w:tc>
        <w:tc>
          <w:tcPr>
            <w:tcW w:w="6488" w:type="dxa"/>
            <w:gridSpan w:val="3"/>
            <w:vAlign w:val="center"/>
          </w:tcPr>
          <w:p w14:paraId="2F65808A">
            <w:pPr>
              <w:autoSpaceDE w:val="0"/>
              <w:autoSpaceDN w:val="0"/>
              <w:adjustRightInd w:val="0"/>
              <w:snapToGrid w:val="0"/>
              <w:spacing w:line="360" w:lineRule="auto"/>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（1）规划环评文件：《钦州石化产业园总体发展规划环境影响报告书》；</w:t>
            </w:r>
          </w:p>
          <w:p w14:paraId="6400FDEE">
            <w:pPr>
              <w:autoSpaceDE w:val="0"/>
              <w:autoSpaceDN w:val="0"/>
              <w:adjustRightInd w:val="0"/>
              <w:snapToGrid w:val="0"/>
              <w:spacing w:line="360" w:lineRule="auto"/>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（2）召集审查机关：广西壮族自治区生态环境厅；</w:t>
            </w:r>
          </w:p>
          <w:p w14:paraId="340CE3B6">
            <w:pPr>
              <w:autoSpaceDE w:val="0"/>
              <w:autoSpaceDN w:val="0"/>
              <w:adjustRightInd w:val="0"/>
              <w:snapToGrid w:val="0"/>
              <w:spacing w:line="360" w:lineRule="auto"/>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（3）审查文件名称及文号：《广西壮族自治区生态环境厅关于印发钦州石化产业园总体发展规划环境影响报告书审查意见的函》（桂环函〔2021〕388号）。</w:t>
            </w:r>
          </w:p>
        </w:tc>
      </w:tr>
      <w:tr w14:paraId="3357A1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8" w:hRule="atLeast"/>
          <w:jc w:val="center"/>
        </w:trPr>
        <w:tc>
          <w:tcPr>
            <w:tcW w:w="2382" w:type="dxa"/>
            <w:vAlign w:val="center"/>
          </w:tcPr>
          <w:p w14:paraId="2A6A99D1">
            <w:pPr>
              <w:autoSpaceDE w:val="0"/>
              <w:autoSpaceDN w:val="0"/>
              <w:adjustRightInd w:val="0"/>
              <w:snapToGrid w:val="0"/>
              <w:jc w:val="center"/>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规划及规划环境</w:t>
            </w:r>
          </w:p>
          <w:p w14:paraId="569BBC91">
            <w:pPr>
              <w:autoSpaceDE w:val="0"/>
              <w:autoSpaceDN w:val="0"/>
              <w:adjustRightInd w:val="0"/>
              <w:snapToGrid w:val="0"/>
              <w:jc w:val="center"/>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影响评价符合性分析</w:t>
            </w:r>
          </w:p>
        </w:tc>
        <w:tc>
          <w:tcPr>
            <w:tcW w:w="6488" w:type="dxa"/>
            <w:gridSpan w:val="3"/>
            <w:vAlign w:val="center"/>
          </w:tcPr>
          <w:p w14:paraId="5BCB90FD">
            <w:pPr>
              <w:autoSpaceDE w:val="0"/>
              <w:autoSpaceDN w:val="0"/>
              <w:adjustRightInd w:val="0"/>
              <w:snapToGrid w:val="0"/>
              <w:spacing w:line="360" w:lineRule="auto"/>
              <w:ind w:firstLine="482" w:firstLineChars="200"/>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1、与《广西钦州石化产业园总体发展规划（2020-2035年）》相符性分析</w:t>
            </w:r>
          </w:p>
          <w:p w14:paraId="53656AC3">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根据《广西钦州石化产业园总体发展规划（2020-2035年）》，园区规划发展目标和规划布局如下：</w:t>
            </w:r>
          </w:p>
          <w:p w14:paraId="3F0E5D78">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（1）规划发展目标</w:t>
            </w:r>
          </w:p>
          <w:p w14:paraId="2524AC26">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近期，2020~2025年，重点建设发展中石油广西石化150万吨/年乙烯及下游项目、上海华谊化工新材料一体化项目以及氯气下游MDI与PC项目、恒逸石化120万吨/年己内酰胺一体化项目、浙江桐昆280万吨/年芳烃一体化项目，广西石化实现产品升级产能达1200万吨/年，乙烯规模达到150万吨/年，芳烃规模280万吨/年。</w:t>
            </w:r>
          </w:p>
          <w:p w14:paraId="0AECE255">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中期，2026~2030年，重点建设中海油2000万吨/年炼化一体化产业项目等，整个园区产能达4000万吨/年，乙烯规模达到500万吨/年，芳烃规模达到500万吨/年。</w:t>
            </w:r>
          </w:p>
          <w:p w14:paraId="3CB39705">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远期，2031～2035年，着力发展高端特种功能材料、特种功能化学品、精细化专用化学品产业，规划实施后钦州石化产业园将成为能够对标国际先进石化产业集群的全球价值链枢纽。</w:t>
            </w:r>
          </w:p>
          <w:p w14:paraId="50B560E0">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（2）规划布局</w:t>
            </w:r>
          </w:p>
          <w:p w14:paraId="595244D8">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钦州石化产业园总体上规划为“一园、两轴、三片、十区、多点”的空间结构，按照三个片区布局如下：</w:t>
            </w:r>
          </w:p>
          <w:p w14:paraId="4427F9A5">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金谷片区：为现有项目区，以广西石化、芳烃、华谊、恒逸等为大型龙头产业链项目协同发展特种聚氨酯与高端材料产业区。</w:t>
            </w:r>
          </w:p>
          <w:p w14:paraId="4CA10D5A">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三墩片区：主要布局以桐昆为主的芳烃及下游深加工区、中石油2000万吨炼化一体化项目及化工新材料及精细化工。</w:t>
            </w:r>
          </w:p>
          <w:p w14:paraId="598A0A70">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鹿耳片区：集中在远期发展特种功能材料及专用化学品项目区，原料主要来源于金谷片区和三墩片区，作为其下游延伸产业链发展。</w:t>
            </w:r>
          </w:p>
          <w:p w14:paraId="2BC93D2C">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到2030年，钦州石化产业园将成为全国领先、世界一流的绿色高端石化产业基地，炼化一体化产能达到4000万吨/年，乙烯规模达到500万吨/年，芳烃规模达到500万吨/年，新增总投资893亿元，销售收入1370亿元，税收106亿元，利润76亿元。石化产业从临港核心区域逐步向县域园区延伸，辐射带动周边下游纺织服装、包装、涂料、建材等传统产业及高端装备、电子、制药等新兴产业发展。</w:t>
            </w:r>
          </w:p>
          <w:p w14:paraId="28ED2B40">
            <w:pPr>
              <w:autoSpaceDE w:val="0"/>
              <w:autoSpaceDN w:val="0"/>
              <w:adjustRightInd w:val="0"/>
              <w:snapToGrid w:val="0"/>
              <w:spacing w:line="360" w:lineRule="auto"/>
              <w:ind w:firstLine="480" w:firstLineChars="200"/>
              <w:rPr>
                <w:rFonts w:cs="宋体"/>
                <w:color w:val="0D0D0D" w:themeColor="text1" w:themeTint="F2"/>
                <w:kern w:val="0"/>
                <w:sz w:val="24"/>
                <w:u w:val="single"/>
                <w14:textFill>
                  <w14:solidFill>
                    <w14:schemeClr w14:val="tx1">
                      <w14:lumMod w14:val="95000"/>
                      <w14:lumOff w14:val="5000"/>
                    </w14:schemeClr>
                  </w14:solidFill>
                </w14:textFill>
              </w:rPr>
            </w:pPr>
            <w:r>
              <w:rPr>
                <w:rFonts w:hint="eastAsia" w:cs="宋体"/>
                <w:color w:val="0D0D0D" w:themeColor="text1" w:themeTint="F2"/>
                <w:kern w:val="0"/>
                <w:sz w:val="24"/>
                <w:u w:val="single"/>
                <w14:textFill>
                  <w14:solidFill>
                    <w14:schemeClr w14:val="tx1">
                      <w14:lumMod w14:val="95000"/>
                      <w14:lumOff w14:val="5000"/>
                    </w14:schemeClr>
                  </w14:solidFill>
                </w14:textFill>
              </w:rPr>
              <w:t>项目对钢材（型材、板材和管材）进行防腐加工，为金属表面处理项目，主要服务于广西华谊钦州化工新材料一体化基地三期甲醇制烯烃及下游深加工一体化项目配套集中防腐等业务，属于园区产业链范围内的简单配套项目，符合园区产业定位要求。</w:t>
            </w:r>
          </w:p>
          <w:p w14:paraId="1ABC92A3">
            <w:pPr>
              <w:autoSpaceDE w:val="0"/>
              <w:autoSpaceDN w:val="0"/>
              <w:adjustRightInd w:val="0"/>
              <w:snapToGrid w:val="0"/>
              <w:spacing w:line="360" w:lineRule="auto"/>
              <w:ind w:firstLine="480" w:firstLineChars="200"/>
              <w:rPr>
                <w:rFonts w:cs="宋体"/>
                <w:color w:val="0D0D0D" w:themeColor="text1" w:themeTint="F2"/>
                <w:kern w:val="0"/>
                <w:sz w:val="24"/>
                <w:u w:val="single"/>
                <w14:textFill>
                  <w14:solidFill>
                    <w14:schemeClr w14:val="tx1">
                      <w14:lumMod w14:val="95000"/>
                      <w14:lumOff w14:val="5000"/>
                    </w14:schemeClr>
                  </w14:solidFill>
                </w14:textFill>
              </w:rPr>
            </w:pPr>
            <w:r>
              <w:rPr>
                <w:rFonts w:hint="eastAsia" w:cs="宋体"/>
                <w:color w:val="0D0D0D" w:themeColor="text1" w:themeTint="F2"/>
                <w:kern w:val="0"/>
                <w:sz w:val="24"/>
                <w:u w:val="single"/>
                <w14:textFill>
                  <w14:solidFill>
                    <w14:schemeClr w14:val="tx1">
                      <w14:lumMod w14:val="95000"/>
                      <w14:lumOff w14:val="5000"/>
                    </w14:schemeClr>
                  </w14:solidFill>
                </w14:textFill>
              </w:rPr>
              <w:t>项目位于钦州港临海大道西侧、营盘街南侧、孚宝公司东侧，属于规划中的金谷片区，租用广西自贸区临海资产管理有限公司的空置场地进行生产，用地为工业用地，租赁合同详见附件4。项目选址为临时用地，已取得中国（广西）自由贸易试验</w:t>
            </w:r>
            <w:r>
              <w:rPr>
                <w:rFonts w:hint="eastAsia" w:cs="宋体"/>
                <w:color w:val="0D0D0D" w:themeColor="text1" w:themeTint="F2"/>
                <w:kern w:val="0"/>
                <w:sz w:val="24"/>
                <w:u w:val="single"/>
                <w:lang w:val="en-US" w:eastAsia="zh-CN"/>
                <w14:textFill>
                  <w14:solidFill>
                    <w14:schemeClr w14:val="tx1">
                      <w14:lumMod w14:val="95000"/>
                      <w14:lumOff w14:val="5000"/>
                    </w14:schemeClr>
                  </w14:solidFill>
                </w14:textFill>
              </w:rPr>
              <w:t>区</w:t>
            </w:r>
            <w:r>
              <w:rPr>
                <w:rFonts w:hint="eastAsia" w:cs="宋体"/>
                <w:color w:val="0D0D0D" w:themeColor="text1" w:themeTint="F2"/>
                <w:kern w:val="0"/>
                <w:sz w:val="24"/>
                <w:u w:val="single"/>
                <w14:textFill>
                  <w14:solidFill>
                    <w14:schemeClr w14:val="tx1">
                      <w14:lumMod w14:val="95000"/>
                      <w14:lumOff w14:val="5000"/>
                    </w14:schemeClr>
                  </w14:solidFill>
                </w14:textFill>
              </w:rPr>
              <w:t>钦州港片区自然资源和建设局出具的临时选址意见，同意项目建设，选址意见详见附件5。根据建设单位提供的资料，待租赁期满后，项目停止生产并及时搬离，按照合同要求将场地恢复原状。</w:t>
            </w:r>
          </w:p>
          <w:p w14:paraId="6DBFD212">
            <w:pPr>
              <w:autoSpaceDE w:val="0"/>
              <w:autoSpaceDN w:val="0"/>
              <w:adjustRightInd w:val="0"/>
              <w:snapToGrid w:val="0"/>
              <w:spacing w:line="360" w:lineRule="auto"/>
              <w:ind w:firstLine="480" w:firstLineChars="200"/>
              <w:rPr>
                <w:rFonts w:cs="宋体"/>
                <w:color w:val="0D0D0D" w:themeColor="text1" w:themeTint="F2"/>
                <w:kern w:val="0"/>
                <w:sz w:val="24"/>
                <w:u w:val="single"/>
                <w14:textFill>
                  <w14:solidFill>
                    <w14:schemeClr w14:val="tx1">
                      <w14:lumMod w14:val="95000"/>
                      <w14:lumOff w14:val="5000"/>
                    </w14:schemeClr>
                  </w14:solidFill>
                </w14:textFill>
              </w:rPr>
            </w:pPr>
            <w:r>
              <w:rPr>
                <w:rFonts w:hint="eastAsia" w:cs="宋体"/>
                <w:color w:val="0D0D0D" w:themeColor="text1" w:themeTint="F2"/>
                <w:kern w:val="0"/>
                <w:sz w:val="24"/>
                <w:u w:val="single"/>
                <w14:textFill>
                  <w14:solidFill>
                    <w14:schemeClr w14:val="tx1">
                      <w14:lumMod w14:val="95000"/>
                      <w14:lumOff w14:val="5000"/>
                    </w14:schemeClr>
                  </w14:solidFill>
                </w14:textFill>
              </w:rPr>
              <w:t>综上，项目建设符合《广西钦州石化产业园总体发展规划（2020-2035年）》相关要求。</w:t>
            </w:r>
          </w:p>
          <w:p w14:paraId="4834F789">
            <w:pPr>
              <w:autoSpaceDE w:val="0"/>
              <w:autoSpaceDN w:val="0"/>
              <w:adjustRightInd w:val="0"/>
              <w:snapToGrid w:val="0"/>
              <w:spacing w:line="360" w:lineRule="auto"/>
              <w:ind w:firstLine="482" w:firstLineChars="200"/>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2、与《钦州石化产业园总体发展规划环境影响报告书》及其审查意见相符性分析</w:t>
            </w:r>
          </w:p>
          <w:p w14:paraId="7D56B877">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项目与园区规划环评相符性分析详见表1-1，与园区规划环评审查意见相符性分析详见表1-2。</w:t>
            </w:r>
          </w:p>
          <w:p w14:paraId="0406005B">
            <w:pPr>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t>表1-1  与规划环评相符性分析一览表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
              <w:gridCol w:w="426"/>
              <w:gridCol w:w="3321"/>
              <w:gridCol w:w="1519"/>
              <w:gridCol w:w="447"/>
            </w:tblGrid>
            <w:tr w14:paraId="5CB54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30" w:type="pct"/>
                  <w:gridSpan w:val="3"/>
                  <w:vAlign w:val="center"/>
                </w:tcPr>
                <w:p w14:paraId="754847D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规划环评要求</w:t>
                  </w:r>
                </w:p>
              </w:tc>
              <w:tc>
                <w:tcPr>
                  <w:tcW w:w="1213" w:type="pct"/>
                  <w:vAlign w:val="center"/>
                </w:tcPr>
                <w:p w14:paraId="70F930C9">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项目情况</w:t>
                  </w:r>
                </w:p>
              </w:tc>
              <w:tc>
                <w:tcPr>
                  <w:tcW w:w="357" w:type="pct"/>
                  <w:vAlign w:val="center"/>
                </w:tcPr>
                <w:p w14:paraId="22D19106">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相符性</w:t>
                  </w:r>
                </w:p>
              </w:tc>
            </w:tr>
            <w:tr w14:paraId="7D9D9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restart"/>
                  <w:vAlign w:val="center"/>
                </w:tcPr>
                <w:p w14:paraId="323EE2E0">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入园项目生态环境准入要求</w:t>
                  </w:r>
                </w:p>
              </w:tc>
              <w:tc>
                <w:tcPr>
                  <w:tcW w:w="2992" w:type="pct"/>
                  <w:gridSpan w:val="2"/>
                  <w:vAlign w:val="center"/>
                </w:tcPr>
                <w:p w14:paraId="31927E79">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建设项目应为石化产业园区产业链范围内的项目，选址应符合石化产业园的功能分区。</w:t>
                  </w:r>
                </w:p>
              </w:tc>
              <w:tc>
                <w:tcPr>
                  <w:tcW w:w="1213" w:type="pct"/>
                  <w:vAlign w:val="center"/>
                </w:tcPr>
                <w:p w14:paraId="5C0AAC4A">
                  <w:pP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项目为金属表面处理项目，主要服务于广西华谊钦州化工新材料一体化基地三期甲醇制烯烃及下游深加工一体化项目配套集中防腐等业务，属于园区产业链范围内的简单配套项目，符合园区产业定位要求。项目选址为临时用地，已取得中国（广西）自由贸易</w:t>
                  </w:r>
                  <w:r>
                    <w:rPr>
                      <w:rFonts w:hint="eastAsia"/>
                      <w:color w:val="0D0D0D" w:themeColor="text1" w:themeTint="F2"/>
                      <w:szCs w:val="21"/>
                      <w:u w:val="single"/>
                      <w:lang w:eastAsia="zh-CN"/>
                      <w14:textFill>
                        <w14:solidFill>
                          <w14:schemeClr w14:val="tx1">
                            <w14:lumMod w14:val="95000"/>
                            <w14:lumOff w14:val="5000"/>
                          </w14:schemeClr>
                        </w14:solidFill>
                      </w14:textFill>
                    </w:rPr>
                    <w:t>试验区钦州</w:t>
                  </w:r>
                  <w:r>
                    <w:rPr>
                      <w:rFonts w:hint="eastAsia"/>
                      <w:color w:val="0D0D0D" w:themeColor="text1" w:themeTint="F2"/>
                      <w:szCs w:val="21"/>
                      <w:u w:val="single"/>
                      <w14:textFill>
                        <w14:solidFill>
                          <w14:schemeClr w14:val="tx1">
                            <w14:lumMod w14:val="95000"/>
                            <w14:lumOff w14:val="5000"/>
                          </w14:schemeClr>
                        </w14:solidFill>
                      </w14:textFill>
                    </w:rPr>
                    <w:t>港片区自然资源和建设局出具的临时选址意见，同意项目建设。根据建设单位提供的资料，待租赁期满后，项目停止生产并及时搬离，按照合同要求将场地恢复原状</w:t>
                  </w:r>
                  <w:r>
                    <w:rPr>
                      <w:rFonts w:hint="eastAsia"/>
                      <w:snapToGrid w:val="0"/>
                      <w:color w:val="0D0D0D" w:themeColor="text1" w:themeTint="F2"/>
                      <w:kern w:val="0"/>
                      <w:szCs w:val="21"/>
                      <w:u w:val="single"/>
                      <w14:textFill>
                        <w14:solidFill>
                          <w14:schemeClr w14:val="tx1">
                            <w14:lumMod w14:val="95000"/>
                            <w14:lumOff w14:val="5000"/>
                          </w14:schemeClr>
                        </w14:solidFill>
                      </w14:textFill>
                    </w:rPr>
                    <w:t>。</w:t>
                  </w:r>
                </w:p>
              </w:tc>
              <w:tc>
                <w:tcPr>
                  <w:tcW w:w="357" w:type="pct"/>
                  <w:vAlign w:val="center"/>
                </w:tcPr>
                <w:p w14:paraId="208085E6">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符合</w:t>
                  </w:r>
                </w:p>
              </w:tc>
            </w:tr>
            <w:tr w14:paraId="2EB9F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22607A65">
                  <w:pPr>
                    <w:jc w:val="center"/>
                    <w:rPr>
                      <w:color w:val="0D0D0D" w:themeColor="text1" w:themeTint="F2"/>
                      <w:szCs w:val="21"/>
                      <w14:textFill>
                        <w14:solidFill>
                          <w14:schemeClr w14:val="tx1">
                            <w14:lumMod w14:val="95000"/>
                            <w14:lumOff w14:val="5000"/>
                          </w14:schemeClr>
                        </w14:solidFill>
                      </w14:textFill>
                    </w:rPr>
                  </w:pPr>
                </w:p>
              </w:tc>
              <w:tc>
                <w:tcPr>
                  <w:tcW w:w="340" w:type="pct"/>
                  <w:vMerge w:val="restart"/>
                  <w:vAlign w:val="center"/>
                </w:tcPr>
                <w:p w14:paraId="4BCC301B">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建</w:t>
                  </w:r>
                </w:p>
                <w:p w14:paraId="03454749">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设</w:t>
                  </w:r>
                </w:p>
                <w:p w14:paraId="23F647E2">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w:t>
                  </w:r>
                </w:p>
                <w:p w14:paraId="6F72E7DF">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目</w:t>
                  </w:r>
                </w:p>
                <w:p w14:paraId="0A68D241">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污</w:t>
                  </w:r>
                </w:p>
                <w:p w14:paraId="0690394C">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染</w:t>
                  </w:r>
                </w:p>
                <w:p w14:paraId="2C531346">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防</w:t>
                  </w:r>
                </w:p>
                <w:p w14:paraId="34785FE2">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治</w:t>
                  </w:r>
                </w:p>
                <w:p w14:paraId="5ADF4DE5">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和</w:t>
                  </w:r>
                </w:p>
                <w:p w14:paraId="26B5F670">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环</w:t>
                  </w:r>
                </w:p>
                <w:p w14:paraId="1E4AE54A">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境</w:t>
                  </w:r>
                </w:p>
                <w:p w14:paraId="6BE42FB5">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影</w:t>
                  </w:r>
                </w:p>
                <w:p w14:paraId="2BA7EDD6">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响</w:t>
                  </w:r>
                </w:p>
                <w:p w14:paraId="39A9F3FB">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方</w:t>
                  </w:r>
                </w:p>
                <w:p w14:paraId="06C6D3A3">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面</w:t>
                  </w:r>
                </w:p>
                <w:p w14:paraId="062961BD">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的</w:t>
                  </w:r>
                </w:p>
                <w:p w14:paraId="5427EE2B">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准</w:t>
                  </w:r>
                </w:p>
                <w:p w14:paraId="6F47E3DB">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入</w:t>
                  </w:r>
                </w:p>
                <w:p w14:paraId="12372821">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要</w:t>
                  </w:r>
                </w:p>
                <w:p w14:paraId="6A44276A">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求</w:t>
                  </w:r>
                </w:p>
              </w:tc>
              <w:tc>
                <w:tcPr>
                  <w:tcW w:w="2652" w:type="pct"/>
                  <w:vAlign w:val="center"/>
                </w:tcPr>
                <w:p w14:paraId="53A90C96">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引进的项目必须符合国家的产业政策，积极引进国家鼓励类项目，不得引进限制类和淘汰类项目；禁止建设不符合国家产业政策和准入条件、布局不合理、环境容量不足的项目（含新建、改建、扩建、异地搬迁、技术改造项目），严格控制可能对环境产生影响的项目的建设，限制发展、淘汰技术落后、高能耗、高污染的项目。</w:t>
                  </w:r>
                </w:p>
              </w:tc>
              <w:tc>
                <w:tcPr>
                  <w:tcW w:w="1213" w:type="pct"/>
                  <w:vAlign w:val="center"/>
                </w:tcPr>
                <w:p w14:paraId="1754B2BB">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项目不属于《产业结构调整指导目录（2024年本）》的限制类和淘汰类，不属于限制发展、淘汰技术落后、高能耗、高污染的项目。</w:t>
                  </w:r>
                </w:p>
              </w:tc>
              <w:tc>
                <w:tcPr>
                  <w:tcW w:w="357" w:type="pct"/>
                  <w:vAlign w:val="center"/>
                </w:tcPr>
                <w:p w14:paraId="27597A6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符合</w:t>
                  </w:r>
                </w:p>
              </w:tc>
            </w:tr>
            <w:tr w14:paraId="333F1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30301BC0">
                  <w:pPr>
                    <w:jc w:val="center"/>
                    <w:rPr>
                      <w:color w:val="0D0D0D" w:themeColor="text1" w:themeTint="F2"/>
                      <w:szCs w:val="21"/>
                      <w14:textFill>
                        <w14:solidFill>
                          <w14:schemeClr w14:val="tx1">
                            <w14:lumMod w14:val="95000"/>
                            <w14:lumOff w14:val="5000"/>
                          </w14:schemeClr>
                        </w14:solidFill>
                      </w14:textFill>
                    </w:rPr>
                  </w:pPr>
                </w:p>
              </w:tc>
              <w:tc>
                <w:tcPr>
                  <w:tcW w:w="340" w:type="pct"/>
                  <w:vMerge w:val="continue"/>
                  <w:vAlign w:val="center"/>
                </w:tcPr>
                <w:p w14:paraId="40A562E7">
                  <w:pPr>
                    <w:rPr>
                      <w:color w:val="0D0D0D" w:themeColor="text1" w:themeTint="F2"/>
                      <w:szCs w:val="21"/>
                      <w14:textFill>
                        <w14:solidFill>
                          <w14:schemeClr w14:val="tx1">
                            <w14:lumMod w14:val="95000"/>
                            <w14:lumOff w14:val="5000"/>
                          </w14:schemeClr>
                        </w14:solidFill>
                      </w14:textFill>
                    </w:rPr>
                  </w:pPr>
                </w:p>
              </w:tc>
              <w:tc>
                <w:tcPr>
                  <w:tcW w:w="2652" w:type="pct"/>
                  <w:vAlign w:val="center"/>
                </w:tcPr>
                <w:p w14:paraId="23CFFCB4">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园区实现集中供热，各企业不得自建供热锅炉（企业利用自产燃料气除外）；采用雨污分流制，雨水监控达标后通过雨水管网就近排入水体，各企业废水预处理后纳入园区污水处理厂处理，涵盖了工业区内大型企业、港口各作业区的污水处理，并配套中水回用系统。</w:t>
                  </w:r>
                </w:p>
              </w:tc>
              <w:tc>
                <w:tcPr>
                  <w:tcW w:w="1213" w:type="pct"/>
                  <w:vAlign w:val="center"/>
                </w:tcPr>
                <w:p w14:paraId="7D1E557C">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项目不涉及供热，不建设锅炉；生活污水经三级化粪池处理后排入园区市政污水管网，由钦州胜科水务有限公司污水处理厂进一步处理。</w:t>
                  </w:r>
                </w:p>
              </w:tc>
              <w:tc>
                <w:tcPr>
                  <w:tcW w:w="357" w:type="pct"/>
                  <w:vAlign w:val="center"/>
                </w:tcPr>
                <w:p w14:paraId="0FC27CEC">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r>
            <w:tr w14:paraId="63AC2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170B7565">
                  <w:pPr>
                    <w:jc w:val="center"/>
                    <w:rPr>
                      <w:color w:val="0D0D0D" w:themeColor="text1" w:themeTint="F2"/>
                      <w:szCs w:val="21"/>
                      <w14:textFill>
                        <w14:solidFill>
                          <w14:schemeClr w14:val="tx1">
                            <w14:lumMod w14:val="95000"/>
                            <w14:lumOff w14:val="5000"/>
                          </w14:schemeClr>
                        </w14:solidFill>
                      </w14:textFill>
                    </w:rPr>
                  </w:pPr>
                </w:p>
              </w:tc>
              <w:tc>
                <w:tcPr>
                  <w:tcW w:w="340" w:type="pct"/>
                  <w:vMerge w:val="restart"/>
                  <w:vAlign w:val="center"/>
                </w:tcPr>
                <w:p w14:paraId="57F3402C">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w:t>
                  </w:r>
                </w:p>
                <w:p w14:paraId="39CC6B7A">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发</w:t>
                  </w:r>
                </w:p>
                <w:p w14:paraId="36DEC8B4">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性</w:t>
                  </w:r>
                </w:p>
                <w:p w14:paraId="28445A2D">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有</w:t>
                  </w:r>
                </w:p>
                <w:p w14:paraId="122FB883">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机</w:t>
                  </w:r>
                </w:p>
                <w:p w14:paraId="0D513020">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物</w:t>
                  </w:r>
                </w:p>
                <w:p w14:paraId="40C4AF7A">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的</w:t>
                  </w:r>
                </w:p>
                <w:p w14:paraId="343FC0E1">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治</w:t>
                  </w:r>
                </w:p>
                <w:p w14:paraId="39C93ECD">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理</w:t>
                  </w:r>
                </w:p>
                <w:p w14:paraId="26C4F6B3">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应</w:t>
                  </w:r>
                </w:p>
                <w:p w14:paraId="3E7FCE0C">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纳</w:t>
                  </w:r>
                </w:p>
                <w:p w14:paraId="3BB2FF9D">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入</w:t>
                  </w:r>
                </w:p>
                <w:p w14:paraId="2386C4A7">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企</w:t>
                  </w:r>
                </w:p>
                <w:p w14:paraId="357B9E59">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业</w:t>
                  </w:r>
                </w:p>
                <w:p w14:paraId="7B579D0C">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的</w:t>
                  </w:r>
                </w:p>
                <w:p w14:paraId="4C863B29">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环</w:t>
                  </w:r>
                </w:p>
                <w:p w14:paraId="786003D3">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保</w:t>
                  </w:r>
                </w:p>
                <w:p w14:paraId="3CF49E5B">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措</w:t>
                  </w:r>
                </w:p>
                <w:p w14:paraId="2DA36CE6">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施</w:t>
                  </w:r>
                </w:p>
              </w:tc>
              <w:tc>
                <w:tcPr>
                  <w:tcW w:w="2652" w:type="pct"/>
                  <w:vAlign w:val="center"/>
                </w:tcPr>
                <w:p w14:paraId="719578C9">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（1）在石油炼制和石油化工行业，鼓励采用先进的清洁生产技术，提高原油的转化和利用效率。对于设备与管线组件、工艺排气、废气燃烧塔（火炬）、废水处理等过程产生的含VOCs废气污染防治技术措施包括：</w:t>
                  </w:r>
                </w:p>
                <w:p w14:paraId="0E47B0EE">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①对泵、压缩机、阀门、法兰等易发生泄漏的设备与管线组件，制定泄漏检测与修复（LDAR）计划，定期检测、及时修复，防止或减少跑、冒、滴、漏现象；</w:t>
                  </w:r>
                </w:p>
                <w:p w14:paraId="6F5B6251">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②对生产装置排放的含VOCs工艺排气宜优先回收利用，不能（或不能完全）回收利用的经处理后达标排放；应急情况下的泄放气可导入燃烧塔（火炬），经过充分燃烧后排放；</w:t>
                  </w:r>
                </w:p>
                <w:p w14:paraId="1FD79EAF">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③废水收集和处理过程产生的含VOCs废气经收集处理后达标排放。</w:t>
                  </w:r>
                </w:p>
              </w:tc>
              <w:tc>
                <w:tcPr>
                  <w:tcW w:w="1213" w:type="pct"/>
                  <w:vAlign w:val="center"/>
                </w:tcPr>
                <w:p w14:paraId="2DEF70B9">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项目不属于石油炼制和石油化工行业。</w:t>
                  </w:r>
                </w:p>
              </w:tc>
              <w:tc>
                <w:tcPr>
                  <w:tcW w:w="357" w:type="pct"/>
                  <w:vAlign w:val="center"/>
                </w:tcPr>
                <w:p w14:paraId="55C4382E">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r>
            <w:tr w14:paraId="2408D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5E7F1326">
                  <w:pPr>
                    <w:jc w:val="center"/>
                    <w:rPr>
                      <w:color w:val="0D0D0D" w:themeColor="text1" w:themeTint="F2"/>
                      <w:szCs w:val="21"/>
                      <w14:textFill>
                        <w14:solidFill>
                          <w14:schemeClr w14:val="tx1">
                            <w14:lumMod w14:val="95000"/>
                            <w14:lumOff w14:val="5000"/>
                          </w14:schemeClr>
                        </w14:solidFill>
                      </w14:textFill>
                    </w:rPr>
                  </w:pPr>
                </w:p>
              </w:tc>
              <w:tc>
                <w:tcPr>
                  <w:tcW w:w="340" w:type="pct"/>
                  <w:vMerge w:val="continue"/>
                  <w:vAlign w:val="center"/>
                </w:tcPr>
                <w:p w14:paraId="4C0E7D6F">
                  <w:pPr>
                    <w:rPr>
                      <w:color w:val="0D0D0D" w:themeColor="text1" w:themeTint="F2"/>
                      <w:szCs w:val="21"/>
                      <w14:textFill>
                        <w14:solidFill>
                          <w14:schemeClr w14:val="tx1">
                            <w14:lumMod w14:val="95000"/>
                            <w14:lumOff w14:val="5000"/>
                          </w14:schemeClr>
                        </w14:solidFill>
                      </w14:textFill>
                    </w:rPr>
                  </w:pPr>
                </w:p>
              </w:tc>
              <w:tc>
                <w:tcPr>
                  <w:tcW w:w="2652" w:type="pct"/>
                  <w:vAlign w:val="center"/>
                </w:tcPr>
                <w:p w14:paraId="62EEE2FD">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（2）在油类（燃油、溶剂）的储存、运输过程中的VOCs污染防治技术措施包括：</w:t>
                  </w:r>
                </w:p>
                <w:p w14:paraId="0186F1AF">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①储油库、加油站和油罐车宜配备相应的油气收集系统，储油库、加油站宜配备相应的油气回收系统；</w:t>
                  </w:r>
                </w:p>
                <w:p w14:paraId="30F27E06">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②油类（燃油、溶剂等）储罐宜采用高效密封的内（外）浮顶罐，当采用固定顶罐时，通过密闭排气系统将含VOCs气体输送至回收设备；</w:t>
                  </w:r>
                </w:p>
                <w:p w14:paraId="61D96F8A">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③油类（燃油、溶剂等）运载工具（汽车油罐车、铁路油槽车、油轮等）在装载过程中排放的VOCs密闭收集输送至回收设备，也可返回储罐或送入气体管网。</w:t>
                  </w:r>
                </w:p>
              </w:tc>
              <w:tc>
                <w:tcPr>
                  <w:tcW w:w="1213" w:type="pct"/>
                  <w:vAlign w:val="center"/>
                </w:tcPr>
                <w:p w14:paraId="6D98F1C9">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项目油漆和稀释剂采用原装密闭容器桶存放。</w:t>
                  </w:r>
                </w:p>
              </w:tc>
              <w:tc>
                <w:tcPr>
                  <w:tcW w:w="357" w:type="pct"/>
                  <w:vAlign w:val="center"/>
                </w:tcPr>
                <w:p w14:paraId="1F809CB7">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符合</w:t>
                  </w:r>
                </w:p>
              </w:tc>
            </w:tr>
            <w:tr w14:paraId="06D2C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01993B44">
                  <w:pPr>
                    <w:jc w:val="center"/>
                    <w:rPr>
                      <w:color w:val="0D0D0D" w:themeColor="text1" w:themeTint="F2"/>
                      <w:szCs w:val="21"/>
                      <w14:textFill>
                        <w14:solidFill>
                          <w14:schemeClr w14:val="tx1">
                            <w14:lumMod w14:val="95000"/>
                            <w14:lumOff w14:val="5000"/>
                          </w14:schemeClr>
                        </w14:solidFill>
                      </w14:textFill>
                    </w:rPr>
                  </w:pPr>
                </w:p>
              </w:tc>
              <w:tc>
                <w:tcPr>
                  <w:tcW w:w="340" w:type="pct"/>
                  <w:vMerge w:val="restart"/>
                  <w:vAlign w:val="center"/>
                </w:tcPr>
                <w:p w14:paraId="39FF01D1">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其</w:t>
                  </w:r>
                </w:p>
                <w:p w14:paraId="13EE7FFE">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他</w:t>
                  </w:r>
                </w:p>
                <w:p w14:paraId="7FF8CC46">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方</w:t>
                  </w:r>
                </w:p>
                <w:p w14:paraId="4A5B229A">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面</w:t>
                  </w:r>
                </w:p>
                <w:p w14:paraId="56EABAB6">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的</w:t>
                  </w:r>
                </w:p>
                <w:p w14:paraId="40698E3B">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准</w:t>
                  </w:r>
                </w:p>
                <w:p w14:paraId="1E3FAB3B">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入</w:t>
                  </w:r>
                </w:p>
                <w:p w14:paraId="7E615748">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条</w:t>
                  </w:r>
                </w:p>
                <w:p w14:paraId="6E8346BD">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件</w:t>
                  </w:r>
                </w:p>
              </w:tc>
              <w:tc>
                <w:tcPr>
                  <w:tcW w:w="2652" w:type="pct"/>
                  <w:vAlign w:val="center"/>
                </w:tcPr>
                <w:p w14:paraId="3D3DB2DA">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按照《钦州港临海工业园区发展环境影响报告书》（北海市碧蓝海洋环境保护服务有限公司，2014年10月）的要求，要适当提高企业进入园区的门槛。进入园区的项目不仅要达到经济规模，采用工艺技术符合国家要求，而且还要求原料和产品对环境的友好性。入区必须进行环境影响评价和安全评价，并要求企业建立起切实可行的环境管理制度和清洁生产机制。入驻企业须强制通过清洁生产审计，必要的话入驻企业“三废”排放标准可参照国外先进水平严格要求。入驻企业投资强度应达到7000万元/ha，单位土地面积年工业增加值产出强度要达到15亿～18亿元/km</w:t>
                  </w:r>
                  <w:r>
                    <w:rPr>
                      <w:rFonts w:hint="eastAsia"/>
                      <w:color w:val="0D0D0D" w:themeColor="text1" w:themeTint="F2"/>
                      <w:szCs w:val="21"/>
                      <w:vertAlign w:val="superscript"/>
                      <w14:textFill>
                        <w14:solidFill>
                          <w14:schemeClr w14:val="tx1">
                            <w14:lumMod w14:val="95000"/>
                            <w14:lumOff w14:val="5000"/>
                          </w14:schemeClr>
                        </w14:solidFill>
                      </w14:textFill>
                    </w:rPr>
                    <w:t>2</w:t>
                  </w:r>
                  <w:r>
                    <w:rPr>
                      <w:rFonts w:hint="eastAsia"/>
                      <w:color w:val="0D0D0D" w:themeColor="text1" w:themeTint="F2"/>
                      <w:szCs w:val="21"/>
                      <w14:textFill>
                        <w14:solidFill>
                          <w14:schemeClr w14:val="tx1">
                            <w14:lumMod w14:val="95000"/>
                            <w14:lumOff w14:val="5000"/>
                          </w14:schemeClr>
                        </w14:solidFill>
                      </w14:textFill>
                    </w:rPr>
                    <w:t>。</w:t>
                  </w:r>
                </w:p>
              </w:tc>
              <w:tc>
                <w:tcPr>
                  <w:tcW w:w="1213" w:type="pct"/>
                  <w:vAlign w:val="center"/>
                </w:tcPr>
                <w:p w14:paraId="030333AF">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项目所用工艺、设备等均符合国家要求，正在开展环境影响评价工作。</w:t>
                  </w:r>
                </w:p>
              </w:tc>
              <w:tc>
                <w:tcPr>
                  <w:tcW w:w="357" w:type="pct"/>
                  <w:vAlign w:val="center"/>
                </w:tcPr>
                <w:p w14:paraId="2CE275ED">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符合</w:t>
                  </w:r>
                </w:p>
              </w:tc>
            </w:tr>
            <w:tr w14:paraId="2CFDD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5EE2B259">
                  <w:pPr>
                    <w:jc w:val="center"/>
                    <w:rPr>
                      <w:color w:val="0D0D0D" w:themeColor="text1" w:themeTint="F2"/>
                      <w:szCs w:val="21"/>
                      <w14:textFill>
                        <w14:solidFill>
                          <w14:schemeClr w14:val="tx1">
                            <w14:lumMod w14:val="95000"/>
                            <w14:lumOff w14:val="5000"/>
                          </w14:schemeClr>
                        </w14:solidFill>
                      </w14:textFill>
                    </w:rPr>
                  </w:pPr>
                </w:p>
              </w:tc>
              <w:tc>
                <w:tcPr>
                  <w:tcW w:w="340" w:type="pct"/>
                  <w:vMerge w:val="continue"/>
                  <w:vAlign w:val="center"/>
                </w:tcPr>
                <w:p w14:paraId="39E0F539">
                  <w:pPr>
                    <w:jc w:val="center"/>
                    <w:rPr>
                      <w:color w:val="0D0D0D" w:themeColor="text1" w:themeTint="F2"/>
                      <w:szCs w:val="21"/>
                      <w14:textFill>
                        <w14:solidFill>
                          <w14:schemeClr w14:val="tx1">
                            <w14:lumMod w14:val="95000"/>
                            <w14:lumOff w14:val="5000"/>
                          </w14:schemeClr>
                        </w14:solidFill>
                      </w14:textFill>
                    </w:rPr>
                  </w:pPr>
                </w:p>
              </w:tc>
              <w:tc>
                <w:tcPr>
                  <w:tcW w:w="2652" w:type="pct"/>
                  <w:vAlign w:val="center"/>
                </w:tcPr>
                <w:p w14:paraId="062C4CF9">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（2）工业技术的选择，要选择原料和能源消耗低、污染物排放少的工业技术，单位工业增加值的能耗、水耗和污染物排放量应达到同行业国际先进水平且必须低于地方制定的标准。</w:t>
                  </w:r>
                </w:p>
              </w:tc>
              <w:tc>
                <w:tcPr>
                  <w:tcW w:w="1213" w:type="pct"/>
                  <w:vAlign w:val="center"/>
                </w:tcPr>
                <w:p w14:paraId="6C91A7F3">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项目选择原料和能源消耗低、污染物排放少的工业技术。</w:t>
                  </w:r>
                </w:p>
              </w:tc>
              <w:tc>
                <w:tcPr>
                  <w:tcW w:w="357" w:type="pct"/>
                  <w:vAlign w:val="center"/>
                </w:tcPr>
                <w:p w14:paraId="2AE4F7A9">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符合</w:t>
                  </w:r>
                </w:p>
              </w:tc>
            </w:tr>
            <w:tr w14:paraId="26218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20DD78D6">
                  <w:pPr>
                    <w:jc w:val="center"/>
                    <w:rPr>
                      <w:color w:val="0D0D0D" w:themeColor="text1" w:themeTint="F2"/>
                      <w:szCs w:val="21"/>
                      <w14:textFill>
                        <w14:solidFill>
                          <w14:schemeClr w14:val="tx1">
                            <w14:lumMod w14:val="95000"/>
                            <w14:lumOff w14:val="5000"/>
                          </w14:schemeClr>
                        </w14:solidFill>
                      </w14:textFill>
                    </w:rPr>
                  </w:pPr>
                </w:p>
              </w:tc>
              <w:tc>
                <w:tcPr>
                  <w:tcW w:w="340" w:type="pct"/>
                  <w:vMerge w:val="continue"/>
                  <w:vAlign w:val="center"/>
                </w:tcPr>
                <w:p w14:paraId="6B717831">
                  <w:pPr>
                    <w:jc w:val="center"/>
                    <w:rPr>
                      <w:color w:val="0D0D0D" w:themeColor="text1" w:themeTint="F2"/>
                      <w:szCs w:val="21"/>
                      <w14:textFill>
                        <w14:solidFill>
                          <w14:schemeClr w14:val="tx1">
                            <w14:lumMod w14:val="95000"/>
                            <w14:lumOff w14:val="5000"/>
                          </w14:schemeClr>
                        </w14:solidFill>
                      </w14:textFill>
                    </w:rPr>
                  </w:pPr>
                </w:p>
              </w:tc>
              <w:tc>
                <w:tcPr>
                  <w:tcW w:w="2652" w:type="pct"/>
                  <w:vAlign w:val="center"/>
                </w:tcPr>
                <w:p w14:paraId="7B1CD074">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（3）企业污染物排放浓度达到国家或地方规定的排放标准和总量指标。</w:t>
                  </w:r>
                </w:p>
              </w:tc>
              <w:tc>
                <w:tcPr>
                  <w:tcW w:w="1213" w:type="pct"/>
                  <w:vAlign w:val="center"/>
                </w:tcPr>
                <w:p w14:paraId="1B75FEA2">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项目污染物排放浓度达到国家或地方规定的排放标准和总量指标。</w:t>
                  </w:r>
                </w:p>
              </w:tc>
              <w:tc>
                <w:tcPr>
                  <w:tcW w:w="357" w:type="pct"/>
                  <w:vAlign w:val="center"/>
                </w:tcPr>
                <w:p w14:paraId="18B6568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符合</w:t>
                  </w:r>
                </w:p>
              </w:tc>
            </w:tr>
            <w:tr w14:paraId="7523B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6E818276">
                  <w:pPr>
                    <w:jc w:val="center"/>
                    <w:rPr>
                      <w:color w:val="0D0D0D" w:themeColor="text1" w:themeTint="F2"/>
                      <w:szCs w:val="21"/>
                      <w14:textFill>
                        <w14:solidFill>
                          <w14:schemeClr w14:val="tx1">
                            <w14:lumMod w14:val="95000"/>
                            <w14:lumOff w14:val="5000"/>
                          </w14:schemeClr>
                        </w14:solidFill>
                      </w14:textFill>
                    </w:rPr>
                  </w:pPr>
                </w:p>
              </w:tc>
              <w:tc>
                <w:tcPr>
                  <w:tcW w:w="340" w:type="pct"/>
                  <w:vMerge w:val="continue"/>
                  <w:vAlign w:val="center"/>
                </w:tcPr>
                <w:p w14:paraId="7976D942">
                  <w:pPr>
                    <w:jc w:val="center"/>
                    <w:rPr>
                      <w:color w:val="0D0D0D" w:themeColor="text1" w:themeTint="F2"/>
                      <w:szCs w:val="21"/>
                      <w14:textFill>
                        <w14:solidFill>
                          <w14:schemeClr w14:val="tx1">
                            <w14:lumMod w14:val="95000"/>
                            <w14:lumOff w14:val="5000"/>
                          </w14:schemeClr>
                        </w14:solidFill>
                      </w14:textFill>
                    </w:rPr>
                  </w:pPr>
                </w:p>
              </w:tc>
              <w:tc>
                <w:tcPr>
                  <w:tcW w:w="2652" w:type="pct"/>
                  <w:vAlign w:val="center"/>
                </w:tcPr>
                <w:p w14:paraId="5F79A47F">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按照生态工业园区标准建设产业区，采用循环经济原则，将工业园内各企业的工业三废和有害排放物作为资源在企业间循环利用，变废为宝，化害为利。企业的清洁生产水平需达到国际先进水平，对于有助于循环经济“补链”的企业优先引进。</w:t>
                  </w:r>
                </w:p>
              </w:tc>
              <w:tc>
                <w:tcPr>
                  <w:tcW w:w="1213" w:type="pct"/>
                  <w:vAlign w:val="center"/>
                </w:tcPr>
                <w:p w14:paraId="58A88F27">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项目“三废”均得到妥善处理。</w:t>
                  </w:r>
                </w:p>
              </w:tc>
              <w:tc>
                <w:tcPr>
                  <w:tcW w:w="357" w:type="pct"/>
                  <w:vAlign w:val="center"/>
                </w:tcPr>
                <w:p w14:paraId="55889E0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符合</w:t>
                  </w:r>
                </w:p>
              </w:tc>
            </w:tr>
            <w:tr w14:paraId="1AABD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76DA1D9C">
                  <w:pPr>
                    <w:jc w:val="center"/>
                    <w:rPr>
                      <w:color w:val="0D0D0D" w:themeColor="text1" w:themeTint="F2"/>
                      <w:szCs w:val="21"/>
                      <w14:textFill>
                        <w14:solidFill>
                          <w14:schemeClr w14:val="tx1">
                            <w14:lumMod w14:val="95000"/>
                            <w14:lumOff w14:val="5000"/>
                          </w14:schemeClr>
                        </w14:solidFill>
                      </w14:textFill>
                    </w:rPr>
                  </w:pPr>
                </w:p>
              </w:tc>
              <w:tc>
                <w:tcPr>
                  <w:tcW w:w="340" w:type="pct"/>
                  <w:vMerge w:val="continue"/>
                  <w:vAlign w:val="center"/>
                </w:tcPr>
                <w:p w14:paraId="28AEE1C9">
                  <w:pPr>
                    <w:jc w:val="center"/>
                    <w:rPr>
                      <w:color w:val="0D0D0D" w:themeColor="text1" w:themeTint="F2"/>
                      <w:szCs w:val="21"/>
                      <w14:textFill>
                        <w14:solidFill>
                          <w14:schemeClr w14:val="tx1">
                            <w14:lumMod w14:val="95000"/>
                            <w14:lumOff w14:val="5000"/>
                          </w14:schemeClr>
                        </w14:solidFill>
                      </w14:textFill>
                    </w:rPr>
                  </w:pPr>
                </w:p>
              </w:tc>
              <w:tc>
                <w:tcPr>
                  <w:tcW w:w="2652" w:type="pct"/>
                  <w:vAlign w:val="center"/>
                </w:tcPr>
                <w:p w14:paraId="58189616">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所有入园企业都必须依法进行环境影响评价。该规划中所包含的近期（一般为五年）建设项目，对轻污染项目（不涉及热力设施，且挥发性有机物年排放量小于0.1吨、废水纳入管网），经请示环境主管部门的同意后，可以对大气环境、水环境、生态环境现状和评价专题内容可以适当简化。</w:t>
                  </w:r>
                </w:p>
              </w:tc>
              <w:tc>
                <w:tcPr>
                  <w:tcW w:w="1213" w:type="pct"/>
                  <w:vAlign w:val="center"/>
                </w:tcPr>
                <w:p w14:paraId="4242C16E">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项目依法开展环境影响评价。</w:t>
                  </w:r>
                </w:p>
              </w:tc>
              <w:tc>
                <w:tcPr>
                  <w:tcW w:w="357" w:type="pct"/>
                  <w:vAlign w:val="center"/>
                </w:tcPr>
                <w:p w14:paraId="160360F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符合</w:t>
                  </w:r>
                </w:p>
              </w:tc>
            </w:tr>
            <w:tr w14:paraId="1EDE3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restart"/>
                  <w:vAlign w:val="center"/>
                </w:tcPr>
                <w:p w14:paraId="4CC796D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入园区内项目清单</w:t>
                  </w:r>
                </w:p>
              </w:tc>
              <w:tc>
                <w:tcPr>
                  <w:tcW w:w="340" w:type="pct"/>
                  <w:vAlign w:val="center"/>
                </w:tcPr>
                <w:p w14:paraId="782AEFA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正</w:t>
                  </w:r>
                </w:p>
                <w:p w14:paraId="000FCC7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面</w:t>
                  </w:r>
                </w:p>
                <w:p w14:paraId="485B0B8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清</w:t>
                  </w:r>
                </w:p>
                <w:p w14:paraId="1FF31159">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单</w:t>
                  </w:r>
                </w:p>
              </w:tc>
              <w:tc>
                <w:tcPr>
                  <w:tcW w:w="2652" w:type="pct"/>
                  <w:vAlign w:val="center"/>
                </w:tcPr>
                <w:p w14:paraId="4AED493D">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（1）具有先进的环境保护技术水平；</w:t>
                  </w:r>
                </w:p>
                <w:p w14:paraId="0C1F950F">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（2）采用先进的环境保护技术；</w:t>
                  </w:r>
                </w:p>
                <w:p w14:paraId="32A62981">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（3）具备先进的环境管理水平；</w:t>
                  </w:r>
                </w:p>
                <w:p w14:paraId="2B931786">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（4）符合国际先进清洁生产标准；</w:t>
                  </w:r>
                </w:p>
                <w:p w14:paraId="44FA4B78">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（5）符合当地生态、环境保护的要求，达到环境污染物总量控制的目标；</w:t>
                  </w:r>
                </w:p>
                <w:p w14:paraId="512E01A0">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（6）有助于园区循环经济“补链”的企业优先引进；</w:t>
                  </w:r>
                </w:p>
                <w:p w14:paraId="6D013874">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（7）符合本园区产业发展规划的企业。</w:t>
                  </w:r>
                </w:p>
              </w:tc>
              <w:tc>
                <w:tcPr>
                  <w:tcW w:w="1213" w:type="pct"/>
                  <w:vAlign w:val="center"/>
                </w:tcPr>
                <w:p w14:paraId="62DFB878">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项目符合所述要求。</w:t>
                  </w:r>
                </w:p>
              </w:tc>
              <w:tc>
                <w:tcPr>
                  <w:tcW w:w="357" w:type="pct"/>
                  <w:vAlign w:val="center"/>
                </w:tcPr>
                <w:p w14:paraId="3BB4B706">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符合</w:t>
                  </w:r>
                </w:p>
              </w:tc>
            </w:tr>
            <w:tr w14:paraId="4745E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8" w:type="pct"/>
                  <w:vMerge w:val="continue"/>
                  <w:vAlign w:val="center"/>
                </w:tcPr>
                <w:p w14:paraId="4EC19E08">
                  <w:pPr>
                    <w:jc w:val="center"/>
                    <w:rPr>
                      <w:color w:val="0D0D0D" w:themeColor="text1" w:themeTint="F2"/>
                      <w:szCs w:val="21"/>
                      <w14:textFill>
                        <w14:solidFill>
                          <w14:schemeClr w14:val="tx1">
                            <w14:lumMod w14:val="95000"/>
                            <w14:lumOff w14:val="5000"/>
                          </w14:schemeClr>
                        </w14:solidFill>
                      </w14:textFill>
                    </w:rPr>
                  </w:pPr>
                </w:p>
              </w:tc>
              <w:tc>
                <w:tcPr>
                  <w:tcW w:w="340" w:type="pct"/>
                  <w:vAlign w:val="center"/>
                </w:tcPr>
                <w:p w14:paraId="1F5A6203">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负</w:t>
                  </w:r>
                </w:p>
                <w:p w14:paraId="59CA01BE">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面</w:t>
                  </w:r>
                </w:p>
                <w:p w14:paraId="7DBCF70E">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清</w:t>
                  </w:r>
                </w:p>
                <w:p w14:paraId="74D870B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单</w:t>
                  </w:r>
                </w:p>
              </w:tc>
              <w:tc>
                <w:tcPr>
                  <w:tcW w:w="2652" w:type="pct"/>
                  <w:vAlign w:val="center"/>
                </w:tcPr>
                <w:p w14:paraId="2E693E8D">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（1）《市场准入负面清单（2019年版）》；</w:t>
                  </w:r>
                </w:p>
                <w:p w14:paraId="16917CDE">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（2）不符合园区的产业定位和产业发展规划的项目；</w:t>
                  </w:r>
                </w:p>
                <w:p w14:paraId="66701BB9">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（3）《产业结构调整指导目录（2019年本）》限制类、淘汰类项目；</w:t>
                  </w:r>
                </w:p>
                <w:p w14:paraId="75E4888E">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（4）不符合地方产业指导名录规定的项目；</w:t>
                  </w:r>
                </w:p>
                <w:p w14:paraId="5B57B58E">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（5）工艺技术落后，不符合广西、钦州产业发展方向，不符合行业准入条件和有关规定，不利于地方产业结构优化升级，需要督促改造和禁止新建的装备及产品。</w:t>
                  </w:r>
                </w:p>
                <w:p w14:paraId="4EDD0019">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（6）不符合国家、地方有关法律法规规定，严重浪费资源、污染环境、不具备安全生产条件，需要淘汰的落后工艺技术、装备及产品。</w:t>
                  </w:r>
                </w:p>
              </w:tc>
              <w:tc>
                <w:tcPr>
                  <w:tcW w:w="1213" w:type="pct"/>
                  <w:vAlign w:val="center"/>
                </w:tcPr>
                <w:p w14:paraId="0F598E0F">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项目不属于所述要求。</w:t>
                  </w:r>
                </w:p>
              </w:tc>
              <w:tc>
                <w:tcPr>
                  <w:tcW w:w="357" w:type="pct"/>
                  <w:vAlign w:val="center"/>
                </w:tcPr>
                <w:p w14:paraId="79AB9A2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r>
          </w:tbl>
          <w:p w14:paraId="5EB02ACF">
            <w:pPr>
              <w:jc w:val="center"/>
              <w:rPr>
                <w:b/>
                <w:bCs/>
                <w:color w:val="0D0D0D" w:themeColor="text1" w:themeTint="F2"/>
                <w14:textFill>
                  <w14:solidFill>
                    <w14:schemeClr w14:val="tx1">
                      <w14:lumMod w14:val="95000"/>
                      <w14:lumOff w14:val="5000"/>
                    </w14:schemeClr>
                  </w14:solidFill>
                </w14:textFill>
              </w:rPr>
            </w:pPr>
            <w:r>
              <w:rPr>
                <w:rFonts w:hint="eastAsia"/>
                <w:b/>
                <w:bCs/>
                <w:color w:val="0D0D0D" w:themeColor="text1" w:themeTint="F2"/>
                <w14:textFill>
                  <w14:solidFill>
                    <w14:schemeClr w14:val="tx1">
                      <w14:lumMod w14:val="95000"/>
                      <w14:lumOff w14:val="5000"/>
                    </w14:schemeClr>
                  </w14:solidFill>
                </w14:textFill>
              </w:rPr>
              <w:t>表1-2  与规划环评审查意见相符性分析一览表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5"/>
              <w:gridCol w:w="3912"/>
              <w:gridCol w:w="1445"/>
              <w:gridCol w:w="460"/>
            </w:tblGrid>
            <w:tr w14:paraId="1FD8E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5" w:type="pct"/>
                  <w:vAlign w:val="center"/>
                </w:tcPr>
                <w:p w14:paraId="27671EDE">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序号</w:t>
                  </w:r>
                </w:p>
              </w:tc>
              <w:tc>
                <w:tcPr>
                  <w:tcW w:w="3124" w:type="pct"/>
                  <w:vAlign w:val="center"/>
                </w:tcPr>
                <w:p w14:paraId="3A17F20E">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意见要求</w:t>
                  </w:r>
                </w:p>
              </w:tc>
              <w:tc>
                <w:tcPr>
                  <w:tcW w:w="1154" w:type="pct"/>
                  <w:vAlign w:val="center"/>
                </w:tcPr>
                <w:p w14:paraId="43ADE0E5">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项目情况</w:t>
                  </w:r>
                </w:p>
              </w:tc>
              <w:tc>
                <w:tcPr>
                  <w:tcW w:w="368" w:type="pct"/>
                  <w:vAlign w:val="center"/>
                </w:tcPr>
                <w:p w14:paraId="00999AEB">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相符性</w:t>
                  </w:r>
                </w:p>
              </w:tc>
            </w:tr>
            <w:tr w14:paraId="073E2A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5" w:type="pct"/>
                  <w:vAlign w:val="center"/>
                </w:tcPr>
                <w:p w14:paraId="5F4F4EF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w:t>
                  </w:r>
                </w:p>
              </w:tc>
              <w:tc>
                <w:tcPr>
                  <w:tcW w:w="3124" w:type="pct"/>
                  <w:vAlign w:val="center"/>
                </w:tcPr>
                <w:p w14:paraId="0095A940">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全面贯彻习近平生态文明思想的绿色发展观，坚持“环保优先、绿色发展”理念，建立健全石化基地循环发展、清洁生产的指标体系并明确落实机制和保障措施。切实维护石化基地和周边区域生态环境质量，坚持高起点规划、高标准建设、高水平管理。钦州石化产业园区要加快转变经济发展方式，以资源环境承载力为基础，促进经济社会与资源环境协调发展，积极探索代价小、效益好、排放低、可持续的环境保护新道路，把科学开发与保护区域生态环境紧密结合起来，努力实现开发与保护双赢。</w:t>
                  </w:r>
                </w:p>
              </w:tc>
              <w:tc>
                <w:tcPr>
                  <w:tcW w:w="1154" w:type="pct"/>
                  <w:vAlign w:val="center"/>
                </w:tcPr>
                <w:p w14:paraId="088A9E92">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项目建设满足“三线一单”相关要求，生产过程满足环保优先、绿色发展理念。</w:t>
                  </w:r>
                </w:p>
              </w:tc>
              <w:tc>
                <w:tcPr>
                  <w:tcW w:w="368" w:type="pct"/>
                  <w:vAlign w:val="center"/>
                </w:tcPr>
                <w:p w14:paraId="48F201DC">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符合</w:t>
                  </w:r>
                </w:p>
              </w:tc>
            </w:tr>
            <w:tr w14:paraId="2FCC6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5" w:type="pct"/>
                  <w:vAlign w:val="center"/>
                </w:tcPr>
                <w:p w14:paraId="76EF77E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w:t>
                  </w:r>
                </w:p>
              </w:tc>
              <w:tc>
                <w:tcPr>
                  <w:tcW w:w="3124" w:type="pct"/>
                  <w:vAlign w:val="center"/>
                </w:tcPr>
                <w:p w14:paraId="5BD80254">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主动对接生态保护红线划定和国土空间规划编制，将生态保护红线作为保障和维护区域生态安全的底线，依法依规实施强制性保护。严格保护广西茅尾海红树林自然保护区，滨海湿地、金窝水库饮用水源一级保护区等生态保护区，不符合自然保护区和环境功能区划等相关管控要求的各类开发建设活动不得纳入《规划》。</w:t>
                  </w:r>
                </w:p>
              </w:tc>
              <w:tc>
                <w:tcPr>
                  <w:tcW w:w="1154" w:type="pct"/>
                  <w:vAlign w:val="center"/>
                </w:tcPr>
                <w:p w14:paraId="08DE44E2">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项目用地在园区规划范围内，不涉及生态保护红线。</w:t>
                  </w:r>
                </w:p>
              </w:tc>
              <w:tc>
                <w:tcPr>
                  <w:tcW w:w="368" w:type="pct"/>
                  <w:vAlign w:val="center"/>
                </w:tcPr>
                <w:p w14:paraId="520548F3">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符合</w:t>
                  </w:r>
                </w:p>
              </w:tc>
            </w:tr>
            <w:tr w14:paraId="2F68D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5" w:type="pct"/>
                  <w:vAlign w:val="center"/>
                </w:tcPr>
                <w:p w14:paraId="50230F2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w:t>
                  </w:r>
                </w:p>
              </w:tc>
              <w:tc>
                <w:tcPr>
                  <w:tcW w:w="3124" w:type="pct"/>
                  <w:vAlign w:val="center"/>
                </w:tcPr>
                <w:p w14:paraId="6C09509D">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加快现有排污口建设及污水处理厂提标改造，同时随着规划的实施开展3个排污口外迁排海相关技术论证。鉴于钦州港港口规划及规划实施可能对海域水动力条件及近岸海域排污区水环境容量造成影响，应尽快开展海域排污区论证，掌握海域水环境资源，明确园区生产和生活废水排污方案，近期规划依托整改后的A1、A2排口，中远期排污口应重新规划。</w:t>
                  </w:r>
                </w:p>
              </w:tc>
              <w:tc>
                <w:tcPr>
                  <w:tcW w:w="1154" w:type="pct"/>
                  <w:vAlign w:val="center"/>
                </w:tcPr>
                <w:p w14:paraId="3C668422">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项目生活污水经三级化粪池处理后排入园区市政污水管网，由钦州胜科水务有限公司污水处理厂进一步处理。</w:t>
                  </w:r>
                </w:p>
              </w:tc>
              <w:tc>
                <w:tcPr>
                  <w:tcW w:w="368" w:type="pct"/>
                  <w:vAlign w:val="center"/>
                </w:tcPr>
                <w:p w14:paraId="43E7D1CF">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符合</w:t>
                  </w:r>
                </w:p>
              </w:tc>
            </w:tr>
            <w:tr w14:paraId="15E929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5" w:type="pct"/>
                  <w:vAlign w:val="center"/>
                </w:tcPr>
                <w:p w14:paraId="6498F416">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w:t>
                  </w:r>
                </w:p>
              </w:tc>
              <w:tc>
                <w:tcPr>
                  <w:tcW w:w="3124" w:type="pct"/>
                  <w:vAlign w:val="center"/>
                </w:tcPr>
                <w:p w14:paraId="5AD8CB67">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严格落实规划空间用地方案，优化空间开发格局，尽快完善园区搬迁规划及实施。石化园区规划新增鹿耳片区，规划范围涉及鸡墩头村、老鸦坑、大坡顶、铁藤山等居民点。部分规划项目装置在建设时必须与居民区之间留有足够的安全及环境防护距离，为保证园区产业的健康可持续发展，规划应合理制订搬迁计划，实施时序，并按时落实，消除这些环境敏感点的环境风险。</w:t>
                  </w:r>
                </w:p>
              </w:tc>
              <w:tc>
                <w:tcPr>
                  <w:tcW w:w="1154" w:type="pct"/>
                  <w:vAlign w:val="center"/>
                </w:tcPr>
                <w:p w14:paraId="4A001F56">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项目运营期落实各项风险防控措施，环境风险事故可得到及时处置，影响较小。</w:t>
                  </w:r>
                </w:p>
              </w:tc>
              <w:tc>
                <w:tcPr>
                  <w:tcW w:w="368" w:type="pct"/>
                  <w:vAlign w:val="center"/>
                </w:tcPr>
                <w:p w14:paraId="01BEF5D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符合</w:t>
                  </w:r>
                </w:p>
              </w:tc>
            </w:tr>
            <w:tr w14:paraId="1EA06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5" w:type="pct"/>
                  <w:vAlign w:val="center"/>
                </w:tcPr>
                <w:p w14:paraId="2CD7735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w:t>
                  </w:r>
                </w:p>
              </w:tc>
              <w:tc>
                <w:tcPr>
                  <w:tcW w:w="3124" w:type="pct"/>
                  <w:vAlign w:val="center"/>
                </w:tcPr>
                <w:p w14:paraId="6070CF3C">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进一步优化《规划》布局、用地和产业发展规模、建设时序和产品方案等，严格控制近期发展的炼油以及石化下游产业规模。</w:t>
                  </w:r>
                </w:p>
                <w:p w14:paraId="62CB0996">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加强对石化产业园的环境风险管理，实行园区封闭式管理；完善区域应急方案，指定事故应急疏散点：建议石化区内主要产业区及相关风险源用地外扩1公里范围作为工业区环境风险防控区域。加强环境风险防范及环境风险应急体系建设。落实环境风险防范的主体责任，强化环境风险防范体系建设，形成与各规划区规划项目环境风险相匹配的应急能力，制定环境污染事故应急预案，应急预案应与当地政府和相关部门的应急预案相衔接，配备足够的应急处置设施和器材，加强区域应急物资调配，健全规划园区环境风险防范区域联动机制，有效应对突发环境事件。建立健全“装置-企业-园区”防控体系，在各企业设置环境风险事故应急池的基础上，分片区设置足够容积的园区级公共事故应急池，并形成互相联通系统；优化布局并保持与周边居住区、红树林保护区、滨海湿地等重要敏感目标合理距离，预防和减缓不利环境影响和风险。</w:t>
                  </w:r>
                </w:p>
              </w:tc>
              <w:tc>
                <w:tcPr>
                  <w:tcW w:w="1154" w:type="pct"/>
                  <w:vAlign w:val="center"/>
                </w:tcPr>
                <w:p w14:paraId="223BA2B3">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项目运营期落实各项风险防控措施，环境风险事故可得到及时处置，影响较小。</w:t>
                  </w:r>
                </w:p>
              </w:tc>
              <w:tc>
                <w:tcPr>
                  <w:tcW w:w="368" w:type="pct"/>
                  <w:vAlign w:val="center"/>
                </w:tcPr>
                <w:p w14:paraId="64DD736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符合</w:t>
                  </w:r>
                </w:p>
              </w:tc>
            </w:tr>
            <w:tr w14:paraId="7B4C6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5" w:type="pct"/>
                  <w:vAlign w:val="center"/>
                </w:tcPr>
                <w:p w14:paraId="0A73CB9C">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w:t>
                  </w:r>
                </w:p>
              </w:tc>
              <w:tc>
                <w:tcPr>
                  <w:tcW w:w="3124" w:type="pct"/>
                  <w:vAlign w:val="center"/>
                </w:tcPr>
                <w:p w14:paraId="1756D938">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落实污染防治措施，针对规划项目废气、废（污）水、体废物、危险化学品仓储及运输等，制定明确，有效地全过程监管方案。优先采用有利于生态环境保护的集疏运方式，强化扬尘、挥发性有机物等无组织排放污染控制和治理，严格各项污染防治措施，完善化学仓储、化学品输送管廊、危险废物（处置中心）规划，依法依规妥善处置固体废物。落实区域总量削减、环境质量改善方案，严格污染物总量控制要求和石化基地环境准入，引进项目的生产工艺、设备、污染治理技术，清洁生产水平等应达到同行业国际先进水平。严格控制石油类、氨氮、总磷等污染物排放浓度及排放量，采取有效措施减少挥发性有机化合物（VOCs）、氮氧化物（NOx）等污染物排放量。参照国际先进的VOCs排放控制体系，提升管理和控制水平。在生产、运输、储存各个环节，加强污染物排放控制和管理，全面提升环境保护管理水平。</w:t>
                  </w:r>
                </w:p>
              </w:tc>
              <w:tc>
                <w:tcPr>
                  <w:tcW w:w="1154" w:type="pct"/>
                  <w:vAlign w:val="center"/>
                </w:tcPr>
                <w:p w14:paraId="79D7FFFF">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项目实施后严格落实各项污染防治措施。</w:t>
                  </w:r>
                </w:p>
              </w:tc>
              <w:tc>
                <w:tcPr>
                  <w:tcW w:w="368" w:type="pct"/>
                  <w:vAlign w:val="center"/>
                </w:tcPr>
                <w:p w14:paraId="6E84E4D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符合</w:t>
                  </w:r>
                </w:p>
              </w:tc>
            </w:tr>
            <w:tr w14:paraId="30220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5" w:type="pct"/>
                  <w:vAlign w:val="center"/>
                </w:tcPr>
                <w:p w14:paraId="3DD4DF6D">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w:t>
                  </w:r>
                </w:p>
              </w:tc>
              <w:tc>
                <w:tcPr>
                  <w:tcW w:w="3124" w:type="pct"/>
                  <w:vAlign w:val="center"/>
                </w:tcPr>
                <w:p w14:paraId="2A8C3656">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建立涵盖水、生态、大气、湿地生态系统、珍稀保护物种、重要生境、渔业资源等环境敏感目标的常态化监测体系，对石化基地及周边主要环境要素中VOCs、半挥发性有机物（SVOC）等石化特征污染物，排污口附近海域的海水水质、沉积物、海洋生物、渔业资源和鱼类“三场”等进行定期监测和评估，并根据监测评估结果适时优化调整《规划》及生态环境保护措施和运营管理；明确环保投资、实施时限、责任主体等。</w:t>
                  </w:r>
                </w:p>
              </w:tc>
              <w:tc>
                <w:tcPr>
                  <w:tcW w:w="1154" w:type="pct"/>
                  <w:vAlign w:val="center"/>
                </w:tcPr>
                <w:p w14:paraId="600D3DA2">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项目不涉及海洋环境影响。</w:t>
                  </w:r>
                </w:p>
              </w:tc>
              <w:tc>
                <w:tcPr>
                  <w:tcW w:w="368" w:type="pct"/>
                  <w:vAlign w:val="center"/>
                </w:tcPr>
                <w:p w14:paraId="7702591F">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r>
            <w:tr w14:paraId="0693A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5" w:type="pct"/>
                  <w:vAlign w:val="center"/>
                </w:tcPr>
                <w:p w14:paraId="23C04B53">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8</w:t>
                  </w:r>
                </w:p>
              </w:tc>
              <w:tc>
                <w:tcPr>
                  <w:tcW w:w="3124" w:type="pct"/>
                  <w:vAlign w:val="center"/>
                </w:tcPr>
                <w:p w14:paraId="23167DD4">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应进一步延伸园区下游产业链，积极引入补链产业和静脉产业，拓展和优化石化园区行业内部以及行业间的产品代谢链和废物代谢链，严格控制不属于产业链项目（公用服务项目除外）的引入：应积极引进和扩大区内危险废物处理处置项目，优先引入单位产品能耗低、附加值较高的精细化工项目。建设钦州石化产业园区产品、副产品、固体废物等信息交流平台，整合钦州石化产业园区产业链上、中、下游资源需求，鼓励企业间加强各种代谢废物（如废气中二氧化硫、二氧化碳、污泥等）、蒸汽、中水、产品、副产品等的回收利用和梯级利用，充分发挥石化园区一体化优势，实现园区上游物料与园区下游需求充分对接，构建石化园区绿色循环经济产业链。优化园区环保基础设施建设。</w:t>
                  </w:r>
                </w:p>
              </w:tc>
              <w:tc>
                <w:tcPr>
                  <w:tcW w:w="1154" w:type="pct"/>
                  <w:vAlign w:val="center"/>
                </w:tcPr>
                <w:p w14:paraId="30E5FD37">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项目建设符合园区发展规划，各类固废处置去向明确，处置措施可行。</w:t>
                  </w:r>
                </w:p>
              </w:tc>
              <w:tc>
                <w:tcPr>
                  <w:tcW w:w="368" w:type="pct"/>
                  <w:vAlign w:val="center"/>
                </w:tcPr>
                <w:p w14:paraId="02300099">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符合</w:t>
                  </w:r>
                </w:p>
              </w:tc>
            </w:tr>
            <w:tr w14:paraId="31C9B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5" w:type="pct"/>
                  <w:vAlign w:val="center"/>
                </w:tcPr>
                <w:p w14:paraId="69FAFE16">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9</w:t>
                  </w:r>
                </w:p>
              </w:tc>
              <w:tc>
                <w:tcPr>
                  <w:tcW w:w="3124" w:type="pct"/>
                  <w:vAlign w:val="center"/>
                </w:tcPr>
                <w:p w14:paraId="5CF27616">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按照“以人为本”的原则，合理布局项目，对于防护带应做到用地性质不调整、不开发占用、不蚕食用地。建议钦州市及自贸区钦州港片区层面，进一步优化自贸区钦州港片区中心区、居住文教区的范围和规模，合理调整中心区的布局及未来人口居住区发展方向，限制常住人口规模。进一步优化园区产业布局和开发规模，规划新增的鹿耳片区与中港区居住生活区相连，应尽量避免鹿耳片区大气污染物高排放企业的进驻，并预留环境防护距离。</w:t>
                  </w:r>
                </w:p>
              </w:tc>
              <w:tc>
                <w:tcPr>
                  <w:tcW w:w="1154" w:type="pct"/>
                  <w:vAlign w:val="center"/>
                </w:tcPr>
                <w:p w14:paraId="5CA90E52">
                  <w:pP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项目租用广西自贸区临海资产管理有限公司的空置场地进行生产，用地为工业用地，项目选址为临时用地，已取得中国（广西）自由贸易</w:t>
                  </w:r>
                  <w:r>
                    <w:rPr>
                      <w:rFonts w:hint="eastAsia"/>
                      <w:color w:val="0D0D0D" w:themeColor="text1" w:themeTint="F2"/>
                      <w:szCs w:val="21"/>
                      <w:u w:val="single"/>
                      <w:lang w:eastAsia="zh-CN"/>
                      <w14:textFill>
                        <w14:solidFill>
                          <w14:schemeClr w14:val="tx1">
                            <w14:lumMod w14:val="95000"/>
                            <w14:lumOff w14:val="5000"/>
                          </w14:schemeClr>
                        </w14:solidFill>
                      </w14:textFill>
                    </w:rPr>
                    <w:t>试验区钦州</w:t>
                  </w:r>
                  <w:r>
                    <w:rPr>
                      <w:rFonts w:hint="eastAsia"/>
                      <w:color w:val="0D0D0D" w:themeColor="text1" w:themeTint="F2"/>
                      <w:szCs w:val="21"/>
                      <w:u w:val="single"/>
                      <w14:textFill>
                        <w14:solidFill>
                          <w14:schemeClr w14:val="tx1">
                            <w14:lumMod w14:val="95000"/>
                            <w14:lumOff w14:val="5000"/>
                          </w14:schemeClr>
                        </w14:solidFill>
                      </w14:textFill>
                    </w:rPr>
                    <w:t>港片区自然资源和建设局出具的临时选址意见，同意建设。根据建设单位提供的资料，待租赁期满后，项目停止生产并及时搬离，按照合同要求将场地恢复原状。</w:t>
                  </w:r>
                </w:p>
              </w:tc>
              <w:tc>
                <w:tcPr>
                  <w:tcW w:w="368" w:type="pct"/>
                  <w:vAlign w:val="center"/>
                </w:tcPr>
                <w:p w14:paraId="5C9741F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符合</w:t>
                  </w:r>
                </w:p>
              </w:tc>
            </w:tr>
            <w:tr w14:paraId="300EC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5" w:type="pct"/>
                  <w:vAlign w:val="center"/>
                </w:tcPr>
                <w:p w14:paraId="22C39326">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w:t>
                  </w:r>
                </w:p>
              </w:tc>
              <w:tc>
                <w:tcPr>
                  <w:tcW w:w="3124" w:type="pct"/>
                  <w:vAlign w:val="center"/>
                </w:tcPr>
                <w:p w14:paraId="43F0EA40">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三墩片区规划填海范围较大，并拟布置大型炼化项目，其周边存在三娘湾旅游区、北部湾二长棘鯛长毛对虾国家级种质资源保护区、中华白海豚核心活动区等生态敏感目标。建议规划实施过程中，应按生态优先、集约用地的原则，着力于进行功能布局优化，在已完成围填海的基础上进行集约利用现有陆域和岸线。未来中、远期规模经跟踪评价进一步论证后实施，深挖现有可利用土地资源的潜力，落实《国务院关于加强滨海湿地保护严格管控围填海的通知》精神，严格控制填海造地规模，并在围填海工作开展之前需对围填海的必要性、围填海生态环境影响以及对中华白海豚生态影响等进行充分论证评估，围填海手续完备的前提下，方可开展填海建设。</w:t>
                  </w:r>
                </w:p>
              </w:tc>
              <w:tc>
                <w:tcPr>
                  <w:tcW w:w="1154" w:type="pct"/>
                  <w:vAlign w:val="center"/>
                </w:tcPr>
                <w:p w14:paraId="0C57841A">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项目不在三墩片区，不涉及围填海工程。</w:t>
                  </w:r>
                </w:p>
              </w:tc>
              <w:tc>
                <w:tcPr>
                  <w:tcW w:w="368" w:type="pct"/>
                  <w:vAlign w:val="center"/>
                </w:tcPr>
                <w:p w14:paraId="14738DAC">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r>
            <w:tr w14:paraId="23070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5" w:type="pct"/>
                  <w:vAlign w:val="center"/>
                </w:tcPr>
                <w:p w14:paraId="426C911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11</w:t>
                  </w:r>
                </w:p>
              </w:tc>
              <w:tc>
                <w:tcPr>
                  <w:tcW w:w="3124" w:type="pct"/>
                  <w:vAlign w:val="center"/>
                </w:tcPr>
                <w:p w14:paraId="5A067E3C">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应进一步加强环境监管能力建设，根据功能分区、产业布局、重点项目和装置分布、特征污染物排放情况、环境敏感目标分布等，建立和完善大气、海洋、土壤、地下水等环境要素的监控体系，进行定期监测和评估，根据监测和评估结果适时优化《规划》。在生产、运输、储存各个环节，加强污染物排放控制和管理，全面提升环境保护管理水平，加强NOx和VOCs等臭氧前体物协同监控，采用国际先进的VOCs排放控制体系，加强重点污染物VOCs监测监控，加强环境信息共享，不断提升管理和控制水平。</w:t>
                  </w:r>
                </w:p>
              </w:tc>
              <w:tc>
                <w:tcPr>
                  <w:tcW w:w="1154" w:type="pct"/>
                  <w:vAlign w:val="center"/>
                </w:tcPr>
                <w:p w14:paraId="4625B90F">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项目运营期严格落实各项环保措施，加强非甲烷总烃等臭氧前体物协同监控，加强环境信息共享。</w:t>
                  </w:r>
                </w:p>
              </w:tc>
              <w:tc>
                <w:tcPr>
                  <w:tcW w:w="368" w:type="pct"/>
                  <w:vAlign w:val="center"/>
                </w:tcPr>
                <w:p w14:paraId="3039588E">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符合</w:t>
                  </w:r>
                </w:p>
              </w:tc>
            </w:tr>
            <w:tr w14:paraId="7394A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5" w:type="pct"/>
                  <w:vAlign w:val="center"/>
                </w:tcPr>
                <w:p w14:paraId="608451FF">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12</w:t>
                  </w:r>
                </w:p>
              </w:tc>
              <w:tc>
                <w:tcPr>
                  <w:tcW w:w="3124" w:type="pct"/>
                  <w:vAlign w:val="center"/>
                </w:tcPr>
                <w:p w14:paraId="4F4A7ED3">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在《规划》实施过程中产生重大不良环境影响的，规划编制机关应当及时提出改进措施，向规划审批机关报告，并通报环境保护等有关部门；规划正式实施每五年应依法开展环境影响跟踪评价，将评价结果报告规划审批机关，并通报环境保护等有关部门；在《规划》修编时应重新编制环境影响报告书。</w:t>
                  </w:r>
                </w:p>
              </w:tc>
              <w:tc>
                <w:tcPr>
                  <w:tcW w:w="1154" w:type="pct"/>
                  <w:vAlign w:val="center"/>
                </w:tcPr>
                <w:p w14:paraId="77F040A9">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项目建设满足规划环评相关要求。</w:t>
                  </w:r>
                </w:p>
              </w:tc>
              <w:tc>
                <w:tcPr>
                  <w:tcW w:w="368" w:type="pct"/>
                  <w:vAlign w:val="center"/>
                </w:tcPr>
                <w:p w14:paraId="56ED95B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符合</w:t>
                  </w:r>
                </w:p>
              </w:tc>
            </w:tr>
          </w:tbl>
          <w:p w14:paraId="271031EA">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综上，项目建设符合《钦州石化产业园总体发展规划环境影响报告书》及其审查意见相关要求。</w:t>
            </w:r>
          </w:p>
        </w:tc>
      </w:tr>
      <w:tr w14:paraId="7B7F43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78" w:hRule="atLeast"/>
          <w:jc w:val="center"/>
        </w:trPr>
        <w:tc>
          <w:tcPr>
            <w:tcW w:w="2382" w:type="dxa"/>
            <w:vAlign w:val="center"/>
          </w:tcPr>
          <w:p w14:paraId="43D6784D">
            <w:pPr>
              <w:autoSpaceDE w:val="0"/>
              <w:autoSpaceDN w:val="0"/>
              <w:adjustRightInd w:val="0"/>
              <w:snapToGrid w:val="0"/>
              <w:jc w:val="center"/>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其他符合性分析</w:t>
            </w:r>
          </w:p>
        </w:tc>
        <w:tc>
          <w:tcPr>
            <w:tcW w:w="6488" w:type="dxa"/>
            <w:gridSpan w:val="3"/>
            <w:vAlign w:val="center"/>
          </w:tcPr>
          <w:p w14:paraId="15D2040F">
            <w:pPr>
              <w:autoSpaceDE w:val="0"/>
              <w:autoSpaceDN w:val="0"/>
              <w:adjustRightInd w:val="0"/>
              <w:snapToGrid w:val="0"/>
              <w:spacing w:line="360" w:lineRule="auto"/>
              <w:ind w:firstLine="482" w:firstLineChars="200"/>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1</w:t>
            </w:r>
            <w:r>
              <w:rPr>
                <w:rFonts w:cs="宋体"/>
                <w:b/>
                <w:bCs/>
                <w:color w:val="0D0D0D" w:themeColor="text1" w:themeTint="F2"/>
                <w:kern w:val="0"/>
                <w:sz w:val="24"/>
                <w14:textFill>
                  <w14:solidFill>
                    <w14:schemeClr w14:val="tx1">
                      <w14:lumMod w14:val="95000"/>
                      <w14:lumOff w14:val="5000"/>
                    </w14:schemeClr>
                  </w14:solidFill>
                </w14:textFill>
              </w:rPr>
              <w:t>、产业政策</w:t>
            </w:r>
            <w:r>
              <w:rPr>
                <w:rFonts w:hint="eastAsia" w:cs="宋体"/>
                <w:b/>
                <w:bCs/>
                <w:color w:val="0D0D0D" w:themeColor="text1" w:themeTint="F2"/>
                <w:kern w:val="0"/>
                <w:sz w:val="24"/>
                <w14:textFill>
                  <w14:solidFill>
                    <w14:schemeClr w14:val="tx1">
                      <w14:lumMod w14:val="95000"/>
                      <w14:lumOff w14:val="5000"/>
                    </w14:schemeClr>
                  </w14:solidFill>
                </w14:textFill>
              </w:rPr>
              <w:t>相符性</w:t>
            </w:r>
            <w:r>
              <w:rPr>
                <w:rFonts w:cs="宋体"/>
                <w:b/>
                <w:bCs/>
                <w:color w:val="0D0D0D" w:themeColor="text1" w:themeTint="F2"/>
                <w:kern w:val="0"/>
                <w:sz w:val="24"/>
                <w14:textFill>
                  <w14:solidFill>
                    <w14:schemeClr w14:val="tx1">
                      <w14:lumMod w14:val="95000"/>
                      <w14:lumOff w14:val="5000"/>
                    </w14:schemeClr>
                  </w14:solidFill>
                </w14:textFill>
              </w:rPr>
              <w:t>分析</w:t>
            </w:r>
          </w:p>
          <w:p w14:paraId="129E9394">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项目对钢材（型材、板材和管材）进行防腐加工，根据《国民经济行业分类》（GB/T4754-2017）及其修改单，属于</w:t>
            </w:r>
            <w:r>
              <w:rPr>
                <w:rFonts w:hint="eastAsia" w:cs="宋体"/>
                <w:bCs/>
                <w:color w:val="0D0D0D" w:themeColor="text1" w:themeTint="F2"/>
                <w:kern w:val="0"/>
                <w:sz w:val="24"/>
                <w14:textFill>
                  <w14:solidFill>
                    <w14:schemeClr w14:val="tx1">
                      <w14:lumMod w14:val="95000"/>
                      <w14:lumOff w14:val="5000"/>
                    </w14:schemeClr>
                  </w14:solidFill>
                </w14:textFill>
              </w:rPr>
              <w:t>C3360金属表面处理及热处理加工</w:t>
            </w:r>
            <w:r>
              <w:rPr>
                <w:rFonts w:hint="eastAsia" w:cs="宋体"/>
                <w:color w:val="0D0D0D" w:themeColor="text1" w:themeTint="F2"/>
                <w:kern w:val="0"/>
                <w:sz w:val="24"/>
                <w14:textFill>
                  <w14:solidFill>
                    <w14:schemeClr w14:val="tx1">
                      <w14:lumMod w14:val="95000"/>
                      <w14:lumOff w14:val="5000"/>
                    </w14:schemeClr>
                  </w14:solidFill>
                </w14:textFill>
              </w:rPr>
              <w:t>。</w:t>
            </w:r>
          </w:p>
          <w:p w14:paraId="02BA3DFE">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cs="宋体"/>
                <w:color w:val="0D0D0D" w:themeColor="text1" w:themeTint="F2"/>
                <w:kern w:val="0"/>
                <w:sz w:val="24"/>
                <w14:textFill>
                  <w14:solidFill>
                    <w14:schemeClr w14:val="tx1">
                      <w14:lumMod w14:val="95000"/>
                      <w14:lumOff w14:val="5000"/>
                    </w14:schemeClr>
                  </w14:solidFill>
                </w14:textFill>
              </w:rPr>
              <w:t>根据《</w:t>
            </w:r>
            <w:r>
              <w:rPr>
                <w:rFonts w:hint="eastAsia" w:cs="宋体"/>
                <w:color w:val="0D0D0D" w:themeColor="text1" w:themeTint="F2"/>
                <w:kern w:val="0"/>
                <w:sz w:val="24"/>
                <w14:textFill>
                  <w14:solidFill>
                    <w14:schemeClr w14:val="tx1">
                      <w14:lumMod w14:val="95000"/>
                      <w14:lumOff w14:val="5000"/>
                    </w14:schemeClr>
                  </w14:solidFill>
                </w14:textFill>
              </w:rPr>
              <w:t>产业结构调整指导目录（2024年本）</w:t>
            </w:r>
            <w:r>
              <w:rPr>
                <w:rFonts w:cs="宋体"/>
                <w:color w:val="0D0D0D" w:themeColor="text1" w:themeTint="F2"/>
                <w:kern w:val="0"/>
                <w:sz w:val="24"/>
                <w14:textFill>
                  <w14:solidFill>
                    <w14:schemeClr w14:val="tx1">
                      <w14:lumMod w14:val="95000"/>
                      <w14:lumOff w14:val="5000"/>
                    </w14:schemeClr>
                  </w14:solidFill>
                </w14:textFill>
              </w:rPr>
              <w:t>》</w:t>
            </w:r>
            <w:r>
              <w:rPr>
                <w:rFonts w:hint="eastAsia" w:cs="宋体"/>
                <w:color w:val="0D0D0D" w:themeColor="text1" w:themeTint="F2"/>
                <w:kern w:val="0"/>
                <w:sz w:val="24"/>
                <w14:textFill>
                  <w14:solidFill>
                    <w14:schemeClr w14:val="tx1">
                      <w14:lumMod w14:val="95000"/>
                      <w14:lumOff w14:val="5000"/>
                    </w14:schemeClr>
                  </w14:solidFill>
                </w14:textFill>
              </w:rPr>
              <w:t>和《市场准入负面清单（2025年版）》</w:t>
            </w:r>
            <w:r>
              <w:rPr>
                <w:rFonts w:cs="宋体"/>
                <w:color w:val="0D0D0D" w:themeColor="text1" w:themeTint="F2"/>
                <w:kern w:val="0"/>
                <w:sz w:val="24"/>
                <w14:textFill>
                  <w14:solidFill>
                    <w14:schemeClr w14:val="tx1">
                      <w14:lumMod w14:val="95000"/>
                      <w14:lumOff w14:val="5000"/>
                    </w14:schemeClr>
                  </w14:solidFill>
                </w14:textFill>
              </w:rPr>
              <w:t>，</w:t>
            </w:r>
            <w:r>
              <w:rPr>
                <w:rFonts w:hint="eastAsia" w:cs="宋体"/>
                <w:color w:val="0D0D0D" w:themeColor="text1" w:themeTint="F2"/>
                <w:kern w:val="0"/>
                <w:sz w:val="24"/>
                <w14:textFill>
                  <w14:solidFill>
                    <w14:schemeClr w14:val="tx1">
                      <w14:lumMod w14:val="95000"/>
                      <w14:lumOff w14:val="5000"/>
                    </w14:schemeClr>
                  </w14:solidFill>
                </w14:textFill>
              </w:rPr>
              <w:t>项目</w:t>
            </w:r>
            <w:r>
              <w:rPr>
                <w:rFonts w:cs="宋体"/>
                <w:color w:val="0D0D0D" w:themeColor="text1" w:themeTint="F2"/>
                <w:kern w:val="0"/>
                <w:sz w:val="24"/>
                <w14:textFill>
                  <w14:solidFill>
                    <w14:schemeClr w14:val="tx1">
                      <w14:lumMod w14:val="95000"/>
                      <w14:lumOff w14:val="5000"/>
                    </w14:schemeClr>
                  </w14:solidFill>
                </w14:textFill>
              </w:rPr>
              <w:t>不属于</w:t>
            </w:r>
            <w:r>
              <w:rPr>
                <w:rFonts w:hint="eastAsia" w:cs="宋体"/>
                <w:color w:val="0D0D0D" w:themeColor="text1" w:themeTint="F2"/>
                <w:kern w:val="0"/>
                <w:sz w:val="24"/>
                <w14:textFill>
                  <w14:solidFill>
                    <w14:schemeClr w14:val="tx1">
                      <w14:lumMod w14:val="95000"/>
                      <w14:lumOff w14:val="5000"/>
                    </w14:schemeClr>
                  </w14:solidFill>
                </w14:textFill>
              </w:rPr>
              <w:t>其中的鼓励类、</w:t>
            </w:r>
            <w:r>
              <w:rPr>
                <w:rFonts w:cs="宋体"/>
                <w:color w:val="0D0D0D" w:themeColor="text1" w:themeTint="F2"/>
                <w:kern w:val="0"/>
                <w:sz w:val="24"/>
                <w14:textFill>
                  <w14:solidFill>
                    <w14:schemeClr w14:val="tx1">
                      <w14:lumMod w14:val="95000"/>
                      <w14:lumOff w14:val="5000"/>
                    </w14:schemeClr>
                  </w14:solidFill>
                </w14:textFill>
              </w:rPr>
              <w:t>限制类</w:t>
            </w:r>
            <w:r>
              <w:rPr>
                <w:rFonts w:hint="eastAsia" w:cs="宋体"/>
                <w:color w:val="0D0D0D" w:themeColor="text1" w:themeTint="F2"/>
                <w:kern w:val="0"/>
                <w:sz w:val="24"/>
                <w14:textFill>
                  <w14:solidFill>
                    <w14:schemeClr w14:val="tx1">
                      <w14:lumMod w14:val="95000"/>
                      <w14:lumOff w14:val="5000"/>
                    </w14:schemeClr>
                  </w14:solidFill>
                </w14:textFill>
              </w:rPr>
              <w:t>及</w:t>
            </w:r>
            <w:r>
              <w:rPr>
                <w:rFonts w:cs="宋体"/>
                <w:color w:val="0D0D0D" w:themeColor="text1" w:themeTint="F2"/>
                <w:kern w:val="0"/>
                <w:sz w:val="24"/>
                <w14:textFill>
                  <w14:solidFill>
                    <w14:schemeClr w14:val="tx1">
                      <w14:lumMod w14:val="95000"/>
                      <w14:lumOff w14:val="5000"/>
                    </w14:schemeClr>
                  </w14:solidFill>
                </w14:textFill>
              </w:rPr>
              <w:t>淘汰类</w:t>
            </w:r>
            <w:r>
              <w:rPr>
                <w:rFonts w:hint="eastAsia" w:cs="宋体"/>
                <w:color w:val="0D0D0D" w:themeColor="text1" w:themeTint="F2"/>
                <w:kern w:val="0"/>
                <w:sz w:val="24"/>
                <w14:textFill>
                  <w14:solidFill>
                    <w14:schemeClr w14:val="tx1">
                      <w14:lumMod w14:val="95000"/>
                      <w14:lumOff w14:val="5000"/>
                    </w14:schemeClr>
                  </w14:solidFill>
                </w14:textFill>
              </w:rPr>
              <w:t>。根据《促进产业结构调整暂行规定》（国发〔20</w:t>
            </w:r>
            <w:r>
              <w:rPr>
                <w:rFonts w:cs="宋体"/>
                <w:color w:val="0D0D0D" w:themeColor="text1" w:themeTint="F2"/>
                <w:kern w:val="0"/>
                <w:sz w:val="24"/>
                <w14:textFill>
                  <w14:solidFill>
                    <w14:schemeClr w14:val="tx1">
                      <w14:lumMod w14:val="95000"/>
                      <w14:lumOff w14:val="5000"/>
                    </w14:schemeClr>
                  </w14:solidFill>
                </w14:textFill>
              </w:rPr>
              <w:t>05</w:t>
            </w:r>
            <w:r>
              <w:rPr>
                <w:rFonts w:hint="eastAsia" w:cs="宋体"/>
                <w:color w:val="0D0D0D" w:themeColor="text1" w:themeTint="F2"/>
                <w:kern w:val="0"/>
                <w:sz w:val="24"/>
                <w14:textFill>
                  <w14:solidFill>
                    <w14:schemeClr w14:val="tx1">
                      <w14:lumMod w14:val="95000"/>
                      <w14:lumOff w14:val="5000"/>
                    </w14:schemeClr>
                  </w14:solidFill>
                </w14:textFill>
              </w:rPr>
              <w:t>〕40号），“第十三条，不属于鼓励类、限制类和淘汰类，且符合国家相关法律、法规、政策规定的，为允许类。”因此，项目为允许类项目。</w:t>
            </w:r>
          </w:p>
          <w:p w14:paraId="23965FE3">
            <w:pPr>
              <w:autoSpaceDE w:val="0"/>
              <w:autoSpaceDN w:val="0"/>
              <w:adjustRightInd w:val="0"/>
              <w:snapToGrid w:val="0"/>
              <w:spacing w:line="360" w:lineRule="auto"/>
              <w:ind w:firstLine="480" w:firstLineChars="200"/>
              <w:rPr>
                <w:rFonts w:cs="宋体"/>
                <w:color w:val="0D0D0D" w:themeColor="text1" w:themeTint="F2"/>
                <w:kern w:val="0"/>
                <w:sz w:val="24"/>
                <w:u w:val="single"/>
                <w14:textFill>
                  <w14:solidFill>
                    <w14:schemeClr w14:val="tx1">
                      <w14:lumMod w14:val="95000"/>
                      <w14:lumOff w14:val="5000"/>
                    </w14:schemeClr>
                  </w14:solidFill>
                </w14:textFill>
              </w:rPr>
            </w:pPr>
            <w:r>
              <w:rPr>
                <w:rFonts w:hint="eastAsia" w:cs="宋体"/>
                <w:color w:val="0D0D0D" w:themeColor="text1" w:themeTint="F2"/>
                <w:kern w:val="0"/>
                <w:sz w:val="24"/>
                <w:u w:val="single"/>
                <w14:textFill>
                  <w14:solidFill>
                    <w14:schemeClr w14:val="tx1">
                      <w14:lumMod w14:val="95000"/>
                      <w14:lumOff w14:val="5000"/>
                    </w14:schemeClr>
                  </w14:solidFill>
                </w14:textFill>
              </w:rPr>
              <w:t>根据《国家污染防治技术指导目录》（环办科财函〔2025〕197号），VOCs（挥发性有机物）洗涤吸收净化技术、VOCs光催化及其组合净化技术、VOCs低温等离子体及其组合净化技术和VOCs光解（光氧化）及其组合净化技术属于低效类技术。项目有机废气治理工艺为水帘柜+二级活性炭吸附脱附+CO催化燃烧，不属于该目录中的低效类技术，项目所用工艺、设备均不属于限制类和淘汰类。</w:t>
            </w:r>
          </w:p>
          <w:p w14:paraId="34F25E02">
            <w:pPr>
              <w:autoSpaceDE w:val="0"/>
              <w:autoSpaceDN w:val="0"/>
              <w:adjustRightInd w:val="0"/>
              <w:snapToGrid w:val="0"/>
              <w:spacing w:line="360" w:lineRule="auto"/>
              <w:ind w:firstLine="480" w:firstLineChars="200"/>
              <w:rPr>
                <w:rFonts w:cs="宋体"/>
                <w:bCs/>
                <w:color w:val="0D0D0D" w:themeColor="text1" w:themeTint="F2"/>
                <w:kern w:val="0"/>
                <w:sz w:val="24"/>
                <w14:textFill>
                  <w14:solidFill>
                    <w14:schemeClr w14:val="tx1">
                      <w14:lumMod w14:val="95000"/>
                      <w14:lumOff w14:val="5000"/>
                    </w14:schemeClr>
                  </w14:solidFill>
                </w14:textFill>
              </w:rPr>
            </w:pPr>
            <w:r>
              <w:rPr>
                <w:rFonts w:cs="宋体"/>
                <w:color w:val="0D0D0D" w:themeColor="text1" w:themeTint="F2"/>
                <w:kern w:val="0"/>
                <w:sz w:val="24"/>
                <w14:textFill>
                  <w14:solidFill>
                    <w14:schemeClr w14:val="tx1">
                      <w14:lumMod w14:val="95000"/>
                      <w14:lumOff w14:val="5000"/>
                    </w14:schemeClr>
                  </w14:solidFill>
                </w14:textFill>
              </w:rPr>
              <w:t>根据</w:t>
            </w:r>
            <w:r>
              <w:rPr>
                <w:rFonts w:hint="eastAsia" w:cs="宋体"/>
                <w:color w:val="0D0D0D" w:themeColor="text1" w:themeTint="F2"/>
                <w:kern w:val="0"/>
                <w:sz w:val="24"/>
                <w14:textFill>
                  <w14:solidFill>
                    <w14:schemeClr w14:val="tx1">
                      <w14:lumMod w14:val="95000"/>
                      <w14:lumOff w14:val="5000"/>
                    </w14:schemeClr>
                  </w14:solidFill>
                </w14:textFill>
              </w:rPr>
              <w:t>《广西壮族自治区人民政府办公厅关于印发北钦防一体化产业协同发展限制布局清单（工业类2021年版）的通知》（桂政办函〔2021〕4号）</w:t>
            </w:r>
            <w:r>
              <w:rPr>
                <w:rFonts w:cs="宋体"/>
                <w:color w:val="0D0D0D" w:themeColor="text1" w:themeTint="F2"/>
                <w:kern w:val="0"/>
                <w:sz w:val="24"/>
                <w14:textFill>
                  <w14:solidFill>
                    <w14:schemeClr w14:val="tx1">
                      <w14:lumMod w14:val="95000"/>
                      <w14:lumOff w14:val="5000"/>
                    </w14:schemeClr>
                  </w14:solidFill>
                </w14:textFill>
              </w:rPr>
              <w:t>，项目</w:t>
            </w:r>
            <w:r>
              <w:rPr>
                <w:rFonts w:hint="eastAsia" w:cs="宋体"/>
                <w:color w:val="0D0D0D" w:themeColor="text1" w:themeTint="F2"/>
                <w:kern w:val="0"/>
                <w:sz w:val="24"/>
                <w14:textFill>
                  <w14:solidFill>
                    <w14:schemeClr w14:val="tx1">
                      <w14:lumMod w14:val="95000"/>
                      <w14:lumOff w14:val="5000"/>
                    </w14:schemeClr>
                  </w14:solidFill>
                </w14:textFill>
              </w:rPr>
              <w:t>不涉及其中的限制类。</w:t>
            </w:r>
          </w:p>
          <w:p w14:paraId="28301E1A">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同时，项目已在广西投资项目在线审批监管平台备案登记，备案机关为广西自贸区钦州港片区行政审批局，项目代码为</w:t>
            </w:r>
            <w:r>
              <w:rPr>
                <w:rFonts w:hint="eastAsia" w:cs="宋体"/>
                <w:color w:val="0D0D0D" w:themeColor="text1" w:themeTint="F2"/>
                <w:sz w:val="24"/>
                <w14:textFill>
                  <w14:solidFill>
                    <w14:schemeClr w14:val="tx1">
                      <w14:lumMod w14:val="95000"/>
                      <w14:lumOff w14:val="5000"/>
                    </w14:schemeClr>
                  </w14:solidFill>
                </w14:textFill>
              </w:rPr>
              <w:t>2503-450704-04-01-828673，备案证明</w:t>
            </w:r>
            <w:r>
              <w:rPr>
                <w:rFonts w:hint="eastAsia" w:cs="宋体"/>
                <w:color w:val="0D0D0D" w:themeColor="text1" w:themeTint="F2"/>
                <w:kern w:val="0"/>
                <w:sz w:val="24"/>
                <w14:textFill>
                  <w14:solidFill>
                    <w14:schemeClr w14:val="tx1">
                      <w14:lumMod w14:val="95000"/>
                      <w14:lumOff w14:val="5000"/>
                    </w14:schemeClr>
                  </w14:solidFill>
                </w14:textFill>
              </w:rPr>
              <w:t>详见附件2。</w:t>
            </w:r>
          </w:p>
          <w:p w14:paraId="58FF9446">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综上所述，项目建设</w:t>
            </w:r>
            <w:r>
              <w:rPr>
                <w:rFonts w:cs="宋体"/>
                <w:color w:val="0D0D0D" w:themeColor="text1" w:themeTint="F2"/>
                <w:kern w:val="0"/>
                <w:sz w:val="24"/>
                <w14:textFill>
                  <w14:solidFill>
                    <w14:schemeClr w14:val="tx1">
                      <w14:lumMod w14:val="95000"/>
                      <w14:lumOff w14:val="5000"/>
                    </w14:schemeClr>
                  </w14:solidFill>
                </w14:textFill>
              </w:rPr>
              <w:t>符合国家</w:t>
            </w:r>
            <w:r>
              <w:rPr>
                <w:rFonts w:hint="eastAsia" w:cs="宋体"/>
                <w:color w:val="0D0D0D" w:themeColor="text1" w:themeTint="F2"/>
                <w:kern w:val="0"/>
                <w:sz w:val="24"/>
                <w14:textFill>
                  <w14:solidFill>
                    <w14:schemeClr w14:val="tx1">
                      <w14:lumMod w14:val="95000"/>
                      <w14:lumOff w14:val="5000"/>
                    </w14:schemeClr>
                  </w14:solidFill>
                </w14:textFill>
              </w:rPr>
              <w:t>和地方</w:t>
            </w:r>
            <w:r>
              <w:rPr>
                <w:rFonts w:cs="宋体"/>
                <w:color w:val="0D0D0D" w:themeColor="text1" w:themeTint="F2"/>
                <w:kern w:val="0"/>
                <w:sz w:val="24"/>
                <w14:textFill>
                  <w14:solidFill>
                    <w14:schemeClr w14:val="tx1">
                      <w14:lumMod w14:val="95000"/>
                      <w14:lumOff w14:val="5000"/>
                    </w14:schemeClr>
                  </w14:solidFill>
                </w14:textFill>
              </w:rPr>
              <w:t>产业政策</w:t>
            </w:r>
            <w:r>
              <w:rPr>
                <w:rFonts w:hint="eastAsia" w:cs="宋体"/>
                <w:color w:val="0D0D0D" w:themeColor="text1" w:themeTint="F2"/>
                <w:kern w:val="0"/>
                <w:sz w:val="24"/>
                <w14:textFill>
                  <w14:solidFill>
                    <w14:schemeClr w14:val="tx1">
                      <w14:lumMod w14:val="95000"/>
                      <w14:lumOff w14:val="5000"/>
                    </w14:schemeClr>
                  </w14:solidFill>
                </w14:textFill>
              </w:rPr>
              <w:t>要求</w:t>
            </w:r>
            <w:r>
              <w:rPr>
                <w:rFonts w:cs="宋体"/>
                <w:color w:val="0D0D0D" w:themeColor="text1" w:themeTint="F2"/>
                <w:kern w:val="0"/>
                <w:sz w:val="24"/>
                <w14:textFill>
                  <w14:solidFill>
                    <w14:schemeClr w14:val="tx1">
                      <w14:lumMod w14:val="95000"/>
                      <w14:lumOff w14:val="5000"/>
                    </w14:schemeClr>
                  </w14:solidFill>
                </w14:textFill>
              </w:rPr>
              <w:t>。</w:t>
            </w:r>
          </w:p>
          <w:p w14:paraId="5FE8308C">
            <w:pPr>
              <w:autoSpaceDE w:val="0"/>
              <w:autoSpaceDN w:val="0"/>
              <w:adjustRightInd w:val="0"/>
              <w:snapToGrid w:val="0"/>
              <w:spacing w:line="360" w:lineRule="auto"/>
              <w:ind w:firstLine="482" w:firstLineChars="200"/>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2、“三线一单”相符性分析</w:t>
            </w:r>
          </w:p>
          <w:p w14:paraId="1B614F0D">
            <w:pPr>
              <w:autoSpaceDE w:val="0"/>
              <w:autoSpaceDN w:val="0"/>
              <w:adjustRightInd w:val="0"/>
              <w:snapToGrid w:val="0"/>
              <w:spacing w:line="360" w:lineRule="auto"/>
              <w:ind w:firstLine="482" w:firstLineChars="200"/>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（1）生态保护红线</w:t>
            </w:r>
          </w:p>
          <w:p w14:paraId="3B93A82D">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根据广西“生态云”平台建设项目智能研判报告（附件6），项目不涉及生态保护红线，涉及的管控单元为广西钦州石化产业园重点管控单元（</w:t>
            </w:r>
            <w:r>
              <w:rPr>
                <w:rFonts w:cs="宋体"/>
                <w:color w:val="0D0D0D" w:themeColor="text1" w:themeTint="F2"/>
                <w:kern w:val="0"/>
                <w:sz w:val="24"/>
                <w14:textFill>
                  <w14:solidFill>
                    <w14:schemeClr w14:val="tx1">
                      <w14:lumMod w14:val="95000"/>
                      <w14:lumOff w14:val="5000"/>
                    </w14:schemeClr>
                  </w14:solidFill>
                </w14:textFill>
              </w:rPr>
              <w:t>ZH45070220003</w:t>
            </w:r>
            <w:r>
              <w:rPr>
                <w:rFonts w:hint="eastAsia" w:cs="宋体"/>
                <w:color w:val="0D0D0D" w:themeColor="text1" w:themeTint="F2"/>
                <w:kern w:val="0"/>
                <w:sz w:val="24"/>
                <w14:textFill>
                  <w14:solidFill>
                    <w14:schemeClr w14:val="tx1">
                      <w14:lumMod w14:val="95000"/>
                      <w14:lumOff w14:val="5000"/>
                    </w14:schemeClr>
                  </w14:solidFill>
                </w14:textFill>
              </w:rPr>
              <w:t>）。</w:t>
            </w:r>
          </w:p>
          <w:p w14:paraId="6C064529">
            <w:pPr>
              <w:autoSpaceDE w:val="0"/>
              <w:autoSpaceDN w:val="0"/>
              <w:adjustRightInd w:val="0"/>
              <w:snapToGrid w:val="0"/>
              <w:spacing w:line="360" w:lineRule="auto"/>
              <w:ind w:firstLine="482" w:firstLineChars="200"/>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（2）环境质量底线</w:t>
            </w:r>
          </w:p>
          <w:p w14:paraId="168D181A">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项目针对大气污染源采取切实可行的污染防治措施，能够做到大气污染物达标排放，因此，不触及大气环境质量底线。</w:t>
            </w:r>
            <w:r>
              <w:rPr>
                <w:rFonts w:hint="eastAsia"/>
                <w:snapToGrid w:val="0"/>
                <w:color w:val="0D0D0D" w:themeColor="text1" w:themeTint="F2"/>
                <w:kern w:val="0"/>
                <w:sz w:val="24"/>
                <w14:textFill>
                  <w14:solidFill>
                    <w14:schemeClr w14:val="tx1">
                      <w14:lumMod w14:val="95000"/>
                      <w14:lumOff w14:val="5000"/>
                    </w14:schemeClr>
                  </w14:solidFill>
                </w14:textFill>
              </w:rPr>
              <w:t>生活污水经三级化粪池处理后排入园区市政污水管网，由钦州胜科水务有限公司污水处理厂进一步处理，</w:t>
            </w:r>
            <w:r>
              <w:rPr>
                <w:rFonts w:hint="eastAsia" w:cs="宋体"/>
                <w:color w:val="0D0D0D" w:themeColor="text1" w:themeTint="F2"/>
                <w:kern w:val="0"/>
                <w:sz w:val="24"/>
                <w14:textFill>
                  <w14:solidFill>
                    <w14:schemeClr w14:val="tx1">
                      <w14:lumMod w14:val="95000"/>
                      <w14:lumOff w14:val="5000"/>
                    </w14:schemeClr>
                  </w14:solidFill>
                </w14:textFill>
              </w:rPr>
              <w:t>因此，不触及水环境质量底线。根据《广西壮族自治区生态环境厅 广西壮族自治区自然资源厅关于公布广西壮族自治区建设用地土壤污染风险管控和修复名录（2025年6月4日更新）的通告》（桂环通告〔2025〕5号），项目选址不属于列入建设用地土壤污染风险管控和修复名录的地块。项目采取各项污染防治措施后，能够做到大气污染物达标排放，场区采取分区防渗措施，对土壤环境质量影响较小，不触及土壤环境风险防控底线。</w:t>
            </w:r>
          </w:p>
          <w:p w14:paraId="3DE26B72">
            <w:pPr>
              <w:autoSpaceDE w:val="0"/>
              <w:autoSpaceDN w:val="0"/>
              <w:adjustRightInd w:val="0"/>
              <w:snapToGrid w:val="0"/>
              <w:spacing w:line="360" w:lineRule="auto"/>
              <w:ind w:firstLine="482" w:firstLineChars="200"/>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（3）资源利用上线</w:t>
            </w:r>
          </w:p>
          <w:p w14:paraId="12912426">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项目运行过程中能源消耗主要为电能和新鲜水，并占用一定土地资源，电能、用水和土地等资源的消耗量相对区域利用总量较少，符合资源利用上线要求。</w:t>
            </w:r>
          </w:p>
          <w:p w14:paraId="6524741C">
            <w:pPr>
              <w:autoSpaceDE w:val="0"/>
              <w:autoSpaceDN w:val="0"/>
              <w:adjustRightInd w:val="0"/>
              <w:snapToGrid w:val="0"/>
              <w:spacing w:line="360" w:lineRule="auto"/>
              <w:ind w:firstLine="482" w:firstLineChars="200"/>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（4）环境准入负面清单</w:t>
            </w:r>
          </w:p>
          <w:p w14:paraId="1CE12DC7">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根据《自治区落实主体功能区战略和制度厅际联席会议关于印发&lt;广西壮族自治区重点生态功能区县产业准入负面清单调整方案&gt;的通知》，项目所在地未划入产业准入负面清单。</w:t>
            </w:r>
          </w:p>
          <w:p w14:paraId="6BD1D42D">
            <w:pPr>
              <w:autoSpaceDE w:val="0"/>
              <w:autoSpaceDN w:val="0"/>
              <w:adjustRightInd w:val="0"/>
              <w:snapToGrid w:val="0"/>
              <w:spacing w:line="360" w:lineRule="auto"/>
              <w:ind w:firstLine="482" w:firstLineChars="200"/>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（5）与《广西壮族自治区生态环境厅关于印发实施广西壮族自治区生态环境分区管控动态更新成果（2023年）的通知》（桂环规范〔2024〕3号）相符性分析</w:t>
            </w:r>
          </w:p>
          <w:p w14:paraId="228B8C52">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根据《广西壮族自治区生态环境厅关于印发实施广西壮族自治区生态环境分区管控动态更新成果（2023年）的通知》（桂环规范〔2024〕3号），项目与陆域产业布局总体生态环境准入及管控要求相符性分析详见表1-3，与陆域重点管控区总体生态环境准入及管控要求中的工业集聚区重点管控单元相符性分析详见表1-4，与北部湾经济区生态环境准入及管控要求相符性分析详见表1-5。</w:t>
            </w:r>
          </w:p>
          <w:p w14:paraId="46D60723">
            <w:pPr>
              <w:widowControl/>
              <w:adjustRightInd w:val="0"/>
              <w:snapToGrid w:val="0"/>
              <w:jc w:val="center"/>
              <w:rPr>
                <w:b/>
                <w:bCs/>
                <w:snapToGrid w:val="0"/>
                <w:color w:val="0D0D0D" w:themeColor="text1" w:themeTint="F2"/>
                <w:kern w:val="0"/>
                <w:szCs w:val="21"/>
                <w14:textFill>
                  <w14:solidFill>
                    <w14:schemeClr w14:val="tx1">
                      <w14:lumMod w14:val="95000"/>
                      <w14:lumOff w14:val="5000"/>
                    </w14:schemeClr>
                  </w14:solidFill>
                </w14:textFill>
              </w:rPr>
            </w:pPr>
            <w:r>
              <w:rPr>
                <w:rFonts w:hint="eastAsia"/>
                <w:b/>
                <w:bCs/>
                <w:snapToGrid w:val="0"/>
                <w:color w:val="0D0D0D" w:themeColor="text1" w:themeTint="F2"/>
                <w:kern w:val="0"/>
                <w:szCs w:val="21"/>
                <w14:textFill>
                  <w14:solidFill>
                    <w14:schemeClr w14:val="tx1">
                      <w14:lumMod w14:val="95000"/>
                      <w14:lumOff w14:val="5000"/>
                    </w14:schemeClr>
                  </w14:solidFill>
                </w14:textFill>
              </w:rPr>
              <w:t>表1-3</w:t>
            </w:r>
            <w:r>
              <w:rPr>
                <w:b/>
                <w:bCs/>
                <w:snapToGrid w:val="0"/>
                <w:color w:val="0D0D0D" w:themeColor="text1" w:themeTint="F2"/>
                <w:kern w:val="0"/>
                <w:szCs w:val="21"/>
                <w14:textFill>
                  <w14:solidFill>
                    <w14:schemeClr w14:val="tx1">
                      <w14:lumMod w14:val="95000"/>
                      <w14:lumOff w14:val="5000"/>
                    </w14:schemeClr>
                  </w14:solidFill>
                </w14:textFill>
              </w:rPr>
              <w:t xml:space="preserve">  </w:t>
            </w:r>
            <w:r>
              <w:rPr>
                <w:rFonts w:hint="eastAsia"/>
                <w:b/>
                <w:bCs/>
                <w:snapToGrid w:val="0"/>
                <w:color w:val="0D0D0D" w:themeColor="text1" w:themeTint="F2"/>
                <w:kern w:val="0"/>
                <w:szCs w:val="21"/>
                <w14:textFill>
                  <w14:solidFill>
                    <w14:schemeClr w14:val="tx1">
                      <w14:lumMod w14:val="95000"/>
                      <w14:lumOff w14:val="5000"/>
                    </w14:schemeClr>
                  </w14:solidFill>
                </w14:textFill>
              </w:rPr>
              <w:t>与陆域产业布局总体生态环境准入及管控要求相符性分析</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7"/>
              <w:gridCol w:w="3232"/>
              <w:gridCol w:w="2104"/>
              <w:gridCol w:w="439"/>
            </w:tblGrid>
            <w:tr w14:paraId="30148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70" w:type="pct"/>
                  <w:gridSpan w:val="2"/>
                  <w:vAlign w:val="center"/>
                </w:tcPr>
                <w:p w14:paraId="1BDCA07C">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snapToGrid w:val="0"/>
                      <w:color w:val="0D0D0D" w:themeColor="text1" w:themeTint="F2"/>
                      <w:kern w:val="0"/>
                      <w:szCs w:val="21"/>
                      <w14:textFill>
                        <w14:solidFill>
                          <w14:schemeClr w14:val="tx1">
                            <w14:lumMod w14:val="95000"/>
                            <w14:lumOff w14:val="5000"/>
                          </w14:schemeClr>
                        </w14:solidFill>
                      </w14:textFill>
                    </w:rPr>
                    <w:t>生态环境准入清单要求</w:t>
                  </w:r>
                </w:p>
              </w:tc>
              <w:tc>
                <w:tcPr>
                  <w:tcW w:w="1680" w:type="pct"/>
                  <w:vAlign w:val="center"/>
                </w:tcPr>
                <w:p w14:paraId="7A05758F">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snapToGrid w:val="0"/>
                      <w:color w:val="0D0D0D" w:themeColor="text1" w:themeTint="F2"/>
                      <w:kern w:val="0"/>
                      <w:szCs w:val="21"/>
                      <w14:textFill>
                        <w14:solidFill>
                          <w14:schemeClr w14:val="tx1">
                            <w14:lumMod w14:val="95000"/>
                            <w14:lumOff w14:val="5000"/>
                          </w14:schemeClr>
                        </w14:solidFill>
                      </w14:textFill>
                    </w:rPr>
                    <w:t>项目情况</w:t>
                  </w:r>
                </w:p>
              </w:tc>
              <w:tc>
                <w:tcPr>
                  <w:tcW w:w="350" w:type="pct"/>
                  <w:vAlign w:val="center"/>
                </w:tcPr>
                <w:p w14:paraId="3E7BD7D9">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结论</w:t>
                  </w:r>
                </w:p>
              </w:tc>
            </w:tr>
            <w:tr w14:paraId="454AA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9" w:type="pct"/>
                  <w:vMerge w:val="restart"/>
                  <w:vAlign w:val="center"/>
                </w:tcPr>
                <w:p w14:paraId="1E417980">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空间布局约束</w:t>
                  </w:r>
                </w:p>
              </w:tc>
              <w:tc>
                <w:tcPr>
                  <w:tcW w:w="2581" w:type="pct"/>
                  <w:vAlign w:val="center"/>
                </w:tcPr>
                <w:p w14:paraId="50DEF04D">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（1）新建、改建、扩建工业项目应按照国家、自治区相关行业建设项目环境影响评价文件审批原则入园。新建企业应符合批准实施的国土空间规划、“十四五”规划纲要和相关专项规划。</w:t>
                  </w:r>
                </w:p>
              </w:tc>
              <w:tc>
                <w:tcPr>
                  <w:tcW w:w="1680" w:type="pct"/>
                  <w:vAlign w:val="center"/>
                </w:tcPr>
                <w:p w14:paraId="13B59AC8">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项目位于钦州石化产业园，符合国土空间规划、“十四五”规划纲要和相关专项规划。</w:t>
                  </w:r>
                </w:p>
              </w:tc>
              <w:tc>
                <w:tcPr>
                  <w:tcW w:w="350" w:type="pct"/>
                  <w:vAlign w:val="center"/>
                </w:tcPr>
                <w:p w14:paraId="38FFB835">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7D244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9" w:type="pct"/>
                  <w:vMerge w:val="continue"/>
                  <w:vAlign w:val="center"/>
                </w:tcPr>
                <w:p w14:paraId="5B5CC185">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581" w:type="pct"/>
                  <w:vAlign w:val="center"/>
                </w:tcPr>
                <w:p w14:paraId="1078E8D5">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2）禁止新建、扩建现行《产业结构调整指导目录》《广西工业产业结构调整指导目录》明确的淘汰类、禁止类项目；禁止引入不符合现行《市场准入负面清单》禁止准入类事项。新建项目要严格落实国家有关产业重大生产力规划布局要求，并符合广西优化主导产业布局、新发展格局下广西重点产业布局规划、广西制造强区建设中长期规划及相关产业规划布局。</w:t>
                  </w:r>
                </w:p>
              </w:tc>
              <w:tc>
                <w:tcPr>
                  <w:tcW w:w="1680" w:type="pct"/>
                  <w:vAlign w:val="center"/>
                </w:tcPr>
                <w:p w14:paraId="0988DADF">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产业结构调整指导目录（2024年本）》、《市场准入负面清单（2025年版）》和《广西壮族自治区人民政府办公厅关于印发北钦防一体化产业协同发展限制布局清单（工业类2021年版）的通知》等文件中的禁止、限制和淘汰类。</w:t>
                  </w:r>
                </w:p>
              </w:tc>
              <w:tc>
                <w:tcPr>
                  <w:tcW w:w="350" w:type="pct"/>
                  <w:vAlign w:val="center"/>
                </w:tcPr>
                <w:p w14:paraId="624145EC">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66630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9" w:type="pct"/>
                  <w:vMerge w:val="continue"/>
                  <w:vAlign w:val="center"/>
                </w:tcPr>
                <w:p w14:paraId="7503B56F">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581" w:type="pct"/>
                  <w:vAlign w:val="center"/>
                </w:tcPr>
                <w:p w14:paraId="2A544974">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（3）鼓励和引导新建涉挥发性有机物VOCs排放的工业企业入园区（含工业园区、工业集中区、工业集聚区）。未纳入《石化产业规划布局方案》的新建炼化项目一律不得建设</w:t>
                  </w:r>
                  <w:r>
                    <w:rPr>
                      <w:snapToGrid w:val="0"/>
                      <w:color w:val="0D0D0D" w:themeColor="text1" w:themeTint="F2"/>
                      <w:kern w:val="0"/>
                      <w:szCs w:val="21"/>
                      <w14:textFill>
                        <w14:solidFill>
                          <w14:schemeClr w14:val="tx1">
                            <w14:lumMod w14:val="95000"/>
                            <w14:lumOff w14:val="5000"/>
                          </w14:schemeClr>
                        </w14:solidFill>
                      </w14:textFill>
                    </w:rPr>
                    <w:t>。</w:t>
                  </w:r>
                </w:p>
              </w:tc>
              <w:tc>
                <w:tcPr>
                  <w:tcW w:w="1680" w:type="pct"/>
                  <w:vAlign w:val="center"/>
                </w:tcPr>
                <w:p w14:paraId="7E92B0CB">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项目位于钦州石化产业园。</w:t>
                  </w:r>
                </w:p>
              </w:tc>
              <w:tc>
                <w:tcPr>
                  <w:tcW w:w="350" w:type="pct"/>
                  <w:vAlign w:val="center"/>
                </w:tcPr>
                <w:p w14:paraId="5C954ACA">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73C1F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9" w:type="pct"/>
                  <w:vMerge w:val="continue"/>
                  <w:vAlign w:val="center"/>
                </w:tcPr>
                <w:p w14:paraId="00522C73">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581" w:type="pct"/>
                  <w:vAlign w:val="center"/>
                </w:tcPr>
                <w:p w14:paraId="6B7FF4B1">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4）建设项目使用林地，应当按照《建设项目使用林地审核审批管理办法》审核和审批，严格保护和合理利用林地，促进生态林业和民生林业发展。公益林、天然林依据《中华人民共和国森林法》《中华人民共和国森林法实施条例》《国家级公益林管理办法》《国家级公益林区划界定办法》《天然林保护修复制度方案》等国家和自治区有关规定进行管理</w:t>
                  </w:r>
                  <w:r>
                    <w:rPr>
                      <w:snapToGrid w:val="0"/>
                      <w:color w:val="0D0D0D" w:themeColor="text1" w:themeTint="F2"/>
                      <w:kern w:val="0"/>
                      <w:szCs w:val="21"/>
                      <w14:textFill>
                        <w14:solidFill>
                          <w14:schemeClr w14:val="tx1">
                            <w14:lumMod w14:val="95000"/>
                            <w14:lumOff w14:val="5000"/>
                          </w14:schemeClr>
                        </w14:solidFill>
                      </w14:textFill>
                    </w:rPr>
                    <w:t>。</w:t>
                  </w:r>
                </w:p>
              </w:tc>
              <w:tc>
                <w:tcPr>
                  <w:tcW w:w="1680" w:type="pct"/>
                  <w:vAlign w:val="center"/>
                </w:tcPr>
                <w:p w14:paraId="26DB1DFE">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项目不涉及林地。</w:t>
                  </w:r>
                </w:p>
              </w:tc>
              <w:tc>
                <w:tcPr>
                  <w:tcW w:w="350" w:type="pct"/>
                  <w:vAlign w:val="center"/>
                </w:tcPr>
                <w:p w14:paraId="3F1A6C85">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5F718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9" w:type="pct"/>
                  <w:vMerge w:val="continue"/>
                  <w:vAlign w:val="center"/>
                </w:tcPr>
                <w:p w14:paraId="7403F143">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581" w:type="pct"/>
                  <w:vAlign w:val="center"/>
                </w:tcPr>
                <w:p w14:paraId="564B9166">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（5）建设项目使用草地，应当按照《草原征占用审核审批管理规范》审核和审批，严格保护和合理利用草地</w:t>
                  </w:r>
                  <w:r>
                    <w:rPr>
                      <w:snapToGrid w:val="0"/>
                      <w:color w:val="0D0D0D" w:themeColor="text1" w:themeTint="F2"/>
                      <w:kern w:val="0"/>
                      <w:szCs w:val="21"/>
                      <w14:textFill>
                        <w14:solidFill>
                          <w14:schemeClr w14:val="tx1">
                            <w14:lumMod w14:val="95000"/>
                            <w14:lumOff w14:val="5000"/>
                          </w14:schemeClr>
                        </w14:solidFill>
                      </w14:textFill>
                    </w:rPr>
                    <w:t>。</w:t>
                  </w:r>
                </w:p>
              </w:tc>
              <w:tc>
                <w:tcPr>
                  <w:tcW w:w="1680" w:type="pct"/>
                  <w:vAlign w:val="center"/>
                </w:tcPr>
                <w:p w14:paraId="2C15CBD9">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项目不涉及草地。</w:t>
                  </w:r>
                </w:p>
              </w:tc>
              <w:tc>
                <w:tcPr>
                  <w:tcW w:w="350" w:type="pct"/>
                  <w:vAlign w:val="center"/>
                </w:tcPr>
                <w:p w14:paraId="5B3A1CD8">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7D136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9" w:type="pct"/>
                  <w:vMerge w:val="continue"/>
                  <w:vAlign w:val="center"/>
                </w:tcPr>
                <w:p w14:paraId="20AB4820">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581" w:type="pct"/>
                  <w:vAlign w:val="center"/>
                </w:tcPr>
                <w:p w14:paraId="65FABDBA">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（6）严格执行能耗“双控”、碳排放强度、碳达峰和碳中和目标要求，新建项目能源利用效率应达到国内先进水平</w:t>
                  </w:r>
                  <w:r>
                    <w:rPr>
                      <w:snapToGrid w:val="0"/>
                      <w:color w:val="0D0D0D" w:themeColor="text1" w:themeTint="F2"/>
                      <w:kern w:val="0"/>
                      <w:szCs w:val="21"/>
                      <w14:textFill>
                        <w14:solidFill>
                          <w14:schemeClr w14:val="tx1">
                            <w14:lumMod w14:val="95000"/>
                            <w14:lumOff w14:val="5000"/>
                          </w14:schemeClr>
                        </w14:solidFill>
                      </w14:textFill>
                    </w:rPr>
                    <w:t>。</w:t>
                  </w:r>
                </w:p>
              </w:tc>
              <w:tc>
                <w:tcPr>
                  <w:tcW w:w="1680" w:type="pct"/>
                  <w:vAlign w:val="center"/>
                </w:tcPr>
                <w:p w14:paraId="5F4D7B0F">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项目不属于“两高”项目。</w:t>
                  </w:r>
                </w:p>
              </w:tc>
              <w:tc>
                <w:tcPr>
                  <w:tcW w:w="350" w:type="pct"/>
                  <w:vAlign w:val="center"/>
                </w:tcPr>
                <w:p w14:paraId="3A76DD45">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7AE27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9" w:type="pct"/>
                  <w:vMerge w:val="continue"/>
                  <w:vAlign w:val="center"/>
                </w:tcPr>
                <w:p w14:paraId="6D30425C">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581" w:type="pct"/>
                  <w:vAlign w:val="center"/>
                </w:tcPr>
                <w:p w14:paraId="6F6EADE4">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7）新建、改建、扩建“两高”项目须符合生态环境保护法律法规和相关法定规划，满足重点污染物排放总量控制、碳排放达峰目标、生态环境准入清单、相关规划环评和相应行业建设项目环境准入条件、环评文件审批原则要求。拟建、在建项目，应对照能效标杆水平建设实施；能效介于标杆水平和基准水平之间的存量项目，鼓励加强绿色低碳工艺技术装备应用，引导企业应改尽改、应提尽提；能效低于基准水平的存量项目，有序开展节能降碳技术改造或淘汰退出</w:t>
                  </w:r>
                  <w:r>
                    <w:rPr>
                      <w:snapToGrid w:val="0"/>
                      <w:color w:val="0D0D0D" w:themeColor="text1" w:themeTint="F2"/>
                      <w:kern w:val="0"/>
                      <w:szCs w:val="21"/>
                      <w14:textFill>
                        <w14:solidFill>
                          <w14:schemeClr w14:val="tx1">
                            <w14:lumMod w14:val="95000"/>
                            <w14:lumOff w14:val="5000"/>
                          </w14:schemeClr>
                        </w14:solidFill>
                      </w14:textFill>
                    </w:rPr>
                    <w:t>。</w:t>
                  </w:r>
                </w:p>
              </w:tc>
              <w:tc>
                <w:tcPr>
                  <w:tcW w:w="1680" w:type="pct"/>
                  <w:vAlign w:val="center"/>
                </w:tcPr>
                <w:p w14:paraId="04120861">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项目不属于“两高”项目。</w:t>
                  </w:r>
                </w:p>
              </w:tc>
              <w:tc>
                <w:tcPr>
                  <w:tcW w:w="350" w:type="pct"/>
                  <w:vAlign w:val="center"/>
                </w:tcPr>
                <w:p w14:paraId="42D83127">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0A9CF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9" w:type="pct"/>
                  <w:vMerge w:val="continue"/>
                  <w:vAlign w:val="center"/>
                </w:tcPr>
                <w:p w14:paraId="5DD62568">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581" w:type="pct"/>
                  <w:vAlign w:val="center"/>
                </w:tcPr>
                <w:p w14:paraId="7B65ECE8">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8）石化、煤化工、燃煤发电（含热电）、钢铁、有色金属冶炼、制浆造纸行业新增主要污染物排放量的建设项目，应满足区域、流域控制单元环境质量改善目标管理要求，主要污染物实行区域倍量削减或等量削减；市级生态环境主管部门审批的编制环境影响报告书的重点行业建设项目可参照执行。</w:t>
                  </w:r>
                </w:p>
              </w:tc>
              <w:tc>
                <w:tcPr>
                  <w:tcW w:w="1680" w:type="pct"/>
                  <w:vAlign w:val="center"/>
                </w:tcPr>
                <w:p w14:paraId="103E703A">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项目不属于石化、煤化工、燃煤发电（含热电）、钢铁、有色金属冶炼、制浆造纸行业。</w:t>
                  </w:r>
                </w:p>
              </w:tc>
              <w:tc>
                <w:tcPr>
                  <w:tcW w:w="350" w:type="pct"/>
                  <w:vAlign w:val="center"/>
                </w:tcPr>
                <w:p w14:paraId="466422EF">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6896E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9" w:type="pct"/>
                  <w:vMerge w:val="continue"/>
                  <w:vAlign w:val="center"/>
                </w:tcPr>
                <w:p w14:paraId="42D775CE">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581" w:type="pct"/>
                  <w:vAlign w:val="center"/>
                </w:tcPr>
                <w:p w14:paraId="5ECF2944">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9）依据国土空间规划和“三区三线”，明确减污降碳重点管控区域和相关管控要求，将碳达峰碳中和要求纳入“三线一单”（生态保护红线、环境质量底线、资源利用上线和生态环境准入清单）分区管控体系。</w:t>
                  </w:r>
                </w:p>
              </w:tc>
              <w:tc>
                <w:tcPr>
                  <w:tcW w:w="1680" w:type="pct"/>
                  <w:vAlign w:val="center"/>
                </w:tcPr>
                <w:p w14:paraId="4C6EEFD7">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0" w:type="pct"/>
                  <w:vAlign w:val="center"/>
                </w:tcPr>
                <w:p w14:paraId="56F3F8A6">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11DBE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9" w:type="pct"/>
                  <w:vMerge w:val="continue"/>
                  <w:vAlign w:val="center"/>
                </w:tcPr>
                <w:p w14:paraId="003EC221">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581" w:type="pct"/>
                  <w:vAlign w:val="center"/>
                </w:tcPr>
                <w:p w14:paraId="02AA29A9">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10）增强区域环境质量改善目标对能源和产业布局的引导作用。加大污染严重地区结构调整和布局优化力度，依法依规加快推动重点区域、重点流域落后和过剩产能退出。依法加快城市建成区重污染企业搬迁改造或关闭退出。</w:t>
                  </w:r>
                </w:p>
              </w:tc>
              <w:tc>
                <w:tcPr>
                  <w:tcW w:w="1680" w:type="pct"/>
                  <w:vAlign w:val="center"/>
                </w:tcPr>
                <w:p w14:paraId="550CD851">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0" w:type="pct"/>
                  <w:vAlign w:val="center"/>
                </w:tcPr>
                <w:p w14:paraId="68D36BCF">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22B2F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9" w:type="pct"/>
                  <w:vMerge w:val="continue"/>
                  <w:vAlign w:val="center"/>
                </w:tcPr>
                <w:p w14:paraId="3B465B8F">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581" w:type="pct"/>
                  <w:vAlign w:val="center"/>
                </w:tcPr>
                <w:p w14:paraId="15333E37">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（11）严格执行《广西生态保护正面清单（2022）》和《广西生态保护禁止事项清单（2022）》。</w:t>
                  </w:r>
                </w:p>
              </w:tc>
              <w:tc>
                <w:tcPr>
                  <w:tcW w:w="1680" w:type="pct"/>
                  <w:vAlign w:val="center"/>
                </w:tcPr>
                <w:p w14:paraId="69E67F79">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项目不属于禁止类。</w:t>
                  </w:r>
                </w:p>
              </w:tc>
              <w:tc>
                <w:tcPr>
                  <w:tcW w:w="350" w:type="pct"/>
                  <w:vAlign w:val="center"/>
                </w:tcPr>
                <w:p w14:paraId="4AB52756">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7FC25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9" w:type="pct"/>
                  <w:vMerge w:val="continue"/>
                  <w:vAlign w:val="center"/>
                </w:tcPr>
                <w:p w14:paraId="47557E95">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581" w:type="pct"/>
                  <w:vAlign w:val="center"/>
                </w:tcPr>
                <w:p w14:paraId="35E5ECB3">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（12）“准入及管控要求”涉及跨省（市）界有协议或相关规定的，从其规定。</w:t>
                  </w:r>
                </w:p>
              </w:tc>
              <w:tc>
                <w:tcPr>
                  <w:tcW w:w="1680" w:type="pct"/>
                  <w:vAlign w:val="center"/>
                </w:tcPr>
                <w:p w14:paraId="50B66F4F">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项目不跨省。</w:t>
                  </w:r>
                </w:p>
              </w:tc>
              <w:tc>
                <w:tcPr>
                  <w:tcW w:w="350" w:type="pct"/>
                  <w:vAlign w:val="center"/>
                </w:tcPr>
                <w:p w14:paraId="01D91334">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6F57D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9" w:type="pct"/>
                  <w:vMerge w:val="continue"/>
                  <w:vAlign w:val="center"/>
                </w:tcPr>
                <w:p w14:paraId="5E47A960">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581" w:type="pct"/>
                  <w:vAlign w:val="center"/>
                </w:tcPr>
                <w:p w14:paraId="7E39AEC0">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（13）“准入及管控要求”规定依据的法规、规章等发生变更的，从其规定。</w:t>
                  </w:r>
                </w:p>
              </w:tc>
              <w:tc>
                <w:tcPr>
                  <w:tcW w:w="1680" w:type="pct"/>
                  <w:vAlign w:val="center"/>
                </w:tcPr>
                <w:p w14:paraId="05F1E4A7">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项目建设符合准入及管控要求。</w:t>
                  </w:r>
                </w:p>
              </w:tc>
              <w:tc>
                <w:tcPr>
                  <w:tcW w:w="350" w:type="pct"/>
                  <w:vAlign w:val="center"/>
                </w:tcPr>
                <w:p w14:paraId="2BDD9989">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bl>
          <w:p w14:paraId="1924584F">
            <w:pPr>
              <w:widowControl/>
              <w:adjustRightInd w:val="0"/>
              <w:snapToGrid w:val="0"/>
              <w:jc w:val="center"/>
              <w:rPr>
                <w:b/>
                <w:bCs/>
                <w:snapToGrid w:val="0"/>
                <w:color w:val="0D0D0D" w:themeColor="text1" w:themeTint="F2"/>
                <w:kern w:val="0"/>
                <w:szCs w:val="21"/>
                <w14:textFill>
                  <w14:solidFill>
                    <w14:schemeClr w14:val="tx1">
                      <w14:lumMod w14:val="95000"/>
                      <w14:lumOff w14:val="5000"/>
                    </w14:schemeClr>
                  </w14:solidFill>
                </w14:textFill>
              </w:rPr>
            </w:pPr>
            <w:r>
              <w:rPr>
                <w:rFonts w:hint="eastAsia"/>
                <w:b/>
                <w:bCs/>
                <w:snapToGrid w:val="0"/>
                <w:color w:val="0D0D0D" w:themeColor="text1" w:themeTint="F2"/>
                <w:kern w:val="0"/>
                <w:szCs w:val="21"/>
                <w14:textFill>
                  <w14:solidFill>
                    <w14:schemeClr w14:val="tx1">
                      <w14:lumMod w14:val="95000"/>
                      <w14:lumOff w14:val="5000"/>
                    </w14:schemeClr>
                  </w14:solidFill>
                </w14:textFill>
              </w:rPr>
              <w:t>表1-4</w:t>
            </w:r>
            <w:r>
              <w:rPr>
                <w:b/>
                <w:bCs/>
                <w:snapToGrid w:val="0"/>
                <w:color w:val="0D0D0D" w:themeColor="text1" w:themeTint="F2"/>
                <w:kern w:val="0"/>
                <w:szCs w:val="21"/>
                <w14:textFill>
                  <w14:solidFill>
                    <w14:schemeClr w14:val="tx1">
                      <w14:lumMod w14:val="95000"/>
                      <w14:lumOff w14:val="5000"/>
                    </w14:schemeClr>
                  </w14:solidFill>
                </w14:textFill>
              </w:rPr>
              <w:t xml:space="preserve">  </w:t>
            </w:r>
            <w:r>
              <w:rPr>
                <w:rFonts w:hint="eastAsia"/>
                <w:b/>
                <w:bCs/>
                <w:snapToGrid w:val="0"/>
                <w:color w:val="0D0D0D" w:themeColor="text1" w:themeTint="F2"/>
                <w:kern w:val="0"/>
                <w:szCs w:val="21"/>
                <w14:textFill>
                  <w14:solidFill>
                    <w14:schemeClr w14:val="tx1">
                      <w14:lumMod w14:val="95000"/>
                      <w14:lumOff w14:val="5000"/>
                    </w14:schemeClr>
                  </w14:solidFill>
                </w14:textFill>
              </w:rPr>
              <w:t>与工业集聚区重点管控单元相符性分析</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4"/>
              <w:gridCol w:w="3236"/>
              <w:gridCol w:w="2026"/>
              <w:gridCol w:w="446"/>
            </w:tblGrid>
            <w:tr w14:paraId="64CB6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5" w:type="pct"/>
                  <w:gridSpan w:val="2"/>
                  <w:vAlign w:val="center"/>
                </w:tcPr>
                <w:p w14:paraId="225C8938">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snapToGrid w:val="0"/>
                      <w:color w:val="0D0D0D" w:themeColor="text1" w:themeTint="F2"/>
                      <w:kern w:val="0"/>
                      <w:szCs w:val="21"/>
                      <w14:textFill>
                        <w14:solidFill>
                          <w14:schemeClr w14:val="tx1">
                            <w14:lumMod w14:val="95000"/>
                            <w14:lumOff w14:val="5000"/>
                          </w14:schemeClr>
                        </w14:solidFill>
                      </w14:textFill>
                    </w:rPr>
                    <w:t>生态环境准入清单要求</w:t>
                  </w:r>
                </w:p>
              </w:tc>
              <w:tc>
                <w:tcPr>
                  <w:tcW w:w="1618" w:type="pct"/>
                  <w:vAlign w:val="center"/>
                </w:tcPr>
                <w:p w14:paraId="5308FDDD">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snapToGrid w:val="0"/>
                      <w:color w:val="0D0D0D" w:themeColor="text1" w:themeTint="F2"/>
                      <w:kern w:val="0"/>
                      <w:szCs w:val="21"/>
                      <w14:textFill>
                        <w14:solidFill>
                          <w14:schemeClr w14:val="tx1">
                            <w14:lumMod w14:val="95000"/>
                            <w14:lumOff w14:val="5000"/>
                          </w14:schemeClr>
                        </w14:solidFill>
                      </w14:textFill>
                    </w:rPr>
                    <w:t>项目情况</w:t>
                  </w:r>
                </w:p>
              </w:tc>
              <w:tc>
                <w:tcPr>
                  <w:tcW w:w="357" w:type="pct"/>
                  <w:vAlign w:val="center"/>
                </w:tcPr>
                <w:p w14:paraId="1AFFDCEE">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结论</w:t>
                  </w:r>
                </w:p>
              </w:tc>
            </w:tr>
            <w:tr w14:paraId="3ECFF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2" w:type="pct"/>
                  <w:vAlign w:val="center"/>
                </w:tcPr>
                <w:p w14:paraId="6969C51F">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空间布局约束</w:t>
                  </w:r>
                </w:p>
              </w:tc>
              <w:tc>
                <w:tcPr>
                  <w:tcW w:w="2584" w:type="pct"/>
                  <w:vAlign w:val="center"/>
                </w:tcPr>
                <w:p w14:paraId="19BC15DF">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（1）各类产业园区管理机构应将规划环评结论及审查意见落实到规划中。负责统筹区域内生态环境基础设施建设，不得引入不符合规划环评结论及审查意见的项目入园。</w:t>
                  </w:r>
                </w:p>
              </w:tc>
              <w:tc>
                <w:tcPr>
                  <w:tcW w:w="1618" w:type="pct"/>
                  <w:vAlign w:val="center"/>
                </w:tcPr>
                <w:p w14:paraId="5F9FDD28">
                  <w:pPr>
                    <w:adjustRightInd w:val="0"/>
                    <w:snapToGrid w:val="0"/>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项目为金属表面处理项目，属于园区产业链范围内的简单配套项目，符合园区产业定位要求</w:t>
                  </w:r>
                  <w:r>
                    <w:rPr>
                      <w:rFonts w:hint="eastAsia"/>
                      <w:snapToGrid w:val="0"/>
                      <w:color w:val="0D0D0D" w:themeColor="text1" w:themeTint="F2"/>
                      <w:kern w:val="0"/>
                      <w:szCs w:val="21"/>
                      <w:u w:val="single"/>
                      <w14:textFill>
                        <w14:solidFill>
                          <w14:schemeClr w14:val="tx1">
                            <w14:lumMod w14:val="95000"/>
                            <w14:lumOff w14:val="5000"/>
                          </w14:schemeClr>
                        </w14:solidFill>
                      </w14:textFill>
                    </w:rPr>
                    <w:t>。</w:t>
                  </w:r>
                </w:p>
              </w:tc>
              <w:tc>
                <w:tcPr>
                  <w:tcW w:w="357" w:type="pct"/>
                  <w:vAlign w:val="center"/>
                </w:tcPr>
                <w:p w14:paraId="12F43CDF">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5DE1F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2" w:type="pct"/>
                  <w:vMerge w:val="restart"/>
                  <w:vAlign w:val="center"/>
                </w:tcPr>
                <w:p w14:paraId="4BF8B156">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污染物排放管控</w:t>
                  </w:r>
                </w:p>
              </w:tc>
              <w:tc>
                <w:tcPr>
                  <w:tcW w:w="2584" w:type="pct"/>
                  <w:vAlign w:val="center"/>
                </w:tcPr>
                <w:p w14:paraId="1EB814E0">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逐步完成工业集聚区集中式污水处理设施建设，确保已建污水处理设施稳定运行及达标排放。园区集中式污水处理设施总排口安装自动监控系统、视频监控系统，并与生态环境主管部门联网。按照“清污分流、雨污分流”原则，实施废水分类收集、分质处理</w:t>
                  </w:r>
                  <w:r>
                    <w:rPr>
                      <w:snapToGrid w:val="0"/>
                      <w:color w:val="0D0D0D" w:themeColor="text1" w:themeTint="F2"/>
                      <w:kern w:val="0"/>
                      <w:szCs w:val="21"/>
                      <w14:textFill>
                        <w14:solidFill>
                          <w14:schemeClr w14:val="tx1">
                            <w14:lumMod w14:val="95000"/>
                            <w14:lumOff w14:val="5000"/>
                          </w14:schemeClr>
                        </w14:solidFill>
                      </w14:textFill>
                    </w:rPr>
                    <w:t>。</w:t>
                  </w:r>
                </w:p>
              </w:tc>
              <w:tc>
                <w:tcPr>
                  <w:tcW w:w="1618" w:type="pct"/>
                  <w:vAlign w:val="center"/>
                </w:tcPr>
                <w:p w14:paraId="170586AE">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项目生活污水经三级化粪池处理后排入园区市政污水管网，由钦州胜科水务有限公司污水处理厂进一步处理。</w:t>
                  </w:r>
                </w:p>
              </w:tc>
              <w:tc>
                <w:tcPr>
                  <w:tcW w:w="357" w:type="pct"/>
                  <w:vAlign w:val="center"/>
                </w:tcPr>
                <w:p w14:paraId="4A0C889E">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48D91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2" w:type="pct"/>
                  <w:vMerge w:val="continue"/>
                  <w:vAlign w:val="center"/>
                </w:tcPr>
                <w:p w14:paraId="403C21FA">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584" w:type="pct"/>
                  <w:vAlign w:val="center"/>
                </w:tcPr>
                <w:p w14:paraId="5DF058F9">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2）新、改、扩建涉重金属重点行业建设项目必须以改善环境质量为核心，确保区域环境质量符合功能区定位，遵循重点重金属污染物排放“减量置换”或“等量置换”的原则，确保辖区完成重点行业重金属污染物排放总量控制目标</w:t>
                  </w:r>
                  <w:r>
                    <w:rPr>
                      <w:snapToGrid w:val="0"/>
                      <w:color w:val="0D0D0D" w:themeColor="text1" w:themeTint="F2"/>
                      <w:kern w:val="0"/>
                      <w:szCs w:val="21"/>
                      <w14:textFill>
                        <w14:solidFill>
                          <w14:schemeClr w14:val="tx1">
                            <w14:lumMod w14:val="95000"/>
                            <w14:lumOff w14:val="5000"/>
                          </w14:schemeClr>
                        </w14:solidFill>
                      </w14:textFill>
                    </w:rPr>
                    <w:t>。</w:t>
                  </w:r>
                </w:p>
              </w:tc>
              <w:tc>
                <w:tcPr>
                  <w:tcW w:w="1618" w:type="pct"/>
                  <w:vAlign w:val="center"/>
                </w:tcPr>
                <w:p w14:paraId="68922A89">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项目不属于涉重金属重点行业。</w:t>
                  </w:r>
                </w:p>
              </w:tc>
              <w:tc>
                <w:tcPr>
                  <w:tcW w:w="357" w:type="pct"/>
                  <w:vAlign w:val="center"/>
                </w:tcPr>
                <w:p w14:paraId="4A76C10E">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193EB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2" w:type="pct"/>
                  <w:vMerge w:val="continue"/>
                  <w:vAlign w:val="center"/>
                </w:tcPr>
                <w:p w14:paraId="4B41BD63">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584" w:type="pct"/>
                  <w:vAlign w:val="center"/>
                </w:tcPr>
                <w:p w14:paraId="340B6D56">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（3）对现有生态环境问题要组织整改，落实主要污染物总量控制和减排任务。</w:t>
                  </w:r>
                </w:p>
              </w:tc>
              <w:tc>
                <w:tcPr>
                  <w:tcW w:w="1618" w:type="pct"/>
                  <w:vAlign w:val="center"/>
                </w:tcPr>
                <w:p w14:paraId="356E4513">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7" w:type="pct"/>
                  <w:vAlign w:val="center"/>
                </w:tcPr>
                <w:p w14:paraId="625CB2A8">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212762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2" w:type="pct"/>
                  <w:vMerge w:val="continue"/>
                  <w:vAlign w:val="center"/>
                </w:tcPr>
                <w:p w14:paraId="173933FC">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584" w:type="pct"/>
                  <w:vAlign w:val="center"/>
                </w:tcPr>
                <w:p w14:paraId="088C1016">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（4）对石化、煤化工、燃煤发电（含热电）、钢铁、有色金属、制浆造纸等重点行业建设项目采取区域削减、强化区域整治、行业减排。</w:t>
                  </w:r>
                </w:p>
              </w:tc>
              <w:tc>
                <w:tcPr>
                  <w:tcW w:w="1618" w:type="pct"/>
                  <w:vAlign w:val="center"/>
                </w:tcPr>
                <w:p w14:paraId="0051BEB0">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7" w:type="pct"/>
                  <w:vAlign w:val="center"/>
                </w:tcPr>
                <w:p w14:paraId="5B0D1D3C">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4CDFB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2" w:type="pct"/>
                  <w:vMerge w:val="continue"/>
                  <w:vAlign w:val="center"/>
                </w:tcPr>
                <w:p w14:paraId="7EFDE9E8">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584" w:type="pct"/>
                  <w:vAlign w:val="center"/>
                </w:tcPr>
                <w:p w14:paraId="6E036C2E">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（5）严格能效约束推动重点领域节能降碳，持续推进钢铁、有色、建材、电力、石化化工、造纸等行业企业节能改造和转型升级</w:t>
                  </w:r>
                  <w:r>
                    <w:rPr>
                      <w:snapToGrid w:val="0"/>
                      <w:color w:val="0D0D0D" w:themeColor="text1" w:themeTint="F2"/>
                      <w:kern w:val="0"/>
                      <w:szCs w:val="21"/>
                      <w14:textFill>
                        <w14:solidFill>
                          <w14:schemeClr w14:val="tx1">
                            <w14:lumMod w14:val="95000"/>
                            <w14:lumOff w14:val="5000"/>
                          </w14:schemeClr>
                        </w14:solidFill>
                      </w14:textFill>
                    </w:rPr>
                    <w:t>。</w:t>
                  </w:r>
                </w:p>
              </w:tc>
              <w:tc>
                <w:tcPr>
                  <w:tcW w:w="1618" w:type="pct"/>
                  <w:vAlign w:val="center"/>
                </w:tcPr>
                <w:p w14:paraId="145A0724">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7" w:type="pct"/>
                  <w:vAlign w:val="center"/>
                </w:tcPr>
                <w:p w14:paraId="5CD0AF3E">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62817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2" w:type="pct"/>
                  <w:vAlign w:val="center"/>
                </w:tcPr>
                <w:p w14:paraId="3E3F544F">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环境风险防控</w:t>
                  </w:r>
                </w:p>
              </w:tc>
              <w:tc>
                <w:tcPr>
                  <w:tcW w:w="2584" w:type="pct"/>
                  <w:vAlign w:val="center"/>
                </w:tcPr>
                <w:p w14:paraId="1E923D02">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加强产业园区环境风险防控体系建设并编制应急预案，细化明确产业园区及区内企业环境风险防范责任，与地方政府应急预案做好衔接联动，切实做好环境风险防范工作，督促污染企业做好退出地块的土壤、地下水等风险防控工作。</w:t>
                  </w:r>
                </w:p>
              </w:tc>
              <w:tc>
                <w:tcPr>
                  <w:tcW w:w="1618" w:type="pct"/>
                  <w:vAlign w:val="center"/>
                </w:tcPr>
                <w:p w14:paraId="6B3B3530">
                  <w:pPr>
                    <w:adjustRightInd w:val="0"/>
                    <w:snapToGrid w:val="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项目运营期落实各项风险防控措施，环境风险事故可得到及时处置，影响较小。</w:t>
                  </w:r>
                </w:p>
              </w:tc>
              <w:tc>
                <w:tcPr>
                  <w:tcW w:w="357" w:type="pct"/>
                  <w:vAlign w:val="center"/>
                </w:tcPr>
                <w:p w14:paraId="59746CDE">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bl>
          <w:p w14:paraId="1C1989CD">
            <w:pPr>
              <w:widowControl/>
              <w:adjustRightInd w:val="0"/>
              <w:snapToGrid w:val="0"/>
              <w:jc w:val="center"/>
              <w:rPr>
                <w:b/>
                <w:bCs/>
                <w:snapToGrid w:val="0"/>
                <w:color w:val="0D0D0D" w:themeColor="text1" w:themeTint="F2"/>
                <w:kern w:val="0"/>
                <w:szCs w:val="21"/>
                <w14:textFill>
                  <w14:solidFill>
                    <w14:schemeClr w14:val="tx1">
                      <w14:lumMod w14:val="95000"/>
                      <w14:lumOff w14:val="5000"/>
                    </w14:schemeClr>
                  </w14:solidFill>
                </w14:textFill>
              </w:rPr>
            </w:pPr>
            <w:r>
              <w:rPr>
                <w:rFonts w:hint="eastAsia"/>
                <w:b/>
                <w:bCs/>
                <w:snapToGrid w:val="0"/>
                <w:color w:val="0D0D0D" w:themeColor="text1" w:themeTint="F2"/>
                <w:kern w:val="0"/>
                <w:szCs w:val="21"/>
                <w14:textFill>
                  <w14:solidFill>
                    <w14:schemeClr w14:val="tx1">
                      <w14:lumMod w14:val="95000"/>
                      <w14:lumOff w14:val="5000"/>
                    </w14:schemeClr>
                  </w14:solidFill>
                </w14:textFill>
              </w:rPr>
              <w:t>表1-5</w:t>
            </w:r>
            <w:r>
              <w:rPr>
                <w:b/>
                <w:bCs/>
                <w:snapToGrid w:val="0"/>
                <w:color w:val="0D0D0D" w:themeColor="text1" w:themeTint="F2"/>
                <w:kern w:val="0"/>
                <w:szCs w:val="21"/>
                <w14:textFill>
                  <w14:solidFill>
                    <w14:schemeClr w14:val="tx1">
                      <w14:lumMod w14:val="95000"/>
                      <w14:lumOff w14:val="5000"/>
                    </w14:schemeClr>
                  </w14:solidFill>
                </w14:textFill>
              </w:rPr>
              <w:t xml:space="preserve">  </w:t>
            </w:r>
            <w:r>
              <w:rPr>
                <w:rFonts w:hint="eastAsia"/>
                <w:b/>
                <w:bCs/>
                <w:snapToGrid w:val="0"/>
                <w:color w:val="0D0D0D" w:themeColor="text1" w:themeTint="F2"/>
                <w:kern w:val="0"/>
                <w:szCs w:val="21"/>
                <w14:textFill>
                  <w14:solidFill>
                    <w14:schemeClr w14:val="tx1">
                      <w14:lumMod w14:val="95000"/>
                      <w14:lumOff w14:val="5000"/>
                    </w14:schemeClr>
                  </w14:solidFill>
                </w14:textFill>
              </w:rPr>
              <w:t>项目与北部湾经济区生态环境准入及管控要求相符性分析</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
              <w:gridCol w:w="4032"/>
              <w:gridCol w:w="1255"/>
              <w:gridCol w:w="426"/>
            </w:tblGrid>
            <w:tr w14:paraId="501A3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50" w:type="pct"/>
                  <w:gridSpan w:val="2"/>
                  <w:vAlign w:val="center"/>
                </w:tcPr>
                <w:p w14:paraId="1AC84CF9">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snapToGrid w:val="0"/>
                      <w:color w:val="0D0D0D" w:themeColor="text1" w:themeTint="F2"/>
                      <w:kern w:val="0"/>
                      <w:szCs w:val="21"/>
                      <w14:textFill>
                        <w14:solidFill>
                          <w14:schemeClr w14:val="tx1">
                            <w14:lumMod w14:val="95000"/>
                            <w14:lumOff w14:val="5000"/>
                          </w14:schemeClr>
                        </w14:solidFill>
                      </w14:textFill>
                    </w:rPr>
                    <w:t>生态环境准入清单要求</w:t>
                  </w:r>
                </w:p>
              </w:tc>
              <w:tc>
                <w:tcPr>
                  <w:tcW w:w="893" w:type="pct"/>
                  <w:vAlign w:val="center"/>
                </w:tcPr>
                <w:p w14:paraId="113DBB96">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snapToGrid w:val="0"/>
                      <w:color w:val="0D0D0D" w:themeColor="text1" w:themeTint="F2"/>
                      <w:kern w:val="0"/>
                      <w:szCs w:val="21"/>
                      <w14:textFill>
                        <w14:solidFill>
                          <w14:schemeClr w14:val="tx1">
                            <w14:lumMod w14:val="95000"/>
                            <w14:lumOff w14:val="5000"/>
                          </w14:schemeClr>
                        </w14:solidFill>
                      </w14:textFill>
                    </w:rPr>
                    <w:t>项目情况</w:t>
                  </w:r>
                </w:p>
              </w:tc>
              <w:tc>
                <w:tcPr>
                  <w:tcW w:w="356" w:type="pct"/>
                  <w:vAlign w:val="center"/>
                </w:tcPr>
                <w:p w14:paraId="085215C7">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结论</w:t>
                  </w:r>
                </w:p>
              </w:tc>
            </w:tr>
            <w:tr w14:paraId="38714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restart"/>
                  <w:vAlign w:val="center"/>
                </w:tcPr>
                <w:p w14:paraId="1850AE17">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空间布局约束</w:t>
                  </w:r>
                </w:p>
              </w:tc>
              <w:tc>
                <w:tcPr>
                  <w:tcW w:w="3265" w:type="pct"/>
                  <w:vAlign w:val="center"/>
                </w:tcPr>
                <w:p w14:paraId="6A3378FA">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（1）坚持高质量发展和高水平保护并重，引领广西高质量发展的重要增长极和成为具有区域影响力和带动力的重要增长极，建设宜居宜业宜游蓝色生态湾区。</w:t>
                  </w:r>
                </w:p>
              </w:tc>
              <w:tc>
                <w:tcPr>
                  <w:tcW w:w="893" w:type="pct"/>
                  <w:vAlign w:val="center"/>
                </w:tcPr>
                <w:p w14:paraId="53B4F9BE">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项目建设符合国家和地方产业要求政策。</w:t>
                  </w:r>
                </w:p>
              </w:tc>
              <w:tc>
                <w:tcPr>
                  <w:tcW w:w="356" w:type="pct"/>
                  <w:vAlign w:val="center"/>
                </w:tcPr>
                <w:p w14:paraId="60DDCF94">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394FD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continue"/>
                  <w:vAlign w:val="center"/>
                </w:tcPr>
                <w:p w14:paraId="6DBC3D21">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3265" w:type="pct"/>
                  <w:vAlign w:val="center"/>
                </w:tcPr>
                <w:p w14:paraId="69820FCD">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（2）实行严格的资源环境生态红线管控，合理开发和节约资源，加强对水源林、防护林、湿地等生态系统的保护与修复。</w:t>
                  </w:r>
                </w:p>
              </w:tc>
              <w:tc>
                <w:tcPr>
                  <w:tcW w:w="893" w:type="pct"/>
                  <w:vAlign w:val="center"/>
                </w:tcPr>
                <w:p w14:paraId="3DA50C35">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项目不涉及水源林、防护林、湿地等生态系统。</w:t>
                  </w:r>
                </w:p>
              </w:tc>
              <w:tc>
                <w:tcPr>
                  <w:tcW w:w="356" w:type="pct"/>
                  <w:vAlign w:val="center"/>
                </w:tcPr>
                <w:p w14:paraId="7FD213D5">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4D604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continue"/>
                  <w:vAlign w:val="center"/>
                </w:tcPr>
                <w:p w14:paraId="46E9A8E4">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3265" w:type="pct"/>
                  <w:vAlign w:val="center"/>
                </w:tcPr>
                <w:p w14:paraId="0D011AD5">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3）加大滨海湿地保护和修复力度，对红树林、珊瑚礁、海草床等重要海洋生态系统实行最严格的保护措施，加强珍稀濒危物种及重要海洋生态系统的生境保护。加强沿海防护林体系建设，加强对防城江、北仑河、钦江等重要江河源头区、湖库型饮用水源地等区域水土流失预防。推进互花米草防治</w:t>
                  </w:r>
                  <w:r>
                    <w:rPr>
                      <w:snapToGrid w:val="0"/>
                      <w:color w:val="0D0D0D" w:themeColor="text1" w:themeTint="F2"/>
                      <w:kern w:val="0"/>
                      <w:szCs w:val="21"/>
                      <w14:textFill>
                        <w14:solidFill>
                          <w14:schemeClr w14:val="tx1">
                            <w14:lumMod w14:val="95000"/>
                            <w14:lumOff w14:val="5000"/>
                          </w14:schemeClr>
                        </w14:solidFill>
                      </w14:textFill>
                    </w:rPr>
                    <w:t>。</w:t>
                  </w:r>
                </w:p>
              </w:tc>
              <w:tc>
                <w:tcPr>
                  <w:tcW w:w="893" w:type="pct"/>
                  <w:vAlign w:val="center"/>
                </w:tcPr>
                <w:p w14:paraId="7E6F1559">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项目不涉及红树林、珊瑚礁、海草床等重要海洋生态系统。</w:t>
                  </w:r>
                </w:p>
              </w:tc>
              <w:tc>
                <w:tcPr>
                  <w:tcW w:w="356" w:type="pct"/>
                  <w:vAlign w:val="center"/>
                </w:tcPr>
                <w:p w14:paraId="0692EB7A">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2BAB4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continue"/>
                  <w:vAlign w:val="center"/>
                </w:tcPr>
                <w:p w14:paraId="01ED33CA">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3265" w:type="pct"/>
                  <w:vAlign w:val="center"/>
                </w:tcPr>
                <w:p w14:paraId="03E87C6A">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（4）严格围填海管控，禁止在海域内实施连岛行动。保护北部湾自然岸线，严格控制岸线利用项目准入门槛。合理有序开发利用滩涂资源</w:t>
                  </w:r>
                  <w:r>
                    <w:rPr>
                      <w:snapToGrid w:val="0"/>
                      <w:color w:val="0D0D0D" w:themeColor="text1" w:themeTint="F2"/>
                      <w:kern w:val="0"/>
                      <w:szCs w:val="21"/>
                      <w14:textFill>
                        <w14:solidFill>
                          <w14:schemeClr w14:val="tx1">
                            <w14:lumMod w14:val="95000"/>
                            <w14:lumOff w14:val="5000"/>
                          </w14:schemeClr>
                        </w14:solidFill>
                      </w14:textFill>
                    </w:rPr>
                    <w:t>。</w:t>
                  </w:r>
                </w:p>
              </w:tc>
              <w:tc>
                <w:tcPr>
                  <w:tcW w:w="893" w:type="pct"/>
                  <w:vAlign w:val="center"/>
                </w:tcPr>
                <w:p w14:paraId="08F9B28C">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6" w:type="pct"/>
                  <w:vAlign w:val="center"/>
                </w:tcPr>
                <w:p w14:paraId="6E436CA1">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714375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continue"/>
                  <w:vAlign w:val="center"/>
                </w:tcPr>
                <w:p w14:paraId="65D7B18A">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3265" w:type="pct"/>
                  <w:vAlign w:val="center"/>
                </w:tcPr>
                <w:p w14:paraId="1EC2DE31">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5）南流江流域、廉州湾海域超过环境承载力的县市区严格区域主要污染物管控要求，新改扩“两高”、重点行业建设项目实行主要污染物区域削减方案。廉州湾沿岸新设排污口选址必须符合《中华人民共和国海洋环境保护法》《</w:t>
                  </w:r>
                  <w:r>
                    <w:rPr>
                      <w:rFonts w:hint="eastAsia"/>
                      <w:snapToGrid w:val="0"/>
                      <w:color w:val="0D0D0D" w:themeColor="text1" w:themeTint="F2"/>
                      <w:kern w:val="0"/>
                      <w:szCs w:val="21"/>
                      <w:lang w:eastAsia="zh-CN"/>
                      <w14:textFill>
                        <w14:solidFill>
                          <w14:schemeClr w14:val="tx1">
                            <w14:lumMod w14:val="95000"/>
                            <w14:lumOff w14:val="5000"/>
                          </w14:schemeClr>
                        </w14:solidFill>
                      </w14:textFill>
                    </w:rPr>
                    <w:t>中华人民共和国防治陆源污染物污染损害海洋环境管理条例</w:t>
                  </w:r>
                  <w:r>
                    <w:rPr>
                      <w:rFonts w:hint="eastAsia"/>
                      <w:snapToGrid w:val="0"/>
                      <w:color w:val="0D0D0D" w:themeColor="text1" w:themeTint="F2"/>
                      <w:kern w:val="0"/>
                      <w:szCs w:val="21"/>
                      <w14:textFill>
                        <w14:solidFill>
                          <w14:schemeClr w14:val="tx1">
                            <w14:lumMod w14:val="95000"/>
                            <w14:lumOff w14:val="5000"/>
                          </w14:schemeClr>
                        </w14:solidFill>
                      </w14:textFill>
                    </w:rPr>
                    <w:t>》等有关规定</w:t>
                  </w:r>
                  <w:r>
                    <w:rPr>
                      <w:snapToGrid w:val="0"/>
                      <w:color w:val="0D0D0D" w:themeColor="text1" w:themeTint="F2"/>
                      <w:kern w:val="0"/>
                      <w:szCs w:val="21"/>
                      <w14:textFill>
                        <w14:solidFill>
                          <w14:schemeClr w14:val="tx1">
                            <w14:lumMod w14:val="95000"/>
                            <w14:lumOff w14:val="5000"/>
                          </w14:schemeClr>
                        </w14:solidFill>
                      </w14:textFill>
                    </w:rPr>
                    <w:t>。</w:t>
                  </w:r>
                </w:p>
              </w:tc>
              <w:tc>
                <w:tcPr>
                  <w:tcW w:w="893" w:type="pct"/>
                  <w:vAlign w:val="center"/>
                </w:tcPr>
                <w:p w14:paraId="34D2B639">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6" w:type="pct"/>
                  <w:vAlign w:val="center"/>
                </w:tcPr>
                <w:p w14:paraId="12A579EF">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1710D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continue"/>
                  <w:vAlign w:val="center"/>
                </w:tcPr>
                <w:p w14:paraId="43FBD75F">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3265" w:type="pct"/>
                  <w:vAlign w:val="center"/>
                </w:tcPr>
                <w:p w14:paraId="2F82212B">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（6）依法依规推动落后产能有序退出</w:t>
                  </w:r>
                  <w:r>
                    <w:rPr>
                      <w:snapToGrid w:val="0"/>
                      <w:color w:val="0D0D0D" w:themeColor="text1" w:themeTint="F2"/>
                      <w:kern w:val="0"/>
                      <w:szCs w:val="21"/>
                      <w14:textFill>
                        <w14:solidFill>
                          <w14:schemeClr w14:val="tx1">
                            <w14:lumMod w14:val="95000"/>
                            <w14:lumOff w14:val="5000"/>
                          </w14:schemeClr>
                        </w14:solidFill>
                      </w14:textFill>
                    </w:rPr>
                    <w:t>。</w:t>
                  </w:r>
                </w:p>
              </w:tc>
              <w:tc>
                <w:tcPr>
                  <w:tcW w:w="893" w:type="pct"/>
                  <w:vAlign w:val="center"/>
                </w:tcPr>
                <w:p w14:paraId="2E3F374E">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项目不属于落后产能。</w:t>
                  </w:r>
                </w:p>
              </w:tc>
              <w:tc>
                <w:tcPr>
                  <w:tcW w:w="356" w:type="pct"/>
                  <w:vAlign w:val="center"/>
                </w:tcPr>
                <w:p w14:paraId="4A396628">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0504A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continue"/>
                  <w:vAlign w:val="center"/>
                </w:tcPr>
                <w:p w14:paraId="7C041778">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3265" w:type="pct"/>
                  <w:vAlign w:val="center"/>
                </w:tcPr>
                <w:p w14:paraId="44054989">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（7）严禁占用运河沿线两岸1公里范围内预留作为生态廊道的用地，科学规划平陆运河沿岸生态廊道空间和开发保护核心管制区</w:t>
                  </w:r>
                  <w:r>
                    <w:rPr>
                      <w:snapToGrid w:val="0"/>
                      <w:color w:val="0D0D0D" w:themeColor="text1" w:themeTint="F2"/>
                      <w:kern w:val="0"/>
                      <w:szCs w:val="21"/>
                      <w14:textFill>
                        <w14:solidFill>
                          <w14:schemeClr w14:val="tx1">
                            <w14:lumMod w14:val="95000"/>
                            <w14:lumOff w14:val="5000"/>
                          </w14:schemeClr>
                        </w14:solidFill>
                      </w14:textFill>
                    </w:rPr>
                    <w:t>。</w:t>
                  </w:r>
                </w:p>
              </w:tc>
              <w:tc>
                <w:tcPr>
                  <w:tcW w:w="893" w:type="pct"/>
                  <w:vAlign w:val="center"/>
                </w:tcPr>
                <w:p w14:paraId="19E2D8D3">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6" w:type="pct"/>
                  <w:vAlign w:val="center"/>
                </w:tcPr>
                <w:p w14:paraId="2EA4D824">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5572F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continue"/>
                  <w:vAlign w:val="center"/>
                </w:tcPr>
                <w:p w14:paraId="1F7FF757">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3265" w:type="pct"/>
                  <w:vAlign w:val="center"/>
                </w:tcPr>
                <w:p w14:paraId="0B408C2A">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（8）执行平陆运河绿色工程防范管控重点清单、打造特色亮点清单，平陆运河绿色工程评估指标体系。</w:t>
                  </w:r>
                </w:p>
              </w:tc>
              <w:tc>
                <w:tcPr>
                  <w:tcW w:w="893" w:type="pct"/>
                  <w:vAlign w:val="center"/>
                </w:tcPr>
                <w:p w14:paraId="464DECA4">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6" w:type="pct"/>
                  <w:vAlign w:val="center"/>
                </w:tcPr>
                <w:p w14:paraId="367C3110">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327593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restart"/>
                  <w:vAlign w:val="center"/>
                </w:tcPr>
                <w:p w14:paraId="35C841BC">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污染物排放管控</w:t>
                  </w:r>
                </w:p>
              </w:tc>
              <w:tc>
                <w:tcPr>
                  <w:tcW w:w="3265" w:type="pct"/>
                  <w:vAlign w:val="center"/>
                </w:tcPr>
                <w:p w14:paraId="5E8E975F">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坚持陆海统筹，强化重大海域、入海河流、海岸带的生态环境统筹协同管控，开展北部湾沿海城市生态环境综合治理。推行河长制、湖长制，持续推进钦江、南流江、九洲江等流域综合治理，鼓励施行生态养殖和清洁生产，从源头控制生产、生活污水排放。推行湾长制，协同推进近岸海域污染治理，实施蓝色海湾整治行动和北部湾入海河流综合治理工程，严格控制水产养殖污染、港口码头船舶污染、采沙污染</w:t>
                  </w:r>
                  <w:r>
                    <w:rPr>
                      <w:snapToGrid w:val="0"/>
                      <w:color w:val="0D0D0D" w:themeColor="text1" w:themeTint="F2"/>
                      <w:kern w:val="0"/>
                      <w:szCs w:val="21"/>
                      <w14:textFill>
                        <w14:solidFill>
                          <w14:schemeClr w14:val="tx1">
                            <w14:lumMod w14:val="95000"/>
                            <w14:lumOff w14:val="5000"/>
                          </w14:schemeClr>
                        </w14:solidFill>
                      </w14:textFill>
                    </w:rPr>
                    <w:t>。</w:t>
                  </w:r>
                </w:p>
              </w:tc>
              <w:tc>
                <w:tcPr>
                  <w:tcW w:w="893" w:type="pct"/>
                  <w:vAlign w:val="center"/>
                </w:tcPr>
                <w:p w14:paraId="1F51FBB1">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6" w:type="pct"/>
                  <w:vAlign w:val="center"/>
                </w:tcPr>
                <w:p w14:paraId="27318986">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4296F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continue"/>
                  <w:vAlign w:val="center"/>
                </w:tcPr>
                <w:p w14:paraId="63A67E56">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3265" w:type="pct"/>
                  <w:vAlign w:val="center"/>
                </w:tcPr>
                <w:p w14:paraId="0549A81A">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2）围绕建设蓝色海湾城市群，深入推进北钦防生态环境基础设施一体化，统筹推进北钦防三市生态环境齐保共治。加强港口码头环境保护基础设施建设，重点加强有色矿产、硫磺、煤等堆场配套环保设施建设。建立生态环境联防联治平台和机制，推动建立北部湾城市群跨行政区生态环境保护和生态补偿机制</w:t>
                  </w:r>
                  <w:r>
                    <w:rPr>
                      <w:snapToGrid w:val="0"/>
                      <w:color w:val="0D0D0D" w:themeColor="text1" w:themeTint="F2"/>
                      <w:kern w:val="0"/>
                      <w:szCs w:val="21"/>
                      <w14:textFill>
                        <w14:solidFill>
                          <w14:schemeClr w14:val="tx1">
                            <w14:lumMod w14:val="95000"/>
                            <w14:lumOff w14:val="5000"/>
                          </w14:schemeClr>
                        </w14:solidFill>
                      </w14:textFill>
                    </w:rPr>
                    <w:t>。</w:t>
                  </w:r>
                </w:p>
              </w:tc>
              <w:tc>
                <w:tcPr>
                  <w:tcW w:w="893" w:type="pct"/>
                  <w:vAlign w:val="center"/>
                </w:tcPr>
                <w:p w14:paraId="75C28E69">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6" w:type="pct"/>
                  <w:vAlign w:val="center"/>
                </w:tcPr>
                <w:p w14:paraId="43DE4F5A">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30D69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485" w:type="pct"/>
                  <w:vMerge w:val="continue"/>
                  <w:vAlign w:val="center"/>
                </w:tcPr>
                <w:p w14:paraId="34983DFF">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3265" w:type="pct"/>
                  <w:vAlign w:val="center"/>
                </w:tcPr>
                <w:p w14:paraId="4F8F411E">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3）推进区域大气污染联防联控。共同开展重点行业污染整治和重污染天气联合应对，加强挥发性有机化合物（VOCs）和氮氧化物（NOx）协同控制，协同应对区域多污染物，联合开展空气污染综合治理，改善空气质量。严格城市空气质量达标管理，改善城市环境空气质量，对大气质量改善进度进行监督和考核。</w:t>
                  </w:r>
                </w:p>
              </w:tc>
              <w:tc>
                <w:tcPr>
                  <w:tcW w:w="893" w:type="pct"/>
                  <w:vAlign w:val="center"/>
                </w:tcPr>
                <w:p w14:paraId="45C201CD">
                  <w:pPr>
                    <w:adjustRightInd w:val="0"/>
                    <w:snapToGrid w:val="0"/>
                    <w:rPr>
                      <w:snapToGrid w:val="0"/>
                      <w:color w:val="0D0D0D" w:themeColor="text1" w:themeTint="F2"/>
                      <w:kern w:val="0"/>
                      <w:szCs w:val="21"/>
                      <w:u w:val="single"/>
                      <w14:textFill>
                        <w14:solidFill>
                          <w14:schemeClr w14:val="tx1">
                            <w14:lumMod w14:val="95000"/>
                            <w14:lumOff w14:val="5000"/>
                          </w14:schemeClr>
                        </w14:solidFill>
                      </w14:textFill>
                    </w:rPr>
                  </w:pPr>
                  <w:r>
                    <w:rPr>
                      <w:rFonts w:hint="eastAsia"/>
                      <w:snapToGrid w:val="0"/>
                      <w:color w:val="0D0D0D" w:themeColor="text1" w:themeTint="F2"/>
                      <w:kern w:val="0"/>
                      <w:szCs w:val="21"/>
                      <w:u w:val="single"/>
                      <w14:textFill>
                        <w14:solidFill>
                          <w14:schemeClr w14:val="tx1">
                            <w14:lumMod w14:val="95000"/>
                            <w14:lumOff w14:val="5000"/>
                          </w14:schemeClr>
                        </w14:solidFill>
                      </w14:textFill>
                    </w:rPr>
                    <w:t>项目喷漆废气（漆雾和有机废气）和危废暂存间废气收集后经“水帘柜+二级活性炭吸附脱附+CO催化燃烧”处理后通过20m排气筒（DA002）排放。</w:t>
                  </w:r>
                </w:p>
              </w:tc>
              <w:tc>
                <w:tcPr>
                  <w:tcW w:w="356" w:type="pct"/>
                  <w:vAlign w:val="center"/>
                </w:tcPr>
                <w:p w14:paraId="3ECBF083">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460A6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continue"/>
                  <w:vAlign w:val="center"/>
                </w:tcPr>
                <w:p w14:paraId="34B820F0">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3265" w:type="pct"/>
                  <w:vAlign w:val="center"/>
                </w:tcPr>
                <w:p w14:paraId="16D46B69">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4）严格控制“两高”行业项目布局和建设，提升“两高”行业清洁生产和减污降碳水平。以碳达峰、碳中和愿景为导向，推动产业转型升级、能源结构优化。开展碳排放权、排污权交易试点。重点管控行业建设项目无主要污染物排放指标来源的，应提出有效的区域削减方案，确保项目投产后区域环境质量不恶化</w:t>
                  </w:r>
                  <w:r>
                    <w:rPr>
                      <w:snapToGrid w:val="0"/>
                      <w:color w:val="0D0D0D" w:themeColor="text1" w:themeTint="F2"/>
                      <w:kern w:val="0"/>
                      <w:szCs w:val="21"/>
                      <w14:textFill>
                        <w14:solidFill>
                          <w14:schemeClr w14:val="tx1">
                            <w14:lumMod w14:val="95000"/>
                            <w14:lumOff w14:val="5000"/>
                          </w14:schemeClr>
                        </w14:solidFill>
                      </w14:textFill>
                    </w:rPr>
                    <w:t>。</w:t>
                  </w:r>
                </w:p>
              </w:tc>
              <w:tc>
                <w:tcPr>
                  <w:tcW w:w="893" w:type="pct"/>
                  <w:vAlign w:val="center"/>
                </w:tcPr>
                <w:p w14:paraId="6E2954E9">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项目不属于“两高”项目。</w:t>
                  </w:r>
                </w:p>
              </w:tc>
              <w:tc>
                <w:tcPr>
                  <w:tcW w:w="356" w:type="pct"/>
                  <w:vAlign w:val="center"/>
                </w:tcPr>
                <w:p w14:paraId="42AB7092">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1B07F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continue"/>
                  <w:vAlign w:val="center"/>
                </w:tcPr>
                <w:p w14:paraId="18850D7B">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3265" w:type="pct"/>
                  <w:vAlign w:val="center"/>
                </w:tcPr>
                <w:p w14:paraId="4362F649">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5）以平陆运河、北部湾港为重点，加强船舶和港口污染防治，加快淘汰老旧船舶，鼓励引导高能耗船舶技术改造升级和提前退出。推动新能源、清洁能源动力船舶应用，加快港口供电设施建设，提高船舶岸电设施使用率</w:t>
                  </w:r>
                  <w:r>
                    <w:rPr>
                      <w:snapToGrid w:val="0"/>
                      <w:color w:val="0D0D0D" w:themeColor="text1" w:themeTint="F2"/>
                      <w:kern w:val="0"/>
                      <w:szCs w:val="21"/>
                      <w14:textFill>
                        <w14:solidFill>
                          <w14:schemeClr w14:val="tx1">
                            <w14:lumMod w14:val="95000"/>
                            <w14:lumOff w14:val="5000"/>
                          </w14:schemeClr>
                        </w14:solidFill>
                      </w14:textFill>
                    </w:rPr>
                    <w:t>。</w:t>
                  </w:r>
                </w:p>
              </w:tc>
              <w:tc>
                <w:tcPr>
                  <w:tcW w:w="893" w:type="pct"/>
                  <w:vAlign w:val="center"/>
                </w:tcPr>
                <w:p w14:paraId="468F16C0">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6" w:type="pct"/>
                  <w:vAlign w:val="center"/>
                </w:tcPr>
                <w:p w14:paraId="7A68A17B">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6100D2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continue"/>
                  <w:vAlign w:val="center"/>
                </w:tcPr>
                <w:p w14:paraId="1B4745E6">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3265" w:type="pct"/>
                  <w:vAlign w:val="center"/>
                </w:tcPr>
                <w:p w14:paraId="185151D6">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（6）平陆运河沿线城市实施生活污水集中处理设施能力提升全覆盖工程，开展城市污水处理设施差别化精准提标改造</w:t>
                  </w:r>
                  <w:r>
                    <w:rPr>
                      <w:snapToGrid w:val="0"/>
                      <w:color w:val="0D0D0D" w:themeColor="text1" w:themeTint="F2"/>
                      <w:kern w:val="0"/>
                      <w:szCs w:val="21"/>
                      <w14:textFill>
                        <w14:solidFill>
                          <w14:schemeClr w14:val="tx1">
                            <w14:lumMod w14:val="95000"/>
                            <w14:lumOff w14:val="5000"/>
                          </w14:schemeClr>
                        </w14:solidFill>
                      </w14:textFill>
                    </w:rPr>
                    <w:t>。</w:t>
                  </w:r>
                </w:p>
              </w:tc>
              <w:tc>
                <w:tcPr>
                  <w:tcW w:w="893" w:type="pct"/>
                  <w:vAlign w:val="center"/>
                </w:tcPr>
                <w:p w14:paraId="02BD4AF3">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6" w:type="pct"/>
                  <w:vAlign w:val="center"/>
                </w:tcPr>
                <w:p w14:paraId="32F0F557">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3F0BC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restart"/>
                  <w:vAlign w:val="center"/>
                </w:tcPr>
                <w:p w14:paraId="77A2709B">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环境风险防控</w:t>
                  </w:r>
                </w:p>
              </w:tc>
              <w:tc>
                <w:tcPr>
                  <w:tcW w:w="3265" w:type="pct"/>
                  <w:vAlign w:val="center"/>
                </w:tcPr>
                <w:p w14:paraId="2DC6EE7C">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（1）强化沿海工业园区和沿海石油、石化、化工、冶炼及危化品储运等企业的环境风险防控</w:t>
                  </w:r>
                  <w:r>
                    <w:rPr>
                      <w:snapToGrid w:val="0"/>
                      <w:color w:val="0D0D0D" w:themeColor="text1" w:themeTint="F2"/>
                      <w:kern w:val="0"/>
                      <w:szCs w:val="21"/>
                      <w14:textFill>
                        <w14:solidFill>
                          <w14:schemeClr w14:val="tx1">
                            <w14:lumMod w14:val="95000"/>
                            <w14:lumOff w14:val="5000"/>
                          </w14:schemeClr>
                        </w14:solidFill>
                      </w14:textFill>
                    </w:rPr>
                    <w:t>。</w:t>
                  </w:r>
                </w:p>
              </w:tc>
              <w:tc>
                <w:tcPr>
                  <w:tcW w:w="893" w:type="pct"/>
                  <w:vAlign w:val="center"/>
                </w:tcPr>
                <w:p w14:paraId="43B7CE68">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项目在落实风险防范措施后，环境风险可控。</w:t>
                  </w:r>
                </w:p>
              </w:tc>
              <w:tc>
                <w:tcPr>
                  <w:tcW w:w="356" w:type="pct"/>
                  <w:vAlign w:val="center"/>
                </w:tcPr>
                <w:p w14:paraId="7D7650EE">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046D13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continue"/>
                  <w:vAlign w:val="center"/>
                </w:tcPr>
                <w:p w14:paraId="41410F47">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3265" w:type="pct"/>
                  <w:vAlign w:val="center"/>
                </w:tcPr>
                <w:p w14:paraId="77F3FE31">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（2）建立和完善海上溢油、危险化学品泄漏、赤潮应急反应预案，提升应对海洋突发环境事件能力，防范海上溢油、危险化学品泄漏等重大环境风险。加强海洋环境监测，实施海洋环境预警预报工程</w:t>
                  </w:r>
                  <w:r>
                    <w:rPr>
                      <w:snapToGrid w:val="0"/>
                      <w:color w:val="0D0D0D" w:themeColor="text1" w:themeTint="F2"/>
                      <w:kern w:val="0"/>
                      <w:szCs w:val="21"/>
                      <w14:textFill>
                        <w14:solidFill>
                          <w14:schemeClr w14:val="tx1">
                            <w14:lumMod w14:val="95000"/>
                            <w14:lumOff w14:val="5000"/>
                          </w14:schemeClr>
                        </w14:solidFill>
                      </w14:textFill>
                    </w:rPr>
                    <w:t>。</w:t>
                  </w:r>
                </w:p>
              </w:tc>
              <w:tc>
                <w:tcPr>
                  <w:tcW w:w="893" w:type="pct"/>
                  <w:vAlign w:val="center"/>
                </w:tcPr>
                <w:p w14:paraId="666B911D">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项目后期按要求编制突发环境事件应急预案。</w:t>
                  </w:r>
                </w:p>
              </w:tc>
              <w:tc>
                <w:tcPr>
                  <w:tcW w:w="356" w:type="pct"/>
                  <w:vAlign w:val="center"/>
                </w:tcPr>
                <w:p w14:paraId="47AAF45B">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2C95E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continue"/>
                  <w:vAlign w:val="center"/>
                </w:tcPr>
                <w:p w14:paraId="678BA0A2">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3265" w:type="pct"/>
                  <w:vAlign w:val="center"/>
                </w:tcPr>
                <w:p w14:paraId="729E513F">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（3）实行严格的核污染监控管理，提升核安全治理能力，提高核设施安全水平，降低核安全风险，推进放射性污染防治，确保辐射环境质量保持良好，强化核辐射安全监管体系，消除核安全隐患</w:t>
                  </w:r>
                  <w:r>
                    <w:rPr>
                      <w:snapToGrid w:val="0"/>
                      <w:color w:val="0D0D0D" w:themeColor="text1" w:themeTint="F2"/>
                      <w:kern w:val="0"/>
                      <w:szCs w:val="21"/>
                      <w14:textFill>
                        <w14:solidFill>
                          <w14:schemeClr w14:val="tx1">
                            <w14:lumMod w14:val="95000"/>
                            <w14:lumOff w14:val="5000"/>
                          </w14:schemeClr>
                        </w14:solidFill>
                      </w14:textFill>
                    </w:rPr>
                    <w:t>。</w:t>
                  </w:r>
                </w:p>
              </w:tc>
              <w:tc>
                <w:tcPr>
                  <w:tcW w:w="893" w:type="pct"/>
                  <w:vAlign w:val="center"/>
                </w:tcPr>
                <w:p w14:paraId="3E9FDB64">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6" w:type="pct"/>
                  <w:vAlign w:val="center"/>
                </w:tcPr>
                <w:p w14:paraId="15B06EC3">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79F6E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restart"/>
                  <w:vAlign w:val="center"/>
                </w:tcPr>
                <w:p w14:paraId="0D4EACA5">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snapToGrid w:val="0"/>
                      <w:color w:val="0D0D0D" w:themeColor="text1" w:themeTint="F2"/>
                      <w:kern w:val="0"/>
                      <w:szCs w:val="21"/>
                      <w14:textFill>
                        <w14:solidFill>
                          <w14:schemeClr w14:val="tx1">
                            <w14:lumMod w14:val="95000"/>
                            <w14:lumOff w14:val="5000"/>
                          </w14:schemeClr>
                        </w14:solidFill>
                      </w14:textFill>
                    </w:rPr>
                    <w:t>资源开发利用效率要求</w:t>
                  </w:r>
                </w:p>
              </w:tc>
              <w:tc>
                <w:tcPr>
                  <w:tcW w:w="3265" w:type="pct"/>
                  <w:vAlign w:val="center"/>
                </w:tcPr>
                <w:p w14:paraId="1E41E765">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（1）严格执行能耗“双控”，新建项目能源利用效率应达到国内先进水平。</w:t>
                  </w:r>
                </w:p>
              </w:tc>
              <w:tc>
                <w:tcPr>
                  <w:tcW w:w="893" w:type="pct"/>
                  <w:vAlign w:val="center"/>
                </w:tcPr>
                <w:p w14:paraId="6156E308">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项目不属于高能耗项目。</w:t>
                  </w:r>
                </w:p>
              </w:tc>
              <w:tc>
                <w:tcPr>
                  <w:tcW w:w="356" w:type="pct"/>
                  <w:vAlign w:val="center"/>
                </w:tcPr>
                <w:p w14:paraId="5D50A5D6">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1BDD5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pct"/>
                  <w:vMerge w:val="continue"/>
                  <w:vAlign w:val="center"/>
                </w:tcPr>
                <w:p w14:paraId="10F73518">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3265" w:type="pct"/>
                  <w:vAlign w:val="center"/>
                </w:tcPr>
                <w:p w14:paraId="76BC9296">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（2）实施水资源消耗总量和强度“双控”</w:t>
                  </w:r>
                  <w:r>
                    <w:rPr>
                      <w:snapToGrid w:val="0"/>
                      <w:color w:val="0D0D0D" w:themeColor="text1" w:themeTint="F2"/>
                      <w:kern w:val="0"/>
                      <w:szCs w:val="21"/>
                      <w14:textFill>
                        <w14:solidFill>
                          <w14:schemeClr w14:val="tx1">
                            <w14:lumMod w14:val="95000"/>
                            <w14:lumOff w14:val="5000"/>
                          </w14:schemeClr>
                        </w14:solidFill>
                      </w14:textFill>
                    </w:rPr>
                    <w:t>。</w:t>
                  </w:r>
                </w:p>
              </w:tc>
              <w:tc>
                <w:tcPr>
                  <w:tcW w:w="893" w:type="pct"/>
                  <w:vAlign w:val="center"/>
                </w:tcPr>
                <w:p w14:paraId="3B507F86">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项目用水由市政管网供给，用水量较小</w:t>
                  </w:r>
                  <w:r>
                    <w:rPr>
                      <w:snapToGrid w:val="0"/>
                      <w:color w:val="0D0D0D" w:themeColor="text1" w:themeTint="F2"/>
                      <w:kern w:val="0"/>
                      <w:szCs w:val="21"/>
                      <w14:textFill>
                        <w14:solidFill>
                          <w14:schemeClr w14:val="tx1">
                            <w14:lumMod w14:val="95000"/>
                            <w14:lumOff w14:val="5000"/>
                          </w14:schemeClr>
                        </w14:solidFill>
                      </w14:textFill>
                    </w:rPr>
                    <w:t>。</w:t>
                  </w:r>
                </w:p>
              </w:tc>
              <w:tc>
                <w:tcPr>
                  <w:tcW w:w="356" w:type="pct"/>
                  <w:vAlign w:val="center"/>
                </w:tcPr>
                <w:p w14:paraId="1A391B69">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bl>
          <w:p w14:paraId="6785138D">
            <w:pPr>
              <w:autoSpaceDE w:val="0"/>
              <w:autoSpaceDN w:val="0"/>
              <w:adjustRightInd w:val="0"/>
              <w:snapToGrid w:val="0"/>
              <w:spacing w:line="360" w:lineRule="auto"/>
              <w:ind w:firstLine="482" w:firstLineChars="200"/>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（6）与《钦州市生态环境局关于印发&lt;钦州市生态环境分区管控动态更新成果（2023版）&gt;的通知》相符性分析</w:t>
            </w:r>
          </w:p>
          <w:p w14:paraId="774C038D">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根据《钦州市生态环境局关于印发&lt;钦州市生态环境分区管控动态更新成果（2023版）&gt;的通知》，项目与钦州市生态环境准入及管控要求相符性分析详见表1-6，与广西钦州石化产业园重点管控单元准入要求相符性分析详见表1-7。</w:t>
            </w:r>
          </w:p>
          <w:p w14:paraId="6CE08B76">
            <w:pPr>
              <w:widowControl/>
              <w:adjustRightInd w:val="0"/>
              <w:snapToGrid w:val="0"/>
              <w:spacing w:before="120" w:beforeLines="50"/>
              <w:jc w:val="center"/>
              <w:rPr>
                <w:b/>
                <w:bCs/>
                <w:snapToGrid w:val="0"/>
                <w:color w:val="0D0D0D" w:themeColor="text1" w:themeTint="F2"/>
                <w:kern w:val="0"/>
                <w:szCs w:val="21"/>
                <w14:textFill>
                  <w14:solidFill>
                    <w14:schemeClr w14:val="tx1">
                      <w14:lumMod w14:val="95000"/>
                      <w14:lumOff w14:val="5000"/>
                    </w14:schemeClr>
                  </w14:solidFill>
                </w14:textFill>
              </w:rPr>
            </w:pPr>
            <w:r>
              <w:rPr>
                <w:rFonts w:hint="eastAsia"/>
                <w:b/>
                <w:bCs/>
                <w:snapToGrid w:val="0"/>
                <w:color w:val="0D0D0D" w:themeColor="text1" w:themeTint="F2"/>
                <w:kern w:val="0"/>
                <w:szCs w:val="21"/>
                <w14:textFill>
                  <w14:solidFill>
                    <w14:schemeClr w14:val="tx1">
                      <w14:lumMod w14:val="95000"/>
                      <w14:lumOff w14:val="5000"/>
                    </w14:schemeClr>
                  </w14:solidFill>
                </w14:textFill>
              </w:rPr>
              <w:t>表1-6</w:t>
            </w:r>
            <w:r>
              <w:rPr>
                <w:b/>
                <w:bCs/>
                <w:snapToGrid w:val="0"/>
                <w:color w:val="0D0D0D" w:themeColor="text1" w:themeTint="F2"/>
                <w:kern w:val="0"/>
                <w:szCs w:val="21"/>
                <w14:textFill>
                  <w14:solidFill>
                    <w14:schemeClr w14:val="tx1">
                      <w14:lumMod w14:val="95000"/>
                      <w14:lumOff w14:val="5000"/>
                    </w14:schemeClr>
                  </w14:solidFill>
                </w14:textFill>
              </w:rPr>
              <w:t xml:space="preserve">  </w:t>
            </w:r>
            <w:r>
              <w:rPr>
                <w:rFonts w:hint="eastAsia"/>
                <w:b/>
                <w:bCs/>
                <w:snapToGrid w:val="0"/>
                <w:color w:val="0D0D0D" w:themeColor="text1" w:themeTint="F2"/>
                <w:kern w:val="0"/>
                <w:szCs w:val="21"/>
                <w14:textFill>
                  <w14:solidFill>
                    <w14:schemeClr w14:val="tx1">
                      <w14:lumMod w14:val="95000"/>
                      <w14:lumOff w14:val="5000"/>
                    </w14:schemeClr>
                  </w14:solidFill>
                </w14:textFill>
              </w:rPr>
              <w:t>与钦州市生态环境准入及管控要求相符性分析</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4"/>
              <w:gridCol w:w="3731"/>
              <w:gridCol w:w="1502"/>
              <w:gridCol w:w="445"/>
            </w:tblGrid>
            <w:tr w14:paraId="1673E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46" w:type="pct"/>
                  <w:gridSpan w:val="2"/>
                  <w:vAlign w:val="center"/>
                </w:tcPr>
                <w:p w14:paraId="7D5328AC">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snapToGrid w:val="0"/>
                      <w:color w:val="0D0D0D" w:themeColor="text1" w:themeTint="F2"/>
                      <w:kern w:val="0"/>
                      <w:szCs w:val="21"/>
                      <w14:textFill>
                        <w14:solidFill>
                          <w14:schemeClr w14:val="tx1">
                            <w14:lumMod w14:val="95000"/>
                            <w14:lumOff w14:val="5000"/>
                          </w14:schemeClr>
                        </w14:solidFill>
                      </w14:textFill>
                    </w:rPr>
                    <w:t>生态环境准入清单要求</w:t>
                  </w:r>
                </w:p>
              </w:tc>
              <w:tc>
                <w:tcPr>
                  <w:tcW w:w="1199" w:type="pct"/>
                  <w:vAlign w:val="center"/>
                </w:tcPr>
                <w:p w14:paraId="7A4C4398">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snapToGrid w:val="0"/>
                      <w:color w:val="0D0D0D" w:themeColor="text1" w:themeTint="F2"/>
                      <w:kern w:val="0"/>
                      <w:szCs w:val="21"/>
                      <w14:textFill>
                        <w14:solidFill>
                          <w14:schemeClr w14:val="tx1">
                            <w14:lumMod w14:val="95000"/>
                            <w14:lumOff w14:val="5000"/>
                          </w14:schemeClr>
                        </w14:solidFill>
                      </w14:textFill>
                    </w:rPr>
                    <w:t>项目情况</w:t>
                  </w:r>
                </w:p>
              </w:tc>
              <w:tc>
                <w:tcPr>
                  <w:tcW w:w="355" w:type="pct"/>
                  <w:vAlign w:val="center"/>
                </w:tcPr>
                <w:p w14:paraId="5ACA1AD3">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结论</w:t>
                  </w:r>
                </w:p>
              </w:tc>
            </w:tr>
            <w:tr w14:paraId="432F4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restart"/>
                  <w:vAlign w:val="center"/>
                </w:tcPr>
                <w:p w14:paraId="785F30C9">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空间布局约束</w:t>
                  </w:r>
                </w:p>
              </w:tc>
              <w:tc>
                <w:tcPr>
                  <w:tcW w:w="2979" w:type="pct"/>
                  <w:vAlign w:val="center"/>
                </w:tcPr>
                <w:p w14:paraId="76DF93DD">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自然保护地、水源保护区、公益林、天然林等具有法律地位，有管理条例、规定、办法的各类保护地，其管控要求原则上按照各类保护地的现行规定进行管理，重叠区域以最严格的要求进行管理。纳入生态保护红线管理的各类自然保护地，还应执行国家、自治区有关生态保护红线内各类开发活动的准入及管控规定和要求。</w:t>
                  </w:r>
                </w:p>
              </w:tc>
              <w:tc>
                <w:tcPr>
                  <w:tcW w:w="1199" w:type="pct"/>
                  <w:vAlign w:val="center"/>
                </w:tcPr>
                <w:p w14:paraId="7A38876F">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项目不涉及生态保护红线、自然保护地等各类保护区域。</w:t>
                  </w:r>
                </w:p>
              </w:tc>
              <w:tc>
                <w:tcPr>
                  <w:tcW w:w="355" w:type="pct"/>
                  <w:vAlign w:val="center"/>
                </w:tcPr>
                <w:p w14:paraId="65B09ACB">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78574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07A1EE14">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6A372E6F">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（2）红树林依据《广西壮族自治区红树林资源保护条例》进行管理。开展红树林修复要依法依规进行，并符合红树林资源保护规划等相关要求。</w:t>
                  </w:r>
                </w:p>
              </w:tc>
              <w:tc>
                <w:tcPr>
                  <w:tcW w:w="1199" w:type="pct"/>
                  <w:vAlign w:val="center"/>
                </w:tcPr>
                <w:p w14:paraId="61FD48DD">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项目不涉及红树林。</w:t>
                  </w:r>
                </w:p>
              </w:tc>
              <w:tc>
                <w:tcPr>
                  <w:tcW w:w="355" w:type="pct"/>
                  <w:vAlign w:val="center"/>
                </w:tcPr>
                <w:p w14:paraId="4CE13FBE">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300A3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4740F3DC">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21D811DF">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（3）重要湿地依据《中华人民共和国湿地保护法》《国家湿地公园管理办法》《广西壮族自治区湿地保护条例》进行管理</w:t>
                  </w:r>
                  <w:r>
                    <w:rPr>
                      <w:snapToGrid w:val="0"/>
                      <w:color w:val="0D0D0D" w:themeColor="text1" w:themeTint="F2"/>
                      <w:kern w:val="0"/>
                      <w:szCs w:val="21"/>
                      <w14:textFill>
                        <w14:solidFill>
                          <w14:schemeClr w14:val="tx1">
                            <w14:lumMod w14:val="95000"/>
                            <w14:lumOff w14:val="5000"/>
                          </w14:schemeClr>
                        </w14:solidFill>
                      </w14:textFill>
                    </w:rPr>
                    <w:t>。</w:t>
                  </w:r>
                </w:p>
              </w:tc>
              <w:tc>
                <w:tcPr>
                  <w:tcW w:w="1199" w:type="pct"/>
                  <w:vAlign w:val="center"/>
                </w:tcPr>
                <w:p w14:paraId="79324E68">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项目不涉及湿地。</w:t>
                  </w:r>
                </w:p>
              </w:tc>
              <w:tc>
                <w:tcPr>
                  <w:tcW w:w="355" w:type="pct"/>
                  <w:vAlign w:val="center"/>
                </w:tcPr>
                <w:p w14:paraId="19F6E70A">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4BA58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13CC74D3">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25AA7408">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4）禁止城镇和工业发展占用自然保护区、湿地保护区及生态环境极为敏感地区，对已有的工业企业逐步搬迁，减缓城镇空间和生态空间叠加布局对生态空间的破坏和侵占程度。禁止在水源保护区、湿地、永久基本农田、陡坡区、地质灾害高易发区等地区建设和开发，严格限制自然保护区和湿地保护核心区人类活动；严格限制“两高”产业在十万大山、五皇山、六万大山、茅尾海等生物多样性保护区及水源涵养区等重点生态功能区的布局，鼓励发展生态保护型旅游业、生态农业，统筹推进特色农业和旅游业融合发展</w:t>
                  </w:r>
                  <w:r>
                    <w:rPr>
                      <w:snapToGrid w:val="0"/>
                      <w:color w:val="0D0D0D" w:themeColor="text1" w:themeTint="F2"/>
                      <w:kern w:val="0"/>
                      <w:szCs w:val="21"/>
                      <w14:textFill>
                        <w14:solidFill>
                          <w14:schemeClr w14:val="tx1">
                            <w14:lumMod w14:val="95000"/>
                            <w14:lumOff w14:val="5000"/>
                          </w14:schemeClr>
                        </w14:solidFill>
                      </w14:textFill>
                    </w:rPr>
                    <w:t>。</w:t>
                  </w:r>
                </w:p>
              </w:tc>
              <w:tc>
                <w:tcPr>
                  <w:tcW w:w="1199" w:type="pct"/>
                  <w:vAlign w:val="center"/>
                </w:tcPr>
                <w:p w14:paraId="17322549">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项目不涉及生态环境敏感地区，不属于“两高”项目。</w:t>
                  </w:r>
                </w:p>
              </w:tc>
              <w:tc>
                <w:tcPr>
                  <w:tcW w:w="355" w:type="pct"/>
                  <w:vAlign w:val="center"/>
                </w:tcPr>
                <w:p w14:paraId="79CD14D8">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583AC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290E784F">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2B2A3C2D">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（5）以供给侧结构性改革为导向，坚持培育新增产能与淘汰落后产能相结合，严格审批，防止新增落后产能。严格控制“两高”和产能过剩行业新上项目，遏制高耗能产业无序发展和低水平扩张</w:t>
                  </w:r>
                  <w:r>
                    <w:rPr>
                      <w:snapToGrid w:val="0"/>
                      <w:color w:val="0D0D0D" w:themeColor="text1" w:themeTint="F2"/>
                      <w:kern w:val="0"/>
                      <w:szCs w:val="21"/>
                      <w14:textFill>
                        <w14:solidFill>
                          <w14:schemeClr w14:val="tx1">
                            <w14:lumMod w14:val="95000"/>
                            <w14:lumOff w14:val="5000"/>
                          </w14:schemeClr>
                        </w14:solidFill>
                      </w14:textFill>
                    </w:rPr>
                    <w:t>。</w:t>
                  </w:r>
                </w:p>
              </w:tc>
              <w:tc>
                <w:tcPr>
                  <w:tcW w:w="1199" w:type="pct"/>
                  <w:vAlign w:val="center"/>
                </w:tcPr>
                <w:p w14:paraId="0E535D26">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项目不属于“两高”和产能过剩行业。</w:t>
                  </w:r>
                </w:p>
              </w:tc>
              <w:tc>
                <w:tcPr>
                  <w:tcW w:w="355" w:type="pct"/>
                  <w:vAlign w:val="center"/>
                </w:tcPr>
                <w:p w14:paraId="2F292344">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7AF0B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619E3D7A">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0EA95534">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6）全市产业准入执行《广西壮族自治区人民政府办公厅关于印发北钦防一体化产业协同发展限制布局清单（工业类2021年版）的通知》（桂政办函〔2021〕4号）要求，限制布局炼铁、炼钢、铝冶炼、平板玻璃制造</w:t>
                  </w:r>
                  <w:r>
                    <w:rPr>
                      <w:snapToGrid w:val="0"/>
                      <w:color w:val="0D0D0D" w:themeColor="text1" w:themeTint="F2"/>
                      <w:kern w:val="0"/>
                      <w:szCs w:val="21"/>
                      <w14:textFill>
                        <w14:solidFill>
                          <w14:schemeClr w14:val="tx1">
                            <w14:lumMod w14:val="95000"/>
                            <w14:lumOff w14:val="5000"/>
                          </w14:schemeClr>
                        </w14:solidFill>
                      </w14:textFill>
                    </w:rPr>
                    <w:t>。</w:t>
                  </w:r>
                </w:p>
              </w:tc>
              <w:tc>
                <w:tcPr>
                  <w:tcW w:w="1199" w:type="pct"/>
                  <w:vAlign w:val="center"/>
                </w:tcPr>
                <w:p w14:paraId="1136643D">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项目不属于炼铁、炼钢、铝冶炼、平板玻璃制造项目。</w:t>
                  </w:r>
                </w:p>
              </w:tc>
              <w:tc>
                <w:tcPr>
                  <w:tcW w:w="355" w:type="pct"/>
                  <w:vAlign w:val="center"/>
                </w:tcPr>
                <w:p w14:paraId="6EB04269">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55A35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7F98E5C3">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27B36B3E">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（7）新建、扩建的石化、化工、焦化项目应按照《关于加强高耗能、高排放建设项目生态环境源头防控的指导意见》布设在依法合规设立并经规划环评的产业园区</w:t>
                  </w:r>
                  <w:r>
                    <w:rPr>
                      <w:snapToGrid w:val="0"/>
                      <w:color w:val="0D0D0D" w:themeColor="text1" w:themeTint="F2"/>
                      <w:kern w:val="0"/>
                      <w:szCs w:val="21"/>
                      <w14:textFill>
                        <w14:solidFill>
                          <w14:schemeClr w14:val="tx1">
                            <w14:lumMod w14:val="95000"/>
                            <w14:lumOff w14:val="5000"/>
                          </w14:schemeClr>
                        </w14:solidFill>
                      </w14:textFill>
                    </w:rPr>
                    <w:t>。</w:t>
                  </w:r>
                </w:p>
              </w:tc>
              <w:tc>
                <w:tcPr>
                  <w:tcW w:w="1199" w:type="pct"/>
                  <w:vAlign w:val="center"/>
                </w:tcPr>
                <w:p w14:paraId="2925F7AD">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项目不属于石化、化工、焦化项目。</w:t>
                  </w:r>
                </w:p>
              </w:tc>
              <w:tc>
                <w:tcPr>
                  <w:tcW w:w="355" w:type="pct"/>
                  <w:vAlign w:val="center"/>
                </w:tcPr>
                <w:p w14:paraId="309B6CA2">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39513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75B214C8">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4BD43B0F">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（8）禁止违法占用、损害自然岸线。海洋开发和海岸开发各类活动，大陆自然岸线保有率标准不低于35%、无居民海岛岸线长度保有率标准不低于85%。</w:t>
                  </w:r>
                </w:p>
              </w:tc>
              <w:tc>
                <w:tcPr>
                  <w:tcW w:w="1199" w:type="pct"/>
                  <w:vAlign w:val="center"/>
                </w:tcPr>
                <w:p w14:paraId="27EA98C6">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5" w:type="pct"/>
                  <w:vAlign w:val="center"/>
                </w:tcPr>
                <w:p w14:paraId="6DF3B41A">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0755A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7ACEA1BA">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641F4E29">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（9）推进海域资源市场化配置，严控新增围填海造地，完善围填海总量管控，除国家重大战略项目外，全面停止新增围填海项目审批，全面清理非法占用海洋生态保护红线区域的围填海项目。</w:t>
                  </w:r>
                </w:p>
              </w:tc>
              <w:tc>
                <w:tcPr>
                  <w:tcW w:w="1199" w:type="pct"/>
                  <w:vAlign w:val="center"/>
                </w:tcPr>
                <w:p w14:paraId="200662D3">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5" w:type="pct"/>
                  <w:vAlign w:val="center"/>
                </w:tcPr>
                <w:p w14:paraId="3009E9A8">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76648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7B7EA964">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4535498E">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（10）科学论证在三娘湾海洋保护区、茅尾海中部海洋保护区及周边区域的开发利用活动，严格落实保护区管理要求。</w:t>
                  </w:r>
                </w:p>
              </w:tc>
              <w:tc>
                <w:tcPr>
                  <w:tcW w:w="1199" w:type="pct"/>
                  <w:vAlign w:val="center"/>
                </w:tcPr>
                <w:p w14:paraId="2853998A">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5" w:type="pct"/>
                  <w:vAlign w:val="center"/>
                </w:tcPr>
                <w:p w14:paraId="2A360B84">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36260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0A65C0DB">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7CA45537">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（11）严格按照相关法律法规及国土空间规划等要求，规范设置和监管入海排污口。禁止采挖海砂、设置直排排污口及其他破坏河口生态功能的开发活动。</w:t>
                  </w:r>
                </w:p>
              </w:tc>
              <w:tc>
                <w:tcPr>
                  <w:tcW w:w="1199" w:type="pct"/>
                  <w:vAlign w:val="center"/>
                </w:tcPr>
                <w:p w14:paraId="47662002">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5" w:type="pct"/>
                  <w:vAlign w:val="center"/>
                </w:tcPr>
                <w:p w14:paraId="33E6BE79">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07462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6C19D587">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36218E89">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12）严禁圈占沙滩和红树林，禁止红树林海岸带内陆采石等破坏性活动。对红树林、海草床、滨海湿地等重要海洋生态系统实行最严格的保护措施，加强珍稀濒危物种及重要海洋生态系统的生境保护，加大滨海湿地的保护和修复力度。禁止红树林海岸带内陆采石等破坏性活动。禁止毁坏海岸防护设施、沿海防护林、沿海城镇园林和绿地。</w:t>
                  </w:r>
                </w:p>
              </w:tc>
              <w:tc>
                <w:tcPr>
                  <w:tcW w:w="1199" w:type="pct"/>
                  <w:vAlign w:val="center"/>
                </w:tcPr>
                <w:p w14:paraId="4065E63A">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5" w:type="pct"/>
                  <w:vAlign w:val="center"/>
                </w:tcPr>
                <w:p w14:paraId="203E0B59">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5D81E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2A08429B">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19F00B74">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（13）严格用途管制，坚持陆海统筹，严禁国家产业政策淘汰类、限制类项目在滨海湿地布局，实现山水林田湖草整体保护、系统修复、综合治理。</w:t>
                  </w:r>
                </w:p>
              </w:tc>
              <w:tc>
                <w:tcPr>
                  <w:tcW w:w="1199" w:type="pct"/>
                  <w:vAlign w:val="center"/>
                </w:tcPr>
                <w:p w14:paraId="28F41E22">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5" w:type="pct"/>
                  <w:vAlign w:val="center"/>
                </w:tcPr>
                <w:p w14:paraId="3834D2A6">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62196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5C22DC70">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406F8D8E">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（14）禁止在氮磷浓度严重超标的近岸海域新增或者扩大投饵、投肥海水养殖规模。</w:t>
                  </w:r>
                </w:p>
              </w:tc>
              <w:tc>
                <w:tcPr>
                  <w:tcW w:w="1199" w:type="pct"/>
                  <w:vAlign w:val="center"/>
                </w:tcPr>
                <w:p w14:paraId="12964466">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5" w:type="pct"/>
                  <w:vAlign w:val="center"/>
                </w:tcPr>
                <w:p w14:paraId="29CABF4B">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3DACA4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03F50C1F">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6ADEA633">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（15）平陆运河沿线两岸原则上预留1公里作为生态廊道构建用地，将平陆运河沿线建设成为维护当地自然与文化特色的区域生物廊道、生境走廊、休闲绿道、风景廊道和绿色运河经济带等。</w:t>
                  </w:r>
                </w:p>
              </w:tc>
              <w:tc>
                <w:tcPr>
                  <w:tcW w:w="1199" w:type="pct"/>
                  <w:vAlign w:val="center"/>
                </w:tcPr>
                <w:p w14:paraId="7A9AE16B">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5" w:type="pct"/>
                  <w:vAlign w:val="center"/>
                </w:tcPr>
                <w:p w14:paraId="22C6BF7B">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174F0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231D9249">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4081CA05">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（16）禁止平陆运河建设违规占用环评批复范围之外的红树林，严格落实红树林生态恢复和管护要求。</w:t>
                  </w:r>
                </w:p>
              </w:tc>
              <w:tc>
                <w:tcPr>
                  <w:tcW w:w="1199" w:type="pct"/>
                  <w:vAlign w:val="center"/>
                </w:tcPr>
                <w:p w14:paraId="4E2FF0F1">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5" w:type="pct"/>
                  <w:vAlign w:val="center"/>
                </w:tcPr>
                <w:p w14:paraId="203B2033">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60C71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4D8F98E3">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18E90D17">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（17）除上述空间布局约束外，还应遵循国土空间规划管控要求。</w:t>
                  </w:r>
                </w:p>
              </w:tc>
              <w:tc>
                <w:tcPr>
                  <w:tcW w:w="1199" w:type="pct"/>
                  <w:vAlign w:val="center"/>
                </w:tcPr>
                <w:p w14:paraId="3FA7EFEA">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项目建设符合国土空间规划要求。</w:t>
                  </w:r>
                </w:p>
              </w:tc>
              <w:tc>
                <w:tcPr>
                  <w:tcW w:w="355" w:type="pct"/>
                  <w:vAlign w:val="center"/>
                </w:tcPr>
                <w:p w14:paraId="28ABC591">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41EF3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restart"/>
                  <w:vAlign w:val="center"/>
                </w:tcPr>
                <w:p w14:paraId="50116BFE">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污染物排放管控</w:t>
                  </w:r>
                </w:p>
              </w:tc>
              <w:tc>
                <w:tcPr>
                  <w:tcW w:w="2979" w:type="pct"/>
                  <w:vAlign w:val="center"/>
                </w:tcPr>
                <w:p w14:paraId="4768BDB9">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以有色金属、建材、制糖、石化化工、造纸等行业为重点，推进节能改造和污染物深度治理；新建、改建、扩建的制浆造纸、印染、纺织、煤化工、石化、煤电等建设项目新增主要污染物排放应控制在区域总量的要求，确保环境质量达标</w:t>
                  </w:r>
                  <w:r>
                    <w:rPr>
                      <w:snapToGrid w:val="0"/>
                      <w:color w:val="0D0D0D" w:themeColor="text1" w:themeTint="F2"/>
                      <w:kern w:val="0"/>
                      <w:szCs w:val="21"/>
                      <w14:textFill>
                        <w14:solidFill>
                          <w14:schemeClr w14:val="tx1">
                            <w14:lumMod w14:val="95000"/>
                            <w14:lumOff w14:val="5000"/>
                          </w14:schemeClr>
                        </w14:solidFill>
                      </w14:textFill>
                    </w:rPr>
                    <w:t>。</w:t>
                  </w:r>
                </w:p>
              </w:tc>
              <w:tc>
                <w:tcPr>
                  <w:tcW w:w="1199" w:type="pct"/>
                  <w:vAlign w:val="center"/>
                </w:tcPr>
                <w:p w14:paraId="184342DE">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项目不涉及所列行业。</w:t>
                  </w:r>
                </w:p>
              </w:tc>
              <w:tc>
                <w:tcPr>
                  <w:tcW w:w="355" w:type="pct"/>
                  <w:vAlign w:val="center"/>
                </w:tcPr>
                <w:p w14:paraId="6768FE43">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37912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106B4A4A">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7F0DB712">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2）持续加强工业集聚区污水集中处理设施建设，提高工业企业水循环利用率、污染物预处理能力及污染集中治理能力，补齐基础设施短板，按照“清污分流、雨污分流”原则，实施废水分类收集、分质处理，入园企业在达到国家或地方规定的排放标准后接入园区集中式污水处理设施稳定达标排放；加快推进深海排放基础设施建设</w:t>
                  </w:r>
                  <w:r>
                    <w:rPr>
                      <w:snapToGrid w:val="0"/>
                      <w:color w:val="0D0D0D" w:themeColor="text1" w:themeTint="F2"/>
                      <w:kern w:val="0"/>
                      <w:szCs w:val="21"/>
                      <w14:textFill>
                        <w14:solidFill>
                          <w14:schemeClr w14:val="tx1">
                            <w14:lumMod w14:val="95000"/>
                            <w14:lumOff w14:val="5000"/>
                          </w14:schemeClr>
                        </w14:solidFill>
                      </w14:textFill>
                    </w:rPr>
                    <w:t>。</w:t>
                  </w:r>
                </w:p>
              </w:tc>
              <w:tc>
                <w:tcPr>
                  <w:tcW w:w="1199" w:type="pct"/>
                  <w:vAlign w:val="center"/>
                </w:tcPr>
                <w:p w14:paraId="4C35249A">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项目生活污水经三级化粪池处理后排入园区市政污水管网，由钦州胜科水务有限公司污水处理厂进一步处理。</w:t>
                  </w:r>
                </w:p>
              </w:tc>
              <w:tc>
                <w:tcPr>
                  <w:tcW w:w="355" w:type="pct"/>
                  <w:vAlign w:val="center"/>
                </w:tcPr>
                <w:p w14:paraId="2DC9F38D">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0609C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5675C177">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7E8BC5FF">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3）开展陆海统筹流域治理，深化钦江、大风江、茅岭江、南流江等流域水环境综合整治，钦江、南流江流域切实开展截污、拔污、清污、治污专项行动，以“控磷除氮”为重点，抓好养殖、生活、工业、农业面源等污染综合治理和河道生态修复，推进河流入海断面水质持续改善，进一步削减入海河流总氮、总磷等的排海量。全面开展茅尾海、钦州湾等重点海域综合整治。严厉打击非法用海抽砂行为，优化茅尾海等海域养殖规划布局，整治非法养殖。完善钦州港区污水截流及雨污分流、海上水产养殖尾水整治。</w:t>
                  </w:r>
                </w:p>
              </w:tc>
              <w:tc>
                <w:tcPr>
                  <w:tcW w:w="1199" w:type="pct"/>
                  <w:vAlign w:val="center"/>
                </w:tcPr>
                <w:p w14:paraId="5337CAAF">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5" w:type="pct"/>
                  <w:vAlign w:val="center"/>
                </w:tcPr>
                <w:p w14:paraId="1E678FF1">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5E175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40336C65">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0FD23E74">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4）完善城镇污水处理厂配套管网建设，加强乡镇级污水处理设施及配套管网建设和改造，实施雨污分流改造，持续开展入河排污口整治，强化城镇生活污染源治理，建立健全生活污水收集、处理体系，推进城镇污水处理设施和服务向农村延伸，提高污水收集处理率，污水处理设施应增加脱氮、除磷工序。持续推进市、县级城市黑臭水体整治</w:t>
                  </w:r>
                  <w:r>
                    <w:rPr>
                      <w:snapToGrid w:val="0"/>
                      <w:color w:val="0D0D0D" w:themeColor="text1" w:themeTint="F2"/>
                      <w:kern w:val="0"/>
                      <w:szCs w:val="21"/>
                      <w14:textFill>
                        <w14:solidFill>
                          <w14:schemeClr w14:val="tx1">
                            <w14:lumMod w14:val="95000"/>
                            <w14:lumOff w14:val="5000"/>
                          </w14:schemeClr>
                        </w14:solidFill>
                      </w14:textFill>
                    </w:rPr>
                    <w:t>。</w:t>
                  </w:r>
                </w:p>
              </w:tc>
              <w:tc>
                <w:tcPr>
                  <w:tcW w:w="1199" w:type="pct"/>
                  <w:vAlign w:val="center"/>
                </w:tcPr>
                <w:p w14:paraId="0FB2A0DD">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项目生活污水经三级化粪池处理后排入园区市政污水管网，由钦州胜科水务有限公司污水处理厂进一步处理。</w:t>
                  </w:r>
                </w:p>
              </w:tc>
              <w:tc>
                <w:tcPr>
                  <w:tcW w:w="355" w:type="pct"/>
                  <w:vAlign w:val="center"/>
                </w:tcPr>
                <w:p w14:paraId="52D20504">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64E5F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4055A3E1">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307CD085">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5）加强工业企业无组织废气排放控制，加强挥发性有机物（VOCs）排放企业综合防治，加快高效VOCs收集治理设施建设，大力提升VOCs排放收集率、去除率和治理设施运行率。推进工业涂装、石化、包装印刷、木材加工、汽修等行业和油品储运销的VOCs综合治理</w:t>
                  </w:r>
                  <w:r>
                    <w:rPr>
                      <w:snapToGrid w:val="0"/>
                      <w:color w:val="0D0D0D" w:themeColor="text1" w:themeTint="F2"/>
                      <w:kern w:val="0"/>
                      <w:szCs w:val="21"/>
                      <w14:textFill>
                        <w14:solidFill>
                          <w14:schemeClr w14:val="tx1">
                            <w14:lumMod w14:val="95000"/>
                            <w14:lumOff w14:val="5000"/>
                          </w14:schemeClr>
                        </w14:solidFill>
                      </w14:textFill>
                    </w:rPr>
                    <w:t>。</w:t>
                  </w:r>
                </w:p>
              </w:tc>
              <w:tc>
                <w:tcPr>
                  <w:tcW w:w="1199" w:type="pct"/>
                  <w:vAlign w:val="center"/>
                </w:tcPr>
                <w:p w14:paraId="3F5859BB">
                  <w:pPr>
                    <w:adjustRightInd w:val="0"/>
                    <w:snapToGrid w:val="0"/>
                    <w:rPr>
                      <w:snapToGrid w:val="0"/>
                      <w:color w:val="0D0D0D" w:themeColor="text1" w:themeTint="F2"/>
                      <w:kern w:val="0"/>
                      <w:szCs w:val="21"/>
                      <w:u w:val="single"/>
                      <w14:textFill>
                        <w14:solidFill>
                          <w14:schemeClr w14:val="tx1">
                            <w14:lumMod w14:val="95000"/>
                            <w14:lumOff w14:val="5000"/>
                          </w14:schemeClr>
                        </w14:solidFill>
                      </w14:textFill>
                    </w:rPr>
                  </w:pPr>
                  <w:r>
                    <w:rPr>
                      <w:rFonts w:hint="eastAsia"/>
                      <w:snapToGrid w:val="0"/>
                      <w:color w:val="0D0D0D" w:themeColor="text1" w:themeTint="F2"/>
                      <w:kern w:val="0"/>
                      <w:szCs w:val="21"/>
                      <w:u w:val="single"/>
                      <w14:textFill>
                        <w14:solidFill>
                          <w14:schemeClr w14:val="tx1">
                            <w14:lumMod w14:val="95000"/>
                            <w14:lumOff w14:val="5000"/>
                          </w14:schemeClr>
                        </w14:solidFill>
                      </w14:textFill>
                    </w:rPr>
                    <w:t>项目喷漆废气（漆雾和有机废气）和危废暂存间废气收集后经“水帘柜+二级活性炭吸附脱附+CO催化燃烧”处理后通过20m排气筒（DA002）排放。</w:t>
                  </w:r>
                </w:p>
              </w:tc>
              <w:tc>
                <w:tcPr>
                  <w:tcW w:w="355" w:type="pct"/>
                  <w:vAlign w:val="center"/>
                </w:tcPr>
                <w:p w14:paraId="3B77257D">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73ACF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6600C8A3">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471E0A1A">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（6）完善园区集中供热设施，积极推广集中供热，有条件的工业聚集区建设集中喷涂工程中心，配备高效治污设施，替代企业独立喷涂工序</w:t>
                  </w:r>
                  <w:r>
                    <w:rPr>
                      <w:snapToGrid w:val="0"/>
                      <w:color w:val="0D0D0D" w:themeColor="text1" w:themeTint="F2"/>
                      <w:kern w:val="0"/>
                      <w:szCs w:val="21"/>
                      <w14:textFill>
                        <w14:solidFill>
                          <w14:schemeClr w14:val="tx1">
                            <w14:lumMod w14:val="95000"/>
                            <w14:lumOff w14:val="5000"/>
                          </w14:schemeClr>
                        </w14:solidFill>
                      </w14:textFill>
                    </w:rPr>
                    <w:t>。</w:t>
                  </w:r>
                </w:p>
              </w:tc>
              <w:tc>
                <w:tcPr>
                  <w:tcW w:w="1199" w:type="pct"/>
                  <w:vAlign w:val="center"/>
                </w:tcPr>
                <w:p w14:paraId="66766F12">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5" w:type="pct"/>
                  <w:vAlign w:val="center"/>
                </w:tcPr>
                <w:p w14:paraId="688FE765">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126FF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4C82CF56">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5158E631">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（7）推进城镇生活垃圾处理基础设施扩能建设，强化渗滤液处理设施运营管理，防止渗滤液积存或违规倾倒垃圾渗滤液至市政管网；加强农村生活垃圾收运、处理体系建设，降低农村垃圾焚烧污染</w:t>
                  </w:r>
                  <w:r>
                    <w:rPr>
                      <w:snapToGrid w:val="0"/>
                      <w:color w:val="0D0D0D" w:themeColor="text1" w:themeTint="F2"/>
                      <w:kern w:val="0"/>
                      <w:szCs w:val="21"/>
                      <w14:textFill>
                        <w14:solidFill>
                          <w14:schemeClr w14:val="tx1">
                            <w14:lumMod w14:val="95000"/>
                            <w14:lumOff w14:val="5000"/>
                          </w14:schemeClr>
                        </w14:solidFill>
                      </w14:textFill>
                    </w:rPr>
                    <w:t>。</w:t>
                  </w:r>
                </w:p>
              </w:tc>
              <w:tc>
                <w:tcPr>
                  <w:tcW w:w="1199" w:type="pct"/>
                  <w:vAlign w:val="center"/>
                </w:tcPr>
                <w:p w14:paraId="5A83B85F">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项目生活垃圾分类集中收集后由环卫部门清运处置。</w:t>
                  </w:r>
                </w:p>
              </w:tc>
              <w:tc>
                <w:tcPr>
                  <w:tcW w:w="355" w:type="pct"/>
                  <w:vAlign w:val="center"/>
                </w:tcPr>
                <w:p w14:paraId="0A44F4CC">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707ED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6CB9B622">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2B8D24CC">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（8）新建、改建、扩建涉及重点重金属排放建设项目依照相关规定实行总量控制</w:t>
                  </w:r>
                  <w:r>
                    <w:rPr>
                      <w:snapToGrid w:val="0"/>
                      <w:color w:val="0D0D0D" w:themeColor="text1" w:themeTint="F2"/>
                      <w:kern w:val="0"/>
                      <w:szCs w:val="21"/>
                      <w14:textFill>
                        <w14:solidFill>
                          <w14:schemeClr w14:val="tx1">
                            <w14:lumMod w14:val="95000"/>
                            <w14:lumOff w14:val="5000"/>
                          </w14:schemeClr>
                        </w14:solidFill>
                      </w14:textFill>
                    </w:rPr>
                    <w:t>。</w:t>
                  </w:r>
                </w:p>
              </w:tc>
              <w:tc>
                <w:tcPr>
                  <w:tcW w:w="1199" w:type="pct"/>
                  <w:vAlign w:val="center"/>
                </w:tcPr>
                <w:p w14:paraId="60C9760E">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项目不属于涉重项目。</w:t>
                  </w:r>
                </w:p>
              </w:tc>
              <w:tc>
                <w:tcPr>
                  <w:tcW w:w="355" w:type="pct"/>
                  <w:vAlign w:val="center"/>
                </w:tcPr>
                <w:p w14:paraId="2BC2F006">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295E7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4C023895">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0C417C61">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9）新建“两高”项目应采用先进适用的工艺技术和装备，单位产品物耗、能耗、水耗等达到清洁生产先进水平，依法制定并严格落实防治土壤与地下水污染的措施。按照《关于加强重点行业建设项目区域削减措施监督管理的通知》要求，依据区域环境质量改善目标，制定配套区域污染物削减方案，采取有效的污染物区域削减措施，腾出足够的环境容量。</w:t>
                  </w:r>
                </w:p>
              </w:tc>
              <w:tc>
                <w:tcPr>
                  <w:tcW w:w="1199" w:type="pct"/>
                  <w:vAlign w:val="center"/>
                </w:tcPr>
                <w:p w14:paraId="474D5D52">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项目不属于“两高”项目。</w:t>
                  </w:r>
                </w:p>
              </w:tc>
              <w:tc>
                <w:tcPr>
                  <w:tcW w:w="355" w:type="pct"/>
                  <w:vAlign w:val="center"/>
                </w:tcPr>
                <w:p w14:paraId="7E01E296">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590E5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294DC6F0">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27D5A793">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（10）加强海陆联动，严格控制陆源污染物排放。规范入海排污口设置，全面清理非法或设置不合理的入海排污口。加快推进钦州港三墩作业区配套深海排放管道工程。</w:t>
                  </w:r>
                </w:p>
              </w:tc>
              <w:tc>
                <w:tcPr>
                  <w:tcW w:w="1199" w:type="pct"/>
                  <w:vAlign w:val="center"/>
                </w:tcPr>
                <w:p w14:paraId="4A8A89B2">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项目不设置入海排污口。</w:t>
                  </w:r>
                </w:p>
              </w:tc>
              <w:tc>
                <w:tcPr>
                  <w:tcW w:w="355" w:type="pct"/>
                  <w:vAlign w:val="center"/>
                </w:tcPr>
                <w:p w14:paraId="3FD13C98">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4D7FD9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1769C1EB">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4F4124C5">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11）积极治理船舶污染，推进与城市公共转运及处置设施的有效衔接，全面贯彻落实《广西北部湾港船舶污染物接收、转运、处置能力评估及相应设施建设方案》，建设完善船舶污染物接收处理设施，提高含油污水、化学品洗舱水、船舶垃圾等接收处置能力及污染事故应急能力。加强钦州港码头和船舶修造厂等绿色岸电、环卫设施、污水处理设施建设使用。</w:t>
                  </w:r>
                </w:p>
              </w:tc>
              <w:tc>
                <w:tcPr>
                  <w:tcW w:w="1199" w:type="pct"/>
                  <w:vAlign w:val="center"/>
                </w:tcPr>
                <w:p w14:paraId="112C6F96">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5" w:type="pct"/>
                  <w:vAlign w:val="center"/>
                </w:tcPr>
                <w:p w14:paraId="70C1950C">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6F54F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3CB8C271">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17083688">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12）加强港口码头环保基础设施处理和建设。完善堆场防风抑尘设施，降低扬尘污染。港区实行雨污分流和污水分质处理，防止堆场废水通过雨水沟直排入海，完善配套污水处理设施和管网建设，实现污水集中处理、回用或达标排放。</w:t>
                  </w:r>
                </w:p>
              </w:tc>
              <w:tc>
                <w:tcPr>
                  <w:tcW w:w="1199" w:type="pct"/>
                  <w:vAlign w:val="center"/>
                </w:tcPr>
                <w:p w14:paraId="3120ABD7">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5" w:type="pct"/>
                  <w:vAlign w:val="center"/>
                </w:tcPr>
                <w:p w14:paraId="4D6D25EE">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12AF7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29D1D6F5">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723032AB">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13）污水离岸排放不得超过国家或者地方规定的排放标准。禁止向海域排放油类、酸液、碱液、剧毒废液和高、中水平放射性废水，严格控制向海域排放含有不易降解的有机物和重金属的废水，排放低水平放射性废水应当符合国家放射性污染防治标准，其他污染物的排放应当符合国家或者地方标准。含病原体的医疗污水、生活污水和工业废水必须经过处理，符合国家有关排放标准后，方能排入海域。含有机物和营养物质的工业废水、生活污水，应当严格控制向海湾、半封闭海及其他自净能力较差的海域排放。向海域排放含热废水，必须采取有效措施，保证邻近渔业水域的水温符合国家海洋环境质量标准，避免热污染对水产资源的危害。</w:t>
                  </w:r>
                </w:p>
              </w:tc>
              <w:tc>
                <w:tcPr>
                  <w:tcW w:w="1199" w:type="pct"/>
                  <w:vAlign w:val="center"/>
                </w:tcPr>
                <w:p w14:paraId="3E14B6C4">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项目生活污水经三级化粪池处理后排入园区市政污水管网，由钦州胜科水务有限公司污水处理厂进一步处理。</w:t>
                  </w:r>
                </w:p>
              </w:tc>
              <w:tc>
                <w:tcPr>
                  <w:tcW w:w="355" w:type="pct"/>
                  <w:vAlign w:val="center"/>
                </w:tcPr>
                <w:p w14:paraId="3BB465BB">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3FC296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70CE1614">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2D31EE8F">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14）按照养殖容量控制养殖规模和养殖密度，发展健康、生态养殖方式，推动海水养殖环保设施建设，规范海水养殖尾水排放，加强对蓝圆鲹和二长棘鲷产卵场的保护。旅游休闲娱乐区的污水和垃圾应科学处置、达标排放，禁止直接排入海域</w:t>
                  </w:r>
                </w:p>
              </w:tc>
              <w:tc>
                <w:tcPr>
                  <w:tcW w:w="1199" w:type="pct"/>
                  <w:vAlign w:val="center"/>
                </w:tcPr>
                <w:p w14:paraId="6F99B000">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5" w:type="pct"/>
                  <w:vAlign w:val="center"/>
                </w:tcPr>
                <w:p w14:paraId="7601D7D9">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56472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271DDB0E">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3F696E5E">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（15）推动造纸行业节能改造，加大有机废液、有机废物、生物质气体的回收利用，固体废物近零排放。</w:t>
                  </w:r>
                </w:p>
              </w:tc>
              <w:tc>
                <w:tcPr>
                  <w:tcW w:w="1199" w:type="pct"/>
                  <w:vAlign w:val="center"/>
                </w:tcPr>
                <w:p w14:paraId="4ABBF486">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5" w:type="pct"/>
                  <w:vAlign w:val="center"/>
                </w:tcPr>
                <w:p w14:paraId="27A0937F">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6026A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restart"/>
                  <w:vAlign w:val="center"/>
                </w:tcPr>
                <w:p w14:paraId="02E228E2">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环境风险防控</w:t>
                  </w:r>
                </w:p>
              </w:tc>
              <w:tc>
                <w:tcPr>
                  <w:tcW w:w="2979" w:type="pct"/>
                  <w:vAlign w:val="center"/>
                </w:tcPr>
                <w:p w14:paraId="394712D6">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强化环境风险源精准化管理，健全企业突发环境事件风险评估制度，动态更新重点环境风险源管理目录清单，建立信息齐全、数据准确的风险源及敏感保护目标的数据库，准确掌握重点环境风险源分布情况，重点加强较大及以上风险等级风险源的环境风险防范和应急预警管理</w:t>
                  </w:r>
                  <w:r>
                    <w:rPr>
                      <w:snapToGrid w:val="0"/>
                      <w:color w:val="0D0D0D" w:themeColor="text1" w:themeTint="F2"/>
                      <w:kern w:val="0"/>
                      <w:szCs w:val="21"/>
                      <w14:textFill>
                        <w14:solidFill>
                          <w14:schemeClr w14:val="tx1">
                            <w14:lumMod w14:val="95000"/>
                            <w14:lumOff w14:val="5000"/>
                          </w14:schemeClr>
                        </w14:solidFill>
                      </w14:textFill>
                    </w:rPr>
                    <w:t>。</w:t>
                  </w:r>
                </w:p>
              </w:tc>
              <w:tc>
                <w:tcPr>
                  <w:tcW w:w="1199" w:type="pct"/>
                  <w:vAlign w:val="center"/>
                </w:tcPr>
                <w:p w14:paraId="76AA6013">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项目在落实风险防范措施后，环境风险可控。</w:t>
                  </w:r>
                </w:p>
              </w:tc>
              <w:tc>
                <w:tcPr>
                  <w:tcW w:w="355" w:type="pct"/>
                  <w:vAlign w:val="center"/>
                </w:tcPr>
                <w:p w14:paraId="0134C2ED">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546FB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4515C17E">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6EACDAEF">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（2）选择涉重涉危企业、化工园区、集中式饮用水水源地等重要区域开展突发环境事件风险、环境健康风险评估，实施分类分级风险管控</w:t>
                  </w:r>
                  <w:r>
                    <w:rPr>
                      <w:snapToGrid w:val="0"/>
                      <w:color w:val="0D0D0D" w:themeColor="text1" w:themeTint="F2"/>
                      <w:kern w:val="0"/>
                      <w:szCs w:val="21"/>
                      <w14:textFill>
                        <w14:solidFill>
                          <w14:schemeClr w14:val="tx1">
                            <w14:lumMod w14:val="95000"/>
                            <w14:lumOff w14:val="5000"/>
                          </w14:schemeClr>
                        </w14:solidFill>
                      </w14:textFill>
                    </w:rPr>
                    <w:t>。</w:t>
                  </w:r>
                </w:p>
              </w:tc>
              <w:tc>
                <w:tcPr>
                  <w:tcW w:w="1199" w:type="pct"/>
                  <w:vAlign w:val="center"/>
                </w:tcPr>
                <w:p w14:paraId="7857ECB2">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5" w:type="pct"/>
                  <w:vAlign w:val="center"/>
                </w:tcPr>
                <w:p w14:paraId="60205BD4">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67D34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5C7BB013">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101E9E8C">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3）强化饮用水水源地环境风险排查，加强环境风险源管理，建立健全饮用水水源地应急预案。推进县级及以上饮用水水源地自动监测预警能力建设，实施水源地应急防护工程。加强大气污染防治协作和部门联动，建立健全大气污染联防联控机制。建立健全用地土壤环境联动监督管理机制，实行联动监管</w:t>
                  </w:r>
                  <w:r>
                    <w:rPr>
                      <w:snapToGrid w:val="0"/>
                      <w:color w:val="0D0D0D" w:themeColor="text1" w:themeTint="F2"/>
                      <w:kern w:val="0"/>
                      <w:szCs w:val="21"/>
                      <w14:textFill>
                        <w14:solidFill>
                          <w14:schemeClr w14:val="tx1">
                            <w14:lumMod w14:val="95000"/>
                            <w14:lumOff w14:val="5000"/>
                          </w14:schemeClr>
                        </w14:solidFill>
                      </w14:textFill>
                    </w:rPr>
                    <w:t>。</w:t>
                  </w:r>
                </w:p>
              </w:tc>
              <w:tc>
                <w:tcPr>
                  <w:tcW w:w="1199" w:type="pct"/>
                  <w:vAlign w:val="center"/>
                </w:tcPr>
                <w:p w14:paraId="01B52BF1">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项目评价范围不涉及饮用水水源地。</w:t>
                  </w:r>
                </w:p>
              </w:tc>
              <w:tc>
                <w:tcPr>
                  <w:tcW w:w="355" w:type="pct"/>
                  <w:vAlign w:val="center"/>
                </w:tcPr>
                <w:p w14:paraId="1E63702E">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1F3D6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30629828">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5173FC70">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（4）严格建设项目环境准入，永久基本农田集中区域禁止规划新建可能造成土壤污染的建设项目；新（改、扩）建涉有毒有害物质可能造成土壤污染的建设项目，提出并落实污染防治要求</w:t>
                  </w:r>
                  <w:r>
                    <w:rPr>
                      <w:snapToGrid w:val="0"/>
                      <w:color w:val="0D0D0D" w:themeColor="text1" w:themeTint="F2"/>
                      <w:kern w:val="0"/>
                      <w:szCs w:val="21"/>
                      <w14:textFill>
                        <w14:solidFill>
                          <w14:schemeClr w14:val="tx1">
                            <w14:lumMod w14:val="95000"/>
                            <w14:lumOff w14:val="5000"/>
                          </w14:schemeClr>
                        </w14:solidFill>
                      </w14:textFill>
                    </w:rPr>
                    <w:t>。</w:t>
                  </w:r>
                </w:p>
              </w:tc>
              <w:tc>
                <w:tcPr>
                  <w:tcW w:w="1199" w:type="pct"/>
                  <w:vAlign w:val="center"/>
                </w:tcPr>
                <w:p w14:paraId="69A84095">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项目不涉及基本农田和有毒有害物质。</w:t>
                  </w:r>
                </w:p>
              </w:tc>
              <w:tc>
                <w:tcPr>
                  <w:tcW w:w="355" w:type="pct"/>
                  <w:vAlign w:val="center"/>
                </w:tcPr>
                <w:p w14:paraId="76C2838B">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049B2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12EC1D42">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072B1B96">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（5）强化全域矿产资源开发监管，建立矿石生态环境动态监测网络，禁止矿山废水、废气、废渣的无序排放。</w:t>
                  </w:r>
                </w:p>
              </w:tc>
              <w:tc>
                <w:tcPr>
                  <w:tcW w:w="1199" w:type="pct"/>
                  <w:vAlign w:val="center"/>
                </w:tcPr>
                <w:p w14:paraId="1BCDFC39">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项目不属于矿产资源利用项目。</w:t>
                  </w:r>
                </w:p>
              </w:tc>
              <w:tc>
                <w:tcPr>
                  <w:tcW w:w="355" w:type="pct"/>
                  <w:vAlign w:val="center"/>
                </w:tcPr>
                <w:p w14:paraId="4851C90F">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7849B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4E41CA6A">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4CFF337A">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6）严格管控涉海重大工程环境风险，全面排查陆域环境风险源、海上溢油、危险化学品泄漏等环境风险隐患，健全完善海上溢油及危化品泄漏污染环境应急响应机制，完善分类分级的海上应急监测及处置预案，在石化基地、危化品储存区等邻近海域部署快速监测能力和应急处置物资设备。建立健全海洋生态补偿和生态损害赔偿制度</w:t>
                  </w:r>
                  <w:r>
                    <w:rPr>
                      <w:snapToGrid w:val="0"/>
                      <w:color w:val="0D0D0D" w:themeColor="text1" w:themeTint="F2"/>
                      <w:kern w:val="0"/>
                      <w:szCs w:val="21"/>
                      <w14:textFill>
                        <w14:solidFill>
                          <w14:schemeClr w14:val="tx1">
                            <w14:lumMod w14:val="95000"/>
                            <w14:lumOff w14:val="5000"/>
                          </w14:schemeClr>
                        </w14:solidFill>
                      </w14:textFill>
                    </w:rPr>
                    <w:t>。</w:t>
                  </w:r>
                </w:p>
              </w:tc>
              <w:tc>
                <w:tcPr>
                  <w:tcW w:w="1199" w:type="pct"/>
                  <w:vAlign w:val="center"/>
                </w:tcPr>
                <w:p w14:paraId="7566A988">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5" w:type="pct"/>
                  <w:vAlign w:val="center"/>
                </w:tcPr>
                <w:p w14:paraId="7E82BAEB">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18B17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3EA2025C">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684166D9">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（7）强化沿海工业园区和沿海石油、石化、化工、冶炼及危化品储运等企业的环境风险防控，加强企业和园区环境应急物资储备</w:t>
                  </w:r>
                  <w:r>
                    <w:rPr>
                      <w:snapToGrid w:val="0"/>
                      <w:color w:val="0D0D0D" w:themeColor="text1" w:themeTint="F2"/>
                      <w:kern w:val="0"/>
                      <w:szCs w:val="21"/>
                      <w14:textFill>
                        <w14:solidFill>
                          <w14:schemeClr w14:val="tx1">
                            <w14:lumMod w14:val="95000"/>
                            <w14:lumOff w14:val="5000"/>
                          </w14:schemeClr>
                        </w14:solidFill>
                      </w14:textFill>
                    </w:rPr>
                    <w:t>。</w:t>
                  </w:r>
                </w:p>
              </w:tc>
              <w:tc>
                <w:tcPr>
                  <w:tcW w:w="1199" w:type="pct"/>
                  <w:vAlign w:val="center"/>
                </w:tcPr>
                <w:p w14:paraId="30139476">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项目后期落实好环境风险防范措施。</w:t>
                  </w:r>
                </w:p>
              </w:tc>
              <w:tc>
                <w:tcPr>
                  <w:tcW w:w="355" w:type="pct"/>
                  <w:vAlign w:val="center"/>
                </w:tcPr>
                <w:p w14:paraId="7A332F7B">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3A248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6C8316A0">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7C07F40E">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（8）加强海洋生态灾害应急体系建设，强化海水浴场、电厂取排水口等海洋生态灾害高风险区域的联防联控。</w:t>
                  </w:r>
                </w:p>
              </w:tc>
              <w:tc>
                <w:tcPr>
                  <w:tcW w:w="1199" w:type="pct"/>
                  <w:vAlign w:val="center"/>
                </w:tcPr>
                <w:p w14:paraId="582AA7B5">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5" w:type="pct"/>
                  <w:vAlign w:val="center"/>
                </w:tcPr>
                <w:p w14:paraId="7770B6DF">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5B8F6F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274EEDB1">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1A0163CA">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（9）加强倾倒区使用状况监督管理工作，做好废弃物向海洋倾倒活动的风险管控</w:t>
                  </w:r>
                  <w:r>
                    <w:rPr>
                      <w:snapToGrid w:val="0"/>
                      <w:color w:val="0D0D0D" w:themeColor="text1" w:themeTint="F2"/>
                      <w:kern w:val="0"/>
                      <w:szCs w:val="21"/>
                      <w14:textFill>
                        <w14:solidFill>
                          <w14:schemeClr w14:val="tx1">
                            <w14:lumMod w14:val="95000"/>
                            <w14:lumOff w14:val="5000"/>
                          </w14:schemeClr>
                        </w14:solidFill>
                      </w14:textFill>
                    </w:rPr>
                    <w:t>。</w:t>
                  </w:r>
                </w:p>
              </w:tc>
              <w:tc>
                <w:tcPr>
                  <w:tcW w:w="1199" w:type="pct"/>
                  <w:vAlign w:val="center"/>
                </w:tcPr>
                <w:p w14:paraId="425DF09C">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5" w:type="pct"/>
                  <w:vAlign w:val="center"/>
                </w:tcPr>
                <w:p w14:paraId="28E45B4D">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61467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restart"/>
                  <w:vAlign w:val="center"/>
                </w:tcPr>
                <w:p w14:paraId="28B5ECED">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snapToGrid w:val="0"/>
                      <w:color w:val="0D0D0D" w:themeColor="text1" w:themeTint="F2"/>
                      <w:kern w:val="0"/>
                      <w:szCs w:val="21"/>
                      <w14:textFill>
                        <w14:solidFill>
                          <w14:schemeClr w14:val="tx1">
                            <w14:lumMod w14:val="95000"/>
                            <w14:lumOff w14:val="5000"/>
                          </w14:schemeClr>
                        </w14:solidFill>
                      </w14:textFill>
                    </w:rPr>
                    <w:t>资源开发利用效率要求</w:t>
                  </w:r>
                </w:p>
              </w:tc>
              <w:tc>
                <w:tcPr>
                  <w:tcW w:w="2979" w:type="pct"/>
                  <w:vAlign w:val="center"/>
                </w:tcPr>
                <w:p w14:paraId="664F0EFF">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能源：强化和完善能耗双控制度，严格落实《石化化工重点行业严格能效约束推动节能降碳行动方案（2021－2025年）》等有关要求。推进绿色清洁能源生产，推进重点行业和重要领域绿色化改造，打造绿色园区和绿色企业，促进工业园区、产业集聚区低碳循环化发展。推动能源多元清洁发展，培育发展清洁能源和可再生能源产业，锂电池制造及风电、光伏发电、生物质发电等清洁能源产业发展要符合相应能源规划和国土空间规划的要求；推动能源清洁低碳安全高效利用，合理控制煤炭消费。落实国家碳排放达峰行动方案，降低碳排放强度。海洋石油勘探开发严格执行《中华人民共和国海洋石油勘探开发环境保护管理条例》要求。</w:t>
                  </w:r>
                </w:p>
              </w:tc>
              <w:tc>
                <w:tcPr>
                  <w:tcW w:w="1199" w:type="pct"/>
                  <w:vAlign w:val="center"/>
                </w:tcPr>
                <w:p w14:paraId="01FF30BF">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项目所用能源主要为电能和水。</w:t>
                  </w:r>
                </w:p>
              </w:tc>
              <w:tc>
                <w:tcPr>
                  <w:tcW w:w="355" w:type="pct"/>
                  <w:vAlign w:val="center"/>
                </w:tcPr>
                <w:p w14:paraId="35FDB647">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26098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689D4EC3">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75E38825">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（2）土地资源：严格执行自治区下达的土地资源利用总量及效率管控指标要求。突出节约集约用海原则，合理控制规模，优化空间布局，提高海域空间资源的整体使用效能</w:t>
                  </w:r>
                  <w:r>
                    <w:rPr>
                      <w:snapToGrid w:val="0"/>
                      <w:color w:val="0D0D0D" w:themeColor="text1" w:themeTint="F2"/>
                      <w:kern w:val="0"/>
                      <w:szCs w:val="21"/>
                      <w14:textFill>
                        <w14:solidFill>
                          <w14:schemeClr w14:val="tx1">
                            <w14:lumMod w14:val="95000"/>
                            <w14:lumOff w14:val="5000"/>
                          </w14:schemeClr>
                        </w14:solidFill>
                      </w14:textFill>
                    </w:rPr>
                    <w:t>。</w:t>
                  </w:r>
                </w:p>
              </w:tc>
              <w:tc>
                <w:tcPr>
                  <w:tcW w:w="1199" w:type="pct"/>
                  <w:vAlign w:val="center"/>
                </w:tcPr>
                <w:p w14:paraId="34EAF691">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snapToGrid w:val="0"/>
                      <w:color w:val="0D0D0D" w:themeColor="text1" w:themeTint="F2"/>
                      <w:kern w:val="0"/>
                      <w:szCs w:val="21"/>
                      <w14:textFill>
                        <w14:solidFill>
                          <w14:schemeClr w14:val="tx1">
                            <w14:lumMod w14:val="95000"/>
                            <w14:lumOff w14:val="5000"/>
                          </w14:schemeClr>
                        </w14:solidFill>
                      </w14:textFill>
                    </w:rPr>
                    <w:t>项目土地资源消耗量相对区域资源利用总量较少。</w:t>
                  </w:r>
                </w:p>
              </w:tc>
              <w:tc>
                <w:tcPr>
                  <w:tcW w:w="355" w:type="pct"/>
                  <w:vAlign w:val="center"/>
                </w:tcPr>
                <w:p w14:paraId="3501EDB8">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5772E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5748F183">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24660B34">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3）水资源：实行水资源消耗总量和强度“双控”。严格用水总量指标管理，健全市、县（区、市）行政区域的用水总量控制指标体系，统筹生活、生产、生态用水，大力推进农业、工业、城镇等领域节水。严格按照地下水开发利用控制目标控制地下水资源开采</w:t>
                  </w:r>
                  <w:r>
                    <w:rPr>
                      <w:snapToGrid w:val="0"/>
                      <w:color w:val="0D0D0D" w:themeColor="text1" w:themeTint="F2"/>
                      <w:kern w:val="0"/>
                      <w:szCs w:val="21"/>
                      <w14:textFill>
                        <w14:solidFill>
                          <w14:schemeClr w14:val="tx1">
                            <w14:lumMod w14:val="95000"/>
                            <w14:lumOff w14:val="5000"/>
                          </w14:schemeClr>
                        </w14:solidFill>
                      </w14:textFill>
                    </w:rPr>
                    <w:t>。</w:t>
                  </w:r>
                </w:p>
              </w:tc>
              <w:tc>
                <w:tcPr>
                  <w:tcW w:w="1199" w:type="pct"/>
                  <w:vAlign w:val="center"/>
                </w:tcPr>
                <w:p w14:paraId="79C890D8">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项目用水由市政管网供给，用水量较小，不涉及地下水。</w:t>
                  </w:r>
                </w:p>
              </w:tc>
              <w:tc>
                <w:tcPr>
                  <w:tcW w:w="355" w:type="pct"/>
                  <w:vAlign w:val="center"/>
                </w:tcPr>
                <w:p w14:paraId="1E69AF33">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2E13E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6F0A52E5">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7A1B0A28">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4）矿产资源：严格执行自治区、市、县矿产资源总体规划中关于矿产资源开发管控和矿产资源高效利用的目标要求。着力提高资源开发利用效率和水平，加快发展绿色矿业；严格控制海岸线的开发建设、海砂开采活动，规范海砂资源开发秩序，加强海岸沙滩保护和矿产开发监管</w:t>
                  </w:r>
                  <w:r>
                    <w:rPr>
                      <w:snapToGrid w:val="0"/>
                      <w:color w:val="0D0D0D" w:themeColor="text1" w:themeTint="F2"/>
                      <w:kern w:val="0"/>
                      <w:szCs w:val="21"/>
                      <w14:textFill>
                        <w14:solidFill>
                          <w14:schemeClr w14:val="tx1">
                            <w14:lumMod w14:val="95000"/>
                            <w14:lumOff w14:val="5000"/>
                          </w14:schemeClr>
                        </w14:solidFill>
                      </w14:textFill>
                    </w:rPr>
                    <w:t>。</w:t>
                  </w:r>
                </w:p>
              </w:tc>
              <w:tc>
                <w:tcPr>
                  <w:tcW w:w="1199" w:type="pct"/>
                  <w:vAlign w:val="center"/>
                </w:tcPr>
                <w:p w14:paraId="7A61A12E">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项目不涉及矿产资源。</w:t>
                  </w:r>
                </w:p>
              </w:tc>
              <w:tc>
                <w:tcPr>
                  <w:tcW w:w="355" w:type="pct"/>
                  <w:vAlign w:val="center"/>
                </w:tcPr>
                <w:p w14:paraId="0E715D45">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04657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4CAF6A40">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008BF27E">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5）岸线资源：涉及岸线开发的工业区和港区，应严格按照相关规划实施，控制占用岸线长度，提高岸线利用效率，加强污染防治。建设海岸生态隔离带；有效保护自然岸线和典型海洋生态系统，提高海洋生态服务功能，增强海洋碳汇功能。合理控制滨海旅游开发强度，科学有序发展海洋生态旅游。规范海岛资源开发，科学规划海岛岸线开发，保护海岛自然岸线。</w:t>
                  </w:r>
                </w:p>
              </w:tc>
              <w:tc>
                <w:tcPr>
                  <w:tcW w:w="1199" w:type="pct"/>
                  <w:vAlign w:val="center"/>
                </w:tcPr>
                <w:p w14:paraId="13E28C11">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项目不涉及岸线资源。</w:t>
                  </w:r>
                </w:p>
              </w:tc>
              <w:tc>
                <w:tcPr>
                  <w:tcW w:w="355" w:type="pct"/>
                  <w:vAlign w:val="center"/>
                </w:tcPr>
                <w:p w14:paraId="752415CE">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50E36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7" w:type="pct"/>
                  <w:vMerge w:val="continue"/>
                  <w:vAlign w:val="center"/>
                </w:tcPr>
                <w:p w14:paraId="447686B6">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979" w:type="pct"/>
                  <w:vAlign w:val="center"/>
                </w:tcPr>
                <w:p w14:paraId="121ABC34">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（6）高污染燃料禁燃区：禁止新建、扩建燃用高污染燃料的项目和设施，已经建成的应逐步或依法限期改用天然气、电或其他清洁能源。</w:t>
                  </w:r>
                </w:p>
              </w:tc>
              <w:tc>
                <w:tcPr>
                  <w:tcW w:w="1199" w:type="pct"/>
                  <w:vAlign w:val="center"/>
                </w:tcPr>
                <w:p w14:paraId="26B2C054">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55" w:type="pct"/>
                  <w:vAlign w:val="center"/>
                </w:tcPr>
                <w:p w14:paraId="32891B27">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bl>
          <w:p w14:paraId="3F4CA444">
            <w:pPr>
              <w:autoSpaceDE w:val="0"/>
              <w:autoSpaceDN w:val="0"/>
              <w:adjustRightInd w:val="0"/>
              <w:snapToGrid w:val="0"/>
              <w:spacing w:before="120" w:beforeLines="50"/>
              <w:jc w:val="center"/>
              <w:rPr>
                <w:rFonts w:cs="宋体"/>
                <w:b/>
                <w:bCs/>
                <w:color w:val="0D0D0D" w:themeColor="text1" w:themeTint="F2"/>
                <w:kern w:val="0"/>
                <w:szCs w:val="21"/>
                <w14:textFill>
                  <w14:solidFill>
                    <w14:schemeClr w14:val="tx1">
                      <w14:lumMod w14:val="95000"/>
                      <w14:lumOff w14:val="5000"/>
                    </w14:schemeClr>
                  </w14:solidFill>
                </w14:textFill>
              </w:rPr>
            </w:pPr>
            <w:r>
              <w:rPr>
                <w:rFonts w:hint="eastAsia" w:cs="宋体"/>
                <w:b/>
                <w:bCs/>
                <w:color w:val="0D0D0D" w:themeColor="text1" w:themeTint="F2"/>
                <w:kern w:val="0"/>
                <w:szCs w:val="21"/>
                <w14:textFill>
                  <w14:solidFill>
                    <w14:schemeClr w14:val="tx1">
                      <w14:lumMod w14:val="95000"/>
                      <w14:lumOff w14:val="5000"/>
                    </w14:schemeClr>
                  </w14:solidFill>
                </w14:textFill>
              </w:rPr>
              <w:t>表1</w:t>
            </w:r>
            <w:r>
              <w:rPr>
                <w:rFonts w:cs="宋体"/>
                <w:b/>
                <w:bCs/>
                <w:color w:val="0D0D0D" w:themeColor="text1" w:themeTint="F2"/>
                <w:kern w:val="0"/>
                <w:szCs w:val="21"/>
                <w14:textFill>
                  <w14:solidFill>
                    <w14:schemeClr w14:val="tx1">
                      <w14:lumMod w14:val="95000"/>
                      <w14:lumOff w14:val="5000"/>
                    </w14:schemeClr>
                  </w14:solidFill>
                </w14:textFill>
              </w:rPr>
              <w:t>-</w:t>
            </w:r>
            <w:r>
              <w:rPr>
                <w:rFonts w:hint="eastAsia" w:cs="宋体"/>
                <w:b/>
                <w:bCs/>
                <w:color w:val="0D0D0D" w:themeColor="text1" w:themeTint="F2"/>
                <w:kern w:val="0"/>
                <w:szCs w:val="21"/>
                <w14:textFill>
                  <w14:solidFill>
                    <w14:schemeClr w14:val="tx1">
                      <w14:lumMod w14:val="95000"/>
                      <w14:lumOff w14:val="5000"/>
                    </w14:schemeClr>
                  </w14:solidFill>
                </w14:textFill>
              </w:rPr>
              <w:t>7</w:t>
            </w:r>
            <w:r>
              <w:rPr>
                <w:rFonts w:cs="宋体"/>
                <w:b/>
                <w:bCs/>
                <w:color w:val="0D0D0D" w:themeColor="text1" w:themeTint="F2"/>
                <w:kern w:val="0"/>
                <w:szCs w:val="21"/>
                <w14:textFill>
                  <w14:solidFill>
                    <w14:schemeClr w14:val="tx1">
                      <w14:lumMod w14:val="95000"/>
                      <w14:lumOff w14:val="5000"/>
                    </w14:schemeClr>
                  </w14:solidFill>
                </w14:textFill>
              </w:rPr>
              <w:t xml:space="preserve">  </w:t>
            </w:r>
            <w:r>
              <w:rPr>
                <w:rFonts w:hint="eastAsia" w:cs="宋体"/>
                <w:b/>
                <w:bCs/>
                <w:color w:val="0D0D0D" w:themeColor="text1" w:themeTint="F2"/>
                <w:kern w:val="0"/>
                <w:szCs w:val="21"/>
                <w14:textFill>
                  <w14:solidFill>
                    <w14:schemeClr w14:val="tx1">
                      <w14:lumMod w14:val="95000"/>
                      <w14:lumOff w14:val="5000"/>
                    </w14:schemeClr>
                  </w14:solidFill>
                </w14:textFill>
              </w:rPr>
              <w:t>与广西钦州石化产业园重点管控单元准入要求相符性</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3"/>
              <w:gridCol w:w="3061"/>
              <w:gridCol w:w="2241"/>
              <w:gridCol w:w="437"/>
            </w:tblGrid>
            <w:tr w14:paraId="25D94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62" w:type="pct"/>
                  <w:gridSpan w:val="2"/>
                  <w:vAlign w:val="center"/>
                </w:tcPr>
                <w:p w14:paraId="7A469BFE">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snapToGrid w:val="0"/>
                      <w:color w:val="0D0D0D" w:themeColor="text1" w:themeTint="F2"/>
                      <w:kern w:val="0"/>
                      <w:szCs w:val="21"/>
                      <w14:textFill>
                        <w14:solidFill>
                          <w14:schemeClr w14:val="tx1">
                            <w14:lumMod w14:val="95000"/>
                            <w14:lumOff w14:val="5000"/>
                          </w14:schemeClr>
                        </w14:solidFill>
                      </w14:textFill>
                    </w:rPr>
                    <w:t>生态环境准入清单要求</w:t>
                  </w:r>
                </w:p>
              </w:tc>
              <w:tc>
                <w:tcPr>
                  <w:tcW w:w="1789" w:type="pct"/>
                  <w:vAlign w:val="center"/>
                </w:tcPr>
                <w:p w14:paraId="01DB5092">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snapToGrid w:val="0"/>
                      <w:color w:val="0D0D0D" w:themeColor="text1" w:themeTint="F2"/>
                      <w:kern w:val="0"/>
                      <w:szCs w:val="21"/>
                      <w14:textFill>
                        <w14:solidFill>
                          <w14:schemeClr w14:val="tx1">
                            <w14:lumMod w14:val="95000"/>
                            <w14:lumOff w14:val="5000"/>
                          </w14:schemeClr>
                        </w14:solidFill>
                      </w14:textFill>
                    </w:rPr>
                    <w:t>项目情况</w:t>
                  </w:r>
                </w:p>
              </w:tc>
              <w:tc>
                <w:tcPr>
                  <w:tcW w:w="349" w:type="pct"/>
                  <w:vAlign w:val="center"/>
                </w:tcPr>
                <w:p w14:paraId="55AE96BA">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结论</w:t>
                  </w:r>
                </w:p>
              </w:tc>
            </w:tr>
            <w:tr w14:paraId="14188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8" w:type="pct"/>
                  <w:vMerge w:val="restart"/>
                  <w:vAlign w:val="center"/>
                </w:tcPr>
                <w:p w14:paraId="1B4927A3">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空间布局约束</w:t>
                  </w:r>
                </w:p>
              </w:tc>
              <w:tc>
                <w:tcPr>
                  <w:tcW w:w="2443" w:type="pct"/>
                  <w:vAlign w:val="center"/>
                </w:tcPr>
                <w:p w14:paraId="6082652A">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依据《国务院关于加强滨海湿地保护严格管控围填海的通知》，除国家重大战略项目外，原则上禁止新增围填海项目。三墩片区布局国家重大项目确需新增围填海的，须严格论证对中华白海豚等重点保护动物及其生境的影响，审慎决策，最大限度减轻不良环境影响。</w:t>
                  </w:r>
                </w:p>
              </w:tc>
              <w:tc>
                <w:tcPr>
                  <w:tcW w:w="1789" w:type="pct"/>
                  <w:vAlign w:val="center"/>
                </w:tcPr>
                <w:p w14:paraId="056FEB01">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9" w:type="pct"/>
                  <w:vAlign w:val="center"/>
                </w:tcPr>
                <w:p w14:paraId="31974AAC">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2AC6C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8" w:type="pct"/>
                  <w:vMerge w:val="continue"/>
                  <w:vAlign w:val="center"/>
                </w:tcPr>
                <w:p w14:paraId="0B665AAA">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443" w:type="pct"/>
                  <w:vAlign w:val="center"/>
                </w:tcPr>
                <w:p w14:paraId="70B0E00E">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2）加强行业源头管控，严格执行《广西工业产业结构调整指导目录（2021年本）》，入园项目需符合国家产业政策、行业规范、地方发展规划和绿色发展等要求；建设项目应为石化产业园区产业链范围内的项目，选址应符合石化产业园区规划的功能分区。禁止引进不符合国家产业政策和相关行业准入条件，清洁生产水平不达标、装置单位产品能源消耗限额不达标、污染物排放不达标的项目。</w:t>
                  </w:r>
                </w:p>
              </w:tc>
              <w:tc>
                <w:tcPr>
                  <w:tcW w:w="1789" w:type="pct"/>
                  <w:vAlign w:val="center"/>
                </w:tcPr>
                <w:p w14:paraId="4C90710C">
                  <w:pPr>
                    <w:adjustRightInd w:val="0"/>
                    <w:snapToGrid w:val="0"/>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项目为金属表面处理项目，属于园区产业链范围内的简单配套项目，符合园区产业定位要求。项目选址为临时用地，已取得中国（广西）自由贸易</w:t>
                  </w:r>
                  <w:r>
                    <w:rPr>
                      <w:rFonts w:hint="eastAsia"/>
                      <w:color w:val="0D0D0D" w:themeColor="text1" w:themeTint="F2"/>
                      <w:szCs w:val="21"/>
                      <w:u w:val="single"/>
                      <w:lang w:eastAsia="zh-CN"/>
                      <w14:textFill>
                        <w14:solidFill>
                          <w14:schemeClr w14:val="tx1">
                            <w14:lumMod w14:val="95000"/>
                            <w14:lumOff w14:val="5000"/>
                          </w14:schemeClr>
                        </w14:solidFill>
                      </w14:textFill>
                    </w:rPr>
                    <w:t>试验区钦州</w:t>
                  </w:r>
                  <w:r>
                    <w:rPr>
                      <w:rFonts w:hint="eastAsia"/>
                      <w:color w:val="0D0D0D" w:themeColor="text1" w:themeTint="F2"/>
                      <w:szCs w:val="21"/>
                      <w:u w:val="single"/>
                      <w14:textFill>
                        <w14:solidFill>
                          <w14:schemeClr w14:val="tx1">
                            <w14:lumMod w14:val="95000"/>
                            <w14:lumOff w14:val="5000"/>
                          </w14:schemeClr>
                        </w14:solidFill>
                      </w14:textFill>
                    </w:rPr>
                    <w:t>港片区自然资源和建设局出具的临时选址意见，同意建设。根据建设单位提供的资料，待租赁期满后，项目停止生产并及时搬离，按照合同要求将场地恢复原状</w:t>
                  </w:r>
                  <w:r>
                    <w:rPr>
                      <w:rFonts w:hint="eastAsia"/>
                      <w:snapToGrid w:val="0"/>
                      <w:color w:val="0D0D0D" w:themeColor="text1" w:themeTint="F2"/>
                      <w:kern w:val="0"/>
                      <w:szCs w:val="21"/>
                      <w:u w:val="single"/>
                      <w14:textFill>
                        <w14:solidFill>
                          <w14:schemeClr w14:val="tx1">
                            <w14:lumMod w14:val="95000"/>
                            <w14:lumOff w14:val="5000"/>
                          </w14:schemeClr>
                        </w14:solidFill>
                      </w14:textFill>
                    </w:rPr>
                    <w:t>。</w:t>
                  </w:r>
                </w:p>
              </w:tc>
              <w:tc>
                <w:tcPr>
                  <w:tcW w:w="349" w:type="pct"/>
                  <w:vAlign w:val="center"/>
                </w:tcPr>
                <w:p w14:paraId="5C4DABDB">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70906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8" w:type="pct"/>
                  <w:vMerge w:val="continue"/>
                  <w:vAlign w:val="center"/>
                </w:tcPr>
                <w:p w14:paraId="273B5DA2">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443" w:type="pct"/>
                  <w:vAlign w:val="center"/>
                </w:tcPr>
                <w:p w14:paraId="2B83DFBA">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（3）优化园区规划空间布局，对丙烯腈、苯乙烯、环氧丙烷等新引进项目加强源头风险管控；丙烯腈装置原则上应配套MMA装置同步建设，及时消耗丙烯腈装置产生的氢氰酸和废酸，降低环境风险</w:t>
                  </w:r>
                  <w:r>
                    <w:rPr>
                      <w:snapToGrid w:val="0"/>
                      <w:color w:val="0D0D0D" w:themeColor="text1" w:themeTint="F2"/>
                      <w:kern w:val="0"/>
                      <w:szCs w:val="21"/>
                      <w14:textFill>
                        <w14:solidFill>
                          <w14:schemeClr w14:val="tx1">
                            <w14:lumMod w14:val="95000"/>
                            <w14:lumOff w14:val="5000"/>
                          </w14:schemeClr>
                        </w14:solidFill>
                      </w14:textFill>
                    </w:rPr>
                    <w:t>。</w:t>
                  </w:r>
                </w:p>
              </w:tc>
              <w:tc>
                <w:tcPr>
                  <w:tcW w:w="1789" w:type="pct"/>
                  <w:vAlign w:val="center"/>
                </w:tcPr>
                <w:p w14:paraId="7D2AAE2B">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9" w:type="pct"/>
                  <w:vAlign w:val="center"/>
                </w:tcPr>
                <w:p w14:paraId="6968B263">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1352B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8" w:type="pct"/>
                  <w:vMerge w:val="continue"/>
                  <w:vAlign w:val="center"/>
                </w:tcPr>
                <w:p w14:paraId="6F1C6B1F">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443" w:type="pct"/>
                  <w:vAlign w:val="center"/>
                </w:tcPr>
                <w:p w14:paraId="30468776">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4）严格控制炼油规模，禁止建设未列入国家批准的相关规划的新建炼油及扩建一次炼油项目；新建石化和化工生产项目应符合《广西新建石化和化工生产项目准入管理办法（试行）》《化工园区开发建设导则》（GB/T42078-2022）相关要求</w:t>
                  </w:r>
                  <w:r>
                    <w:rPr>
                      <w:snapToGrid w:val="0"/>
                      <w:color w:val="0D0D0D" w:themeColor="text1" w:themeTint="F2"/>
                      <w:kern w:val="0"/>
                      <w:szCs w:val="21"/>
                      <w14:textFill>
                        <w14:solidFill>
                          <w14:schemeClr w14:val="tx1">
                            <w14:lumMod w14:val="95000"/>
                            <w14:lumOff w14:val="5000"/>
                          </w14:schemeClr>
                        </w14:solidFill>
                      </w14:textFill>
                    </w:rPr>
                    <w:t>。</w:t>
                  </w:r>
                </w:p>
              </w:tc>
              <w:tc>
                <w:tcPr>
                  <w:tcW w:w="1789" w:type="pct"/>
                  <w:vAlign w:val="center"/>
                </w:tcPr>
                <w:p w14:paraId="1CC795CF">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9" w:type="pct"/>
                  <w:vAlign w:val="center"/>
                </w:tcPr>
                <w:p w14:paraId="2FCAD4CE">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5A20C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8" w:type="pct"/>
                  <w:vMerge w:val="continue"/>
                  <w:vAlign w:val="center"/>
                </w:tcPr>
                <w:p w14:paraId="68004BD0">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443" w:type="pct"/>
                  <w:vAlign w:val="center"/>
                </w:tcPr>
                <w:p w14:paraId="6E6946CC">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（5）严格“两高”建设项目环境准入，新建、改建、扩建“两高”项目须符合生态环境保护法律法规和相关法定规划，满足重点污染物总量控制、相关规划环评和相应行业建设项目环境准入条件等要求</w:t>
                  </w:r>
                  <w:r>
                    <w:rPr>
                      <w:snapToGrid w:val="0"/>
                      <w:color w:val="0D0D0D" w:themeColor="text1" w:themeTint="F2"/>
                      <w:kern w:val="0"/>
                      <w:szCs w:val="21"/>
                      <w14:textFill>
                        <w14:solidFill>
                          <w14:schemeClr w14:val="tx1">
                            <w14:lumMod w14:val="95000"/>
                            <w14:lumOff w14:val="5000"/>
                          </w14:schemeClr>
                        </w14:solidFill>
                      </w14:textFill>
                    </w:rPr>
                    <w:t>。</w:t>
                  </w:r>
                </w:p>
              </w:tc>
              <w:tc>
                <w:tcPr>
                  <w:tcW w:w="1789" w:type="pct"/>
                  <w:vAlign w:val="center"/>
                </w:tcPr>
                <w:p w14:paraId="57CDF0F3">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项目不属于“两高”项目。</w:t>
                  </w:r>
                </w:p>
              </w:tc>
              <w:tc>
                <w:tcPr>
                  <w:tcW w:w="349" w:type="pct"/>
                  <w:vAlign w:val="center"/>
                </w:tcPr>
                <w:p w14:paraId="12A18966">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728AE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8" w:type="pct"/>
                  <w:vMerge w:val="continue"/>
                  <w:vAlign w:val="center"/>
                </w:tcPr>
                <w:p w14:paraId="37D25761">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443" w:type="pct"/>
                  <w:vAlign w:val="center"/>
                </w:tcPr>
                <w:p w14:paraId="1B6EE9C6">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6）园区周边1公里范围内临近生态保护红线（广西茅尾海红树林自治区级自然保护区）生态环境敏感区域，应优化产业布局，控制开发强度，新建、改建、扩建项目要采取切实可行的环保措施，降低对周边生态环境敏感区域的影响</w:t>
                  </w:r>
                  <w:r>
                    <w:rPr>
                      <w:snapToGrid w:val="0"/>
                      <w:color w:val="0D0D0D" w:themeColor="text1" w:themeTint="F2"/>
                      <w:kern w:val="0"/>
                      <w:szCs w:val="21"/>
                      <w14:textFill>
                        <w14:solidFill>
                          <w14:schemeClr w14:val="tx1">
                            <w14:lumMod w14:val="95000"/>
                            <w14:lumOff w14:val="5000"/>
                          </w14:schemeClr>
                        </w14:solidFill>
                      </w14:textFill>
                    </w:rPr>
                    <w:t>。</w:t>
                  </w:r>
                </w:p>
              </w:tc>
              <w:tc>
                <w:tcPr>
                  <w:tcW w:w="1789" w:type="pct"/>
                  <w:vAlign w:val="center"/>
                </w:tcPr>
                <w:p w14:paraId="090B19FD">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9" w:type="pct"/>
                  <w:vAlign w:val="center"/>
                </w:tcPr>
                <w:p w14:paraId="09F0B636">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4BD62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8" w:type="pct"/>
                  <w:vMerge w:val="restart"/>
                  <w:vAlign w:val="center"/>
                </w:tcPr>
                <w:p w14:paraId="5667CC07">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污染物排放管控</w:t>
                  </w:r>
                </w:p>
              </w:tc>
              <w:tc>
                <w:tcPr>
                  <w:tcW w:w="2443" w:type="pct"/>
                  <w:vAlign w:val="center"/>
                </w:tcPr>
                <w:p w14:paraId="670B09DF">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（1）大力推进低氮燃烧和烟气脱硝，有序推进园区集中供热</w:t>
                  </w:r>
                  <w:r>
                    <w:rPr>
                      <w:snapToGrid w:val="0"/>
                      <w:color w:val="0D0D0D" w:themeColor="text1" w:themeTint="F2"/>
                      <w:kern w:val="0"/>
                      <w:szCs w:val="21"/>
                      <w14:textFill>
                        <w14:solidFill>
                          <w14:schemeClr w14:val="tx1">
                            <w14:lumMod w14:val="95000"/>
                            <w14:lumOff w14:val="5000"/>
                          </w14:schemeClr>
                        </w14:solidFill>
                      </w14:textFill>
                    </w:rPr>
                    <w:t>。</w:t>
                  </w:r>
                </w:p>
              </w:tc>
              <w:tc>
                <w:tcPr>
                  <w:tcW w:w="1789" w:type="pct"/>
                  <w:vAlign w:val="center"/>
                </w:tcPr>
                <w:p w14:paraId="2D86AE58">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9" w:type="pct"/>
                  <w:vAlign w:val="center"/>
                </w:tcPr>
                <w:p w14:paraId="22DB22E3">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18E28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8" w:type="pct"/>
                  <w:vMerge w:val="continue"/>
                  <w:vAlign w:val="center"/>
                </w:tcPr>
                <w:p w14:paraId="725ACF9A">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443" w:type="pct"/>
                  <w:vAlign w:val="center"/>
                </w:tcPr>
                <w:p w14:paraId="20DB4461">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（2）持续推进石化、化工等行业节能降碳改造；推动石化、化工等重点行业挥发性有机物（VOCs）污染防治。推动石化行业VOCs泄漏检测与修复行动、VOCs削减和有毒有害原料替代</w:t>
                  </w:r>
                  <w:r>
                    <w:rPr>
                      <w:snapToGrid w:val="0"/>
                      <w:color w:val="0D0D0D" w:themeColor="text1" w:themeTint="F2"/>
                      <w:kern w:val="0"/>
                      <w:szCs w:val="21"/>
                      <w14:textFill>
                        <w14:solidFill>
                          <w14:schemeClr w14:val="tx1">
                            <w14:lumMod w14:val="95000"/>
                            <w14:lumOff w14:val="5000"/>
                          </w14:schemeClr>
                        </w14:solidFill>
                      </w14:textFill>
                    </w:rPr>
                    <w:t>。</w:t>
                  </w:r>
                </w:p>
              </w:tc>
              <w:tc>
                <w:tcPr>
                  <w:tcW w:w="1789" w:type="pct"/>
                  <w:vAlign w:val="center"/>
                </w:tcPr>
                <w:p w14:paraId="16DAF36A">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项目不属于石化、化工行业。</w:t>
                  </w:r>
                </w:p>
              </w:tc>
              <w:tc>
                <w:tcPr>
                  <w:tcW w:w="349" w:type="pct"/>
                  <w:vAlign w:val="center"/>
                </w:tcPr>
                <w:p w14:paraId="68B8E97F">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02E2B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8" w:type="pct"/>
                  <w:vMerge w:val="continue"/>
                  <w:vAlign w:val="center"/>
                </w:tcPr>
                <w:p w14:paraId="46132E79">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443" w:type="pct"/>
                  <w:vAlign w:val="center"/>
                </w:tcPr>
                <w:p w14:paraId="68EABE62">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3）石化、化工行业全面推进行业达标排放改造，鼓励采用先进的清洁生产技术，提高原油的转化和利用效率；新建石化和化工生产项目污染物排放必须同时满足污染物排放标准和主要污染物总量控制要求，必须配套固废综合利用或无害化处理设施，危险废物必须按照国家及自治区相关危险废物的管理规定进行贮存、转移、安全处置。</w:t>
                  </w:r>
                </w:p>
              </w:tc>
              <w:tc>
                <w:tcPr>
                  <w:tcW w:w="1789" w:type="pct"/>
                  <w:vAlign w:val="center"/>
                </w:tcPr>
                <w:p w14:paraId="10969B0F">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项目不属于石化、化工行业。</w:t>
                  </w:r>
                </w:p>
              </w:tc>
              <w:tc>
                <w:tcPr>
                  <w:tcW w:w="349" w:type="pct"/>
                  <w:vAlign w:val="center"/>
                </w:tcPr>
                <w:p w14:paraId="7CC73FAC">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2EFC8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8" w:type="pct"/>
                  <w:vMerge w:val="continue"/>
                  <w:vAlign w:val="center"/>
                </w:tcPr>
                <w:p w14:paraId="4E85E03C">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443" w:type="pct"/>
                  <w:vAlign w:val="center"/>
                </w:tcPr>
                <w:p w14:paraId="00F84727">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4）逐步完成工业集聚区集中式污水处理设施建设，确保已建污水处理设施稳定运行及达标排放。园区集中式污水处理设施总排口安装自动监控系统、视频监控系统，并与生态环境主管部门联网。按照“清污分流、雨污分流”原则，实施废水分类收集、分质处理。</w:t>
                  </w:r>
                </w:p>
              </w:tc>
              <w:tc>
                <w:tcPr>
                  <w:tcW w:w="1789" w:type="pct"/>
                  <w:vAlign w:val="center"/>
                </w:tcPr>
                <w:p w14:paraId="4FCE561E">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项目生活污水经三级化粪池处理后排入园区市政污水管网，由钦州胜科水务有限公司污水处理厂进一步处理。</w:t>
                  </w:r>
                </w:p>
              </w:tc>
              <w:tc>
                <w:tcPr>
                  <w:tcW w:w="349" w:type="pct"/>
                  <w:vAlign w:val="center"/>
                </w:tcPr>
                <w:p w14:paraId="39CAAA85">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09CA7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8" w:type="pct"/>
                  <w:vMerge w:val="continue"/>
                  <w:vAlign w:val="center"/>
                </w:tcPr>
                <w:p w14:paraId="29866F9E">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443" w:type="pct"/>
                  <w:vAlign w:val="center"/>
                </w:tcPr>
                <w:p w14:paraId="2574D418">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5）园区及园区企业排放水污染物，要满足国家或者地方规定的水污染排放标准和重点水污染物排放总量控制指标。直接外排水环境的，执行国家或者地方规定的标准要求；经城镇污水集中处理设施处理后排放的，执行市政部门管理要求；经园区污水集中处理设施处理后排放的，执行园区管理部门相关要求</w:t>
                  </w:r>
                  <w:r>
                    <w:rPr>
                      <w:snapToGrid w:val="0"/>
                      <w:color w:val="0D0D0D" w:themeColor="text1" w:themeTint="F2"/>
                      <w:kern w:val="0"/>
                      <w:szCs w:val="21"/>
                      <w14:textFill>
                        <w14:solidFill>
                          <w14:schemeClr w14:val="tx1">
                            <w14:lumMod w14:val="95000"/>
                            <w14:lumOff w14:val="5000"/>
                          </w14:schemeClr>
                        </w14:solidFill>
                      </w14:textFill>
                    </w:rPr>
                    <w:t>。</w:t>
                  </w:r>
                </w:p>
              </w:tc>
              <w:tc>
                <w:tcPr>
                  <w:tcW w:w="1789" w:type="pct"/>
                  <w:vAlign w:val="center"/>
                </w:tcPr>
                <w:p w14:paraId="0DF97271">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项目生活污水经三级化粪池处理后排入园区市政污水管网，由钦州胜科水务有限公司污水处理厂进一步处理。</w:t>
                  </w:r>
                </w:p>
              </w:tc>
              <w:tc>
                <w:tcPr>
                  <w:tcW w:w="349" w:type="pct"/>
                  <w:vAlign w:val="center"/>
                </w:tcPr>
                <w:p w14:paraId="35A804BC">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0921C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8" w:type="pct"/>
                  <w:vMerge w:val="continue"/>
                  <w:vAlign w:val="center"/>
                </w:tcPr>
                <w:p w14:paraId="3724093E">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443" w:type="pct"/>
                  <w:vAlign w:val="center"/>
                </w:tcPr>
                <w:p w14:paraId="7C835D25">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（6）鼓励建设高盐废水集中处理设施，回收固体盐类，降低外排水量和含盐浓度</w:t>
                  </w:r>
                  <w:r>
                    <w:rPr>
                      <w:snapToGrid w:val="0"/>
                      <w:color w:val="0D0D0D" w:themeColor="text1" w:themeTint="F2"/>
                      <w:kern w:val="0"/>
                      <w:szCs w:val="21"/>
                      <w14:textFill>
                        <w14:solidFill>
                          <w14:schemeClr w14:val="tx1">
                            <w14:lumMod w14:val="95000"/>
                            <w14:lumOff w14:val="5000"/>
                          </w14:schemeClr>
                        </w14:solidFill>
                      </w14:textFill>
                    </w:rPr>
                    <w:t>。</w:t>
                  </w:r>
                </w:p>
              </w:tc>
              <w:tc>
                <w:tcPr>
                  <w:tcW w:w="1789" w:type="pct"/>
                  <w:vAlign w:val="center"/>
                </w:tcPr>
                <w:p w14:paraId="56995B89">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9" w:type="pct"/>
                  <w:vAlign w:val="center"/>
                </w:tcPr>
                <w:p w14:paraId="545983CA">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79D9E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8" w:type="pct"/>
                  <w:vMerge w:val="continue"/>
                  <w:vAlign w:val="center"/>
                </w:tcPr>
                <w:p w14:paraId="6EFF075E">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443" w:type="pct"/>
                  <w:vAlign w:val="center"/>
                </w:tcPr>
                <w:p w14:paraId="48CA828E">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（7）严格控制石油类、氨氮、总磷等污染物排放浓度及排放量，采取有效措施减少挥发性有机化合物（VOCs）、氮氧化物（NOx）等污染物排放量</w:t>
                  </w:r>
                  <w:r>
                    <w:rPr>
                      <w:snapToGrid w:val="0"/>
                      <w:color w:val="0D0D0D" w:themeColor="text1" w:themeTint="F2"/>
                      <w:kern w:val="0"/>
                      <w:szCs w:val="21"/>
                      <w14:textFill>
                        <w14:solidFill>
                          <w14:schemeClr w14:val="tx1">
                            <w14:lumMod w14:val="95000"/>
                            <w14:lumOff w14:val="5000"/>
                          </w14:schemeClr>
                        </w14:solidFill>
                      </w14:textFill>
                    </w:rPr>
                    <w:t>。</w:t>
                  </w:r>
                </w:p>
              </w:tc>
              <w:tc>
                <w:tcPr>
                  <w:tcW w:w="1789" w:type="pct"/>
                  <w:vAlign w:val="center"/>
                </w:tcPr>
                <w:p w14:paraId="1BFF6086">
                  <w:pPr>
                    <w:adjustRightInd w:val="0"/>
                    <w:snapToGrid w:val="0"/>
                    <w:rPr>
                      <w:snapToGrid w:val="0"/>
                      <w:color w:val="0D0D0D" w:themeColor="text1" w:themeTint="F2"/>
                      <w:kern w:val="0"/>
                      <w:szCs w:val="21"/>
                      <w:u w:val="single"/>
                      <w14:textFill>
                        <w14:solidFill>
                          <w14:schemeClr w14:val="tx1">
                            <w14:lumMod w14:val="95000"/>
                            <w14:lumOff w14:val="5000"/>
                          </w14:schemeClr>
                        </w14:solidFill>
                      </w14:textFill>
                    </w:rPr>
                  </w:pPr>
                  <w:r>
                    <w:rPr>
                      <w:rFonts w:hint="eastAsia"/>
                      <w:snapToGrid w:val="0"/>
                      <w:color w:val="0D0D0D" w:themeColor="text1" w:themeTint="F2"/>
                      <w:kern w:val="0"/>
                      <w:szCs w:val="21"/>
                      <w:u w:val="single"/>
                      <w14:textFill>
                        <w14:solidFill>
                          <w14:schemeClr w14:val="tx1">
                            <w14:lumMod w14:val="95000"/>
                            <w14:lumOff w14:val="5000"/>
                          </w14:schemeClr>
                        </w14:solidFill>
                      </w14:textFill>
                    </w:rPr>
                    <w:t>项目喷漆废气（漆雾和有机废气）和危废暂存间废气收集后经“水帘柜+二级活性炭吸附脱附+CO催化燃烧”处理后通过20m排气筒（DA002）排放。</w:t>
                  </w:r>
                </w:p>
              </w:tc>
              <w:tc>
                <w:tcPr>
                  <w:tcW w:w="349" w:type="pct"/>
                  <w:vAlign w:val="center"/>
                </w:tcPr>
                <w:p w14:paraId="2F26AD7A">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0EC33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8" w:type="pct"/>
                  <w:vMerge w:val="restart"/>
                  <w:vAlign w:val="center"/>
                </w:tcPr>
                <w:p w14:paraId="38B37A85">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环境风险防控</w:t>
                  </w:r>
                </w:p>
              </w:tc>
              <w:tc>
                <w:tcPr>
                  <w:tcW w:w="2443" w:type="pct"/>
                  <w:vAlign w:val="center"/>
                </w:tcPr>
                <w:p w14:paraId="587002C7">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（1）建设项目应严格落实环境保护措施和环境风险防范措施，减缓对周边海域和陆域生态环境敏感区的不良环境影响</w:t>
                  </w:r>
                  <w:r>
                    <w:rPr>
                      <w:snapToGrid w:val="0"/>
                      <w:color w:val="0D0D0D" w:themeColor="text1" w:themeTint="F2"/>
                      <w:kern w:val="0"/>
                      <w:szCs w:val="21"/>
                      <w14:textFill>
                        <w14:solidFill>
                          <w14:schemeClr w14:val="tx1">
                            <w14:lumMod w14:val="95000"/>
                            <w14:lumOff w14:val="5000"/>
                          </w14:schemeClr>
                        </w14:solidFill>
                      </w14:textFill>
                    </w:rPr>
                    <w:t>。</w:t>
                  </w:r>
                </w:p>
              </w:tc>
              <w:tc>
                <w:tcPr>
                  <w:tcW w:w="1789" w:type="pct"/>
                  <w:vAlign w:val="center"/>
                </w:tcPr>
                <w:p w14:paraId="5C276A8D">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项目在落实风险防范措施后，环境风险可控。</w:t>
                  </w:r>
                </w:p>
              </w:tc>
              <w:tc>
                <w:tcPr>
                  <w:tcW w:w="349" w:type="pct"/>
                  <w:vAlign w:val="center"/>
                </w:tcPr>
                <w:p w14:paraId="6F2F9064">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3DD9B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8" w:type="pct"/>
                  <w:vMerge w:val="continue"/>
                  <w:vAlign w:val="center"/>
                </w:tcPr>
                <w:p w14:paraId="7359463A">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443" w:type="pct"/>
                  <w:vAlign w:val="center"/>
                </w:tcPr>
                <w:p w14:paraId="42E8013A">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（2）三墩片区实行封闭式管理。开展环境风险评估，制定突发环境事件应急预案并备案，配备应急能力和物资，建设环境应急队伍，并定期演练。企业、园区与地方人民政府环境应急预案应当有机衔接。</w:t>
                  </w:r>
                </w:p>
              </w:tc>
              <w:tc>
                <w:tcPr>
                  <w:tcW w:w="1789" w:type="pct"/>
                  <w:vAlign w:val="center"/>
                </w:tcPr>
                <w:p w14:paraId="5983E61C">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项目不涉及三墩片区，后期制定突发环境事件应急预案并备案，配备应急能力和物资，建设环境应急队伍，并定期演练。</w:t>
                  </w:r>
                </w:p>
              </w:tc>
              <w:tc>
                <w:tcPr>
                  <w:tcW w:w="349" w:type="pct"/>
                  <w:vAlign w:val="center"/>
                </w:tcPr>
                <w:p w14:paraId="341FAA6C">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2260A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8" w:type="pct"/>
                  <w:vMerge w:val="continue"/>
                  <w:vAlign w:val="center"/>
                </w:tcPr>
                <w:p w14:paraId="64D24648">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443" w:type="pct"/>
                  <w:vAlign w:val="center"/>
                </w:tcPr>
                <w:p w14:paraId="71DF3210">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3）土壤环境监管重点单位应当严格控制有毒有害物质排放，并按年度向所在地设区的市人民政府生态环境主管部门报告排放情况；建立土壤污染隐患排查制度，保证持续有效防止有毒有害物质渗漏、流失、扬散。</w:t>
                  </w:r>
                </w:p>
              </w:tc>
              <w:tc>
                <w:tcPr>
                  <w:tcW w:w="1789" w:type="pct"/>
                  <w:vAlign w:val="center"/>
                </w:tcPr>
                <w:p w14:paraId="1A907DF6">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9" w:type="pct"/>
                  <w:vAlign w:val="center"/>
                </w:tcPr>
                <w:p w14:paraId="343CFA72">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16A4E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8" w:type="pct"/>
                  <w:vMerge w:val="restart"/>
                  <w:vAlign w:val="center"/>
                </w:tcPr>
                <w:p w14:paraId="70847E97">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snapToGrid w:val="0"/>
                      <w:color w:val="0D0D0D" w:themeColor="text1" w:themeTint="F2"/>
                      <w:kern w:val="0"/>
                      <w:szCs w:val="21"/>
                      <w14:textFill>
                        <w14:solidFill>
                          <w14:schemeClr w14:val="tx1">
                            <w14:lumMod w14:val="95000"/>
                            <w14:lumOff w14:val="5000"/>
                          </w14:schemeClr>
                        </w14:solidFill>
                      </w14:textFill>
                    </w:rPr>
                    <w:t>资源开发利用效率要求</w:t>
                  </w:r>
                </w:p>
              </w:tc>
              <w:tc>
                <w:tcPr>
                  <w:tcW w:w="2443" w:type="pct"/>
                  <w:vAlign w:val="center"/>
                </w:tcPr>
                <w:p w14:paraId="25F95E71">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1）在禁燃区内，禁止销售、燃用高污染燃料；禁止新建、扩建燃用高污染燃料的设施，已建成的，应当在城市人民政府规定的期限内改用天然气、页岩气、液化石油气、电或者其他清洁能源。其余按照《钦州市人民政府关于划定高污染燃料禁燃区的通告》要求实施管理。</w:t>
                  </w:r>
                </w:p>
              </w:tc>
              <w:tc>
                <w:tcPr>
                  <w:tcW w:w="1789" w:type="pct"/>
                  <w:vAlign w:val="center"/>
                </w:tcPr>
                <w:p w14:paraId="6AA8EAFE">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项目不涉及该项。</w:t>
                  </w:r>
                </w:p>
              </w:tc>
              <w:tc>
                <w:tcPr>
                  <w:tcW w:w="349" w:type="pct"/>
                  <w:vAlign w:val="center"/>
                </w:tcPr>
                <w:p w14:paraId="6D4BF939">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w:t>
                  </w:r>
                </w:p>
              </w:tc>
            </w:tr>
            <w:tr w14:paraId="78F5F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8" w:type="pct"/>
                  <w:vMerge w:val="continue"/>
                  <w:vAlign w:val="center"/>
                </w:tcPr>
                <w:p w14:paraId="5087BB95">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443" w:type="pct"/>
                  <w:vAlign w:val="center"/>
                </w:tcPr>
                <w:p w14:paraId="02343387">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（2）加强水资源消耗总量与强度控制，推进节水减排，提升水资源利用效率和效益</w:t>
                  </w:r>
                  <w:r>
                    <w:rPr>
                      <w:snapToGrid w:val="0"/>
                      <w:color w:val="0D0D0D" w:themeColor="text1" w:themeTint="F2"/>
                      <w:kern w:val="0"/>
                      <w:szCs w:val="21"/>
                      <w14:textFill>
                        <w14:solidFill>
                          <w14:schemeClr w14:val="tx1">
                            <w14:lumMod w14:val="95000"/>
                            <w14:lumOff w14:val="5000"/>
                          </w14:schemeClr>
                        </w14:solidFill>
                      </w14:textFill>
                    </w:rPr>
                    <w:t>。</w:t>
                  </w:r>
                </w:p>
              </w:tc>
              <w:tc>
                <w:tcPr>
                  <w:tcW w:w="1789" w:type="pct"/>
                  <w:vAlign w:val="center"/>
                </w:tcPr>
                <w:p w14:paraId="27A960D7">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项目用水由市政管网供给，用水量较小</w:t>
                  </w:r>
                  <w:r>
                    <w:rPr>
                      <w:snapToGrid w:val="0"/>
                      <w:color w:val="0D0D0D" w:themeColor="text1" w:themeTint="F2"/>
                      <w:kern w:val="0"/>
                      <w:szCs w:val="21"/>
                      <w14:textFill>
                        <w14:solidFill>
                          <w14:schemeClr w14:val="tx1">
                            <w14:lumMod w14:val="95000"/>
                            <w14:lumOff w14:val="5000"/>
                          </w14:schemeClr>
                        </w14:solidFill>
                      </w14:textFill>
                    </w:rPr>
                    <w:t>。</w:t>
                  </w:r>
                </w:p>
              </w:tc>
              <w:tc>
                <w:tcPr>
                  <w:tcW w:w="349" w:type="pct"/>
                  <w:vAlign w:val="center"/>
                </w:tcPr>
                <w:p w14:paraId="27F4E4B0">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r w14:paraId="5EA2F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8" w:type="pct"/>
                  <w:vMerge w:val="continue"/>
                  <w:vAlign w:val="center"/>
                </w:tcPr>
                <w:p w14:paraId="0E176F89">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p>
              </w:tc>
              <w:tc>
                <w:tcPr>
                  <w:tcW w:w="2443" w:type="pct"/>
                  <w:vAlign w:val="center"/>
                </w:tcPr>
                <w:p w14:paraId="341E8DF2">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（3）坚持节约集约用地，提高土地利用效率</w:t>
                  </w:r>
                  <w:r>
                    <w:rPr>
                      <w:snapToGrid w:val="0"/>
                      <w:color w:val="0D0D0D" w:themeColor="text1" w:themeTint="F2"/>
                      <w:kern w:val="0"/>
                      <w:szCs w:val="21"/>
                      <w14:textFill>
                        <w14:solidFill>
                          <w14:schemeClr w14:val="tx1">
                            <w14:lumMod w14:val="95000"/>
                            <w14:lumOff w14:val="5000"/>
                          </w14:schemeClr>
                        </w14:solidFill>
                      </w14:textFill>
                    </w:rPr>
                    <w:t>。</w:t>
                  </w:r>
                </w:p>
              </w:tc>
              <w:tc>
                <w:tcPr>
                  <w:tcW w:w="1789" w:type="pct"/>
                  <w:vAlign w:val="center"/>
                </w:tcPr>
                <w:p w14:paraId="13385914">
                  <w:pPr>
                    <w:adjustRightInd w:val="0"/>
                    <w:snapToGrid w:val="0"/>
                    <w:rPr>
                      <w:snapToGrid w:val="0"/>
                      <w:color w:val="0D0D0D" w:themeColor="text1" w:themeTint="F2"/>
                      <w:kern w:val="0"/>
                      <w:szCs w:val="21"/>
                      <w14:textFill>
                        <w14:solidFill>
                          <w14:schemeClr w14:val="tx1">
                            <w14:lumMod w14:val="95000"/>
                            <w14:lumOff w14:val="5000"/>
                          </w14:schemeClr>
                        </w14:solidFill>
                      </w14:textFill>
                    </w:rPr>
                  </w:pPr>
                  <w:r>
                    <w:rPr>
                      <w:snapToGrid w:val="0"/>
                      <w:color w:val="0D0D0D" w:themeColor="text1" w:themeTint="F2"/>
                      <w:kern w:val="0"/>
                      <w:szCs w:val="21"/>
                      <w14:textFill>
                        <w14:solidFill>
                          <w14:schemeClr w14:val="tx1">
                            <w14:lumMod w14:val="95000"/>
                            <w14:lumOff w14:val="5000"/>
                          </w14:schemeClr>
                        </w14:solidFill>
                      </w14:textFill>
                    </w:rPr>
                    <w:t>项目土地资源消耗量相对区域资源利用总量较少。</w:t>
                  </w:r>
                </w:p>
              </w:tc>
              <w:tc>
                <w:tcPr>
                  <w:tcW w:w="349" w:type="pct"/>
                  <w:vAlign w:val="center"/>
                </w:tcPr>
                <w:p w14:paraId="73BE17C6">
                  <w:pPr>
                    <w:adjustRightInd w:val="0"/>
                    <w:snapToGrid w:val="0"/>
                    <w:jc w:val="center"/>
                    <w:rPr>
                      <w:snapToGrid w:val="0"/>
                      <w:color w:val="0D0D0D" w:themeColor="text1" w:themeTint="F2"/>
                      <w:kern w:val="0"/>
                      <w:szCs w:val="21"/>
                      <w14:textFill>
                        <w14:solidFill>
                          <w14:schemeClr w14:val="tx1">
                            <w14:lumMod w14:val="95000"/>
                            <w14:lumOff w14:val="5000"/>
                          </w14:schemeClr>
                        </w14:solidFill>
                      </w14:textFill>
                    </w:rPr>
                  </w:pPr>
                  <w:r>
                    <w:rPr>
                      <w:rFonts w:hint="eastAsia"/>
                      <w:snapToGrid w:val="0"/>
                      <w:color w:val="0D0D0D" w:themeColor="text1" w:themeTint="F2"/>
                      <w:kern w:val="0"/>
                      <w:szCs w:val="21"/>
                      <w14:textFill>
                        <w14:solidFill>
                          <w14:schemeClr w14:val="tx1">
                            <w14:lumMod w14:val="95000"/>
                            <w14:lumOff w14:val="5000"/>
                          </w14:schemeClr>
                        </w14:solidFill>
                      </w14:textFill>
                    </w:rPr>
                    <w:t>符合</w:t>
                  </w:r>
                </w:p>
              </w:tc>
            </w:tr>
          </w:tbl>
          <w:p w14:paraId="59F94338">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综上所述，项目建设符合“三线一单”管控要求。</w:t>
            </w:r>
          </w:p>
          <w:p w14:paraId="4A94912D">
            <w:pPr>
              <w:autoSpaceDE w:val="0"/>
              <w:autoSpaceDN w:val="0"/>
              <w:adjustRightInd w:val="0"/>
              <w:snapToGrid w:val="0"/>
              <w:spacing w:line="360" w:lineRule="auto"/>
              <w:ind w:firstLine="482" w:firstLineChars="200"/>
              <w:rPr>
                <w:rFonts w:cs="宋体"/>
                <w:b/>
                <w:color w:val="0D0D0D" w:themeColor="text1" w:themeTint="F2"/>
                <w:kern w:val="0"/>
                <w:sz w:val="24"/>
                <w14:textFill>
                  <w14:solidFill>
                    <w14:schemeClr w14:val="tx1">
                      <w14:lumMod w14:val="95000"/>
                      <w14:lumOff w14:val="5000"/>
                    </w14:schemeClr>
                  </w14:solidFill>
                </w14:textFill>
              </w:rPr>
            </w:pPr>
            <w:r>
              <w:rPr>
                <w:rFonts w:cs="宋体"/>
                <w:b/>
                <w:color w:val="0D0D0D" w:themeColor="text1" w:themeTint="F2"/>
                <w:kern w:val="0"/>
                <w:sz w:val="24"/>
                <w14:textFill>
                  <w14:solidFill>
                    <w14:schemeClr w14:val="tx1">
                      <w14:lumMod w14:val="95000"/>
                      <w14:lumOff w14:val="5000"/>
                    </w14:schemeClr>
                  </w14:solidFill>
                </w14:textFill>
              </w:rPr>
              <w:t>3</w:t>
            </w:r>
            <w:r>
              <w:rPr>
                <w:rFonts w:hint="eastAsia" w:cs="宋体"/>
                <w:b/>
                <w:color w:val="0D0D0D" w:themeColor="text1" w:themeTint="F2"/>
                <w:kern w:val="0"/>
                <w:sz w:val="24"/>
                <w14:textFill>
                  <w14:solidFill>
                    <w14:schemeClr w14:val="tx1">
                      <w14:lumMod w14:val="95000"/>
                      <w14:lumOff w14:val="5000"/>
                    </w14:schemeClr>
                  </w14:solidFill>
                </w14:textFill>
              </w:rPr>
              <w:t>、“三区三线”</w:t>
            </w:r>
            <w:r>
              <w:rPr>
                <w:rFonts w:cs="宋体"/>
                <w:b/>
                <w:color w:val="0D0D0D" w:themeColor="text1" w:themeTint="F2"/>
                <w:kern w:val="0"/>
                <w:sz w:val="24"/>
                <w14:textFill>
                  <w14:solidFill>
                    <w14:schemeClr w14:val="tx1">
                      <w14:lumMod w14:val="95000"/>
                      <w14:lumOff w14:val="5000"/>
                    </w14:schemeClr>
                  </w14:solidFill>
                </w14:textFill>
              </w:rPr>
              <w:t>相符性分析</w:t>
            </w:r>
          </w:p>
          <w:p w14:paraId="6614A53F">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三区三线是根据城镇空间、农业空间、生态空间三种类型的空间，分别对应划定的城镇开发边界、永久基本农田保护红线、生态保护红线三条控制线。</w:t>
            </w:r>
          </w:p>
          <w:p w14:paraId="4607D906">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项目临时选址于钦州市钦州港临海大道西侧、营盘街南侧、孚宝公司东侧，位于城镇开发边界内，不占用基本农田，不涉及自然保护区、风景名胜区、饮用水源保护区、公益林等生态敏感区域，符合“三区三线”管控要求。</w:t>
            </w:r>
          </w:p>
          <w:p w14:paraId="4977C489">
            <w:pPr>
              <w:autoSpaceDE w:val="0"/>
              <w:autoSpaceDN w:val="0"/>
              <w:adjustRightInd w:val="0"/>
              <w:snapToGrid w:val="0"/>
              <w:spacing w:line="360" w:lineRule="auto"/>
              <w:ind w:firstLine="482" w:firstLineChars="200"/>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4、与《挥发性有机物无组织排放控制标准》（GB37822-2019）相符性分析</w:t>
            </w:r>
          </w:p>
          <w:p w14:paraId="14BF4801">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项目与《挥发性有机物无组织排放控制标准》（GB37822-2019）相符性分析详见表1-8。</w:t>
            </w:r>
          </w:p>
          <w:p w14:paraId="12037FAB">
            <w:pPr>
              <w:autoSpaceDE w:val="0"/>
              <w:autoSpaceDN w:val="0"/>
              <w:adjustRightInd w:val="0"/>
              <w:snapToGrid w:val="0"/>
              <w:jc w:val="center"/>
              <w:rPr>
                <w:rFonts w:cs="宋体"/>
                <w:b/>
                <w:bCs/>
                <w:color w:val="0D0D0D" w:themeColor="text1" w:themeTint="F2"/>
                <w:kern w:val="0"/>
                <w:szCs w:val="21"/>
                <w14:textFill>
                  <w14:solidFill>
                    <w14:schemeClr w14:val="tx1">
                      <w14:lumMod w14:val="95000"/>
                      <w14:lumOff w14:val="5000"/>
                    </w14:schemeClr>
                  </w14:solidFill>
                </w14:textFill>
              </w:rPr>
            </w:pPr>
            <w:r>
              <w:rPr>
                <w:rFonts w:hint="eastAsia" w:cs="宋体"/>
                <w:b/>
                <w:bCs/>
                <w:color w:val="0D0D0D" w:themeColor="text1" w:themeTint="F2"/>
                <w:kern w:val="0"/>
                <w:szCs w:val="21"/>
                <w14:textFill>
                  <w14:solidFill>
                    <w14:schemeClr w14:val="tx1">
                      <w14:lumMod w14:val="95000"/>
                      <w14:lumOff w14:val="5000"/>
                    </w14:schemeClr>
                  </w14:solidFill>
                </w14:textFill>
              </w:rPr>
              <w:t>表1-8  与《挥发性有机物无组织排放控制标准》相符性分析一览表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3"/>
              <w:gridCol w:w="2738"/>
              <w:gridCol w:w="2324"/>
              <w:gridCol w:w="457"/>
            </w:tblGrid>
            <w:tr w14:paraId="09C903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3" w:type="pct"/>
                  <w:vAlign w:val="center"/>
                </w:tcPr>
                <w:p w14:paraId="21B14E57">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分类</w:t>
                  </w:r>
                </w:p>
              </w:tc>
              <w:tc>
                <w:tcPr>
                  <w:tcW w:w="2186" w:type="pct"/>
                  <w:vAlign w:val="center"/>
                </w:tcPr>
                <w:p w14:paraId="2A1730FB">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基本要求</w:t>
                  </w:r>
                </w:p>
              </w:tc>
              <w:tc>
                <w:tcPr>
                  <w:tcW w:w="1856" w:type="pct"/>
                  <w:vAlign w:val="center"/>
                </w:tcPr>
                <w:p w14:paraId="56BECAB3">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项目情况</w:t>
                  </w:r>
                </w:p>
              </w:tc>
              <w:tc>
                <w:tcPr>
                  <w:tcW w:w="364" w:type="pct"/>
                  <w:vAlign w:val="center"/>
                </w:tcPr>
                <w:p w14:paraId="707313BC">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相符性</w:t>
                  </w:r>
                </w:p>
              </w:tc>
            </w:tr>
            <w:tr w14:paraId="58CAA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4"/>
                  <w:vAlign w:val="center"/>
                </w:tcPr>
                <w:p w14:paraId="02462A1F">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VOCs物料储存无组织排放控制要求</w:t>
                  </w:r>
                </w:p>
              </w:tc>
            </w:tr>
            <w:tr w14:paraId="755CA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3" w:type="pct"/>
                  <w:vMerge w:val="restart"/>
                  <w:vAlign w:val="center"/>
                </w:tcPr>
                <w:p w14:paraId="53A1AD1C">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基本</w:t>
                  </w:r>
                </w:p>
                <w:p w14:paraId="5E39FCB1">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要求</w:t>
                  </w:r>
                </w:p>
              </w:tc>
              <w:tc>
                <w:tcPr>
                  <w:tcW w:w="2186" w:type="pct"/>
                  <w:vAlign w:val="center"/>
                </w:tcPr>
                <w:p w14:paraId="719FEFE2">
                  <w:pPr>
                    <w:autoSpaceDE w:val="0"/>
                    <w:autoSpaceDN w:val="0"/>
                    <w:adjustRightInd w:val="0"/>
                    <w:snapToGrid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VOCs物料应储存于密封的容器、包装袋、储罐、储库、料仓中。</w:t>
                  </w:r>
                </w:p>
              </w:tc>
              <w:tc>
                <w:tcPr>
                  <w:tcW w:w="1856" w:type="pct"/>
                  <w:vAlign w:val="center"/>
                </w:tcPr>
                <w:p w14:paraId="1FC2AC49">
                  <w:pPr>
                    <w:autoSpaceDE w:val="0"/>
                    <w:autoSpaceDN w:val="0"/>
                    <w:adjustRightInd w:val="0"/>
                    <w:snapToGrid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项目油漆和稀释剂使用专用容器桶密闭存放，贮存于仓库中。</w:t>
                  </w:r>
                </w:p>
              </w:tc>
              <w:tc>
                <w:tcPr>
                  <w:tcW w:w="364" w:type="pct"/>
                  <w:vAlign w:val="center"/>
                </w:tcPr>
                <w:p w14:paraId="0A5837AD">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符合</w:t>
                  </w:r>
                </w:p>
              </w:tc>
            </w:tr>
            <w:tr w14:paraId="7B184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3" w:type="pct"/>
                  <w:vMerge w:val="continue"/>
                  <w:vAlign w:val="center"/>
                </w:tcPr>
                <w:p w14:paraId="7DD0A489">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p>
              </w:tc>
              <w:tc>
                <w:tcPr>
                  <w:tcW w:w="2186" w:type="pct"/>
                  <w:vAlign w:val="center"/>
                </w:tcPr>
                <w:p w14:paraId="484513BB">
                  <w:pPr>
                    <w:autoSpaceDE w:val="0"/>
                    <w:autoSpaceDN w:val="0"/>
                    <w:adjustRightInd w:val="0"/>
                    <w:snapToGrid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盛装VOCs物料的容器或包装袋应存放于室内，或存放于设置有雨棚、遮阳和防渗设施的专用场地。盛装VOCs物料的容器或包装袋在非取用状态时应加盖、封口，保持密封。</w:t>
                  </w:r>
                </w:p>
              </w:tc>
              <w:tc>
                <w:tcPr>
                  <w:tcW w:w="1856" w:type="pct"/>
                  <w:vAlign w:val="center"/>
                </w:tcPr>
                <w:p w14:paraId="1D12BF6F">
                  <w:pPr>
                    <w:autoSpaceDE w:val="0"/>
                    <w:autoSpaceDN w:val="0"/>
                    <w:adjustRightInd w:val="0"/>
                    <w:snapToGrid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项目油漆和稀释剂使用专用容器桶密闭存放，贮存于仓库中，在非取用状态时加盖、封口，保持密闭。</w:t>
                  </w:r>
                </w:p>
              </w:tc>
              <w:tc>
                <w:tcPr>
                  <w:tcW w:w="364" w:type="pct"/>
                  <w:vAlign w:val="center"/>
                </w:tcPr>
                <w:p w14:paraId="7346B846">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符合</w:t>
                  </w:r>
                </w:p>
              </w:tc>
            </w:tr>
            <w:tr w14:paraId="2EB95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4"/>
                  <w:vAlign w:val="center"/>
                </w:tcPr>
                <w:p w14:paraId="4A5EB7AD">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工艺过程VOCs无组织排放控制要求</w:t>
                  </w:r>
                </w:p>
              </w:tc>
            </w:tr>
            <w:tr w14:paraId="5D04F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3" w:type="pct"/>
                  <w:vMerge w:val="restart"/>
                  <w:vAlign w:val="center"/>
                </w:tcPr>
                <w:p w14:paraId="6C895B1A">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物料</w:t>
                  </w:r>
                </w:p>
                <w:p w14:paraId="6C78F1CC">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投加</w:t>
                  </w:r>
                </w:p>
                <w:p w14:paraId="76E11AF6">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和卸</w:t>
                  </w:r>
                </w:p>
                <w:p w14:paraId="6CD119AB">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放</w:t>
                  </w:r>
                </w:p>
              </w:tc>
              <w:tc>
                <w:tcPr>
                  <w:tcW w:w="2186" w:type="pct"/>
                  <w:vAlign w:val="center"/>
                </w:tcPr>
                <w:p w14:paraId="2CD2AE22">
                  <w:pPr>
                    <w:autoSpaceDE w:val="0"/>
                    <w:autoSpaceDN w:val="0"/>
                    <w:adjustRightInd w:val="0"/>
                    <w:snapToGrid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液态VOCs物料应采用密封管道输送方式或采用高位槽（罐）、桶泵等给料方式密封投加。无法密封式投加的，应在密封空间内操作，或进行局部气体收集，废气应排至VOCs废气收集处理系统。</w:t>
                  </w:r>
                </w:p>
              </w:tc>
              <w:tc>
                <w:tcPr>
                  <w:tcW w:w="1856" w:type="pct"/>
                  <w:vAlign w:val="center"/>
                </w:tcPr>
                <w:p w14:paraId="296F0F51">
                  <w:pPr>
                    <w:autoSpaceDE w:val="0"/>
                    <w:autoSpaceDN w:val="0"/>
                    <w:adjustRightInd w:val="0"/>
                    <w:snapToGrid w:val="0"/>
                    <w:rPr>
                      <w:rFonts w:cs="宋体"/>
                      <w:color w:val="0D0D0D" w:themeColor="text1" w:themeTint="F2"/>
                      <w:kern w:val="0"/>
                      <w:szCs w:val="21"/>
                      <w:u w:val="single"/>
                      <w14:textFill>
                        <w14:solidFill>
                          <w14:schemeClr w14:val="tx1">
                            <w14:lumMod w14:val="95000"/>
                            <w14:lumOff w14:val="5000"/>
                          </w14:schemeClr>
                        </w14:solidFill>
                      </w14:textFill>
                    </w:rPr>
                  </w:pPr>
                  <w:r>
                    <w:rPr>
                      <w:rFonts w:hint="eastAsia" w:cs="宋体"/>
                      <w:color w:val="0D0D0D" w:themeColor="text1" w:themeTint="F2"/>
                      <w:kern w:val="0"/>
                      <w:szCs w:val="21"/>
                      <w:u w:val="single"/>
                      <w14:textFill>
                        <w14:solidFill>
                          <w14:schemeClr w14:val="tx1">
                            <w14:lumMod w14:val="95000"/>
                            <w14:lumOff w14:val="5000"/>
                          </w14:schemeClr>
                        </w14:solidFill>
                      </w14:textFill>
                    </w:rPr>
                    <w:t>项目喷漆房为密闭空间，喷漆废气（漆雾和有机废气）和危废暂存间废气收集后经“水帘柜+二级活性炭吸附脱附+CO催化燃烧”处理后通过20m排气筒（DA002）排放。</w:t>
                  </w:r>
                </w:p>
              </w:tc>
              <w:tc>
                <w:tcPr>
                  <w:tcW w:w="364" w:type="pct"/>
                  <w:vAlign w:val="center"/>
                </w:tcPr>
                <w:p w14:paraId="24AB5C69">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符合</w:t>
                  </w:r>
                </w:p>
              </w:tc>
            </w:tr>
            <w:tr w14:paraId="26A15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3" w:type="pct"/>
                  <w:vMerge w:val="continue"/>
                  <w:vAlign w:val="center"/>
                </w:tcPr>
                <w:p w14:paraId="222A493E">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p>
              </w:tc>
              <w:tc>
                <w:tcPr>
                  <w:tcW w:w="2186" w:type="pct"/>
                  <w:vAlign w:val="center"/>
                </w:tcPr>
                <w:p w14:paraId="4B488732">
                  <w:pPr>
                    <w:autoSpaceDE w:val="0"/>
                    <w:autoSpaceDN w:val="0"/>
                    <w:adjustRightInd w:val="0"/>
                    <w:snapToGrid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VOCs物料卸（出、放）料过程应密封，卸料废气应排至VOCs废气收集处理系统。</w:t>
                  </w:r>
                </w:p>
              </w:tc>
              <w:tc>
                <w:tcPr>
                  <w:tcW w:w="1856" w:type="pct"/>
                  <w:vAlign w:val="center"/>
                </w:tcPr>
                <w:p w14:paraId="3877616E">
                  <w:pPr>
                    <w:autoSpaceDE w:val="0"/>
                    <w:autoSpaceDN w:val="0"/>
                    <w:adjustRightInd w:val="0"/>
                    <w:snapToGrid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项目油漆和稀释剂使用专用容器桶密闭存放，卸货时，无卸料废气产生。</w:t>
                  </w:r>
                </w:p>
              </w:tc>
              <w:tc>
                <w:tcPr>
                  <w:tcW w:w="364" w:type="pct"/>
                  <w:vAlign w:val="center"/>
                </w:tcPr>
                <w:p w14:paraId="56E191C0">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符合</w:t>
                  </w:r>
                </w:p>
              </w:tc>
            </w:tr>
            <w:tr w14:paraId="73E0E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4"/>
                  <w:vAlign w:val="center"/>
                </w:tcPr>
                <w:p w14:paraId="31931D89">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VOCs无组织排放废气收集处理系统要求</w:t>
                  </w:r>
                </w:p>
              </w:tc>
            </w:tr>
            <w:tr w14:paraId="285AF7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3" w:type="pct"/>
                  <w:vAlign w:val="center"/>
                </w:tcPr>
                <w:p w14:paraId="604E816F">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基本</w:t>
                  </w:r>
                </w:p>
                <w:p w14:paraId="060F910E">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要求</w:t>
                  </w:r>
                </w:p>
              </w:tc>
              <w:tc>
                <w:tcPr>
                  <w:tcW w:w="2186" w:type="pct"/>
                  <w:vAlign w:val="center"/>
                </w:tcPr>
                <w:p w14:paraId="1E3C84E1">
                  <w:pPr>
                    <w:autoSpaceDE w:val="0"/>
                    <w:autoSpaceDN w:val="0"/>
                    <w:adjustRightInd w:val="0"/>
                    <w:snapToGrid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VOCs废气收集处理系统应与生产工艺设备同步运行。VOCs废气收集处理系统发生故障或检修时，对应的生产工艺设备应停止运行，待检修完毕后同步投入使用；生产工艺设备不能停止运行或不能及时停止运行的，应设置废气应急处理设施或采取其他替代措施。</w:t>
                  </w:r>
                </w:p>
              </w:tc>
              <w:tc>
                <w:tcPr>
                  <w:tcW w:w="1856" w:type="pct"/>
                  <w:vAlign w:val="center"/>
                </w:tcPr>
                <w:p w14:paraId="12C272F5">
                  <w:pPr>
                    <w:autoSpaceDE w:val="0"/>
                    <w:autoSpaceDN w:val="0"/>
                    <w:adjustRightInd w:val="0"/>
                    <w:snapToGrid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VOCs废气收集处理系统与生产工艺设备同步运行。项目的VOCs废气收集处理系统发生故障或检修时，对应的生产工艺设备停止运行，待检修完毕后同步投入使用。</w:t>
                  </w:r>
                </w:p>
              </w:tc>
              <w:tc>
                <w:tcPr>
                  <w:tcW w:w="364" w:type="pct"/>
                  <w:vAlign w:val="center"/>
                </w:tcPr>
                <w:p w14:paraId="48C0D292">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符合</w:t>
                  </w:r>
                </w:p>
              </w:tc>
            </w:tr>
            <w:tr w14:paraId="77AEA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3" w:type="pct"/>
                  <w:vAlign w:val="center"/>
                </w:tcPr>
                <w:p w14:paraId="539C5422">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废气</w:t>
                  </w:r>
                </w:p>
                <w:p w14:paraId="2F548A93">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收集</w:t>
                  </w:r>
                </w:p>
                <w:p w14:paraId="17F0D17D">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系统</w:t>
                  </w:r>
                </w:p>
              </w:tc>
              <w:tc>
                <w:tcPr>
                  <w:tcW w:w="2186" w:type="pct"/>
                  <w:vAlign w:val="center"/>
                </w:tcPr>
                <w:p w14:paraId="0CA178A9">
                  <w:pPr>
                    <w:autoSpaceDE w:val="0"/>
                    <w:autoSpaceDN w:val="0"/>
                    <w:adjustRightInd w:val="0"/>
                    <w:snapToGrid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废气收集系统的输送管道应密封，废气收集系统应在负压下运行。</w:t>
                  </w:r>
                </w:p>
              </w:tc>
              <w:tc>
                <w:tcPr>
                  <w:tcW w:w="1856" w:type="pct"/>
                  <w:vAlign w:val="center"/>
                </w:tcPr>
                <w:p w14:paraId="299EB37A">
                  <w:pPr>
                    <w:autoSpaceDE w:val="0"/>
                    <w:autoSpaceDN w:val="0"/>
                    <w:adjustRightInd w:val="0"/>
                    <w:snapToGrid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废气收集系统的输送管道密闭，废气收集系统在负压下运行。</w:t>
                  </w:r>
                </w:p>
              </w:tc>
              <w:tc>
                <w:tcPr>
                  <w:tcW w:w="364" w:type="pct"/>
                  <w:vAlign w:val="center"/>
                </w:tcPr>
                <w:p w14:paraId="48581F1E">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符合</w:t>
                  </w:r>
                </w:p>
              </w:tc>
            </w:tr>
            <w:tr w14:paraId="0F0ED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3" w:type="pct"/>
                  <w:vMerge w:val="restart"/>
                  <w:vAlign w:val="center"/>
                </w:tcPr>
                <w:p w14:paraId="38312CD3">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cs="宋体"/>
                      <w:color w:val="0D0D0D" w:themeColor="text1" w:themeTint="F2"/>
                      <w:kern w:val="0"/>
                      <w:szCs w:val="21"/>
                      <w14:textFill>
                        <w14:solidFill>
                          <w14:schemeClr w14:val="tx1">
                            <w14:lumMod w14:val="95000"/>
                            <w14:lumOff w14:val="5000"/>
                          </w14:schemeClr>
                        </w14:solidFill>
                      </w14:textFill>
                    </w:rPr>
                    <w:t>VOCs</w:t>
                  </w:r>
                </w:p>
                <w:p w14:paraId="51915E50">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排放</w:t>
                  </w:r>
                </w:p>
                <w:p w14:paraId="50DBFDBA">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控制</w:t>
                  </w:r>
                </w:p>
                <w:p w14:paraId="65F6344F">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要求</w:t>
                  </w:r>
                </w:p>
              </w:tc>
              <w:tc>
                <w:tcPr>
                  <w:tcW w:w="2186" w:type="pct"/>
                  <w:vAlign w:val="center"/>
                </w:tcPr>
                <w:p w14:paraId="3141A3D3">
                  <w:pPr>
                    <w:autoSpaceDE w:val="0"/>
                    <w:autoSpaceDN w:val="0"/>
                    <w:adjustRightInd w:val="0"/>
                    <w:snapToGrid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VOCs废气收集处理系统污染物排放应符合GB16297或相关行业排放标准的规定。</w:t>
                  </w:r>
                </w:p>
              </w:tc>
              <w:tc>
                <w:tcPr>
                  <w:tcW w:w="1856" w:type="pct"/>
                  <w:vAlign w:val="center"/>
                </w:tcPr>
                <w:p w14:paraId="3E36A96C">
                  <w:pPr>
                    <w:autoSpaceDE w:val="0"/>
                    <w:autoSpaceDN w:val="0"/>
                    <w:adjustRightInd w:val="0"/>
                    <w:snapToGrid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VOCs废气收集处理系统污染物排放符合《大气污染物综合排放标准》（GB16297-1996）标准要求。</w:t>
                  </w:r>
                </w:p>
              </w:tc>
              <w:tc>
                <w:tcPr>
                  <w:tcW w:w="364" w:type="pct"/>
                  <w:vAlign w:val="center"/>
                </w:tcPr>
                <w:p w14:paraId="520E70EB">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符合</w:t>
                  </w:r>
                </w:p>
              </w:tc>
            </w:tr>
            <w:tr w14:paraId="168F5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3" w:type="pct"/>
                  <w:vMerge w:val="continue"/>
                  <w:vAlign w:val="center"/>
                </w:tcPr>
                <w:p w14:paraId="0C6E12E5">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p>
              </w:tc>
              <w:tc>
                <w:tcPr>
                  <w:tcW w:w="2186" w:type="pct"/>
                  <w:vAlign w:val="center"/>
                </w:tcPr>
                <w:p w14:paraId="75D79422">
                  <w:pPr>
                    <w:autoSpaceDE w:val="0"/>
                    <w:autoSpaceDN w:val="0"/>
                    <w:adjustRightInd w:val="0"/>
                    <w:snapToGrid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收集的废气中NMHC初始排放速率≥3kg/h时，应配置VOCs处理设施，处理效率不应低于80%。</w:t>
                  </w:r>
                </w:p>
              </w:tc>
              <w:tc>
                <w:tcPr>
                  <w:tcW w:w="1856" w:type="pct"/>
                  <w:vAlign w:val="center"/>
                </w:tcPr>
                <w:p w14:paraId="6A5ADE5A">
                  <w:pPr>
                    <w:autoSpaceDE w:val="0"/>
                    <w:autoSpaceDN w:val="0"/>
                    <w:adjustRightInd w:val="0"/>
                    <w:snapToGrid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项目NMHC初始排放速率≤3kg/h，废气处理设施综合处理效率不强制要求达到80%。</w:t>
                  </w:r>
                </w:p>
              </w:tc>
              <w:tc>
                <w:tcPr>
                  <w:tcW w:w="364" w:type="pct"/>
                  <w:vAlign w:val="center"/>
                </w:tcPr>
                <w:p w14:paraId="3B11023B">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符合</w:t>
                  </w:r>
                </w:p>
              </w:tc>
            </w:tr>
            <w:tr w14:paraId="403E3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3" w:type="pct"/>
                  <w:vMerge w:val="continue"/>
                  <w:vAlign w:val="center"/>
                </w:tcPr>
                <w:p w14:paraId="1AEC7125">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p>
              </w:tc>
              <w:tc>
                <w:tcPr>
                  <w:tcW w:w="2186" w:type="pct"/>
                  <w:vAlign w:val="center"/>
                </w:tcPr>
                <w:p w14:paraId="7BBD4638">
                  <w:pPr>
                    <w:autoSpaceDE w:val="0"/>
                    <w:autoSpaceDN w:val="0"/>
                    <w:adjustRightInd w:val="0"/>
                    <w:snapToGrid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排气筒高度不低于15m（因安全考虑或有特殊工艺要求的除外），具体高度以及与周围建筑物的相对高度关系应根据环境影响评价文件确定。</w:t>
                  </w:r>
                </w:p>
              </w:tc>
              <w:tc>
                <w:tcPr>
                  <w:tcW w:w="1856" w:type="pct"/>
                  <w:vAlign w:val="center"/>
                </w:tcPr>
                <w:p w14:paraId="273BD1E0">
                  <w:pPr>
                    <w:autoSpaceDE w:val="0"/>
                    <w:autoSpaceDN w:val="0"/>
                    <w:adjustRightInd w:val="0"/>
                    <w:snapToGrid w:val="0"/>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项目DA002排气筒高度为20m，高于15m。</w:t>
                  </w:r>
                </w:p>
              </w:tc>
              <w:tc>
                <w:tcPr>
                  <w:tcW w:w="364" w:type="pct"/>
                  <w:vAlign w:val="center"/>
                </w:tcPr>
                <w:p w14:paraId="3CEF37D8">
                  <w:pPr>
                    <w:autoSpaceDE w:val="0"/>
                    <w:autoSpaceDN w:val="0"/>
                    <w:adjustRightInd w:val="0"/>
                    <w:snapToGrid w:val="0"/>
                    <w:jc w:val="center"/>
                    <w:rPr>
                      <w:rFonts w:cs="宋体"/>
                      <w:color w:val="0D0D0D" w:themeColor="text1" w:themeTint="F2"/>
                      <w:kern w:val="0"/>
                      <w:szCs w:val="21"/>
                      <w14:textFill>
                        <w14:solidFill>
                          <w14:schemeClr w14:val="tx1">
                            <w14:lumMod w14:val="95000"/>
                            <w14:lumOff w14:val="5000"/>
                          </w14:schemeClr>
                        </w14:solidFill>
                      </w14:textFill>
                    </w:rPr>
                  </w:pPr>
                  <w:r>
                    <w:rPr>
                      <w:rFonts w:hint="eastAsia" w:cs="宋体"/>
                      <w:color w:val="0D0D0D" w:themeColor="text1" w:themeTint="F2"/>
                      <w:kern w:val="0"/>
                      <w:szCs w:val="21"/>
                      <w14:textFill>
                        <w14:solidFill>
                          <w14:schemeClr w14:val="tx1">
                            <w14:lumMod w14:val="95000"/>
                            <w14:lumOff w14:val="5000"/>
                          </w14:schemeClr>
                        </w14:solidFill>
                      </w14:textFill>
                    </w:rPr>
                    <w:t>符合</w:t>
                  </w:r>
                </w:p>
              </w:tc>
            </w:tr>
          </w:tbl>
          <w:p w14:paraId="372FA459">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由上表可知，项目建设符合《挥发性有机物无组织排放控制标准》（GB37822-2019）相关要求。</w:t>
            </w:r>
          </w:p>
          <w:p w14:paraId="710B4F7B">
            <w:pPr>
              <w:autoSpaceDE w:val="0"/>
              <w:autoSpaceDN w:val="0"/>
              <w:adjustRightInd w:val="0"/>
              <w:snapToGrid w:val="0"/>
              <w:spacing w:line="360" w:lineRule="auto"/>
              <w:ind w:firstLine="482" w:firstLineChars="200"/>
              <w:jc w:val="left"/>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5</w:t>
            </w:r>
            <w:r>
              <w:rPr>
                <w:rFonts w:cs="宋体"/>
                <w:b/>
                <w:bCs/>
                <w:color w:val="0D0D0D" w:themeColor="text1" w:themeTint="F2"/>
                <w:kern w:val="0"/>
                <w:sz w:val="24"/>
                <w14:textFill>
                  <w14:solidFill>
                    <w14:schemeClr w14:val="tx1">
                      <w14:lumMod w14:val="95000"/>
                      <w14:lumOff w14:val="5000"/>
                    </w14:schemeClr>
                  </w14:solidFill>
                </w14:textFill>
              </w:rPr>
              <w:t>、选址合理性分析</w:t>
            </w:r>
          </w:p>
          <w:p w14:paraId="53A78A49">
            <w:pPr>
              <w:autoSpaceDE w:val="0"/>
              <w:autoSpaceDN w:val="0"/>
              <w:adjustRightInd w:val="0"/>
              <w:snapToGrid w:val="0"/>
              <w:spacing w:line="360" w:lineRule="auto"/>
              <w:ind w:firstLine="480" w:firstLineChars="200"/>
              <w:rPr>
                <w:rFonts w:cs="宋体"/>
                <w:color w:val="0D0D0D" w:themeColor="text1" w:themeTint="F2"/>
                <w:kern w:val="0"/>
                <w:sz w:val="24"/>
                <w:u w:val="single"/>
                <w14:textFill>
                  <w14:solidFill>
                    <w14:schemeClr w14:val="tx1">
                      <w14:lumMod w14:val="95000"/>
                      <w14:lumOff w14:val="5000"/>
                    </w14:schemeClr>
                  </w14:solidFill>
                </w14:textFill>
              </w:rPr>
            </w:pPr>
            <w:r>
              <w:rPr>
                <w:rFonts w:hint="eastAsia" w:cs="宋体"/>
                <w:color w:val="0D0D0D" w:themeColor="text1" w:themeTint="F2"/>
                <w:kern w:val="0"/>
                <w:sz w:val="24"/>
                <w:u w:val="single"/>
                <w14:textFill>
                  <w14:solidFill>
                    <w14:schemeClr w14:val="tx1">
                      <w14:lumMod w14:val="95000"/>
                      <w14:lumOff w14:val="5000"/>
                    </w14:schemeClr>
                  </w14:solidFill>
                </w14:textFill>
              </w:rPr>
              <w:t>项目位于钦州港临海大道西侧、营盘街南侧、孚宝公司东侧，租用广西自贸区临海资产管理有限公司的空置场地进行生产，用地为工业用地，年钢材防腐20000m</w:t>
            </w:r>
            <w:r>
              <w:rPr>
                <w:rFonts w:hint="eastAsia" w:cs="宋体"/>
                <w:color w:val="0D0D0D" w:themeColor="text1" w:themeTint="F2"/>
                <w:kern w:val="0"/>
                <w:sz w:val="24"/>
                <w:u w:val="single"/>
                <w:vertAlign w:val="superscript"/>
                <w14:textFill>
                  <w14:solidFill>
                    <w14:schemeClr w14:val="tx1">
                      <w14:lumMod w14:val="95000"/>
                      <w14:lumOff w14:val="5000"/>
                    </w14:schemeClr>
                  </w14:solidFill>
                </w14:textFill>
              </w:rPr>
              <w:t>2</w:t>
            </w:r>
            <w:r>
              <w:rPr>
                <w:rFonts w:hint="eastAsia" w:cs="宋体"/>
                <w:color w:val="0D0D0D" w:themeColor="text1" w:themeTint="F2"/>
                <w:kern w:val="0"/>
                <w:sz w:val="24"/>
                <w:u w:val="single"/>
                <w14:textFill>
                  <w14:solidFill>
                    <w14:schemeClr w14:val="tx1">
                      <w14:lumMod w14:val="95000"/>
                      <w14:lumOff w14:val="5000"/>
                    </w14:schemeClr>
                  </w14:solidFill>
                </w14:textFill>
              </w:rPr>
              <w:t>。项目选址为临时用地，已取得中国（广西）自由贸易</w:t>
            </w:r>
            <w:r>
              <w:rPr>
                <w:rFonts w:hint="eastAsia" w:cs="宋体"/>
                <w:color w:val="0D0D0D" w:themeColor="text1" w:themeTint="F2"/>
                <w:kern w:val="0"/>
                <w:sz w:val="24"/>
                <w:u w:val="single"/>
                <w:lang w:eastAsia="zh-CN"/>
                <w14:textFill>
                  <w14:solidFill>
                    <w14:schemeClr w14:val="tx1">
                      <w14:lumMod w14:val="95000"/>
                      <w14:lumOff w14:val="5000"/>
                    </w14:schemeClr>
                  </w14:solidFill>
                </w14:textFill>
              </w:rPr>
              <w:t>试验区钦州</w:t>
            </w:r>
            <w:r>
              <w:rPr>
                <w:rFonts w:hint="eastAsia" w:cs="宋体"/>
                <w:color w:val="0D0D0D" w:themeColor="text1" w:themeTint="F2"/>
                <w:kern w:val="0"/>
                <w:sz w:val="24"/>
                <w:u w:val="single"/>
                <w14:textFill>
                  <w14:solidFill>
                    <w14:schemeClr w14:val="tx1">
                      <w14:lumMod w14:val="95000"/>
                      <w14:lumOff w14:val="5000"/>
                    </w14:schemeClr>
                  </w14:solidFill>
                </w14:textFill>
              </w:rPr>
              <w:t>港片区自然资源和建设局出具的临时选址意见，同意建设。根据建设单位提供的资料，待租赁期满后，项目停止生产并及时搬离，按照合同要求将场地恢复原状。项目所在区域具备良好的基础建设条件，水源、电力等生产要素供应能满足项目运营要求。</w:t>
            </w:r>
          </w:p>
          <w:p w14:paraId="391EE28E">
            <w:pPr>
              <w:autoSpaceDE w:val="0"/>
              <w:autoSpaceDN w:val="0"/>
              <w:adjustRightInd w:val="0"/>
              <w:snapToGrid w:val="0"/>
              <w:spacing w:line="360" w:lineRule="auto"/>
              <w:ind w:firstLine="480" w:firstLineChars="200"/>
              <w:rPr>
                <w:rFonts w:cs="宋体"/>
                <w:color w:val="0D0D0D" w:themeColor="text1" w:themeTint="F2"/>
                <w:kern w:val="0"/>
                <w:sz w:val="24"/>
                <w:u w:val="single"/>
                <w14:textFill>
                  <w14:solidFill>
                    <w14:schemeClr w14:val="tx1">
                      <w14:lumMod w14:val="95000"/>
                      <w14:lumOff w14:val="5000"/>
                    </w14:schemeClr>
                  </w14:solidFill>
                </w14:textFill>
              </w:rPr>
            </w:pPr>
            <w:r>
              <w:rPr>
                <w:rFonts w:hint="eastAsia" w:cs="宋体"/>
                <w:color w:val="0D0D0D" w:themeColor="text1" w:themeTint="F2"/>
                <w:kern w:val="0"/>
                <w:sz w:val="24"/>
                <w:u w:val="single"/>
                <w14:textFill>
                  <w14:solidFill>
                    <w14:schemeClr w14:val="tx1">
                      <w14:lumMod w14:val="95000"/>
                      <w14:lumOff w14:val="5000"/>
                    </w14:schemeClr>
                  </w14:solidFill>
                </w14:textFill>
              </w:rPr>
              <w:t>根据《广西壮族自治区人民政府关于钦州市乡镇集中式饮用水水源保护区划定方案的批复》（桂政函〔2016〕238号）、《广西壮族自治区水利厅关于印发广西城镇集中式饮用水水源地名录的通知》（桂水资源〔2022〕42号）等资料，距离项目最近的饮用水水源地为金窝水库饮用水水源地，该水源地位于项目东北面，二级保护区距离项目选址7.29km，详见附图9。项目选址不涉及自然保护区、风景名胜区、基本农田保护区、饮用水源保护区等敏感区域，符合国土空间规划要求。</w:t>
            </w:r>
            <w:r>
              <w:rPr>
                <w:rFonts w:cs="宋体"/>
                <w:color w:val="0D0D0D" w:themeColor="text1" w:themeTint="F2"/>
                <w:kern w:val="0"/>
                <w:sz w:val="24"/>
                <w:u w:val="single"/>
                <w14:textFill>
                  <w14:solidFill>
                    <w14:schemeClr w14:val="tx1">
                      <w14:lumMod w14:val="95000"/>
                      <w14:lumOff w14:val="5000"/>
                    </w14:schemeClr>
                  </w14:solidFill>
                </w14:textFill>
              </w:rPr>
              <w:t>项目产生的废气、</w:t>
            </w:r>
            <w:r>
              <w:rPr>
                <w:rFonts w:hint="eastAsia" w:cs="宋体"/>
                <w:color w:val="0D0D0D" w:themeColor="text1" w:themeTint="F2"/>
                <w:kern w:val="0"/>
                <w:sz w:val="24"/>
                <w:u w:val="single"/>
                <w14:textFill>
                  <w14:solidFill>
                    <w14:schemeClr w14:val="tx1">
                      <w14:lumMod w14:val="95000"/>
                      <w14:lumOff w14:val="5000"/>
                    </w14:schemeClr>
                  </w14:solidFill>
                </w14:textFill>
              </w:rPr>
              <w:t>废水、噪声和</w:t>
            </w:r>
            <w:r>
              <w:rPr>
                <w:rFonts w:cs="宋体"/>
                <w:color w:val="0D0D0D" w:themeColor="text1" w:themeTint="F2"/>
                <w:kern w:val="0"/>
                <w:sz w:val="24"/>
                <w:u w:val="single"/>
                <w14:textFill>
                  <w14:solidFill>
                    <w14:schemeClr w14:val="tx1">
                      <w14:lumMod w14:val="95000"/>
                      <w14:lumOff w14:val="5000"/>
                    </w14:schemeClr>
                  </w14:solidFill>
                </w14:textFill>
              </w:rPr>
              <w:t>固废均采取可行的</w:t>
            </w:r>
            <w:r>
              <w:rPr>
                <w:rFonts w:hint="eastAsia" w:cs="宋体"/>
                <w:color w:val="0D0D0D" w:themeColor="text1" w:themeTint="F2"/>
                <w:kern w:val="0"/>
                <w:sz w:val="24"/>
                <w:u w:val="single"/>
                <w14:textFill>
                  <w14:solidFill>
                    <w14:schemeClr w14:val="tx1">
                      <w14:lumMod w14:val="95000"/>
                      <w14:lumOff w14:val="5000"/>
                    </w14:schemeClr>
                  </w14:solidFill>
                </w14:textFill>
              </w:rPr>
              <w:t>污染防治措施</w:t>
            </w:r>
            <w:r>
              <w:rPr>
                <w:rFonts w:cs="宋体"/>
                <w:color w:val="0D0D0D" w:themeColor="text1" w:themeTint="F2"/>
                <w:kern w:val="0"/>
                <w:sz w:val="24"/>
                <w:u w:val="single"/>
                <w14:textFill>
                  <w14:solidFill>
                    <w14:schemeClr w14:val="tx1">
                      <w14:lumMod w14:val="95000"/>
                      <w14:lumOff w14:val="5000"/>
                    </w14:schemeClr>
                  </w14:solidFill>
                </w14:textFill>
              </w:rPr>
              <w:t>，</w:t>
            </w:r>
            <w:r>
              <w:rPr>
                <w:rFonts w:hint="eastAsia" w:cs="宋体"/>
                <w:color w:val="0D0D0D" w:themeColor="text1" w:themeTint="F2"/>
                <w:kern w:val="0"/>
                <w:sz w:val="24"/>
                <w:u w:val="single"/>
                <w14:textFill>
                  <w14:solidFill>
                    <w14:schemeClr w14:val="tx1">
                      <w14:lumMod w14:val="95000"/>
                      <w14:lumOff w14:val="5000"/>
                    </w14:schemeClr>
                  </w14:solidFill>
                </w14:textFill>
              </w:rPr>
              <w:t>污染物达标排放或妥善处置，</w:t>
            </w:r>
            <w:r>
              <w:rPr>
                <w:rFonts w:cs="宋体"/>
                <w:color w:val="0D0D0D" w:themeColor="text1" w:themeTint="F2"/>
                <w:kern w:val="0"/>
                <w:sz w:val="24"/>
                <w:u w:val="single"/>
                <w14:textFill>
                  <w14:solidFill>
                    <w14:schemeClr w14:val="tx1">
                      <w14:lumMod w14:val="95000"/>
                      <w14:lumOff w14:val="5000"/>
                    </w14:schemeClr>
                  </w14:solidFill>
                </w14:textFill>
              </w:rPr>
              <w:t>对</w:t>
            </w:r>
            <w:r>
              <w:rPr>
                <w:rFonts w:hint="eastAsia" w:cs="宋体"/>
                <w:color w:val="0D0D0D" w:themeColor="text1" w:themeTint="F2"/>
                <w:kern w:val="0"/>
                <w:sz w:val="24"/>
                <w:u w:val="single"/>
                <w14:textFill>
                  <w14:solidFill>
                    <w14:schemeClr w14:val="tx1">
                      <w14:lumMod w14:val="95000"/>
                      <w14:lumOff w14:val="5000"/>
                    </w14:schemeClr>
                  </w14:solidFill>
                </w14:textFill>
              </w:rPr>
              <w:t>周边</w:t>
            </w:r>
            <w:r>
              <w:rPr>
                <w:rFonts w:cs="宋体"/>
                <w:color w:val="0D0D0D" w:themeColor="text1" w:themeTint="F2"/>
                <w:kern w:val="0"/>
                <w:sz w:val="24"/>
                <w:u w:val="single"/>
                <w14:textFill>
                  <w14:solidFill>
                    <w14:schemeClr w14:val="tx1">
                      <w14:lumMod w14:val="95000"/>
                      <w14:lumOff w14:val="5000"/>
                    </w14:schemeClr>
                  </w14:solidFill>
                </w14:textFill>
              </w:rPr>
              <w:t>环境影响较小</w:t>
            </w:r>
            <w:r>
              <w:rPr>
                <w:rFonts w:hint="eastAsia" w:cs="宋体"/>
                <w:color w:val="0D0D0D" w:themeColor="text1" w:themeTint="F2"/>
                <w:kern w:val="0"/>
                <w:sz w:val="24"/>
                <w:u w:val="single"/>
                <w14:textFill>
                  <w14:solidFill>
                    <w14:schemeClr w14:val="tx1">
                      <w14:lumMod w14:val="95000"/>
                      <w14:lumOff w14:val="5000"/>
                    </w14:schemeClr>
                  </w14:solidFill>
                </w14:textFill>
              </w:rPr>
              <w:t>。</w:t>
            </w:r>
          </w:p>
          <w:p w14:paraId="4BD312A6">
            <w:pPr>
              <w:autoSpaceDE w:val="0"/>
              <w:autoSpaceDN w:val="0"/>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u w:val="single"/>
                <w14:textFill>
                  <w14:solidFill>
                    <w14:schemeClr w14:val="tx1">
                      <w14:lumMod w14:val="95000"/>
                      <w14:lumOff w14:val="5000"/>
                    </w14:schemeClr>
                  </w14:solidFill>
                </w14:textFill>
              </w:rPr>
              <w:t>综上，从环保角度分析，项目</w:t>
            </w:r>
            <w:r>
              <w:rPr>
                <w:rFonts w:cs="宋体"/>
                <w:color w:val="0D0D0D" w:themeColor="text1" w:themeTint="F2"/>
                <w:kern w:val="0"/>
                <w:sz w:val="24"/>
                <w:u w:val="single"/>
                <w14:textFill>
                  <w14:solidFill>
                    <w14:schemeClr w14:val="tx1">
                      <w14:lumMod w14:val="95000"/>
                      <w14:lumOff w14:val="5000"/>
                    </w14:schemeClr>
                  </w14:solidFill>
                </w14:textFill>
              </w:rPr>
              <w:t>选址合理</w:t>
            </w:r>
            <w:r>
              <w:rPr>
                <w:rFonts w:hint="eastAsia" w:cs="宋体"/>
                <w:color w:val="0D0D0D" w:themeColor="text1" w:themeTint="F2"/>
                <w:kern w:val="0"/>
                <w:sz w:val="24"/>
                <w:u w:val="single"/>
                <w14:textFill>
                  <w14:solidFill>
                    <w14:schemeClr w14:val="tx1">
                      <w14:lumMod w14:val="95000"/>
                      <w14:lumOff w14:val="5000"/>
                    </w14:schemeClr>
                  </w14:solidFill>
                </w14:textFill>
              </w:rPr>
              <w:t>可行。</w:t>
            </w:r>
          </w:p>
        </w:tc>
      </w:tr>
    </w:tbl>
    <w:p w14:paraId="6E63BFDC">
      <w:pPr>
        <w:spacing w:line="360" w:lineRule="auto"/>
        <w:outlineLvl w:val="0"/>
        <w:rPr>
          <w:color w:val="0D0D0D" w:themeColor="text1" w:themeTint="F2"/>
          <w:sz w:val="30"/>
          <w14:textFill>
            <w14:solidFill>
              <w14:schemeClr w14:val="tx1">
                <w14:lumMod w14:val="95000"/>
                <w14:lumOff w14:val="5000"/>
              </w14:schemeClr>
            </w14:solidFill>
          </w14:textFill>
        </w:rPr>
        <w:sectPr>
          <w:footerReference r:id="rId5" w:type="default"/>
          <w:pgSz w:w="11906" w:h="16838"/>
          <w:pgMar w:top="1701" w:right="1531" w:bottom="1701" w:left="1531" w:header="851" w:footer="1077" w:gutter="0"/>
          <w:pgNumType w:start="1"/>
          <w:cols w:space="720" w:num="1"/>
          <w:docGrid w:linePitch="312" w:charSpace="0"/>
        </w:sectPr>
      </w:pPr>
    </w:p>
    <w:p w14:paraId="5E4BECBC">
      <w:pPr>
        <w:pStyle w:val="18"/>
        <w:jc w:val="center"/>
        <w:outlineLvl w:val="0"/>
        <w:rPr>
          <w:rFonts w:ascii="Times New Roman" w:hAnsi="Times New Roman"/>
          <w:snapToGrid w:val="0"/>
          <w:color w:val="0D0D0D" w:themeColor="text1" w:themeTint="F2"/>
          <w:sz w:val="30"/>
          <w:szCs w:val="30"/>
          <w14:textFill>
            <w14:solidFill>
              <w14:schemeClr w14:val="tx1">
                <w14:lumMod w14:val="95000"/>
                <w14:lumOff w14:val="5000"/>
              </w14:schemeClr>
            </w14:solidFill>
          </w14:textFill>
        </w:rPr>
      </w:pPr>
      <w:bookmarkStart w:id="4" w:name="_Toc136522024"/>
      <w:r>
        <w:rPr>
          <w:rFonts w:hint="eastAsia" w:ascii="Times New Roman" w:hAnsi="Times New Roman"/>
          <w:snapToGrid w:val="0"/>
          <w:color w:val="0D0D0D" w:themeColor="text1" w:themeTint="F2"/>
          <w:sz w:val="30"/>
          <w:szCs w:val="30"/>
          <w14:textFill>
            <w14:solidFill>
              <w14:schemeClr w14:val="tx1">
                <w14:lumMod w14:val="95000"/>
                <w14:lumOff w14:val="5000"/>
              </w14:schemeClr>
            </w14:solidFill>
          </w14:textFill>
        </w:rPr>
        <w:t>二、建设项目工程分析</w:t>
      </w:r>
      <w:bookmarkEnd w:id="4"/>
    </w:p>
    <w:tbl>
      <w:tblPr>
        <w:tblStyle w:val="2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60"/>
        <w:gridCol w:w="8600"/>
      </w:tblGrid>
      <w:tr w14:paraId="1213C3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25" w:hRule="atLeast"/>
          <w:jc w:val="center"/>
        </w:trPr>
        <w:tc>
          <w:tcPr>
            <w:tcW w:w="254" w:type="pct"/>
            <w:vAlign w:val="center"/>
          </w:tcPr>
          <w:p w14:paraId="21C5C07D">
            <w:pPr>
              <w:pStyle w:val="18"/>
              <w:adjustRightInd w:val="0"/>
              <w:snapToGrid w:val="0"/>
              <w:spacing w:before="0" w:beforeAutospacing="0" w:after="0" w:afterAutospacing="0"/>
              <w:jc w:val="center"/>
              <w:rPr>
                <w:rFonts w:ascii="Times New Roman" w:hAnsi="Times New Roman" w:cs="宋体"/>
                <w:color w:val="0D0D0D" w:themeColor="text1" w:themeTint="F2"/>
                <w:szCs w:val="24"/>
                <w14:textFill>
                  <w14:solidFill>
                    <w14:schemeClr w14:val="tx1">
                      <w14:lumMod w14:val="95000"/>
                      <w14:lumOff w14:val="5000"/>
                    </w14:schemeClr>
                  </w14:solidFill>
                </w14:textFill>
              </w:rPr>
            </w:pPr>
            <w:r>
              <w:rPr>
                <w:rFonts w:hint="eastAsia" w:ascii="Times New Roman" w:hAnsi="Times New Roman" w:cs="宋体"/>
                <w:color w:val="0D0D0D" w:themeColor="text1" w:themeTint="F2"/>
                <w:szCs w:val="24"/>
                <w14:textFill>
                  <w14:solidFill>
                    <w14:schemeClr w14:val="tx1">
                      <w14:lumMod w14:val="95000"/>
                      <w14:lumOff w14:val="5000"/>
                    </w14:schemeClr>
                  </w14:solidFill>
                </w14:textFill>
              </w:rPr>
              <w:t>建设内容</w:t>
            </w:r>
          </w:p>
        </w:tc>
        <w:tc>
          <w:tcPr>
            <w:tcW w:w="4746" w:type="pct"/>
          </w:tcPr>
          <w:p w14:paraId="5245EA44">
            <w:pPr>
              <w:spacing w:line="360" w:lineRule="auto"/>
              <w:ind w:firstLine="482" w:firstLineChars="200"/>
              <w:rPr>
                <w:b/>
                <w:bCs/>
                <w:color w:val="0D0D0D" w:themeColor="text1" w:themeTint="F2"/>
                <w:sz w:val="24"/>
                <w14:textFill>
                  <w14:solidFill>
                    <w14:schemeClr w14:val="tx1">
                      <w14:lumMod w14:val="95000"/>
                      <w14:lumOff w14:val="5000"/>
                    </w14:schemeClr>
                  </w14:solidFill>
                </w14:textFill>
              </w:rPr>
            </w:pPr>
            <w:r>
              <w:rPr>
                <w:rFonts w:hint="eastAsia"/>
                <w:b/>
                <w:bCs/>
                <w:color w:val="0D0D0D" w:themeColor="text1" w:themeTint="F2"/>
                <w:sz w:val="24"/>
                <w14:textFill>
                  <w14:solidFill>
                    <w14:schemeClr w14:val="tx1">
                      <w14:lumMod w14:val="95000"/>
                      <w14:lumOff w14:val="5000"/>
                    </w14:schemeClr>
                  </w14:solidFill>
                </w14:textFill>
              </w:rPr>
              <w:t>1、主要建设内容</w:t>
            </w:r>
          </w:p>
          <w:p w14:paraId="5C269BF1">
            <w:pPr>
              <w:spacing w:line="360" w:lineRule="auto"/>
              <w:ind w:firstLine="480" w:firstLineChars="200"/>
              <w:rPr>
                <w:color w:val="0D0D0D" w:themeColor="text1" w:themeTint="F2"/>
                <w:sz w:val="24"/>
                <w:u w:val="single"/>
                <w14:textFill>
                  <w14:solidFill>
                    <w14:schemeClr w14:val="tx1">
                      <w14:lumMod w14:val="95000"/>
                      <w14:lumOff w14:val="5000"/>
                    </w14:schemeClr>
                  </w14:solidFill>
                </w14:textFill>
              </w:rPr>
            </w:pPr>
            <w:r>
              <w:rPr>
                <w:rFonts w:hint="eastAsia"/>
                <w:color w:val="0D0D0D" w:themeColor="text1" w:themeTint="F2"/>
                <w:sz w:val="24"/>
                <w:u w:val="single"/>
                <w14:textFill>
                  <w14:solidFill>
                    <w14:schemeClr w14:val="tx1">
                      <w14:lumMod w14:val="95000"/>
                      <w14:lumOff w14:val="5000"/>
                    </w14:schemeClr>
                  </w14:solidFill>
                </w14:textFill>
              </w:rPr>
              <w:t>项目位于钦州市中国（广西）自由贸易试验区钦州港片区钦州港临海大道西侧、营盘街南侧、孚宝公司东侧，占地面积17333.68</w:t>
            </w:r>
            <w:r>
              <w:rPr>
                <w:color w:val="0D0D0D" w:themeColor="text1" w:themeTint="F2"/>
                <w:sz w:val="24"/>
                <w:u w:val="single"/>
                <w14:textFill>
                  <w14:solidFill>
                    <w14:schemeClr w14:val="tx1">
                      <w14:lumMod w14:val="95000"/>
                      <w14:lumOff w14:val="5000"/>
                    </w14:schemeClr>
                  </w14:solidFill>
                </w14:textFill>
              </w:rPr>
              <w:t>m</w:t>
            </w:r>
            <w:r>
              <w:rPr>
                <w:color w:val="0D0D0D" w:themeColor="text1" w:themeTint="F2"/>
                <w:sz w:val="24"/>
                <w:u w:val="single"/>
                <w:vertAlign w:val="superscript"/>
                <w14:textFill>
                  <w14:solidFill>
                    <w14:schemeClr w14:val="tx1">
                      <w14:lumMod w14:val="95000"/>
                      <w14:lumOff w14:val="5000"/>
                    </w14:schemeClr>
                  </w14:solidFill>
                </w14:textFill>
              </w:rPr>
              <w:t>2</w:t>
            </w:r>
            <w:r>
              <w:rPr>
                <w:rFonts w:hint="eastAsia"/>
                <w:color w:val="0D0D0D" w:themeColor="text1" w:themeTint="F2"/>
                <w:sz w:val="24"/>
                <w:u w:val="single"/>
                <w14:textFill>
                  <w14:solidFill>
                    <w14:schemeClr w14:val="tx1">
                      <w14:lumMod w14:val="95000"/>
                      <w14:lumOff w14:val="5000"/>
                    </w14:schemeClr>
                  </w14:solidFill>
                </w14:textFill>
              </w:rPr>
              <w:t>，2024年12月租用广西自贸区临海资产管理有限公司空置场地进行生产，用地为工业用地。项目选址为临时用地，已取得中国（广西）自由贸易</w:t>
            </w:r>
            <w:r>
              <w:rPr>
                <w:rFonts w:hint="eastAsia"/>
                <w:color w:val="0D0D0D" w:themeColor="text1" w:themeTint="F2"/>
                <w:sz w:val="24"/>
                <w:u w:val="single"/>
                <w:lang w:eastAsia="zh-CN"/>
                <w14:textFill>
                  <w14:solidFill>
                    <w14:schemeClr w14:val="tx1">
                      <w14:lumMod w14:val="95000"/>
                      <w14:lumOff w14:val="5000"/>
                    </w14:schemeClr>
                  </w14:solidFill>
                </w14:textFill>
              </w:rPr>
              <w:t>试验区钦州</w:t>
            </w:r>
            <w:bookmarkStart w:id="15" w:name="_GoBack"/>
            <w:bookmarkEnd w:id="15"/>
            <w:r>
              <w:rPr>
                <w:rFonts w:hint="eastAsia"/>
                <w:color w:val="0D0D0D" w:themeColor="text1" w:themeTint="F2"/>
                <w:sz w:val="24"/>
                <w:u w:val="single"/>
                <w14:textFill>
                  <w14:solidFill>
                    <w14:schemeClr w14:val="tx1">
                      <w14:lumMod w14:val="95000"/>
                      <w14:lumOff w14:val="5000"/>
                    </w14:schemeClr>
                  </w14:solidFill>
                </w14:textFill>
              </w:rPr>
              <w:t>港片区自然资源和建设局出具的临时选址意见，同意建设。根据建设单位提供的资料，项目主要服务于广西华谊钦州化工新材料一体化基地三期甲醇制烯烃及下游深加工一体化项目配套集中防腐等业务，待租赁期满后，项目停止生产并及时搬离，按照合同要求将场地恢复原状。</w:t>
            </w:r>
          </w:p>
          <w:p w14:paraId="5B3131C8">
            <w:pPr>
              <w:spacing w:line="360" w:lineRule="auto"/>
              <w:ind w:firstLine="480" w:firstLineChars="200"/>
              <w:rPr>
                <w:color w:val="0D0D0D" w:themeColor="text1" w:themeTint="F2"/>
                <w:sz w:val="24"/>
                <w:u w:val="single"/>
                <w14:textFill>
                  <w14:solidFill>
                    <w14:schemeClr w14:val="tx1">
                      <w14:lumMod w14:val="95000"/>
                      <w14:lumOff w14:val="5000"/>
                    </w14:schemeClr>
                  </w14:solidFill>
                </w14:textFill>
              </w:rPr>
            </w:pPr>
            <w:r>
              <w:rPr>
                <w:rFonts w:hint="eastAsia"/>
                <w:color w:val="0D0D0D" w:themeColor="text1" w:themeTint="F2"/>
                <w:sz w:val="24"/>
                <w:u w:val="single"/>
                <w14:textFill>
                  <w14:solidFill>
                    <w14:schemeClr w14:val="tx1">
                      <w14:lumMod w14:val="95000"/>
                      <w14:lumOff w14:val="5000"/>
                    </w14:schemeClr>
                  </w14:solidFill>
                </w14:textFill>
              </w:rPr>
              <w:t>项目主要建设生产车间、生活办公区、原料区、成品区、仓库和配套的环保设施等，建成后年加工钢材20000m</w:t>
            </w:r>
            <w:r>
              <w:rPr>
                <w:rFonts w:hint="eastAsia"/>
                <w:color w:val="0D0D0D" w:themeColor="text1" w:themeTint="F2"/>
                <w:sz w:val="24"/>
                <w:u w:val="single"/>
                <w:vertAlign w:val="superscript"/>
                <w14:textFill>
                  <w14:solidFill>
                    <w14:schemeClr w14:val="tx1">
                      <w14:lumMod w14:val="95000"/>
                      <w14:lumOff w14:val="5000"/>
                    </w14:schemeClr>
                  </w14:solidFill>
                </w14:textFill>
              </w:rPr>
              <w:t>2</w:t>
            </w:r>
            <w:r>
              <w:rPr>
                <w:rFonts w:hint="eastAsia"/>
                <w:color w:val="0D0D0D" w:themeColor="text1" w:themeTint="F2"/>
                <w:sz w:val="24"/>
                <w:u w:val="single"/>
                <w14:textFill>
                  <w14:solidFill>
                    <w14:schemeClr w14:val="tx1">
                      <w14:lumMod w14:val="95000"/>
                      <w14:lumOff w14:val="5000"/>
                    </w14:schemeClr>
                  </w14:solidFill>
                </w14:textFill>
              </w:rPr>
              <w:t>，经现场核查，项目已于2024年12月开工建设，目前已建成生产车间、生活办公区、原料区、成品区和仓库，还需完善废气环保设施和一般固废暂存间。</w:t>
            </w:r>
          </w:p>
          <w:p w14:paraId="5F390B0B">
            <w:pPr>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项目工程组成详见表2</w:t>
            </w:r>
            <w:r>
              <w:rPr>
                <w:color w:val="0D0D0D" w:themeColor="text1" w:themeTint="F2"/>
                <w:sz w:val="24"/>
                <w14:textFill>
                  <w14:solidFill>
                    <w14:schemeClr w14:val="tx1">
                      <w14:lumMod w14:val="95000"/>
                      <w14:lumOff w14:val="5000"/>
                    </w14:schemeClr>
                  </w14:solidFill>
                </w14:textFill>
              </w:rPr>
              <w:t>-1</w:t>
            </w:r>
            <w:r>
              <w:rPr>
                <w:rFonts w:hint="eastAsia"/>
                <w:color w:val="0D0D0D" w:themeColor="text1" w:themeTint="F2"/>
                <w:sz w:val="24"/>
                <w14:textFill>
                  <w14:solidFill>
                    <w14:schemeClr w14:val="tx1">
                      <w14:lumMod w14:val="95000"/>
                      <w14:lumOff w14:val="5000"/>
                    </w14:schemeClr>
                  </w14:solidFill>
                </w14:textFill>
              </w:rPr>
              <w:t>。</w:t>
            </w:r>
          </w:p>
          <w:p w14:paraId="2A6984C2">
            <w:pPr>
              <w:ind w:firstLine="422" w:firstLineChars="200"/>
              <w:jc w:val="center"/>
              <w:rPr>
                <w:b/>
                <w:bCs/>
                <w:color w:val="0D0D0D" w:themeColor="text1" w:themeTint="F2"/>
                <w:szCs w:val="21"/>
                <w14:textFill>
                  <w14:solidFill>
                    <w14:schemeClr w14:val="tx1">
                      <w14:lumMod w14:val="95000"/>
                      <w14:lumOff w14:val="5000"/>
                    </w14:schemeClr>
                  </w14:solidFill>
                </w14:textFill>
              </w:rPr>
            </w:pPr>
            <w:r>
              <w:rPr>
                <w:rFonts w:hint="eastAsia"/>
                <w:b/>
                <w:bCs/>
                <w:color w:val="0D0D0D" w:themeColor="text1" w:themeTint="F2"/>
                <w:szCs w:val="21"/>
                <w14:textFill>
                  <w14:solidFill>
                    <w14:schemeClr w14:val="tx1">
                      <w14:lumMod w14:val="95000"/>
                      <w14:lumOff w14:val="5000"/>
                    </w14:schemeClr>
                  </w14:solidFill>
                </w14:textFill>
              </w:rPr>
              <w:t>表2</w:t>
            </w:r>
            <w:r>
              <w:rPr>
                <w:b/>
                <w:bCs/>
                <w:color w:val="0D0D0D" w:themeColor="text1" w:themeTint="F2"/>
                <w:szCs w:val="21"/>
                <w14:textFill>
                  <w14:solidFill>
                    <w14:schemeClr w14:val="tx1">
                      <w14:lumMod w14:val="95000"/>
                      <w14:lumOff w14:val="5000"/>
                    </w14:schemeClr>
                  </w14:solidFill>
                </w14:textFill>
              </w:rPr>
              <w:t>-</w:t>
            </w:r>
            <w:r>
              <w:rPr>
                <w:rFonts w:hint="eastAsia"/>
                <w:b/>
                <w:bCs/>
                <w:color w:val="0D0D0D" w:themeColor="text1" w:themeTint="F2"/>
                <w:szCs w:val="21"/>
                <w14:textFill>
                  <w14:solidFill>
                    <w14:schemeClr w14:val="tx1">
                      <w14:lumMod w14:val="95000"/>
                      <w14:lumOff w14:val="5000"/>
                    </w14:schemeClr>
                  </w14:solidFill>
                </w14:textFill>
              </w:rPr>
              <w:t>1</w:t>
            </w:r>
            <w:r>
              <w:rPr>
                <w:b/>
                <w:bCs/>
                <w:color w:val="0D0D0D" w:themeColor="text1" w:themeTint="F2"/>
                <w:szCs w:val="21"/>
                <w14:textFill>
                  <w14:solidFill>
                    <w14:schemeClr w14:val="tx1">
                      <w14:lumMod w14:val="95000"/>
                      <w14:lumOff w14:val="5000"/>
                    </w14:schemeClr>
                  </w14:solidFill>
                </w14:textFill>
              </w:rPr>
              <w:t xml:space="preserve">  </w:t>
            </w:r>
            <w:r>
              <w:rPr>
                <w:rFonts w:hint="eastAsia"/>
                <w:b/>
                <w:bCs/>
                <w:color w:val="0D0D0D" w:themeColor="text1" w:themeTint="F2"/>
                <w:szCs w:val="21"/>
                <w14:textFill>
                  <w14:solidFill>
                    <w14:schemeClr w14:val="tx1">
                      <w14:lumMod w14:val="95000"/>
                      <w14:lumOff w14:val="5000"/>
                    </w14:schemeClr>
                  </w14:solidFill>
                </w14:textFill>
              </w:rPr>
              <w:t>工程组成一览表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1"/>
              <w:gridCol w:w="1382"/>
              <w:gridCol w:w="5195"/>
              <w:gridCol w:w="1146"/>
            </w:tblGrid>
            <w:tr w14:paraId="13DF6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tcBorders>
                    <w:top w:val="single" w:color="auto" w:sz="4" w:space="0"/>
                    <w:left w:val="single" w:color="auto" w:sz="4" w:space="0"/>
                    <w:bottom w:val="single" w:color="auto" w:sz="4" w:space="0"/>
                    <w:right w:val="single" w:color="auto" w:sz="4" w:space="0"/>
                  </w:tcBorders>
                  <w:vAlign w:val="center"/>
                </w:tcPr>
                <w:p w14:paraId="2D16BF33">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类别</w:t>
                  </w:r>
                </w:p>
              </w:tc>
              <w:tc>
                <w:tcPr>
                  <w:tcW w:w="825" w:type="pct"/>
                  <w:tcBorders>
                    <w:top w:val="single" w:color="auto" w:sz="4" w:space="0"/>
                    <w:left w:val="single" w:color="auto" w:sz="4" w:space="0"/>
                    <w:bottom w:val="single" w:color="auto" w:sz="4" w:space="0"/>
                    <w:right w:val="single" w:color="auto" w:sz="4" w:space="0"/>
                  </w:tcBorders>
                  <w:vAlign w:val="center"/>
                </w:tcPr>
                <w:p w14:paraId="5CB1CE4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名称</w:t>
                  </w:r>
                </w:p>
              </w:tc>
              <w:tc>
                <w:tcPr>
                  <w:tcW w:w="3102" w:type="pct"/>
                  <w:tcBorders>
                    <w:top w:val="single" w:color="auto" w:sz="4" w:space="0"/>
                    <w:left w:val="single" w:color="auto" w:sz="4" w:space="0"/>
                    <w:bottom w:val="single" w:color="auto" w:sz="4" w:space="0"/>
                    <w:right w:val="single" w:color="auto" w:sz="4" w:space="0"/>
                  </w:tcBorders>
                  <w:vAlign w:val="center"/>
                </w:tcPr>
                <w:p w14:paraId="2C42A5CD">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工程内容</w:t>
                  </w:r>
                </w:p>
              </w:tc>
              <w:tc>
                <w:tcPr>
                  <w:tcW w:w="684" w:type="pct"/>
                  <w:tcBorders>
                    <w:top w:val="single" w:color="auto" w:sz="4" w:space="0"/>
                    <w:left w:val="single" w:color="auto" w:sz="4" w:space="0"/>
                    <w:bottom w:val="single" w:color="auto" w:sz="4" w:space="0"/>
                    <w:right w:val="single" w:color="auto" w:sz="4" w:space="0"/>
                  </w:tcBorders>
                  <w:vAlign w:val="center"/>
                </w:tcPr>
                <w:p w14:paraId="05848F4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备注</w:t>
                  </w:r>
                </w:p>
              </w:tc>
            </w:tr>
            <w:tr w14:paraId="24790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tcBorders>
                    <w:top w:val="single" w:color="auto" w:sz="4" w:space="0"/>
                    <w:left w:val="single" w:color="auto" w:sz="4" w:space="0"/>
                    <w:right w:val="single" w:color="auto" w:sz="4" w:space="0"/>
                  </w:tcBorders>
                  <w:vAlign w:val="center"/>
                </w:tcPr>
                <w:p w14:paraId="7D2E2EB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主体工程</w:t>
                  </w:r>
                </w:p>
              </w:tc>
              <w:tc>
                <w:tcPr>
                  <w:tcW w:w="825" w:type="pct"/>
                  <w:tcBorders>
                    <w:top w:val="single" w:color="auto" w:sz="4" w:space="0"/>
                    <w:left w:val="single" w:color="auto" w:sz="4" w:space="0"/>
                    <w:right w:val="single" w:color="auto" w:sz="4" w:space="0"/>
                  </w:tcBorders>
                  <w:vAlign w:val="center"/>
                </w:tcPr>
                <w:p w14:paraId="6FC3975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生产车间</w:t>
                  </w:r>
                </w:p>
              </w:tc>
              <w:tc>
                <w:tcPr>
                  <w:tcW w:w="3102" w:type="pct"/>
                  <w:tcBorders>
                    <w:top w:val="single" w:color="auto" w:sz="4" w:space="0"/>
                    <w:left w:val="single" w:color="auto" w:sz="4" w:space="0"/>
                    <w:right w:val="single" w:color="auto" w:sz="4" w:space="0"/>
                  </w:tcBorders>
                  <w:vAlign w:val="center"/>
                </w:tcPr>
                <w:p w14:paraId="3D91FBE3">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生产车间占地2736m</w:t>
                  </w:r>
                  <w:r>
                    <w:rPr>
                      <w:rFonts w:hint="eastAsia"/>
                      <w:color w:val="0D0D0D" w:themeColor="text1" w:themeTint="F2"/>
                      <w:szCs w:val="21"/>
                      <w:vertAlign w:val="superscript"/>
                      <w14:textFill>
                        <w14:solidFill>
                          <w14:schemeClr w14:val="tx1">
                            <w14:lumMod w14:val="95000"/>
                            <w14:lumOff w14:val="5000"/>
                          </w14:schemeClr>
                        </w14:solidFill>
                      </w14:textFill>
                    </w:rPr>
                    <w:t>2</w:t>
                  </w:r>
                  <w:r>
                    <w:rPr>
                      <w:rFonts w:hint="eastAsia"/>
                      <w:color w:val="0D0D0D" w:themeColor="text1" w:themeTint="F2"/>
                      <w:szCs w:val="21"/>
                      <w14:textFill>
                        <w14:solidFill>
                          <w14:schemeClr w14:val="tx1">
                            <w14:lumMod w14:val="95000"/>
                            <w14:lumOff w14:val="5000"/>
                          </w14:schemeClr>
                        </w14:solidFill>
                      </w14:textFill>
                    </w:rPr>
                    <w:t>，高14m，钢结构，车间北部为抛丸区，占地1200m</w:t>
                  </w:r>
                  <w:r>
                    <w:rPr>
                      <w:rFonts w:hint="eastAsia"/>
                      <w:color w:val="0D0D0D" w:themeColor="text1" w:themeTint="F2"/>
                      <w:szCs w:val="21"/>
                      <w:vertAlign w:val="superscript"/>
                      <w14:textFill>
                        <w14:solidFill>
                          <w14:schemeClr w14:val="tx1">
                            <w14:lumMod w14:val="95000"/>
                            <w14:lumOff w14:val="5000"/>
                          </w14:schemeClr>
                        </w14:solidFill>
                      </w14:textFill>
                    </w:rPr>
                    <w:t>2</w:t>
                  </w:r>
                  <w:r>
                    <w:rPr>
                      <w:rFonts w:hint="eastAsia"/>
                      <w:color w:val="0D0D0D" w:themeColor="text1" w:themeTint="F2"/>
                      <w:szCs w:val="21"/>
                      <w14:textFill>
                        <w14:solidFill>
                          <w14:schemeClr w14:val="tx1">
                            <w14:lumMod w14:val="95000"/>
                            <w14:lumOff w14:val="5000"/>
                          </w14:schemeClr>
                        </w14:solidFill>
                      </w14:textFill>
                    </w:rPr>
                    <w:t>；车间中部为待检区，占地576m</w:t>
                  </w:r>
                  <w:r>
                    <w:rPr>
                      <w:rFonts w:hint="eastAsia"/>
                      <w:color w:val="0D0D0D" w:themeColor="text1" w:themeTint="F2"/>
                      <w:szCs w:val="21"/>
                      <w:vertAlign w:val="superscript"/>
                      <w14:textFill>
                        <w14:solidFill>
                          <w14:schemeClr w14:val="tx1">
                            <w14:lumMod w14:val="95000"/>
                            <w14:lumOff w14:val="5000"/>
                          </w14:schemeClr>
                        </w14:solidFill>
                      </w14:textFill>
                    </w:rPr>
                    <w:t>2</w:t>
                  </w:r>
                  <w:r>
                    <w:rPr>
                      <w:rFonts w:hint="eastAsia"/>
                      <w:color w:val="0D0D0D" w:themeColor="text1" w:themeTint="F2"/>
                      <w:szCs w:val="21"/>
                      <w14:textFill>
                        <w14:solidFill>
                          <w14:schemeClr w14:val="tx1">
                            <w14:lumMod w14:val="95000"/>
                            <w14:lumOff w14:val="5000"/>
                          </w14:schemeClr>
                        </w14:solidFill>
                      </w14:textFill>
                    </w:rPr>
                    <w:t>，车间南部为伸缩式干式喷漆房，最大尺寸为15×12×2.8m，采用布幅PVC覆膜阻燃布作为密封布进行整体密闭，包含喷漆区和晾晒区</w:t>
                  </w:r>
                </w:p>
              </w:tc>
              <w:tc>
                <w:tcPr>
                  <w:tcW w:w="684" w:type="pct"/>
                  <w:tcBorders>
                    <w:top w:val="single" w:color="auto" w:sz="4" w:space="0"/>
                    <w:left w:val="single" w:color="auto" w:sz="4" w:space="0"/>
                    <w:right w:val="single" w:color="auto" w:sz="4" w:space="0"/>
                  </w:tcBorders>
                  <w:vAlign w:val="center"/>
                </w:tcPr>
                <w:p w14:paraId="5EC9BF70">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伸缩式干式喷漆房为新建</w:t>
                  </w:r>
                </w:p>
              </w:tc>
            </w:tr>
            <w:tr w14:paraId="5AE5A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tcBorders>
                    <w:left w:val="single" w:color="auto" w:sz="4" w:space="0"/>
                    <w:right w:val="single" w:color="auto" w:sz="4" w:space="0"/>
                  </w:tcBorders>
                  <w:vAlign w:val="center"/>
                </w:tcPr>
                <w:p w14:paraId="65EBE327">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辅助工程</w:t>
                  </w:r>
                </w:p>
              </w:tc>
              <w:tc>
                <w:tcPr>
                  <w:tcW w:w="825" w:type="pct"/>
                  <w:tcBorders>
                    <w:top w:val="single" w:color="auto" w:sz="4" w:space="0"/>
                    <w:left w:val="single" w:color="auto" w:sz="4" w:space="0"/>
                    <w:bottom w:val="single" w:color="auto" w:sz="4" w:space="0"/>
                    <w:right w:val="single" w:color="auto" w:sz="4" w:space="0"/>
                  </w:tcBorders>
                  <w:vAlign w:val="center"/>
                </w:tcPr>
                <w:p w14:paraId="25762E2E">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生活办公区</w:t>
                  </w:r>
                </w:p>
              </w:tc>
              <w:tc>
                <w:tcPr>
                  <w:tcW w:w="3102" w:type="pct"/>
                  <w:tcBorders>
                    <w:top w:val="single" w:color="auto" w:sz="4" w:space="0"/>
                    <w:left w:val="single" w:color="auto" w:sz="4" w:space="0"/>
                    <w:bottom w:val="single" w:color="auto" w:sz="4" w:space="0"/>
                    <w:right w:val="single" w:color="auto" w:sz="4" w:space="0"/>
                  </w:tcBorders>
                  <w:vAlign w:val="center"/>
                </w:tcPr>
                <w:p w14:paraId="41D65A7A">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位于厂区南部，占地300m</w:t>
                  </w:r>
                  <w:r>
                    <w:rPr>
                      <w:rFonts w:hint="eastAsia"/>
                      <w:color w:val="0D0D0D" w:themeColor="text1" w:themeTint="F2"/>
                      <w:szCs w:val="21"/>
                      <w:vertAlign w:val="superscript"/>
                      <w14:textFill>
                        <w14:solidFill>
                          <w14:schemeClr w14:val="tx1">
                            <w14:lumMod w14:val="95000"/>
                            <w14:lumOff w14:val="5000"/>
                          </w14:schemeClr>
                        </w14:solidFill>
                      </w14:textFill>
                    </w:rPr>
                    <w:t>2</w:t>
                  </w:r>
                  <w:r>
                    <w:rPr>
                      <w:rFonts w:hint="eastAsia"/>
                      <w:color w:val="0D0D0D" w:themeColor="text1" w:themeTint="F2"/>
                      <w:szCs w:val="21"/>
                      <w14:textFill>
                        <w14:solidFill>
                          <w14:schemeClr w14:val="tx1">
                            <w14:lumMod w14:val="95000"/>
                            <w14:lumOff w14:val="5000"/>
                          </w14:schemeClr>
                        </w14:solidFill>
                      </w14:textFill>
                    </w:rPr>
                    <w:t>，包含食堂、宿舍、施工部、会议室和办公室，主要为彩钢活动板房</w:t>
                  </w:r>
                </w:p>
              </w:tc>
              <w:tc>
                <w:tcPr>
                  <w:tcW w:w="684" w:type="pct"/>
                  <w:tcBorders>
                    <w:top w:val="single" w:color="auto" w:sz="4" w:space="0"/>
                    <w:left w:val="single" w:color="auto" w:sz="4" w:space="0"/>
                    <w:bottom w:val="single" w:color="auto" w:sz="4" w:space="0"/>
                    <w:right w:val="single" w:color="auto" w:sz="4" w:space="0"/>
                  </w:tcBorders>
                  <w:vAlign w:val="center"/>
                </w:tcPr>
                <w:p w14:paraId="3B0D15B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已建</w:t>
                  </w:r>
                </w:p>
              </w:tc>
            </w:tr>
            <w:tr w14:paraId="10F88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restart"/>
                  <w:tcBorders>
                    <w:left w:val="single" w:color="auto" w:sz="4" w:space="0"/>
                    <w:right w:val="single" w:color="auto" w:sz="4" w:space="0"/>
                  </w:tcBorders>
                  <w:vAlign w:val="center"/>
                </w:tcPr>
                <w:p w14:paraId="7E74B8C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储运工程</w:t>
                  </w:r>
                </w:p>
              </w:tc>
              <w:tc>
                <w:tcPr>
                  <w:tcW w:w="825" w:type="pct"/>
                  <w:tcBorders>
                    <w:top w:val="single" w:color="auto" w:sz="4" w:space="0"/>
                    <w:left w:val="single" w:color="auto" w:sz="4" w:space="0"/>
                    <w:bottom w:val="single" w:color="auto" w:sz="4" w:space="0"/>
                    <w:right w:val="single" w:color="auto" w:sz="4" w:space="0"/>
                  </w:tcBorders>
                  <w:vAlign w:val="center"/>
                </w:tcPr>
                <w:p w14:paraId="5EE21DCF">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原料区</w:t>
                  </w:r>
                </w:p>
              </w:tc>
              <w:tc>
                <w:tcPr>
                  <w:tcW w:w="3102" w:type="pct"/>
                  <w:tcBorders>
                    <w:top w:val="single" w:color="auto" w:sz="4" w:space="0"/>
                    <w:left w:val="single" w:color="auto" w:sz="4" w:space="0"/>
                    <w:bottom w:val="single" w:color="auto" w:sz="4" w:space="0"/>
                    <w:right w:val="single" w:color="auto" w:sz="4" w:space="0"/>
                  </w:tcBorders>
                  <w:vAlign w:val="center"/>
                </w:tcPr>
                <w:p w14:paraId="239E74EE">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露天设置，总占地6000m</w:t>
                  </w:r>
                  <w:r>
                    <w:rPr>
                      <w:rFonts w:hint="eastAsia"/>
                      <w:color w:val="0D0D0D" w:themeColor="text1" w:themeTint="F2"/>
                      <w:szCs w:val="21"/>
                      <w:vertAlign w:val="superscript"/>
                      <w14:textFill>
                        <w14:solidFill>
                          <w14:schemeClr w14:val="tx1">
                            <w14:lumMod w14:val="95000"/>
                            <w14:lumOff w14:val="5000"/>
                          </w14:schemeClr>
                        </w14:solidFill>
                      </w14:textFill>
                    </w:rPr>
                    <w:t>2</w:t>
                  </w:r>
                  <w:r>
                    <w:rPr>
                      <w:rFonts w:hint="eastAsia"/>
                      <w:color w:val="0D0D0D" w:themeColor="text1" w:themeTint="F2"/>
                      <w:szCs w:val="21"/>
                      <w14:textFill>
                        <w14:solidFill>
                          <w14:schemeClr w14:val="tx1">
                            <w14:lumMod w14:val="95000"/>
                            <w14:lumOff w14:val="5000"/>
                          </w14:schemeClr>
                        </w14:solidFill>
                      </w14:textFill>
                    </w:rPr>
                    <w:t>，划分为5个原料区，位于厂区北部和中部，占地分别为1500m</w:t>
                  </w:r>
                  <w:r>
                    <w:rPr>
                      <w:rFonts w:hint="eastAsia"/>
                      <w:color w:val="0D0D0D" w:themeColor="text1" w:themeTint="F2"/>
                      <w:szCs w:val="21"/>
                      <w:vertAlign w:val="superscript"/>
                      <w14:textFill>
                        <w14:solidFill>
                          <w14:schemeClr w14:val="tx1">
                            <w14:lumMod w14:val="95000"/>
                            <w14:lumOff w14:val="5000"/>
                          </w14:schemeClr>
                        </w14:solidFill>
                      </w14:textFill>
                    </w:rPr>
                    <w:t>2</w:t>
                  </w:r>
                  <w:r>
                    <w:rPr>
                      <w:rFonts w:hint="eastAsia"/>
                      <w:color w:val="0D0D0D" w:themeColor="text1" w:themeTint="F2"/>
                      <w:szCs w:val="21"/>
                      <w14:textFill>
                        <w14:solidFill>
                          <w14:schemeClr w14:val="tx1">
                            <w14:lumMod w14:val="95000"/>
                            <w14:lumOff w14:val="5000"/>
                          </w14:schemeClr>
                        </w14:solidFill>
                      </w14:textFill>
                    </w:rPr>
                    <w:t>、1000m</w:t>
                  </w:r>
                  <w:r>
                    <w:rPr>
                      <w:rFonts w:hint="eastAsia"/>
                      <w:color w:val="0D0D0D" w:themeColor="text1" w:themeTint="F2"/>
                      <w:szCs w:val="21"/>
                      <w:vertAlign w:val="superscript"/>
                      <w14:textFill>
                        <w14:solidFill>
                          <w14:schemeClr w14:val="tx1">
                            <w14:lumMod w14:val="95000"/>
                            <w14:lumOff w14:val="5000"/>
                          </w14:schemeClr>
                        </w14:solidFill>
                      </w14:textFill>
                    </w:rPr>
                    <w:t>2</w:t>
                  </w:r>
                  <w:r>
                    <w:rPr>
                      <w:rFonts w:hint="eastAsia"/>
                      <w:color w:val="0D0D0D" w:themeColor="text1" w:themeTint="F2"/>
                      <w:szCs w:val="21"/>
                      <w14:textFill>
                        <w14:solidFill>
                          <w14:schemeClr w14:val="tx1">
                            <w14:lumMod w14:val="95000"/>
                            <w14:lumOff w14:val="5000"/>
                          </w14:schemeClr>
                        </w14:solidFill>
                      </w14:textFill>
                    </w:rPr>
                    <w:t>、1500m</w:t>
                  </w:r>
                  <w:r>
                    <w:rPr>
                      <w:rFonts w:hint="eastAsia"/>
                      <w:color w:val="0D0D0D" w:themeColor="text1" w:themeTint="F2"/>
                      <w:szCs w:val="21"/>
                      <w:vertAlign w:val="superscript"/>
                      <w14:textFill>
                        <w14:solidFill>
                          <w14:schemeClr w14:val="tx1">
                            <w14:lumMod w14:val="95000"/>
                            <w14:lumOff w14:val="5000"/>
                          </w14:schemeClr>
                        </w14:solidFill>
                      </w14:textFill>
                    </w:rPr>
                    <w:t>2</w:t>
                  </w:r>
                  <w:r>
                    <w:rPr>
                      <w:rFonts w:hint="eastAsia"/>
                      <w:color w:val="0D0D0D" w:themeColor="text1" w:themeTint="F2"/>
                      <w:szCs w:val="21"/>
                      <w14:textFill>
                        <w14:solidFill>
                          <w14:schemeClr w14:val="tx1">
                            <w14:lumMod w14:val="95000"/>
                            <w14:lumOff w14:val="5000"/>
                          </w14:schemeClr>
                        </w14:solidFill>
                      </w14:textFill>
                    </w:rPr>
                    <w:t>、1000m</w:t>
                  </w:r>
                  <w:r>
                    <w:rPr>
                      <w:rFonts w:hint="eastAsia"/>
                      <w:color w:val="0D0D0D" w:themeColor="text1" w:themeTint="F2"/>
                      <w:szCs w:val="21"/>
                      <w:vertAlign w:val="superscript"/>
                      <w14:textFill>
                        <w14:solidFill>
                          <w14:schemeClr w14:val="tx1">
                            <w14:lumMod w14:val="95000"/>
                            <w14:lumOff w14:val="5000"/>
                          </w14:schemeClr>
                        </w14:solidFill>
                      </w14:textFill>
                    </w:rPr>
                    <w:t>2</w:t>
                  </w:r>
                  <w:r>
                    <w:rPr>
                      <w:rFonts w:hint="eastAsia"/>
                      <w:color w:val="0D0D0D" w:themeColor="text1" w:themeTint="F2"/>
                      <w:szCs w:val="21"/>
                      <w14:textFill>
                        <w14:solidFill>
                          <w14:schemeClr w14:val="tx1">
                            <w14:lumMod w14:val="95000"/>
                            <w14:lumOff w14:val="5000"/>
                          </w14:schemeClr>
                        </w14:solidFill>
                      </w14:textFill>
                    </w:rPr>
                    <w:t>、1000m</w:t>
                  </w:r>
                  <w:r>
                    <w:rPr>
                      <w:rFonts w:hint="eastAsia"/>
                      <w:color w:val="0D0D0D" w:themeColor="text1" w:themeTint="F2"/>
                      <w:szCs w:val="21"/>
                      <w:vertAlign w:val="superscript"/>
                      <w14:textFill>
                        <w14:solidFill>
                          <w14:schemeClr w14:val="tx1">
                            <w14:lumMod w14:val="95000"/>
                            <w14:lumOff w14:val="5000"/>
                          </w14:schemeClr>
                        </w14:solidFill>
                      </w14:textFill>
                    </w:rPr>
                    <w:t>2</w:t>
                  </w:r>
                </w:p>
              </w:tc>
              <w:tc>
                <w:tcPr>
                  <w:tcW w:w="684" w:type="pct"/>
                  <w:tcBorders>
                    <w:top w:val="single" w:color="auto" w:sz="4" w:space="0"/>
                    <w:left w:val="single" w:color="auto" w:sz="4" w:space="0"/>
                    <w:bottom w:val="single" w:color="auto" w:sz="4" w:space="0"/>
                    <w:right w:val="single" w:color="auto" w:sz="4" w:space="0"/>
                  </w:tcBorders>
                  <w:vAlign w:val="center"/>
                </w:tcPr>
                <w:p w14:paraId="09093BD0">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已建</w:t>
                  </w:r>
                </w:p>
              </w:tc>
            </w:tr>
            <w:tr w14:paraId="53A10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auto" w:sz="4" w:space="0"/>
                    <w:right w:val="single" w:color="auto" w:sz="4" w:space="0"/>
                  </w:tcBorders>
                  <w:vAlign w:val="center"/>
                </w:tcPr>
                <w:p w14:paraId="3B05A4DB">
                  <w:pPr>
                    <w:jc w:val="center"/>
                    <w:rPr>
                      <w:color w:val="0D0D0D" w:themeColor="text1" w:themeTint="F2"/>
                      <w:szCs w:val="21"/>
                      <w14:textFill>
                        <w14:solidFill>
                          <w14:schemeClr w14:val="tx1">
                            <w14:lumMod w14:val="95000"/>
                            <w14:lumOff w14:val="5000"/>
                          </w14:schemeClr>
                        </w14:solidFill>
                      </w14:textFill>
                    </w:rPr>
                  </w:pPr>
                </w:p>
              </w:tc>
              <w:tc>
                <w:tcPr>
                  <w:tcW w:w="825" w:type="pct"/>
                  <w:tcBorders>
                    <w:top w:val="single" w:color="auto" w:sz="4" w:space="0"/>
                    <w:left w:val="single" w:color="auto" w:sz="4" w:space="0"/>
                    <w:bottom w:val="single" w:color="auto" w:sz="4" w:space="0"/>
                    <w:right w:val="single" w:color="auto" w:sz="4" w:space="0"/>
                  </w:tcBorders>
                  <w:vAlign w:val="center"/>
                </w:tcPr>
                <w:p w14:paraId="62922FE3">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成品区</w:t>
                  </w:r>
                </w:p>
              </w:tc>
              <w:tc>
                <w:tcPr>
                  <w:tcW w:w="3102" w:type="pct"/>
                  <w:tcBorders>
                    <w:top w:val="single" w:color="auto" w:sz="4" w:space="0"/>
                    <w:left w:val="single" w:color="auto" w:sz="4" w:space="0"/>
                    <w:bottom w:val="single" w:color="auto" w:sz="4" w:space="0"/>
                    <w:right w:val="single" w:color="auto" w:sz="4" w:space="0"/>
                  </w:tcBorders>
                  <w:vAlign w:val="center"/>
                </w:tcPr>
                <w:p w14:paraId="1D43F880">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露天设置，总占地3500m</w:t>
                  </w:r>
                  <w:r>
                    <w:rPr>
                      <w:rFonts w:hint="eastAsia"/>
                      <w:color w:val="0D0D0D" w:themeColor="text1" w:themeTint="F2"/>
                      <w:szCs w:val="21"/>
                      <w:vertAlign w:val="superscript"/>
                      <w14:textFill>
                        <w14:solidFill>
                          <w14:schemeClr w14:val="tx1">
                            <w14:lumMod w14:val="95000"/>
                            <w14:lumOff w14:val="5000"/>
                          </w14:schemeClr>
                        </w14:solidFill>
                      </w14:textFill>
                    </w:rPr>
                    <w:t>2</w:t>
                  </w:r>
                  <w:r>
                    <w:rPr>
                      <w:rFonts w:hint="eastAsia"/>
                      <w:color w:val="0D0D0D" w:themeColor="text1" w:themeTint="F2"/>
                      <w:szCs w:val="21"/>
                      <w14:textFill>
                        <w14:solidFill>
                          <w14:schemeClr w14:val="tx1">
                            <w14:lumMod w14:val="95000"/>
                            <w14:lumOff w14:val="5000"/>
                          </w14:schemeClr>
                        </w14:solidFill>
                      </w14:textFill>
                    </w:rPr>
                    <w:t>，划分为2个成品区，位于厂区北部和南部，占地分别为1000m</w:t>
                  </w:r>
                  <w:r>
                    <w:rPr>
                      <w:rFonts w:hint="eastAsia"/>
                      <w:color w:val="0D0D0D" w:themeColor="text1" w:themeTint="F2"/>
                      <w:szCs w:val="21"/>
                      <w:vertAlign w:val="superscript"/>
                      <w14:textFill>
                        <w14:solidFill>
                          <w14:schemeClr w14:val="tx1">
                            <w14:lumMod w14:val="95000"/>
                            <w14:lumOff w14:val="5000"/>
                          </w14:schemeClr>
                        </w14:solidFill>
                      </w14:textFill>
                    </w:rPr>
                    <w:t>2</w:t>
                  </w:r>
                  <w:r>
                    <w:rPr>
                      <w:rFonts w:hint="eastAsia"/>
                      <w:color w:val="0D0D0D" w:themeColor="text1" w:themeTint="F2"/>
                      <w:szCs w:val="21"/>
                      <w14:textFill>
                        <w14:solidFill>
                          <w14:schemeClr w14:val="tx1">
                            <w14:lumMod w14:val="95000"/>
                            <w14:lumOff w14:val="5000"/>
                          </w14:schemeClr>
                        </w14:solidFill>
                      </w14:textFill>
                    </w:rPr>
                    <w:t>和2500m</w:t>
                  </w:r>
                  <w:r>
                    <w:rPr>
                      <w:rFonts w:hint="eastAsia"/>
                      <w:color w:val="0D0D0D" w:themeColor="text1" w:themeTint="F2"/>
                      <w:szCs w:val="21"/>
                      <w:vertAlign w:val="superscript"/>
                      <w14:textFill>
                        <w14:solidFill>
                          <w14:schemeClr w14:val="tx1">
                            <w14:lumMod w14:val="95000"/>
                            <w14:lumOff w14:val="5000"/>
                          </w14:schemeClr>
                        </w14:solidFill>
                      </w14:textFill>
                    </w:rPr>
                    <w:t>2</w:t>
                  </w:r>
                </w:p>
              </w:tc>
              <w:tc>
                <w:tcPr>
                  <w:tcW w:w="684" w:type="pct"/>
                  <w:tcBorders>
                    <w:top w:val="single" w:color="auto" w:sz="4" w:space="0"/>
                    <w:left w:val="single" w:color="auto" w:sz="4" w:space="0"/>
                    <w:bottom w:val="single" w:color="auto" w:sz="4" w:space="0"/>
                    <w:right w:val="single" w:color="auto" w:sz="4" w:space="0"/>
                  </w:tcBorders>
                  <w:vAlign w:val="center"/>
                </w:tcPr>
                <w:p w14:paraId="6A9078D6">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已建</w:t>
                  </w:r>
                </w:p>
              </w:tc>
            </w:tr>
            <w:tr w14:paraId="6C771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auto" w:sz="4" w:space="0"/>
                    <w:right w:val="single" w:color="auto" w:sz="4" w:space="0"/>
                  </w:tcBorders>
                  <w:vAlign w:val="center"/>
                </w:tcPr>
                <w:p w14:paraId="4A89ED90">
                  <w:pPr>
                    <w:jc w:val="center"/>
                    <w:rPr>
                      <w:color w:val="0D0D0D" w:themeColor="text1" w:themeTint="F2"/>
                      <w:szCs w:val="21"/>
                      <w14:textFill>
                        <w14:solidFill>
                          <w14:schemeClr w14:val="tx1">
                            <w14:lumMod w14:val="95000"/>
                            <w14:lumOff w14:val="5000"/>
                          </w14:schemeClr>
                        </w14:solidFill>
                      </w14:textFill>
                    </w:rPr>
                  </w:pPr>
                </w:p>
              </w:tc>
              <w:tc>
                <w:tcPr>
                  <w:tcW w:w="825" w:type="pct"/>
                  <w:tcBorders>
                    <w:top w:val="single" w:color="auto" w:sz="4" w:space="0"/>
                    <w:left w:val="single" w:color="auto" w:sz="4" w:space="0"/>
                    <w:bottom w:val="single" w:color="auto" w:sz="4" w:space="0"/>
                    <w:right w:val="single" w:color="auto" w:sz="4" w:space="0"/>
                  </w:tcBorders>
                  <w:vAlign w:val="center"/>
                </w:tcPr>
                <w:p w14:paraId="286B8EDF">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仓库</w:t>
                  </w:r>
                </w:p>
              </w:tc>
              <w:tc>
                <w:tcPr>
                  <w:tcW w:w="3102" w:type="pct"/>
                  <w:tcBorders>
                    <w:top w:val="single" w:color="auto" w:sz="4" w:space="0"/>
                    <w:left w:val="single" w:color="auto" w:sz="4" w:space="0"/>
                    <w:bottom w:val="single" w:color="auto" w:sz="4" w:space="0"/>
                    <w:right w:val="single" w:color="auto" w:sz="4" w:space="0"/>
                  </w:tcBorders>
                  <w:vAlign w:val="center"/>
                </w:tcPr>
                <w:p w14:paraId="4154C785">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位于厂区北部，占地20m</w:t>
                  </w:r>
                  <w:r>
                    <w:rPr>
                      <w:rFonts w:hint="eastAsia"/>
                      <w:color w:val="0D0D0D" w:themeColor="text1" w:themeTint="F2"/>
                      <w:szCs w:val="21"/>
                      <w:vertAlign w:val="superscript"/>
                      <w14:textFill>
                        <w14:solidFill>
                          <w14:schemeClr w14:val="tx1">
                            <w14:lumMod w14:val="95000"/>
                            <w14:lumOff w14:val="5000"/>
                          </w14:schemeClr>
                        </w14:solidFill>
                      </w14:textFill>
                    </w:rPr>
                    <w:t>2</w:t>
                  </w:r>
                </w:p>
              </w:tc>
              <w:tc>
                <w:tcPr>
                  <w:tcW w:w="684" w:type="pct"/>
                  <w:tcBorders>
                    <w:top w:val="single" w:color="auto" w:sz="4" w:space="0"/>
                    <w:left w:val="single" w:color="auto" w:sz="4" w:space="0"/>
                    <w:bottom w:val="single" w:color="auto" w:sz="4" w:space="0"/>
                    <w:right w:val="single" w:color="auto" w:sz="4" w:space="0"/>
                  </w:tcBorders>
                  <w:vAlign w:val="center"/>
                </w:tcPr>
                <w:p w14:paraId="077B565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已建</w:t>
                  </w:r>
                </w:p>
              </w:tc>
            </w:tr>
            <w:tr w14:paraId="40551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restart"/>
                  <w:tcBorders>
                    <w:top w:val="single" w:color="auto" w:sz="4" w:space="0"/>
                    <w:left w:val="single" w:color="auto" w:sz="4" w:space="0"/>
                    <w:right w:val="single" w:color="auto" w:sz="4" w:space="0"/>
                  </w:tcBorders>
                  <w:vAlign w:val="center"/>
                </w:tcPr>
                <w:p w14:paraId="76C0F581">
                  <w:pPr>
                    <w:jc w:val="center"/>
                    <w:rPr>
                      <w:color w:val="0D0D0D" w:themeColor="text1" w:themeTint="F2"/>
                      <w:szCs w:val="21"/>
                      <w:lang w:eastAsia="en-US"/>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公用工程</w:t>
                  </w:r>
                </w:p>
              </w:tc>
              <w:tc>
                <w:tcPr>
                  <w:tcW w:w="825" w:type="pct"/>
                  <w:tcBorders>
                    <w:top w:val="single" w:color="auto" w:sz="4" w:space="0"/>
                    <w:left w:val="single" w:color="auto" w:sz="4" w:space="0"/>
                    <w:bottom w:val="single" w:color="auto" w:sz="4" w:space="0"/>
                    <w:right w:val="single" w:color="auto" w:sz="4" w:space="0"/>
                  </w:tcBorders>
                  <w:vAlign w:val="center"/>
                </w:tcPr>
                <w:p w14:paraId="63974CEC">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供电</w:t>
                  </w:r>
                </w:p>
              </w:tc>
              <w:tc>
                <w:tcPr>
                  <w:tcW w:w="3102" w:type="pct"/>
                  <w:tcBorders>
                    <w:top w:val="single" w:color="auto" w:sz="4" w:space="0"/>
                    <w:left w:val="single" w:color="auto" w:sz="4" w:space="0"/>
                    <w:bottom w:val="single" w:color="auto" w:sz="4" w:space="0"/>
                    <w:right w:val="single" w:color="auto" w:sz="4" w:space="0"/>
                  </w:tcBorders>
                  <w:vAlign w:val="center"/>
                </w:tcPr>
                <w:p w14:paraId="3E6EEBB3">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由</w:t>
                  </w:r>
                  <w:r>
                    <w:rPr>
                      <w:rFonts w:hint="eastAsia"/>
                      <w:color w:val="0D0D0D" w:themeColor="text1" w:themeTint="F2"/>
                      <w:szCs w:val="21"/>
                      <w14:textFill>
                        <w14:solidFill>
                          <w14:schemeClr w14:val="tx1">
                            <w14:lumMod w14:val="95000"/>
                            <w14:lumOff w14:val="5000"/>
                          </w14:schemeClr>
                        </w14:solidFill>
                      </w14:textFill>
                    </w:rPr>
                    <w:t>市政电网</w:t>
                  </w:r>
                  <w:r>
                    <w:rPr>
                      <w:color w:val="0D0D0D" w:themeColor="text1" w:themeTint="F2"/>
                      <w:szCs w:val="21"/>
                      <w14:textFill>
                        <w14:solidFill>
                          <w14:schemeClr w14:val="tx1">
                            <w14:lumMod w14:val="95000"/>
                            <w14:lumOff w14:val="5000"/>
                          </w14:schemeClr>
                        </w14:solidFill>
                      </w14:textFill>
                    </w:rPr>
                    <w:t>供应</w:t>
                  </w:r>
                </w:p>
              </w:tc>
              <w:tc>
                <w:tcPr>
                  <w:tcW w:w="684" w:type="pct"/>
                  <w:tcBorders>
                    <w:top w:val="single" w:color="auto" w:sz="4" w:space="0"/>
                    <w:left w:val="single" w:color="auto" w:sz="4" w:space="0"/>
                    <w:bottom w:val="single" w:color="auto" w:sz="4" w:space="0"/>
                    <w:right w:val="single" w:color="auto" w:sz="4" w:space="0"/>
                  </w:tcBorders>
                  <w:vAlign w:val="center"/>
                </w:tcPr>
                <w:p w14:paraId="4399F405">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r>
            <w:tr w14:paraId="3EDFE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auto" w:sz="4" w:space="0"/>
                    <w:right w:val="single" w:color="auto" w:sz="4" w:space="0"/>
                  </w:tcBorders>
                  <w:vAlign w:val="center"/>
                </w:tcPr>
                <w:p w14:paraId="1B4A6317">
                  <w:pPr>
                    <w:widowControl/>
                    <w:jc w:val="center"/>
                    <w:rPr>
                      <w:color w:val="0D0D0D" w:themeColor="text1" w:themeTint="F2"/>
                      <w:szCs w:val="21"/>
                      <w14:textFill>
                        <w14:solidFill>
                          <w14:schemeClr w14:val="tx1">
                            <w14:lumMod w14:val="95000"/>
                            <w14:lumOff w14:val="5000"/>
                          </w14:schemeClr>
                        </w14:solidFill>
                      </w14:textFill>
                    </w:rPr>
                  </w:pPr>
                </w:p>
              </w:tc>
              <w:tc>
                <w:tcPr>
                  <w:tcW w:w="825" w:type="pct"/>
                  <w:tcBorders>
                    <w:top w:val="single" w:color="auto" w:sz="4" w:space="0"/>
                    <w:left w:val="single" w:color="auto" w:sz="4" w:space="0"/>
                    <w:bottom w:val="single" w:color="auto" w:sz="4" w:space="0"/>
                    <w:right w:val="single" w:color="auto" w:sz="4" w:space="0"/>
                  </w:tcBorders>
                  <w:vAlign w:val="center"/>
                </w:tcPr>
                <w:p w14:paraId="0FC816C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供水</w:t>
                  </w:r>
                </w:p>
              </w:tc>
              <w:tc>
                <w:tcPr>
                  <w:tcW w:w="3102" w:type="pct"/>
                  <w:tcBorders>
                    <w:top w:val="single" w:color="auto" w:sz="4" w:space="0"/>
                    <w:left w:val="single" w:color="auto" w:sz="4" w:space="0"/>
                    <w:bottom w:val="single" w:color="auto" w:sz="4" w:space="0"/>
                    <w:right w:val="single" w:color="auto" w:sz="4" w:space="0"/>
                  </w:tcBorders>
                  <w:vAlign w:val="center"/>
                </w:tcPr>
                <w:p w14:paraId="0A1E1388">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由</w:t>
                  </w:r>
                  <w:r>
                    <w:rPr>
                      <w:rFonts w:hint="eastAsia"/>
                      <w:color w:val="0D0D0D" w:themeColor="text1" w:themeTint="F2"/>
                      <w:szCs w:val="21"/>
                      <w14:textFill>
                        <w14:solidFill>
                          <w14:schemeClr w14:val="tx1">
                            <w14:lumMod w14:val="95000"/>
                            <w14:lumOff w14:val="5000"/>
                          </w14:schemeClr>
                        </w14:solidFill>
                      </w14:textFill>
                    </w:rPr>
                    <w:t>市政管网</w:t>
                  </w:r>
                  <w:r>
                    <w:rPr>
                      <w:color w:val="0D0D0D" w:themeColor="text1" w:themeTint="F2"/>
                      <w:szCs w:val="21"/>
                      <w14:textFill>
                        <w14:solidFill>
                          <w14:schemeClr w14:val="tx1">
                            <w14:lumMod w14:val="95000"/>
                            <w14:lumOff w14:val="5000"/>
                          </w14:schemeClr>
                        </w14:solidFill>
                      </w14:textFill>
                    </w:rPr>
                    <w:t>供给</w:t>
                  </w:r>
                </w:p>
              </w:tc>
              <w:tc>
                <w:tcPr>
                  <w:tcW w:w="684" w:type="pct"/>
                  <w:tcBorders>
                    <w:top w:val="single" w:color="auto" w:sz="4" w:space="0"/>
                    <w:left w:val="single" w:color="auto" w:sz="4" w:space="0"/>
                    <w:bottom w:val="single" w:color="auto" w:sz="4" w:space="0"/>
                    <w:right w:val="single" w:color="auto" w:sz="4" w:space="0"/>
                  </w:tcBorders>
                  <w:vAlign w:val="center"/>
                </w:tcPr>
                <w:p w14:paraId="3A89A1F5">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r>
            <w:tr w14:paraId="12E31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auto" w:sz="4" w:space="0"/>
                    <w:right w:val="single" w:color="auto" w:sz="4" w:space="0"/>
                  </w:tcBorders>
                  <w:vAlign w:val="center"/>
                </w:tcPr>
                <w:p w14:paraId="3005D356">
                  <w:pPr>
                    <w:widowControl/>
                    <w:jc w:val="center"/>
                    <w:rPr>
                      <w:color w:val="0D0D0D" w:themeColor="text1" w:themeTint="F2"/>
                      <w:szCs w:val="21"/>
                      <w14:textFill>
                        <w14:solidFill>
                          <w14:schemeClr w14:val="tx1">
                            <w14:lumMod w14:val="95000"/>
                            <w14:lumOff w14:val="5000"/>
                          </w14:schemeClr>
                        </w14:solidFill>
                      </w14:textFill>
                    </w:rPr>
                  </w:pPr>
                </w:p>
              </w:tc>
              <w:tc>
                <w:tcPr>
                  <w:tcW w:w="825" w:type="pct"/>
                  <w:tcBorders>
                    <w:top w:val="single" w:color="auto" w:sz="4" w:space="0"/>
                    <w:left w:val="single" w:color="auto" w:sz="4" w:space="0"/>
                    <w:bottom w:val="single" w:color="auto" w:sz="4" w:space="0"/>
                    <w:right w:val="single" w:color="auto" w:sz="4" w:space="0"/>
                  </w:tcBorders>
                  <w:vAlign w:val="center"/>
                </w:tcPr>
                <w:p w14:paraId="6A8966B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排水</w:t>
                  </w:r>
                </w:p>
              </w:tc>
              <w:tc>
                <w:tcPr>
                  <w:tcW w:w="3102" w:type="pct"/>
                  <w:tcBorders>
                    <w:top w:val="single" w:color="auto" w:sz="4" w:space="0"/>
                    <w:left w:val="single" w:color="auto" w:sz="4" w:space="0"/>
                    <w:bottom w:val="single" w:color="auto" w:sz="4" w:space="0"/>
                    <w:right w:val="single" w:color="auto" w:sz="4" w:space="0"/>
                  </w:tcBorders>
                  <w:vAlign w:val="center"/>
                </w:tcPr>
                <w:p w14:paraId="3435E6C6">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生活污水经三级化粪池处理后排入园区市政污水管网，由钦州胜科水务有限公司污水处理厂进一步处理。</w:t>
                  </w:r>
                </w:p>
              </w:tc>
              <w:tc>
                <w:tcPr>
                  <w:tcW w:w="684" w:type="pct"/>
                  <w:tcBorders>
                    <w:top w:val="single" w:color="auto" w:sz="4" w:space="0"/>
                    <w:left w:val="single" w:color="auto" w:sz="4" w:space="0"/>
                    <w:bottom w:val="single" w:color="auto" w:sz="4" w:space="0"/>
                    <w:right w:val="single" w:color="auto" w:sz="4" w:space="0"/>
                  </w:tcBorders>
                  <w:vAlign w:val="center"/>
                </w:tcPr>
                <w:p w14:paraId="074D16B9">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已建</w:t>
                  </w:r>
                </w:p>
              </w:tc>
            </w:tr>
            <w:tr w14:paraId="370C0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restart"/>
                  <w:tcBorders>
                    <w:top w:val="single" w:color="auto" w:sz="4" w:space="0"/>
                    <w:left w:val="single" w:color="auto" w:sz="4" w:space="0"/>
                    <w:right w:val="single" w:color="auto" w:sz="4" w:space="0"/>
                  </w:tcBorders>
                  <w:vAlign w:val="center"/>
                </w:tcPr>
                <w:p w14:paraId="2F7DEADF">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环保工程</w:t>
                  </w:r>
                </w:p>
              </w:tc>
              <w:tc>
                <w:tcPr>
                  <w:tcW w:w="825" w:type="pct"/>
                  <w:tcBorders>
                    <w:top w:val="single" w:color="auto" w:sz="4" w:space="0"/>
                    <w:left w:val="single" w:color="auto" w:sz="4" w:space="0"/>
                    <w:right w:val="single" w:color="auto" w:sz="4" w:space="0"/>
                  </w:tcBorders>
                  <w:vAlign w:val="center"/>
                </w:tcPr>
                <w:p w14:paraId="0CA833D3">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废气治理</w:t>
                  </w:r>
                </w:p>
              </w:tc>
              <w:tc>
                <w:tcPr>
                  <w:tcW w:w="3102" w:type="pct"/>
                  <w:tcBorders>
                    <w:top w:val="single" w:color="auto" w:sz="4" w:space="0"/>
                    <w:left w:val="single" w:color="auto" w:sz="4" w:space="0"/>
                    <w:bottom w:val="single" w:color="auto" w:sz="4" w:space="0"/>
                    <w:right w:val="single" w:color="auto" w:sz="4" w:space="0"/>
                  </w:tcBorders>
                  <w:vAlign w:val="center"/>
                </w:tcPr>
                <w:p w14:paraId="01D1F859">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①食堂油烟：油烟净化器处理后引至屋顶排放。</w:t>
                  </w:r>
                </w:p>
                <w:p w14:paraId="00D1CE2C">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②抛丸粉尘经电子脉冲滤芯式除尘器处理后通过20m排气筒（DA001）排放。</w:t>
                  </w:r>
                </w:p>
                <w:p w14:paraId="2BD8CBB8">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③喷漆废气（漆雾和有机废气）和危废暂存间废气收集后经“水帘柜+二级活性炭吸附脱附+CO催化燃烧”处理后通过20m排气筒（DA002）排放。</w:t>
                  </w:r>
                </w:p>
              </w:tc>
              <w:tc>
                <w:tcPr>
                  <w:tcW w:w="684" w:type="pct"/>
                  <w:tcBorders>
                    <w:top w:val="single" w:color="auto" w:sz="4" w:space="0"/>
                    <w:left w:val="single" w:color="auto" w:sz="4" w:space="0"/>
                    <w:bottom w:val="single" w:color="auto" w:sz="4" w:space="0"/>
                    <w:right w:val="single" w:color="auto" w:sz="4" w:space="0"/>
                  </w:tcBorders>
                  <w:vAlign w:val="center"/>
                </w:tcPr>
                <w:p w14:paraId="092C5B8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未建</w:t>
                  </w:r>
                </w:p>
              </w:tc>
            </w:tr>
            <w:tr w14:paraId="37549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auto" w:sz="4" w:space="0"/>
                    <w:right w:val="single" w:color="auto" w:sz="4" w:space="0"/>
                  </w:tcBorders>
                  <w:vAlign w:val="center"/>
                </w:tcPr>
                <w:p w14:paraId="2DCA8F1C">
                  <w:pPr>
                    <w:jc w:val="center"/>
                    <w:rPr>
                      <w:color w:val="0D0D0D" w:themeColor="text1" w:themeTint="F2"/>
                      <w:szCs w:val="21"/>
                      <w14:textFill>
                        <w14:solidFill>
                          <w14:schemeClr w14:val="tx1">
                            <w14:lumMod w14:val="95000"/>
                            <w14:lumOff w14:val="5000"/>
                          </w14:schemeClr>
                        </w14:solidFill>
                      </w14:textFill>
                    </w:rPr>
                  </w:pPr>
                </w:p>
              </w:tc>
              <w:tc>
                <w:tcPr>
                  <w:tcW w:w="825" w:type="pct"/>
                  <w:tcBorders>
                    <w:top w:val="single" w:color="auto" w:sz="4" w:space="0"/>
                    <w:left w:val="single" w:color="auto" w:sz="4" w:space="0"/>
                    <w:right w:val="single" w:color="auto" w:sz="4" w:space="0"/>
                  </w:tcBorders>
                  <w:vAlign w:val="center"/>
                </w:tcPr>
                <w:p w14:paraId="434E23B4">
                  <w:pPr>
                    <w:jc w:val="center"/>
                    <w:rPr>
                      <w:color w:val="0D0D0D" w:themeColor="text1" w:themeTint="F2"/>
                      <w:szCs w:val="21"/>
                      <w:lang w:eastAsia="en-US"/>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废水治理</w:t>
                  </w:r>
                </w:p>
              </w:tc>
              <w:tc>
                <w:tcPr>
                  <w:tcW w:w="3102" w:type="pct"/>
                  <w:tcBorders>
                    <w:top w:val="single" w:color="auto" w:sz="4" w:space="0"/>
                    <w:left w:val="single" w:color="auto" w:sz="4" w:space="0"/>
                    <w:bottom w:val="single" w:color="auto" w:sz="4" w:space="0"/>
                    <w:right w:val="single" w:color="auto" w:sz="4" w:space="0"/>
                  </w:tcBorders>
                  <w:vAlign w:val="center"/>
                </w:tcPr>
                <w:p w14:paraId="05E4D88F">
                  <w:pP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生活污水</w:t>
                  </w:r>
                  <w:r>
                    <w:rPr>
                      <w:rFonts w:hint="eastAsia"/>
                      <w:color w:val="0D0D0D" w:themeColor="text1" w:themeTint="F2"/>
                      <w:szCs w:val="21"/>
                      <w14:textFill>
                        <w14:solidFill>
                          <w14:schemeClr w14:val="tx1">
                            <w14:lumMod w14:val="95000"/>
                            <w14:lumOff w14:val="5000"/>
                          </w14:schemeClr>
                        </w14:solidFill>
                      </w14:textFill>
                    </w:rPr>
                    <w:t>：经三级化粪池处理后排入园区市政污水管网，由钦州胜科水务有限公司污水处理厂进一步处理</w:t>
                  </w:r>
                </w:p>
              </w:tc>
              <w:tc>
                <w:tcPr>
                  <w:tcW w:w="684" w:type="pct"/>
                  <w:tcBorders>
                    <w:top w:val="single" w:color="auto" w:sz="4" w:space="0"/>
                    <w:left w:val="single" w:color="auto" w:sz="4" w:space="0"/>
                    <w:bottom w:val="single" w:color="auto" w:sz="4" w:space="0"/>
                    <w:right w:val="single" w:color="auto" w:sz="4" w:space="0"/>
                  </w:tcBorders>
                  <w:vAlign w:val="center"/>
                </w:tcPr>
                <w:p w14:paraId="38BCF4CC">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已建</w:t>
                  </w:r>
                </w:p>
              </w:tc>
            </w:tr>
            <w:tr w14:paraId="11C56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auto" w:sz="4" w:space="0"/>
                    <w:right w:val="single" w:color="auto" w:sz="4" w:space="0"/>
                  </w:tcBorders>
                  <w:vAlign w:val="center"/>
                </w:tcPr>
                <w:p w14:paraId="447A71AA">
                  <w:pPr>
                    <w:widowControl/>
                    <w:jc w:val="center"/>
                    <w:rPr>
                      <w:color w:val="0D0D0D" w:themeColor="text1" w:themeTint="F2"/>
                      <w:szCs w:val="21"/>
                      <w14:textFill>
                        <w14:solidFill>
                          <w14:schemeClr w14:val="tx1">
                            <w14:lumMod w14:val="95000"/>
                            <w14:lumOff w14:val="5000"/>
                          </w14:schemeClr>
                        </w14:solidFill>
                      </w14:textFill>
                    </w:rPr>
                  </w:pPr>
                </w:p>
              </w:tc>
              <w:tc>
                <w:tcPr>
                  <w:tcW w:w="825" w:type="pct"/>
                  <w:tcBorders>
                    <w:top w:val="single" w:color="auto" w:sz="4" w:space="0"/>
                    <w:left w:val="single" w:color="auto" w:sz="4" w:space="0"/>
                    <w:bottom w:val="single" w:color="auto" w:sz="4" w:space="0"/>
                    <w:right w:val="single" w:color="auto" w:sz="4" w:space="0"/>
                  </w:tcBorders>
                  <w:vAlign w:val="center"/>
                </w:tcPr>
                <w:p w14:paraId="2867677E">
                  <w:pPr>
                    <w:jc w:val="center"/>
                    <w:rPr>
                      <w:color w:val="0D0D0D" w:themeColor="text1" w:themeTint="F2"/>
                      <w:szCs w:val="21"/>
                      <w:lang w:eastAsia="en-US"/>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噪声治理</w:t>
                  </w:r>
                </w:p>
              </w:tc>
              <w:tc>
                <w:tcPr>
                  <w:tcW w:w="3102" w:type="pct"/>
                  <w:tcBorders>
                    <w:top w:val="single" w:color="auto" w:sz="4" w:space="0"/>
                    <w:left w:val="single" w:color="auto" w:sz="4" w:space="0"/>
                    <w:bottom w:val="single" w:color="auto" w:sz="4" w:space="0"/>
                    <w:right w:val="single" w:color="auto" w:sz="4" w:space="0"/>
                  </w:tcBorders>
                  <w:vAlign w:val="center"/>
                </w:tcPr>
                <w:p w14:paraId="21FA135C">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选用低噪声设备，基础减震，厂房隔声</w:t>
                  </w:r>
                </w:p>
              </w:tc>
              <w:tc>
                <w:tcPr>
                  <w:tcW w:w="684" w:type="pct"/>
                  <w:tcBorders>
                    <w:top w:val="single" w:color="auto" w:sz="4" w:space="0"/>
                    <w:left w:val="single" w:color="auto" w:sz="4" w:space="0"/>
                    <w:bottom w:val="single" w:color="auto" w:sz="4" w:space="0"/>
                    <w:right w:val="single" w:color="auto" w:sz="4" w:space="0"/>
                  </w:tcBorders>
                  <w:vAlign w:val="center"/>
                </w:tcPr>
                <w:p w14:paraId="04AC0B3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r>
            <w:tr w14:paraId="5743D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9" w:type="pct"/>
                  <w:vMerge w:val="continue"/>
                  <w:tcBorders>
                    <w:left w:val="single" w:color="auto" w:sz="4" w:space="0"/>
                    <w:right w:val="single" w:color="auto" w:sz="4" w:space="0"/>
                  </w:tcBorders>
                  <w:vAlign w:val="center"/>
                </w:tcPr>
                <w:p w14:paraId="5D31793E">
                  <w:pPr>
                    <w:widowControl/>
                    <w:jc w:val="center"/>
                    <w:rPr>
                      <w:color w:val="0D0D0D" w:themeColor="text1" w:themeTint="F2"/>
                      <w:szCs w:val="21"/>
                      <w14:textFill>
                        <w14:solidFill>
                          <w14:schemeClr w14:val="tx1">
                            <w14:lumMod w14:val="95000"/>
                            <w14:lumOff w14:val="5000"/>
                          </w14:schemeClr>
                        </w14:solidFill>
                      </w14:textFill>
                    </w:rPr>
                  </w:pPr>
                </w:p>
              </w:tc>
              <w:tc>
                <w:tcPr>
                  <w:tcW w:w="825" w:type="pct"/>
                  <w:tcBorders>
                    <w:top w:val="single" w:color="auto" w:sz="4" w:space="0"/>
                    <w:left w:val="single" w:color="auto" w:sz="4" w:space="0"/>
                    <w:bottom w:val="single" w:color="auto" w:sz="4" w:space="0"/>
                    <w:right w:val="single" w:color="auto" w:sz="4" w:space="0"/>
                  </w:tcBorders>
                  <w:vAlign w:val="center"/>
                </w:tcPr>
                <w:p w14:paraId="4E05208E">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固废治理</w:t>
                  </w:r>
                </w:p>
              </w:tc>
              <w:tc>
                <w:tcPr>
                  <w:tcW w:w="3102" w:type="pct"/>
                  <w:tcBorders>
                    <w:top w:val="single" w:color="auto" w:sz="4" w:space="0"/>
                    <w:left w:val="single" w:color="auto" w:sz="4" w:space="0"/>
                    <w:bottom w:val="single" w:color="auto" w:sz="4" w:space="0"/>
                    <w:right w:val="single" w:color="auto" w:sz="4" w:space="0"/>
                  </w:tcBorders>
                  <w:vAlign w:val="center"/>
                </w:tcPr>
                <w:p w14:paraId="4FC49B4D">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①在生活办公区</w:t>
                  </w:r>
                  <w:r>
                    <w:rPr>
                      <w:color w:val="0D0D0D" w:themeColor="text1" w:themeTint="F2"/>
                      <w:szCs w:val="21"/>
                      <w14:textFill>
                        <w14:solidFill>
                          <w14:schemeClr w14:val="tx1">
                            <w14:lumMod w14:val="95000"/>
                            <w14:lumOff w14:val="5000"/>
                          </w14:schemeClr>
                        </w14:solidFill>
                      </w14:textFill>
                    </w:rPr>
                    <w:t>设置</w:t>
                  </w:r>
                  <w:r>
                    <w:rPr>
                      <w:rFonts w:hint="eastAsia"/>
                      <w:color w:val="0D0D0D" w:themeColor="text1" w:themeTint="F2"/>
                      <w:szCs w:val="21"/>
                      <w14:textFill>
                        <w14:solidFill>
                          <w14:schemeClr w14:val="tx1">
                            <w14:lumMod w14:val="95000"/>
                            <w14:lumOff w14:val="5000"/>
                          </w14:schemeClr>
                        </w14:solidFill>
                      </w14:textFill>
                    </w:rPr>
                    <w:t>生活垃圾桶若干。</w:t>
                  </w:r>
                </w:p>
                <w:p w14:paraId="1475F4A6">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②设置1个5</w:t>
                  </w:r>
                  <w:r>
                    <w:rPr>
                      <w:color w:val="0D0D0D" w:themeColor="text1" w:themeTint="F2"/>
                      <w:szCs w:val="21"/>
                      <w14:textFill>
                        <w14:solidFill>
                          <w14:schemeClr w14:val="tx1">
                            <w14:lumMod w14:val="95000"/>
                            <w14:lumOff w14:val="5000"/>
                          </w14:schemeClr>
                        </w14:solidFill>
                      </w14:textFill>
                    </w:rPr>
                    <w:t>m</w:t>
                  </w:r>
                  <w:r>
                    <w:rPr>
                      <w:color w:val="0D0D0D" w:themeColor="text1" w:themeTint="F2"/>
                      <w:szCs w:val="21"/>
                      <w:vertAlign w:val="superscript"/>
                      <w14:textFill>
                        <w14:solidFill>
                          <w14:schemeClr w14:val="tx1">
                            <w14:lumMod w14:val="95000"/>
                            <w14:lumOff w14:val="5000"/>
                          </w14:schemeClr>
                        </w14:solidFill>
                      </w14:textFill>
                    </w:rPr>
                    <w:t>2</w:t>
                  </w:r>
                  <w:r>
                    <w:rPr>
                      <w:rFonts w:hint="eastAsia"/>
                      <w:color w:val="0D0D0D" w:themeColor="text1" w:themeTint="F2"/>
                      <w:szCs w:val="21"/>
                      <w14:textFill>
                        <w14:solidFill>
                          <w14:schemeClr w14:val="tx1">
                            <w14:lumMod w14:val="95000"/>
                            <w14:lumOff w14:val="5000"/>
                          </w14:schemeClr>
                        </w14:solidFill>
                      </w14:textFill>
                    </w:rPr>
                    <w:t>的一般固废暂存间，储存一般固废。</w:t>
                  </w:r>
                </w:p>
                <w:p w14:paraId="6E23320B">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③设置1个5</w:t>
                  </w:r>
                  <w:r>
                    <w:rPr>
                      <w:color w:val="0D0D0D" w:themeColor="text1" w:themeTint="F2"/>
                      <w:szCs w:val="21"/>
                      <w14:textFill>
                        <w14:solidFill>
                          <w14:schemeClr w14:val="tx1">
                            <w14:lumMod w14:val="95000"/>
                            <w14:lumOff w14:val="5000"/>
                          </w14:schemeClr>
                        </w14:solidFill>
                      </w14:textFill>
                    </w:rPr>
                    <w:t>m</w:t>
                  </w:r>
                  <w:r>
                    <w:rPr>
                      <w:color w:val="0D0D0D" w:themeColor="text1" w:themeTint="F2"/>
                      <w:szCs w:val="21"/>
                      <w:vertAlign w:val="superscript"/>
                      <w14:textFill>
                        <w14:solidFill>
                          <w14:schemeClr w14:val="tx1">
                            <w14:lumMod w14:val="95000"/>
                            <w14:lumOff w14:val="5000"/>
                          </w14:schemeClr>
                        </w14:solidFill>
                      </w14:textFill>
                    </w:rPr>
                    <w:t>2</w:t>
                  </w:r>
                  <w:r>
                    <w:rPr>
                      <w:rFonts w:hint="eastAsia"/>
                      <w:color w:val="0D0D0D" w:themeColor="text1" w:themeTint="F2"/>
                      <w:szCs w:val="21"/>
                      <w14:textFill>
                        <w14:solidFill>
                          <w14:schemeClr w14:val="tx1">
                            <w14:lumMod w14:val="95000"/>
                            <w14:lumOff w14:val="5000"/>
                          </w14:schemeClr>
                        </w14:solidFill>
                      </w14:textFill>
                    </w:rPr>
                    <w:t>的危废暂存间，储存危险废物。</w:t>
                  </w:r>
                </w:p>
              </w:tc>
              <w:tc>
                <w:tcPr>
                  <w:tcW w:w="684" w:type="pct"/>
                  <w:tcBorders>
                    <w:top w:val="single" w:color="auto" w:sz="4" w:space="0"/>
                    <w:left w:val="single" w:color="auto" w:sz="4" w:space="0"/>
                    <w:bottom w:val="single" w:color="auto" w:sz="4" w:space="0"/>
                    <w:right w:val="single" w:color="auto" w:sz="4" w:space="0"/>
                  </w:tcBorders>
                  <w:vAlign w:val="center"/>
                </w:tcPr>
                <w:p w14:paraId="5FB9793A">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一般固废暂存间未建</w:t>
                  </w:r>
                </w:p>
              </w:tc>
            </w:tr>
          </w:tbl>
          <w:p w14:paraId="202E53BE">
            <w:pPr>
              <w:pStyle w:val="45"/>
              <w:spacing w:line="360" w:lineRule="auto"/>
              <w:ind w:firstLine="482" w:firstLineChars="200"/>
              <w:rPr>
                <w:rFonts w:ascii="Times New Roman" w:hAnsi="Times New Roman"/>
                <w:b/>
                <w:bCs/>
                <w:color w:val="0D0D0D" w:themeColor="text1" w:themeTint="F2"/>
                <w:sz w:val="24"/>
                <w:szCs w:val="24"/>
                <w:lang w:eastAsia="zh-CN"/>
                <w14:textFill>
                  <w14:solidFill>
                    <w14:schemeClr w14:val="tx1">
                      <w14:lumMod w14:val="95000"/>
                      <w14:lumOff w14:val="5000"/>
                    </w14:schemeClr>
                  </w14:solidFill>
                </w14:textFill>
              </w:rPr>
            </w:pPr>
            <w:r>
              <w:rPr>
                <w:rFonts w:hint="eastAsia" w:ascii="Times New Roman" w:hAnsi="Times New Roman"/>
                <w:b/>
                <w:bCs/>
                <w:color w:val="0D0D0D" w:themeColor="text1" w:themeTint="F2"/>
                <w:sz w:val="24"/>
                <w:szCs w:val="24"/>
                <w:lang w:eastAsia="zh-CN"/>
                <w14:textFill>
                  <w14:solidFill>
                    <w14:schemeClr w14:val="tx1">
                      <w14:lumMod w14:val="95000"/>
                      <w14:lumOff w14:val="5000"/>
                    </w14:schemeClr>
                  </w14:solidFill>
                </w14:textFill>
              </w:rPr>
              <w:t>2、产品方案</w:t>
            </w:r>
          </w:p>
          <w:p w14:paraId="2C4F6868">
            <w:pPr>
              <w:pStyle w:val="45"/>
              <w:spacing w:line="360" w:lineRule="auto"/>
              <w:ind w:firstLine="480" w:firstLineChars="200"/>
              <w:jc w:val="both"/>
              <w:rPr>
                <w:rFonts w:ascii="Times New Roman" w:hAnsi="Times New Roman"/>
                <w:color w:val="0D0D0D" w:themeColor="text1" w:themeTint="F2"/>
                <w:sz w:val="24"/>
                <w:szCs w:val="24"/>
                <w:lang w:eastAsia="zh-CN"/>
                <w14:textFill>
                  <w14:solidFill>
                    <w14:schemeClr w14:val="tx1">
                      <w14:lumMod w14:val="95000"/>
                      <w14:lumOff w14:val="5000"/>
                    </w14:schemeClr>
                  </w14:solidFill>
                </w14:textFill>
              </w:rPr>
            </w:pPr>
            <w:r>
              <w:rPr>
                <w:rFonts w:ascii="Times New Roman" w:hAnsi="Times New Roman"/>
                <w:color w:val="0D0D0D" w:themeColor="text1" w:themeTint="F2"/>
                <w:sz w:val="24"/>
                <w:szCs w:val="24"/>
                <w:lang w:eastAsia="zh-CN"/>
                <w14:textFill>
                  <w14:solidFill>
                    <w14:schemeClr w14:val="tx1">
                      <w14:lumMod w14:val="95000"/>
                      <w14:lumOff w14:val="5000"/>
                    </w14:schemeClr>
                  </w14:solidFill>
                </w14:textFill>
              </w:rPr>
              <w:t>项目</w:t>
            </w:r>
            <w:r>
              <w:rPr>
                <w:rFonts w:hint="eastAsia" w:ascii="Times New Roman" w:hAnsi="Times New Roman"/>
                <w:color w:val="0D0D0D" w:themeColor="text1" w:themeTint="F2"/>
                <w:sz w:val="24"/>
                <w:szCs w:val="24"/>
                <w:lang w:eastAsia="zh-CN"/>
                <w14:textFill>
                  <w14:solidFill>
                    <w14:schemeClr w14:val="tx1">
                      <w14:lumMod w14:val="95000"/>
                      <w14:lumOff w14:val="5000"/>
                    </w14:schemeClr>
                  </w14:solidFill>
                </w14:textFill>
              </w:rPr>
              <w:t>产品方案详见表2-2。</w:t>
            </w:r>
          </w:p>
          <w:p w14:paraId="7D652316">
            <w:pPr>
              <w:jc w:val="center"/>
              <w:rPr>
                <w:b/>
                <w:bCs/>
                <w:color w:val="0D0D0D" w:themeColor="text1" w:themeTint="F2"/>
                <w:szCs w:val="21"/>
                <w14:textFill>
                  <w14:solidFill>
                    <w14:schemeClr w14:val="tx1">
                      <w14:lumMod w14:val="95000"/>
                      <w14:lumOff w14:val="5000"/>
                    </w14:schemeClr>
                  </w14:solidFill>
                </w14:textFill>
              </w:rPr>
            </w:pPr>
            <w:r>
              <w:rPr>
                <w:rFonts w:hint="eastAsia"/>
                <w:b/>
                <w:bCs/>
                <w:color w:val="0D0D0D" w:themeColor="text1" w:themeTint="F2"/>
                <w:szCs w:val="21"/>
                <w14:textFill>
                  <w14:solidFill>
                    <w14:schemeClr w14:val="tx1">
                      <w14:lumMod w14:val="95000"/>
                      <w14:lumOff w14:val="5000"/>
                    </w14:schemeClr>
                  </w14:solidFill>
                </w14:textFill>
              </w:rPr>
              <w:t>表2</w:t>
            </w:r>
            <w:r>
              <w:rPr>
                <w:b/>
                <w:bCs/>
                <w:color w:val="0D0D0D" w:themeColor="text1" w:themeTint="F2"/>
                <w:szCs w:val="21"/>
                <w14:textFill>
                  <w14:solidFill>
                    <w14:schemeClr w14:val="tx1">
                      <w14:lumMod w14:val="95000"/>
                      <w14:lumOff w14:val="5000"/>
                    </w14:schemeClr>
                  </w14:solidFill>
                </w14:textFill>
              </w:rPr>
              <w:t>-</w:t>
            </w:r>
            <w:r>
              <w:rPr>
                <w:rFonts w:hint="eastAsia"/>
                <w:b/>
                <w:bCs/>
                <w:color w:val="0D0D0D" w:themeColor="text1" w:themeTint="F2"/>
                <w:szCs w:val="21"/>
                <w14:textFill>
                  <w14:solidFill>
                    <w14:schemeClr w14:val="tx1">
                      <w14:lumMod w14:val="95000"/>
                      <w14:lumOff w14:val="5000"/>
                    </w14:schemeClr>
                  </w14:solidFill>
                </w14:textFill>
              </w:rPr>
              <w:t>2</w:t>
            </w:r>
            <w:r>
              <w:rPr>
                <w:b/>
                <w:bCs/>
                <w:color w:val="0D0D0D" w:themeColor="text1" w:themeTint="F2"/>
                <w:szCs w:val="21"/>
                <w14:textFill>
                  <w14:solidFill>
                    <w14:schemeClr w14:val="tx1">
                      <w14:lumMod w14:val="95000"/>
                      <w14:lumOff w14:val="5000"/>
                    </w14:schemeClr>
                  </w14:solidFill>
                </w14:textFill>
              </w:rPr>
              <w:t xml:space="preserve">  </w:t>
            </w:r>
            <w:r>
              <w:rPr>
                <w:rFonts w:hint="eastAsia"/>
                <w:b/>
                <w:bCs/>
                <w:color w:val="0D0D0D" w:themeColor="text1" w:themeTint="F2"/>
                <w:szCs w:val="21"/>
                <w14:textFill>
                  <w14:solidFill>
                    <w14:schemeClr w14:val="tx1">
                      <w14:lumMod w14:val="95000"/>
                      <w14:lumOff w14:val="5000"/>
                    </w14:schemeClr>
                  </w14:solidFill>
                </w14:textFill>
              </w:rPr>
              <w:t>产品方案一览表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2"/>
              <w:gridCol w:w="1781"/>
              <w:gridCol w:w="1072"/>
              <w:gridCol w:w="1250"/>
              <w:gridCol w:w="3199"/>
            </w:tblGrid>
            <w:tr w14:paraId="6991E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0" w:type="pct"/>
                  <w:vAlign w:val="center"/>
                </w:tcPr>
                <w:p w14:paraId="3F2F9AB0">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序号</w:t>
                  </w:r>
                </w:p>
              </w:tc>
              <w:tc>
                <w:tcPr>
                  <w:tcW w:w="1063" w:type="pct"/>
                  <w:vAlign w:val="center"/>
                </w:tcPr>
                <w:p w14:paraId="204E1E97">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产品名称</w:t>
                  </w:r>
                </w:p>
              </w:tc>
              <w:tc>
                <w:tcPr>
                  <w:tcW w:w="640" w:type="pct"/>
                  <w:vAlign w:val="center"/>
                </w:tcPr>
                <w:p w14:paraId="6FF859B9">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单位</w:t>
                  </w:r>
                </w:p>
              </w:tc>
              <w:tc>
                <w:tcPr>
                  <w:tcW w:w="746" w:type="pct"/>
                  <w:vAlign w:val="center"/>
                </w:tcPr>
                <w:p w14:paraId="25970A5D">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数量</w:t>
                  </w:r>
                </w:p>
              </w:tc>
              <w:tc>
                <w:tcPr>
                  <w:tcW w:w="1909" w:type="pct"/>
                  <w:vAlign w:val="center"/>
                </w:tcPr>
                <w:p w14:paraId="2E756AE0">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备注</w:t>
                  </w:r>
                </w:p>
              </w:tc>
            </w:tr>
            <w:tr w14:paraId="672BA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40" w:type="pct"/>
                  <w:vAlign w:val="center"/>
                </w:tcPr>
                <w:p w14:paraId="1E1B0A9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w:t>
                  </w:r>
                </w:p>
              </w:tc>
              <w:tc>
                <w:tcPr>
                  <w:tcW w:w="1063" w:type="pct"/>
                  <w:vAlign w:val="center"/>
                </w:tcPr>
                <w:p w14:paraId="0E7233B3">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钢材防腐</w:t>
                  </w:r>
                </w:p>
              </w:tc>
              <w:tc>
                <w:tcPr>
                  <w:tcW w:w="640" w:type="pct"/>
                  <w:vAlign w:val="center"/>
                </w:tcPr>
                <w:p w14:paraId="4E3622A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m</w:t>
                  </w:r>
                  <w:r>
                    <w:rPr>
                      <w:rFonts w:hint="eastAsia"/>
                      <w:color w:val="0D0D0D" w:themeColor="text1" w:themeTint="F2"/>
                      <w:szCs w:val="21"/>
                      <w:vertAlign w:val="superscript"/>
                      <w14:textFill>
                        <w14:solidFill>
                          <w14:schemeClr w14:val="tx1">
                            <w14:lumMod w14:val="95000"/>
                            <w14:lumOff w14:val="5000"/>
                          </w14:schemeClr>
                        </w14:solidFill>
                      </w14:textFill>
                    </w:rPr>
                    <w:t>2</w:t>
                  </w:r>
                  <w:r>
                    <w:rPr>
                      <w:rFonts w:hint="eastAsia"/>
                      <w:color w:val="0D0D0D" w:themeColor="text1" w:themeTint="F2"/>
                      <w:szCs w:val="21"/>
                      <w14:textFill>
                        <w14:solidFill>
                          <w14:schemeClr w14:val="tx1">
                            <w14:lumMod w14:val="95000"/>
                            <w14:lumOff w14:val="5000"/>
                          </w14:schemeClr>
                        </w14:solidFill>
                      </w14:textFill>
                    </w:rPr>
                    <w:t>/a</w:t>
                  </w:r>
                </w:p>
              </w:tc>
              <w:tc>
                <w:tcPr>
                  <w:tcW w:w="746" w:type="pct"/>
                  <w:vAlign w:val="center"/>
                </w:tcPr>
                <w:p w14:paraId="0DDB7B1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20000</w:t>
                  </w:r>
                </w:p>
              </w:tc>
              <w:tc>
                <w:tcPr>
                  <w:tcW w:w="1909" w:type="pct"/>
                  <w:vAlign w:val="center"/>
                </w:tcPr>
                <w:p w14:paraId="380D095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型材、板材和管材</w:t>
                  </w:r>
                </w:p>
              </w:tc>
            </w:tr>
          </w:tbl>
          <w:p w14:paraId="29234277">
            <w:pPr>
              <w:spacing w:line="360" w:lineRule="auto"/>
              <w:ind w:firstLine="482" w:firstLineChars="200"/>
              <w:rPr>
                <w:b/>
                <w:bCs/>
                <w:color w:val="0D0D0D" w:themeColor="text1" w:themeTint="F2"/>
                <w:sz w:val="24"/>
                <w14:textFill>
                  <w14:solidFill>
                    <w14:schemeClr w14:val="tx1">
                      <w14:lumMod w14:val="95000"/>
                      <w14:lumOff w14:val="5000"/>
                    </w14:schemeClr>
                  </w14:solidFill>
                </w14:textFill>
              </w:rPr>
            </w:pPr>
            <w:r>
              <w:rPr>
                <w:rFonts w:hint="eastAsia"/>
                <w:b/>
                <w:bCs/>
                <w:color w:val="0D0D0D" w:themeColor="text1" w:themeTint="F2"/>
                <w:sz w:val="24"/>
                <w14:textFill>
                  <w14:solidFill>
                    <w14:schemeClr w14:val="tx1">
                      <w14:lumMod w14:val="95000"/>
                      <w14:lumOff w14:val="5000"/>
                    </w14:schemeClr>
                  </w14:solidFill>
                </w14:textFill>
              </w:rPr>
              <w:t>3、主要生产设备</w:t>
            </w:r>
          </w:p>
          <w:p w14:paraId="48B9A519">
            <w:pPr>
              <w:spacing w:line="360" w:lineRule="auto"/>
              <w:ind w:left="105" w:leftChars="50"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项目主要生产设备详见表2</w:t>
            </w:r>
            <w:r>
              <w:rPr>
                <w:color w:val="0D0D0D" w:themeColor="text1" w:themeTint="F2"/>
                <w:sz w:val="24"/>
                <w14:textFill>
                  <w14:solidFill>
                    <w14:schemeClr w14:val="tx1">
                      <w14:lumMod w14:val="95000"/>
                      <w14:lumOff w14:val="5000"/>
                    </w14:schemeClr>
                  </w14:solidFill>
                </w14:textFill>
              </w:rPr>
              <w:t>-</w:t>
            </w:r>
            <w:r>
              <w:rPr>
                <w:rFonts w:hint="eastAsia"/>
                <w:color w:val="0D0D0D" w:themeColor="text1" w:themeTint="F2"/>
                <w:sz w:val="24"/>
                <w14:textFill>
                  <w14:solidFill>
                    <w14:schemeClr w14:val="tx1">
                      <w14:lumMod w14:val="95000"/>
                      <w14:lumOff w14:val="5000"/>
                    </w14:schemeClr>
                  </w14:solidFill>
                </w14:textFill>
              </w:rPr>
              <w:t>3。</w:t>
            </w:r>
          </w:p>
          <w:p w14:paraId="14FF9011">
            <w:pPr>
              <w:jc w:val="center"/>
              <w:rPr>
                <w:color w:val="0D0D0D" w:themeColor="text1" w:themeTint="F2"/>
                <w:szCs w:val="21"/>
                <w14:textFill>
                  <w14:solidFill>
                    <w14:schemeClr w14:val="tx1">
                      <w14:lumMod w14:val="95000"/>
                      <w14:lumOff w14:val="5000"/>
                    </w14:schemeClr>
                  </w14:solidFill>
                </w14:textFill>
              </w:rPr>
            </w:pPr>
            <w:r>
              <w:rPr>
                <w:rFonts w:hint="eastAsia"/>
                <w:b/>
                <w:bCs/>
                <w:color w:val="0D0D0D" w:themeColor="text1" w:themeTint="F2"/>
                <w:szCs w:val="21"/>
                <w14:textFill>
                  <w14:solidFill>
                    <w14:schemeClr w14:val="tx1">
                      <w14:lumMod w14:val="95000"/>
                      <w14:lumOff w14:val="5000"/>
                    </w14:schemeClr>
                  </w14:solidFill>
                </w14:textFill>
              </w:rPr>
              <w:t>表2</w:t>
            </w:r>
            <w:r>
              <w:rPr>
                <w:b/>
                <w:bCs/>
                <w:color w:val="0D0D0D" w:themeColor="text1" w:themeTint="F2"/>
                <w:szCs w:val="21"/>
                <w14:textFill>
                  <w14:solidFill>
                    <w14:schemeClr w14:val="tx1">
                      <w14:lumMod w14:val="95000"/>
                      <w14:lumOff w14:val="5000"/>
                    </w14:schemeClr>
                  </w14:solidFill>
                </w14:textFill>
              </w:rPr>
              <w:t>-</w:t>
            </w:r>
            <w:r>
              <w:rPr>
                <w:rFonts w:hint="eastAsia"/>
                <w:b/>
                <w:bCs/>
                <w:color w:val="0D0D0D" w:themeColor="text1" w:themeTint="F2"/>
                <w:szCs w:val="21"/>
                <w14:textFill>
                  <w14:solidFill>
                    <w14:schemeClr w14:val="tx1">
                      <w14:lumMod w14:val="95000"/>
                      <w14:lumOff w14:val="5000"/>
                    </w14:schemeClr>
                  </w14:solidFill>
                </w14:textFill>
              </w:rPr>
              <w:t>3</w:t>
            </w:r>
            <w:r>
              <w:rPr>
                <w:b/>
                <w:bCs/>
                <w:color w:val="0D0D0D" w:themeColor="text1" w:themeTint="F2"/>
                <w:szCs w:val="21"/>
                <w14:textFill>
                  <w14:solidFill>
                    <w14:schemeClr w14:val="tx1">
                      <w14:lumMod w14:val="95000"/>
                      <w14:lumOff w14:val="5000"/>
                    </w14:schemeClr>
                  </w14:solidFill>
                </w14:textFill>
              </w:rPr>
              <w:t xml:space="preserve">  </w:t>
            </w:r>
            <w:r>
              <w:rPr>
                <w:rFonts w:hint="eastAsia"/>
                <w:b/>
                <w:bCs/>
                <w:color w:val="0D0D0D" w:themeColor="text1" w:themeTint="F2"/>
                <w:szCs w:val="21"/>
                <w14:textFill>
                  <w14:solidFill>
                    <w14:schemeClr w14:val="tx1">
                      <w14:lumMod w14:val="95000"/>
                      <w14:lumOff w14:val="5000"/>
                    </w14:schemeClr>
                  </w14:solidFill>
                </w14:textFill>
              </w:rPr>
              <w:t>主要生产设备一览表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8"/>
              <w:gridCol w:w="2033"/>
              <w:gridCol w:w="3764"/>
              <w:gridCol w:w="1021"/>
              <w:gridCol w:w="838"/>
            </w:tblGrid>
            <w:tr w14:paraId="7D18C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9" w:type="pct"/>
                  <w:vAlign w:val="center"/>
                </w:tcPr>
                <w:p w14:paraId="2B46A9CE">
                  <w:pPr>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序</w:t>
                  </w:r>
                  <w:r>
                    <w:rPr>
                      <w:bCs/>
                      <w:color w:val="0D0D0D" w:themeColor="text1" w:themeTint="F2"/>
                      <w:szCs w:val="21"/>
                      <w14:textFill>
                        <w14:solidFill>
                          <w14:schemeClr w14:val="tx1">
                            <w14:lumMod w14:val="95000"/>
                            <w14:lumOff w14:val="5000"/>
                          </w14:schemeClr>
                        </w14:solidFill>
                      </w14:textFill>
                    </w:rPr>
                    <w:t>号</w:t>
                  </w:r>
                </w:p>
              </w:tc>
              <w:tc>
                <w:tcPr>
                  <w:tcW w:w="1213" w:type="pct"/>
                  <w:vAlign w:val="center"/>
                </w:tcPr>
                <w:p w14:paraId="50ECFE34">
                  <w:pPr>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名称</w:t>
                  </w:r>
                </w:p>
              </w:tc>
              <w:tc>
                <w:tcPr>
                  <w:tcW w:w="2246" w:type="pct"/>
                  <w:vAlign w:val="center"/>
                </w:tcPr>
                <w:p w14:paraId="2EE0FDD6">
                  <w:pPr>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规格</w:t>
                  </w:r>
                </w:p>
              </w:tc>
              <w:tc>
                <w:tcPr>
                  <w:tcW w:w="609" w:type="pct"/>
                  <w:vAlign w:val="center"/>
                </w:tcPr>
                <w:p w14:paraId="0876D8A2">
                  <w:pPr>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单位</w:t>
                  </w:r>
                </w:p>
              </w:tc>
              <w:tc>
                <w:tcPr>
                  <w:tcW w:w="500" w:type="pct"/>
                  <w:vAlign w:val="center"/>
                </w:tcPr>
                <w:p w14:paraId="526162D1">
                  <w:pPr>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数量</w:t>
                  </w:r>
                </w:p>
              </w:tc>
            </w:tr>
            <w:tr w14:paraId="27CB5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9" w:type="pct"/>
                  <w:vAlign w:val="center"/>
                </w:tcPr>
                <w:p w14:paraId="3B7BB576">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p>
              </w:tc>
              <w:tc>
                <w:tcPr>
                  <w:tcW w:w="1213" w:type="pct"/>
                  <w:vAlign w:val="center"/>
                </w:tcPr>
                <w:p w14:paraId="13ED3D6C">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抛丸机</w:t>
                  </w:r>
                </w:p>
              </w:tc>
              <w:tc>
                <w:tcPr>
                  <w:tcW w:w="2246" w:type="pct"/>
                  <w:vAlign w:val="center"/>
                </w:tcPr>
                <w:p w14:paraId="0F5A0BA3">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Q6930型</w:t>
                  </w:r>
                </w:p>
              </w:tc>
              <w:tc>
                <w:tcPr>
                  <w:tcW w:w="609" w:type="pct"/>
                  <w:vAlign w:val="center"/>
                </w:tcPr>
                <w:p w14:paraId="0C7D36EC">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套</w:t>
                  </w:r>
                </w:p>
              </w:tc>
              <w:tc>
                <w:tcPr>
                  <w:tcW w:w="500" w:type="pct"/>
                  <w:vAlign w:val="center"/>
                </w:tcPr>
                <w:p w14:paraId="3AB0B2E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w:t>
                  </w:r>
                </w:p>
              </w:tc>
            </w:tr>
            <w:tr w14:paraId="4F832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9" w:type="pct"/>
                  <w:vAlign w:val="center"/>
                </w:tcPr>
                <w:p w14:paraId="3EAD40E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w:t>
                  </w:r>
                </w:p>
              </w:tc>
              <w:tc>
                <w:tcPr>
                  <w:tcW w:w="1213" w:type="pct"/>
                  <w:vAlign w:val="center"/>
                </w:tcPr>
                <w:p w14:paraId="17A0319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高压无气喷涂机</w:t>
                  </w:r>
                </w:p>
              </w:tc>
              <w:tc>
                <w:tcPr>
                  <w:tcW w:w="2246" w:type="pct"/>
                  <w:vAlign w:val="center"/>
                </w:tcPr>
                <w:p w14:paraId="779B4CDD">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9C</w:t>
                  </w:r>
                </w:p>
              </w:tc>
              <w:tc>
                <w:tcPr>
                  <w:tcW w:w="609" w:type="pct"/>
                  <w:vAlign w:val="center"/>
                </w:tcPr>
                <w:p w14:paraId="1BE0A06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台</w:t>
                  </w:r>
                </w:p>
              </w:tc>
              <w:tc>
                <w:tcPr>
                  <w:tcW w:w="500" w:type="pct"/>
                  <w:vAlign w:val="center"/>
                </w:tcPr>
                <w:p w14:paraId="1376CC2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w:t>
                  </w:r>
                </w:p>
              </w:tc>
            </w:tr>
            <w:tr w14:paraId="38F5D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9" w:type="pct"/>
                  <w:vAlign w:val="center"/>
                </w:tcPr>
                <w:p w14:paraId="76D2EB5E">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w:t>
                  </w:r>
                </w:p>
              </w:tc>
              <w:tc>
                <w:tcPr>
                  <w:tcW w:w="1213" w:type="pct"/>
                  <w:vAlign w:val="center"/>
                </w:tcPr>
                <w:p w14:paraId="149C658B">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高压无气喷涂机</w:t>
                  </w:r>
                </w:p>
              </w:tc>
              <w:tc>
                <w:tcPr>
                  <w:tcW w:w="2246" w:type="pct"/>
                  <w:vAlign w:val="center"/>
                </w:tcPr>
                <w:p w14:paraId="4EF04AA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6C</w:t>
                  </w:r>
                </w:p>
              </w:tc>
              <w:tc>
                <w:tcPr>
                  <w:tcW w:w="609" w:type="pct"/>
                  <w:vAlign w:val="center"/>
                </w:tcPr>
                <w:p w14:paraId="736CDB9B">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台</w:t>
                  </w:r>
                </w:p>
              </w:tc>
              <w:tc>
                <w:tcPr>
                  <w:tcW w:w="500" w:type="pct"/>
                  <w:vAlign w:val="center"/>
                </w:tcPr>
                <w:p w14:paraId="3231BB93">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w:t>
                  </w:r>
                </w:p>
              </w:tc>
            </w:tr>
            <w:tr w14:paraId="02353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9" w:type="pct"/>
                  <w:vAlign w:val="center"/>
                </w:tcPr>
                <w:p w14:paraId="66ADCF33">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w:t>
                  </w:r>
                </w:p>
              </w:tc>
              <w:tc>
                <w:tcPr>
                  <w:tcW w:w="1213" w:type="pct"/>
                  <w:vAlign w:val="center"/>
                </w:tcPr>
                <w:p w14:paraId="34F2D68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龙门吊</w:t>
                  </w:r>
                </w:p>
              </w:tc>
              <w:tc>
                <w:tcPr>
                  <w:tcW w:w="2246" w:type="pct"/>
                  <w:vAlign w:val="center"/>
                </w:tcPr>
                <w:p w14:paraId="631CF4AC">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16t</w:t>
                  </w:r>
                </w:p>
              </w:tc>
              <w:tc>
                <w:tcPr>
                  <w:tcW w:w="609" w:type="pct"/>
                  <w:vAlign w:val="center"/>
                </w:tcPr>
                <w:p w14:paraId="68E35F7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套</w:t>
                  </w:r>
                </w:p>
              </w:tc>
              <w:tc>
                <w:tcPr>
                  <w:tcW w:w="500" w:type="pct"/>
                  <w:vAlign w:val="center"/>
                </w:tcPr>
                <w:p w14:paraId="75D18701">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w:t>
                  </w:r>
                </w:p>
              </w:tc>
            </w:tr>
          </w:tbl>
          <w:p w14:paraId="5C87CBE0">
            <w:pPr>
              <w:adjustRightInd w:val="0"/>
              <w:snapToGrid w:val="0"/>
              <w:spacing w:line="360" w:lineRule="auto"/>
              <w:ind w:firstLine="482" w:firstLineChars="200"/>
              <w:jc w:val="left"/>
              <w:rPr>
                <w:rFonts w:cs="宋体"/>
                <w:b/>
                <w:bCs/>
                <w:color w:val="0D0D0D" w:themeColor="text1" w:themeTint="F2"/>
                <w:sz w:val="24"/>
                <w14:textFill>
                  <w14:solidFill>
                    <w14:schemeClr w14:val="tx1">
                      <w14:lumMod w14:val="95000"/>
                      <w14:lumOff w14:val="5000"/>
                    </w14:schemeClr>
                  </w14:solidFill>
                </w14:textFill>
              </w:rPr>
            </w:pPr>
            <w:r>
              <w:rPr>
                <w:rFonts w:hint="eastAsia" w:cs="宋体"/>
                <w:b/>
                <w:bCs/>
                <w:color w:val="0D0D0D" w:themeColor="text1" w:themeTint="F2"/>
                <w:sz w:val="24"/>
                <w14:textFill>
                  <w14:solidFill>
                    <w14:schemeClr w14:val="tx1">
                      <w14:lumMod w14:val="95000"/>
                      <w14:lumOff w14:val="5000"/>
                    </w14:schemeClr>
                  </w14:solidFill>
                </w14:textFill>
              </w:rPr>
              <w:t>4、主要原辅材料及能耗</w:t>
            </w:r>
          </w:p>
          <w:p w14:paraId="19CEFE0A">
            <w:pPr>
              <w:spacing w:line="360" w:lineRule="auto"/>
              <w:ind w:left="105" w:leftChars="50"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项目主要原辅材料及能耗详见表2</w:t>
            </w:r>
            <w:r>
              <w:rPr>
                <w:color w:val="0D0D0D" w:themeColor="text1" w:themeTint="F2"/>
                <w:sz w:val="24"/>
                <w14:textFill>
                  <w14:solidFill>
                    <w14:schemeClr w14:val="tx1">
                      <w14:lumMod w14:val="95000"/>
                      <w14:lumOff w14:val="5000"/>
                    </w14:schemeClr>
                  </w14:solidFill>
                </w14:textFill>
              </w:rPr>
              <w:t>-</w:t>
            </w:r>
            <w:r>
              <w:rPr>
                <w:rFonts w:hint="eastAsia"/>
                <w:color w:val="0D0D0D" w:themeColor="text1" w:themeTint="F2"/>
                <w:sz w:val="24"/>
                <w14:textFill>
                  <w14:solidFill>
                    <w14:schemeClr w14:val="tx1">
                      <w14:lumMod w14:val="95000"/>
                      <w14:lumOff w14:val="5000"/>
                    </w14:schemeClr>
                  </w14:solidFill>
                </w14:textFill>
              </w:rPr>
              <w:t>4。</w:t>
            </w:r>
          </w:p>
          <w:p w14:paraId="60A5475C">
            <w:pPr>
              <w:ind w:firstLine="422" w:firstLineChars="200"/>
              <w:jc w:val="center"/>
              <w:rPr>
                <w:b/>
                <w:bCs/>
                <w:color w:val="0D0D0D" w:themeColor="text1" w:themeTint="F2"/>
                <w:kern w:val="0"/>
                <w:szCs w:val="21"/>
                <w14:textFill>
                  <w14:solidFill>
                    <w14:schemeClr w14:val="tx1">
                      <w14:lumMod w14:val="95000"/>
                      <w14:lumOff w14:val="5000"/>
                    </w14:schemeClr>
                  </w14:solidFill>
                </w14:textFill>
              </w:rPr>
            </w:pPr>
            <w:r>
              <w:rPr>
                <w:rFonts w:hint="eastAsia"/>
                <w:b/>
                <w:bCs/>
                <w:color w:val="0D0D0D" w:themeColor="text1" w:themeTint="F2"/>
                <w:szCs w:val="21"/>
                <w14:textFill>
                  <w14:solidFill>
                    <w14:schemeClr w14:val="tx1">
                      <w14:lumMod w14:val="95000"/>
                      <w14:lumOff w14:val="5000"/>
                    </w14:schemeClr>
                  </w14:solidFill>
                </w14:textFill>
              </w:rPr>
              <w:t>表2</w:t>
            </w:r>
            <w:r>
              <w:rPr>
                <w:b/>
                <w:bCs/>
                <w:color w:val="0D0D0D" w:themeColor="text1" w:themeTint="F2"/>
                <w:szCs w:val="21"/>
                <w14:textFill>
                  <w14:solidFill>
                    <w14:schemeClr w14:val="tx1">
                      <w14:lumMod w14:val="95000"/>
                      <w14:lumOff w14:val="5000"/>
                    </w14:schemeClr>
                  </w14:solidFill>
                </w14:textFill>
              </w:rPr>
              <w:t>-</w:t>
            </w:r>
            <w:r>
              <w:rPr>
                <w:rFonts w:hint="eastAsia"/>
                <w:b/>
                <w:bCs/>
                <w:color w:val="0D0D0D" w:themeColor="text1" w:themeTint="F2"/>
                <w:szCs w:val="21"/>
                <w14:textFill>
                  <w14:solidFill>
                    <w14:schemeClr w14:val="tx1">
                      <w14:lumMod w14:val="95000"/>
                      <w14:lumOff w14:val="5000"/>
                    </w14:schemeClr>
                  </w14:solidFill>
                </w14:textFill>
              </w:rPr>
              <w:t>4</w:t>
            </w:r>
            <w:r>
              <w:rPr>
                <w:b/>
                <w:bCs/>
                <w:color w:val="0D0D0D" w:themeColor="text1" w:themeTint="F2"/>
                <w:szCs w:val="21"/>
                <w14:textFill>
                  <w14:solidFill>
                    <w14:schemeClr w14:val="tx1">
                      <w14:lumMod w14:val="95000"/>
                      <w14:lumOff w14:val="5000"/>
                    </w14:schemeClr>
                  </w14:solidFill>
                </w14:textFill>
              </w:rPr>
              <w:t xml:space="preserve">  </w:t>
            </w:r>
            <w:r>
              <w:rPr>
                <w:rFonts w:hint="eastAsia"/>
                <w:b/>
                <w:bCs/>
                <w:color w:val="0D0D0D" w:themeColor="text1" w:themeTint="F2"/>
                <w:szCs w:val="21"/>
                <w14:textFill>
                  <w14:solidFill>
                    <w14:schemeClr w14:val="tx1">
                      <w14:lumMod w14:val="95000"/>
                      <w14:lumOff w14:val="5000"/>
                    </w14:schemeClr>
                  </w14:solidFill>
                </w14:textFill>
              </w:rPr>
              <w:t>主要原辅材料及能耗一览表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9"/>
              <w:gridCol w:w="2775"/>
              <w:gridCol w:w="1015"/>
              <w:gridCol w:w="971"/>
              <w:gridCol w:w="1022"/>
              <w:gridCol w:w="876"/>
              <w:gridCol w:w="1236"/>
            </w:tblGrid>
            <w:tr w14:paraId="175BD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6" w:type="pct"/>
                  <w:vAlign w:val="center"/>
                </w:tcPr>
                <w:p w14:paraId="3FAF7F58">
                  <w:pPr>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序号</w:t>
                  </w:r>
                </w:p>
              </w:tc>
              <w:tc>
                <w:tcPr>
                  <w:tcW w:w="1657" w:type="pct"/>
                  <w:vAlign w:val="center"/>
                </w:tcPr>
                <w:p w14:paraId="4AB53486">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名称</w:t>
                  </w:r>
                </w:p>
              </w:tc>
              <w:tc>
                <w:tcPr>
                  <w:tcW w:w="606" w:type="pct"/>
                  <w:vAlign w:val="center"/>
                </w:tcPr>
                <w:p w14:paraId="24ACE58D">
                  <w:pPr>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单位</w:t>
                  </w:r>
                </w:p>
              </w:tc>
              <w:tc>
                <w:tcPr>
                  <w:tcW w:w="580" w:type="pct"/>
                  <w:vAlign w:val="center"/>
                </w:tcPr>
                <w:p w14:paraId="17EF2924">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使用量</w:t>
                  </w:r>
                </w:p>
              </w:tc>
              <w:tc>
                <w:tcPr>
                  <w:tcW w:w="610" w:type="pct"/>
                  <w:vAlign w:val="center"/>
                </w:tcPr>
                <w:p w14:paraId="599C171F">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最大储存量</w:t>
                  </w:r>
                </w:p>
              </w:tc>
              <w:tc>
                <w:tcPr>
                  <w:tcW w:w="523" w:type="pct"/>
                  <w:vAlign w:val="center"/>
                </w:tcPr>
                <w:p w14:paraId="12117FCC">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存放</w:t>
                  </w:r>
                </w:p>
                <w:p w14:paraId="6BAD84F9">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位置</w:t>
                  </w:r>
                </w:p>
              </w:tc>
              <w:tc>
                <w:tcPr>
                  <w:tcW w:w="739" w:type="pct"/>
                  <w:vAlign w:val="center"/>
                </w:tcPr>
                <w:p w14:paraId="4D0A1887">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备注</w:t>
                  </w:r>
                </w:p>
              </w:tc>
            </w:tr>
            <w:tr w14:paraId="790F2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6" w:type="pct"/>
                  <w:vAlign w:val="center"/>
                </w:tcPr>
                <w:p w14:paraId="67EFEBAB">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1</w:t>
                  </w:r>
                </w:p>
              </w:tc>
              <w:tc>
                <w:tcPr>
                  <w:tcW w:w="1657" w:type="pct"/>
                  <w:vAlign w:val="center"/>
                </w:tcPr>
                <w:p w14:paraId="7A30FC79">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钢丸</w:t>
                  </w:r>
                </w:p>
              </w:tc>
              <w:tc>
                <w:tcPr>
                  <w:tcW w:w="606" w:type="pct"/>
                  <w:vAlign w:val="center"/>
                </w:tcPr>
                <w:p w14:paraId="4452A9BD">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t/a</w:t>
                  </w:r>
                </w:p>
              </w:tc>
              <w:tc>
                <w:tcPr>
                  <w:tcW w:w="580" w:type="pct"/>
                  <w:vAlign w:val="center"/>
                </w:tcPr>
                <w:p w14:paraId="32469433">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4</w:t>
                  </w:r>
                </w:p>
              </w:tc>
              <w:tc>
                <w:tcPr>
                  <w:tcW w:w="610" w:type="pct"/>
                  <w:vAlign w:val="center"/>
                </w:tcPr>
                <w:p w14:paraId="4B5EA2A7">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1</w:t>
                  </w:r>
                </w:p>
              </w:tc>
              <w:tc>
                <w:tcPr>
                  <w:tcW w:w="523" w:type="pct"/>
                  <w:vAlign w:val="center"/>
                </w:tcPr>
                <w:p w14:paraId="135A5776">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仓库</w:t>
                  </w:r>
                </w:p>
              </w:tc>
              <w:tc>
                <w:tcPr>
                  <w:tcW w:w="739" w:type="pct"/>
                  <w:vAlign w:val="center"/>
                </w:tcPr>
                <w:p w14:paraId="58B02884">
                  <w:pP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用于抛丸除锈</w:t>
                  </w:r>
                </w:p>
              </w:tc>
            </w:tr>
            <w:tr w14:paraId="2D790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6" w:type="pct"/>
                  <w:vAlign w:val="center"/>
                </w:tcPr>
                <w:p w14:paraId="07E56803">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2</w:t>
                  </w:r>
                </w:p>
              </w:tc>
              <w:tc>
                <w:tcPr>
                  <w:tcW w:w="1657" w:type="pct"/>
                  <w:vAlign w:val="center"/>
                </w:tcPr>
                <w:p w14:paraId="06D3DEC3">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钢材</w:t>
                  </w:r>
                </w:p>
              </w:tc>
              <w:tc>
                <w:tcPr>
                  <w:tcW w:w="606" w:type="pct"/>
                  <w:vAlign w:val="center"/>
                </w:tcPr>
                <w:p w14:paraId="09158B4B">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t/a</w:t>
                  </w:r>
                </w:p>
              </w:tc>
              <w:tc>
                <w:tcPr>
                  <w:tcW w:w="580" w:type="pct"/>
                  <w:vAlign w:val="center"/>
                </w:tcPr>
                <w:p w14:paraId="1A8D8339">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520</w:t>
                  </w:r>
                </w:p>
              </w:tc>
              <w:tc>
                <w:tcPr>
                  <w:tcW w:w="610" w:type="pct"/>
                  <w:vAlign w:val="center"/>
                </w:tcPr>
                <w:p w14:paraId="7DD6783E">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3</w:t>
                  </w:r>
                </w:p>
              </w:tc>
              <w:tc>
                <w:tcPr>
                  <w:tcW w:w="523" w:type="pct"/>
                  <w:vAlign w:val="center"/>
                </w:tcPr>
                <w:p w14:paraId="4631DB1F">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原料区</w:t>
                  </w:r>
                </w:p>
              </w:tc>
              <w:tc>
                <w:tcPr>
                  <w:tcW w:w="739" w:type="pct"/>
                  <w:vAlign w:val="center"/>
                </w:tcPr>
                <w:p w14:paraId="41EFF439">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w:t>
                  </w:r>
                </w:p>
              </w:tc>
            </w:tr>
            <w:tr w14:paraId="19D41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6" w:type="pct"/>
                  <w:vAlign w:val="center"/>
                </w:tcPr>
                <w:p w14:paraId="25BB21F4">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3</w:t>
                  </w:r>
                </w:p>
              </w:tc>
              <w:tc>
                <w:tcPr>
                  <w:tcW w:w="1657" w:type="pct"/>
                  <w:vAlign w:val="center"/>
                </w:tcPr>
                <w:p w14:paraId="171255E0">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环氧富锌底漆组分A</w:t>
                  </w:r>
                </w:p>
              </w:tc>
              <w:tc>
                <w:tcPr>
                  <w:tcW w:w="606" w:type="pct"/>
                  <w:vAlign w:val="center"/>
                </w:tcPr>
                <w:p w14:paraId="357529BF">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t/a</w:t>
                  </w:r>
                </w:p>
              </w:tc>
              <w:tc>
                <w:tcPr>
                  <w:tcW w:w="580" w:type="pct"/>
                  <w:vAlign w:val="center"/>
                </w:tcPr>
                <w:p w14:paraId="6ACF6724">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4.45</w:t>
                  </w:r>
                </w:p>
              </w:tc>
              <w:tc>
                <w:tcPr>
                  <w:tcW w:w="610" w:type="pct"/>
                  <w:vAlign w:val="center"/>
                </w:tcPr>
                <w:p w14:paraId="31B4B95B">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0.74</w:t>
                  </w:r>
                </w:p>
              </w:tc>
              <w:tc>
                <w:tcPr>
                  <w:tcW w:w="523" w:type="pct"/>
                  <w:vAlign w:val="center"/>
                </w:tcPr>
                <w:p w14:paraId="7D379379">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仓库</w:t>
                  </w:r>
                </w:p>
              </w:tc>
              <w:tc>
                <w:tcPr>
                  <w:tcW w:w="739" w:type="pct"/>
                  <w:vAlign w:val="center"/>
                </w:tcPr>
                <w:p w14:paraId="58218ABB">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7L/桶</w:t>
                  </w:r>
                </w:p>
              </w:tc>
            </w:tr>
            <w:tr w14:paraId="4B316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6" w:type="pct"/>
                  <w:vAlign w:val="center"/>
                </w:tcPr>
                <w:p w14:paraId="6B690732">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4</w:t>
                  </w:r>
                </w:p>
              </w:tc>
              <w:tc>
                <w:tcPr>
                  <w:tcW w:w="1657" w:type="pct"/>
                  <w:vAlign w:val="center"/>
                </w:tcPr>
                <w:p w14:paraId="3745F2E4">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环氧富锌底漆组分B</w:t>
                  </w:r>
                </w:p>
              </w:tc>
              <w:tc>
                <w:tcPr>
                  <w:tcW w:w="606" w:type="pct"/>
                  <w:vAlign w:val="center"/>
                </w:tcPr>
                <w:p w14:paraId="1183D3B2">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t/a</w:t>
                  </w:r>
                </w:p>
              </w:tc>
              <w:tc>
                <w:tcPr>
                  <w:tcW w:w="580" w:type="pct"/>
                  <w:vAlign w:val="center"/>
                </w:tcPr>
                <w:p w14:paraId="095D165B">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0.38</w:t>
                  </w:r>
                </w:p>
              </w:tc>
              <w:tc>
                <w:tcPr>
                  <w:tcW w:w="610" w:type="pct"/>
                  <w:vAlign w:val="center"/>
                </w:tcPr>
                <w:p w14:paraId="532F477F">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0.06</w:t>
                  </w:r>
                </w:p>
              </w:tc>
              <w:tc>
                <w:tcPr>
                  <w:tcW w:w="523" w:type="pct"/>
                  <w:vAlign w:val="center"/>
                </w:tcPr>
                <w:p w14:paraId="57D6B3F1">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仓库</w:t>
                  </w:r>
                </w:p>
              </w:tc>
              <w:tc>
                <w:tcPr>
                  <w:tcW w:w="739" w:type="pct"/>
                  <w:vAlign w:val="center"/>
                </w:tcPr>
                <w:p w14:paraId="62C21877">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2L/桶</w:t>
                  </w:r>
                </w:p>
              </w:tc>
            </w:tr>
            <w:tr w14:paraId="7E70D3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6" w:type="pct"/>
                  <w:vAlign w:val="center"/>
                </w:tcPr>
                <w:p w14:paraId="6427547C">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5</w:t>
                  </w:r>
                </w:p>
              </w:tc>
              <w:tc>
                <w:tcPr>
                  <w:tcW w:w="1657" w:type="pct"/>
                  <w:vAlign w:val="center"/>
                </w:tcPr>
                <w:p w14:paraId="53E11307">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环氧云铁中间漆组分A</w:t>
                  </w:r>
                </w:p>
              </w:tc>
              <w:tc>
                <w:tcPr>
                  <w:tcW w:w="606" w:type="pct"/>
                  <w:vAlign w:val="center"/>
                </w:tcPr>
                <w:p w14:paraId="7CA3E8A7">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t/a</w:t>
                  </w:r>
                </w:p>
              </w:tc>
              <w:tc>
                <w:tcPr>
                  <w:tcW w:w="580" w:type="pct"/>
                  <w:vAlign w:val="center"/>
                </w:tcPr>
                <w:p w14:paraId="37214B33">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2.72</w:t>
                  </w:r>
                </w:p>
              </w:tc>
              <w:tc>
                <w:tcPr>
                  <w:tcW w:w="610" w:type="pct"/>
                  <w:vAlign w:val="center"/>
                </w:tcPr>
                <w:p w14:paraId="134EB92C">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0.45</w:t>
                  </w:r>
                </w:p>
              </w:tc>
              <w:tc>
                <w:tcPr>
                  <w:tcW w:w="523" w:type="pct"/>
                  <w:vAlign w:val="center"/>
                </w:tcPr>
                <w:p w14:paraId="4E229810">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仓库</w:t>
                  </w:r>
                </w:p>
              </w:tc>
              <w:tc>
                <w:tcPr>
                  <w:tcW w:w="739" w:type="pct"/>
                  <w:vAlign w:val="center"/>
                </w:tcPr>
                <w:p w14:paraId="203077CE">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15L/桶</w:t>
                  </w:r>
                </w:p>
              </w:tc>
            </w:tr>
            <w:tr w14:paraId="7E3EC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6" w:type="pct"/>
                  <w:vAlign w:val="center"/>
                </w:tcPr>
                <w:p w14:paraId="11270418">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6</w:t>
                  </w:r>
                </w:p>
              </w:tc>
              <w:tc>
                <w:tcPr>
                  <w:tcW w:w="1657" w:type="pct"/>
                  <w:vAlign w:val="center"/>
                </w:tcPr>
                <w:p w14:paraId="20D4CD9C">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环氧云铁中间漆组分B</w:t>
                  </w:r>
                </w:p>
              </w:tc>
              <w:tc>
                <w:tcPr>
                  <w:tcW w:w="606" w:type="pct"/>
                  <w:vAlign w:val="center"/>
                </w:tcPr>
                <w:p w14:paraId="1EE098B0">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t/a</w:t>
                  </w:r>
                </w:p>
              </w:tc>
              <w:tc>
                <w:tcPr>
                  <w:tcW w:w="580" w:type="pct"/>
                  <w:vAlign w:val="center"/>
                </w:tcPr>
                <w:p w14:paraId="294E6890">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0.33</w:t>
                  </w:r>
                </w:p>
              </w:tc>
              <w:tc>
                <w:tcPr>
                  <w:tcW w:w="610" w:type="pct"/>
                  <w:vAlign w:val="center"/>
                </w:tcPr>
                <w:p w14:paraId="400E20DF">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0.06</w:t>
                  </w:r>
                </w:p>
              </w:tc>
              <w:tc>
                <w:tcPr>
                  <w:tcW w:w="523" w:type="pct"/>
                  <w:vAlign w:val="center"/>
                </w:tcPr>
                <w:p w14:paraId="790FEC91">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仓库</w:t>
                  </w:r>
                </w:p>
              </w:tc>
              <w:tc>
                <w:tcPr>
                  <w:tcW w:w="739" w:type="pct"/>
                  <w:vAlign w:val="center"/>
                </w:tcPr>
                <w:p w14:paraId="72F3638B">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9L/桶</w:t>
                  </w:r>
                </w:p>
              </w:tc>
            </w:tr>
            <w:tr w14:paraId="649B8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6" w:type="pct"/>
                  <w:vAlign w:val="center"/>
                </w:tcPr>
                <w:p w14:paraId="3B854A5B">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7</w:t>
                  </w:r>
                </w:p>
              </w:tc>
              <w:tc>
                <w:tcPr>
                  <w:tcW w:w="1657" w:type="pct"/>
                  <w:vAlign w:val="center"/>
                </w:tcPr>
                <w:p w14:paraId="03824BA5">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无机硅酸富锌底漆组分A</w:t>
                  </w:r>
                </w:p>
              </w:tc>
              <w:tc>
                <w:tcPr>
                  <w:tcW w:w="606" w:type="pct"/>
                  <w:vAlign w:val="center"/>
                </w:tcPr>
                <w:p w14:paraId="389CB077">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t/a</w:t>
                  </w:r>
                </w:p>
              </w:tc>
              <w:tc>
                <w:tcPr>
                  <w:tcW w:w="580" w:type="pct"/>
                  <w:vAlign w:val="center"/>
                </w:tcPr>
                <w:p w14:paraId="6E2A8F8F">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0.35</w:t>
                  </w:r>
                </w:p>
              </w:tc>
              <w:tc>
                <w:tcPr>
                  <w:tcW w:w="610" w:type="pct"/>
                  <w:vAlign w:val="center"/>
                </w:tcPr>
                <w:p w14:paraId="71D241FB">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0.06</w:t>
                  </w:r>
                </w:p>
              </w:tc>
              <w:tc>
                <w:tcPr>
                  <w:tcW w:w="523" w:type="pct"/>
                  <w:vAlign w:val="center"/>
                </w:tcPr>
                <w:p w14:paraId="2A3A1CB7">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仓库</w:t>
                  </w:r>
                </w:p>
              </w:tc>
              <w:tc>
                <w:tcPr>
                  <w:tcW w:w="739" w:type="pct"/>
                  <w:vAlign w:val="center"/>
                </w:tcPr>
                <w:p w14:paraId="126C6CEE">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2.6L/桶</w:t>
                  </w:r>
                </w:p>
              </w:tc>
            </w:tr>
            <w:tr w14:paraId="130CD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6" w:type="pct"/>
                  <w:vAlign w:val="center"/>
                </w:tcPr>
                <w:p w14:paraId="2A5776AA">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8</w:t>
                  </w:r>
                </w:p>
              </w:tc>
              <w:tc>
                <w:tcPr>
                  <w:tcW w:w="1657" w:type="pct"/>
                  <w:vAlign w:val="center"/>
                </w:tcPr>
                <w:p w14:paraId="78702DB3">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无机硅酸富锌底漆组分B</w:t>
                  </w:r>
                </w:p>
              </w:tc>
              <w:tc>
                <w:tcPr>
                  <w:tcW w:w="606" w:type="pct"/>
                  <w:vAlign w:val="center"/>
                </w:tcPr>
                <w:p w14:paraId="029612FC">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t/a</w:t>
                  </w:r>
                </w:p>
              </w:tc>
              <w:tc>
                <w:tcPr>
                  <w:tcW w:w="580" w:type="pct"/>
                  <w:vAlign w:val="center"/>
                </w:tcPr>
                <w:p w14:paraId="5262F0D6">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0.67</w:t>
                  </w:r>
                </w:p>
              </w:tc>
              <w:tc>
                <w:tcPr>
                  <w:tcW w:w="610" w:type="pct"/>
                  <w:vAlign w:val="center"/>
                </w:tcPr>
                <w:p w14:paraId="38BE30CA">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0.12</w:t>
                  </w:r>
                </w:p>
              </w:tc>
              <w:tc>
                <w:tcPr>
                  <w:tcW w:w="523" w:type="pct"/>
                  <w:vAlign w:val="center"/>
                </w:tcPr>
                <w:p w14:paraId="73628734">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仓库</w:t>
                  </w:r>
                </w:p>
              </w:tc>
              <w:tc>
                <w:tcPr>
                  <w:tcW w:w="739" w:type="pct"/>
                  <w:vAlign w:val="center"/>
                </w:tcPr>
                <w:p w14:paraId="25E9BD38">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5L/桶</w:t>
                  </w:r>
                </w:p>
              </w:tc>
            </w:tr>
            <w:tr w14:paraId="53B1B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6" w:type="pct"/>
                  <w:vAlign w:val="center"/>
                </w:tcPr>
                <w:p w14:paraId="2658BF0D">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9</w:t>
                  </w:r>
                </w:p>
              </w:tc>
              <w:tc>
                <w:tcPr>
                  <w:tcW w:w="1657" w:type="pct"/>
                  <w:vAlign w:val="center"/>
                </w:tcPr>
                <w:p w14:paraId="35A60A40">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有机硅耐高温铝粉漆</w:t>
                  </w:r>
                </w:p>
              </w:tc>
              <w:tc>
                <w:tcPr>
                  <w:tcW w:w="606" w:type="pct"/>
                  <w:vAlign w:val="center"/>
                </w:tcPr>
                <w:p w14:paraId="3DE3F964">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t/a</w:t>
                  </w:r>
                </w:p>
              </w:tc>
              <w:tc>
                <w:tcPr>
                  <w:tcW w:w="580" w:type="pct"/>
                  <w:vAlign w:val="center"/>
                </w:tcPr>
                <w:p w14:paraId="6DE33762">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0.37</w:t>
                  </w:r>
                </w:p>
              </w:tc>
              <w:tc>
                <w:tcPr>
                  <w:tcW w:w="610" w:type="pct"/>
                  <w:vAlign w:val="center"/>
                </w:tcPr>
                <w:p w14:paraId="40D0A46F">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0.06</w:t>
                  </w:r>
                </w:p>
              </w:tc>
              <w:tc>
                <w:tcPr>
                  <w:tcW w:w="523" w:type="pct"/>
                  <w:vAlign w:val="center"/>
                </w:tcPr>
                <w:p w14:paraId="1F411DA7">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仓库</w:t>
                  </w:r>
                </w:p>
              </w:tc>
              <w:tc>
                <w:tcPr>
                  <w:tcW w:w="739" w:type="pct"/>
                  <w:vAlign w:val="center"/>
                </w:tcPr>
                <w:p w14:paraId="201B55A7">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5L/桶</w:t>
                  </w:r>
                </w:p>
              </w:tc>
            </w:tr>
            <w:tr w14:paraId="1D2D6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6" w:type="pct"/>
                  <w:vAlign w:val="center"/>
                </w:tcPr>
                <w:p w14:paraId="069249D7">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10</w:t>
                  </w:r>
                </w:p>
              </w:tc>
              <w:tc>
                <w:tcPr>
                  <w:tcW w:w="1657" w:type="pct"/>
                  <w:vAlign w:val="center"/>
                </w:tcPr>
                <w:p w14:paraId="35277A66">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4号稀释剂</w:t>
                  </w:r>
                </w:p>
              </w:tc>
              <w:tc>
                <w:tcPr>
                  <w:tcW w:w="606" w:type="pct"/>
                  <w:vAlign w:val="center"/>
                </w:tcPr>
                <w:p w14:paraId="468F64DC">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t/a</w:t>
                  </w:r>
                </w:p>
              </w:tc>
              <w:tc>
                <w:tcPr>
                  <w:tcW w:w="580" w:type="pct"/>
                  <w:vAlign w:val="center"/>
                </w:tcPr>
                <w:p w14:paraId="061D228B">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0.02</w:t>
                  </w:r>
                </w:p>
              </w:tc>
              <w:tc>
                <w:tcPr>
                  <w:tcW w:w="610" w:type="pct"/>
                  <w:vAlign w:val="center"/>
                </w:tcPr>
                <w:p w14:paraId="26C2E113">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0.02</w:t>
                  </w:r>
                </w:p>
              </w:tc>
              <w:tc>
                <w:tcPr>
                  <w:tcW w:w="523" w:type="pct"/>
                  <w:vAlign w:val="center"/>
                </w:tcPr>
                <w:p w14:paraId="1D4160AF">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仓库</w:t>
                  </w:r>
                </w:p>
              </w:tc>
              <w:tc>
                <w:tcPr>
                  <w:tcW w:w="739" w:type="pct"/>
                  <w:vAlign w:val="center"/>
                </w:tcPr>
                <w:p w14:paraId="7026D7B0">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5L/桶</w:t>
                  </w:r>
                </w:p>
              </w:tc>
            </w:tr>
            <w:tr w14:paraId="5D42C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6" w:type="pct"/>
                  <w:vAlign w:val="center"/>
                </w:tcPr>
                <w:p w14:paraId="04E16872">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11</w:t>
                  </w:r>
                </w:p>
              </w:tc>
              <w:tc>
                <w:tcPr>
                  <w:tcW w:w="1657" w:type="pct"/>
                  <w:vAlign w:val="center"/>
                </w:tcPr>
                <w:p w14:paraId="56709B4E">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17号稀释剂</w:t>
                  </w:r>
                </w:p>
              </w:tc>
              <w:tc>
                <w:tcPr>
                  <w:tcW w:w="606" w:type="pct"/>
                  <w:vAlign w:val="center"/>
                </w:tcPr>
                <w:p w14:paraId="3902DA86">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t/a</w:t>
                  </w:r>
                </w:p>
              </w:tc>
              <w:tc>
                <w:tcPr>
                  <w:tcW w:w="580" w:type="pct"/>
                  <w:vAlign w:val="center"/>
                </w:tcPr>
                <w:p w14:paraId="3D8622B1">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0.17</w:t>
                  </w:r>
                </w:p>
              </w:tc>
              <w:tc>
                <w:tcPr>
                  <w:tcW w:w="610" w:type="pct"/>
                  <w:vAlign w:val="center"/>
                </w:tcPr>
                <w:p w14:paraId="5DEDBC3C">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0.03</w:t>
                  </w:r>
                </w:p>
              </w:tc>
              <w:tc>
                <w:tcPr>
                  <w:tcW w:w="523" w:type="pct"/>
                  <w:vAlign w:val="center"/>
                </w:tcPr>
                <w:p w14:paraId="045B4522">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仓库</w:t>
                  </w:r>
                </w:p>
              </w:tc>
              <w:tc>
                <w:tcPr>
                  <w:tcW w:w="739" w:type="pct"/>
                  <w:vAlign w:val="center"/>
                </w:tcPr>
                <w:p w14:paraId="3C77DC14">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5L/桶</w:t>
                  </w:r>
                </w:p>
              </w:tc>
            </w:tr>
            <w:tr w14:paraId="3D9F4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6" w:type="pct"/>
                  <w:vAlign w:val="center"/>
                </w:tcPr>
                <w:p w14:paraId="7C9D045B">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12</w:t>
                  </w:r>
                </w:p>
              </w:tc>
              <w:tc>
                <w:tcPr>
                  <w:tcW w:w="1657" w:type="pct"/>
                  <w:vAlign w:val="center"/>
                </w:tcPr>
                <w:p w14:paraId="2EBCFF6F">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活性炭</w:t>
                  </w:r>
                </w:p>
              </w:tc>
              <w:tc>
                <w:tcPr>
                  <w:tcW w:w="606" w:type="pct"/>
                  <w:vAlign w:val="center"/>
                </w:tcPr>
                <w:p w14:paraId="23A02037">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t/a</w:t>
                  </w:r>
                </w:p>
              </w:tc>
              <w:tc>
                <w:tcPr>
                  <w:tcW w:w="580" w:type="pct"/>
                  <w:vAlign w:val="center"/>
                </w:tcPr>
                <w:p w14:paraId="51009E1E">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0.88</w:t>
                  </w:r>
                </w:p>
              </w:tc>
              <w:tc>
                <w:tcPr>
                  <w:tcW w:w="610" w:type="pct"/>
                  <w:vAlign w:val="center"/>
                </w:tcPr>
                <w:p w14:paraId="1FBED152">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w:t>
                  </w:r>
                </w:p>
              </w:tc>
              <w:tc>
                <w:tcPr>
                  <w:tcW w:w="523" w:type="pct"/>
                  <w:vAlign w:val="center"/>
                </w:tcPr>
                <w:p w14:paraId="76710A42">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仓库</w:t>
                  </w:r>
                </w:p>
              </w:tc>
              <w:tc>
                <w:tcPr>
                  <w:tcW w:w="739" w:type="pct"/>
                  <w:vAlign w:val="center"/>
                </w:tcPr>
                <w:p w14:paraId="69A36D27">
                  <w:pPr>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外购</w:t>
                  </w:r>
                </w:p>
              </w:tc>
            </w:tr>
            <w:tr w14:paraId="7B271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6" w:type="pct"/>
                  <w:vAlign w:val="center"/>
                </w:tcPr>
                <w:p w14:paraId="7D475A4A">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13</w:t>
                  </w:r>
                </w:p>
              </w:tc>
              <w:tc>
                <w:tcPr>
                  <w:tcW w:w="1657" w:type="pct"/>
                  <w:vAlign w:val="center"/>
                </w:tcPr>
                <w:p w14:paraId="355FC903">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水</w:t>
                  </w:r>
                </w:p>
              </w:tc>
              <w:tc>
                <w:tcPr>
                  <w:tcW w:w="606" w:type="pct"/>
                  <w:vAlign w:val="center"/>
                </w:tcPr>
                <w:p w14:paraId="36AF42F2">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m</w:t>
                  </w:r>
                  <w:r>
                    <w:rPr>
                      <w:color w:val="0D0D0D" w:themeColor="text1" w:themeTint="F2"/>
                      <w:szCs w:val="21"/>
                      <w:u w:val="single"/>
                      <w:vertAlign w:val="superscript"/>
                      <w14:textFill>
                        <w14:solidFill>
                          <w14:schemeClr w14:val="tx1">
                            <w14:lumMod w14:val="95000"/>
                            <w14:lumOff w14:val="5000"/>
                          </w14:schemeClr>
                        </w14:solidFill>
                      </w14:textFill>
                    </w:rPr>
                    <w:t>3</w:t>
                  </w:r>
                  <w:r>
                    <w:rPr>
                      <w:color w:val="0D0D0D" w:themeColor="text1" w:themeTint="F2"/>
                      <w:szCs w:val="21"/>
                      <w:u w:val="single"/>
                      <w14:textFill>
                        <w14:solidFill>
                          <w14:schemeClr w14:val="tx1">
                            <w14:lumMod w14:val="95000"/>
                            <w14:lumOff w14:val="5000"/>
                          </w14:schemeClr>
                        </w14:solidFill>
                      </w14:textFill>
                    </w:rPr>
                    <w:t>/a</w:t>
                  </w:r>
                </w:p>
              </w:tc>
              <w:tc>
                <w:tcPr>
                  <w:tcW w:w="580" w:type="pct"/>
                  <w:vAlign w:val="center"/>
                </w:tcPr>
                <w:p w14:paraId="7CA802FF">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1149</w:t>
                  </w:r>
                </w:p>
              </w:tc>
              <w:tc>
                <w:tcPr>
                  <w:tcW w:w="610" w:type="pct"/>
                  <w:vAlign w:val="center"/>
                </w:tcPr>
                <w:p w14:paraId="6D790878">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w:t>
                  </w:r>
                </w:p>
              </w:tc>
              <w:tc>
                <w:tcPr>
                  <w:tcW w:w="523" w:type="pct"/>
                  <w:vAlign w:val="center"/>
                </w:tcPr>
                <w:p w14:paraId="5AA986A6">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w:t>
                  </w:r>
                </w:p>
              </w:tc>
              <w:tc>
                <w:tcPr>
                  <w:tcW w:w="739" w:type="pct"/>
                  <w:vAlign w:val="center"/>
                </w:tcPr>
                <w:p w14:paraId="5487DC9C">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市政供给</w:t>
                  </w:r>
                </w:p>
              </w:tc>
            </w:tr>
            <w:tr w14:paraId="6775A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6" w:type="pct"/>
                  <w:vAlign w:val="center"/>
                </w:tcPr>
                <w:p w14:paraId="26879213">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14</w:t>
                  </w:r>
                </w:p>
              </w:tc>
              <w:tc>
                <w:tcPr>
                  <w:tcW w:w="1657" w:type="pct"/>
                  <w:vAlign w:val="center"/>
                </w:tcPr>
                <w:p w14:paraId="39FBBAF2">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电</w:t>
                  </w:r>
                </w:p>
              </w:tc>
              <w:tc>
                <w:tcPr>
                  <w:tcW w:w="606" w:type="pct"/>
                  <w:vAlign w:val="center"/>
                </w:tcPr>
                <w:p w14:paraId="093F99CE">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kW</w:t>
                  </w:r>
                  <w:r>
                    <w:rPr>
                      <w:rFonts w:hint="eastAsia"/>
                      <w:color w:val="0D0D0D" w:themeColor="text1" w:themeTint="F2"/>
                      <w:szCs w:val="21"/>
                      <w:u w:val="single"/>
                      <w14:textFill>
                        <w14:solidFill>
                          <w14:schemeClr w14:val="tx1">
                            <w14:lumMod w14:val="95000"/>
                            <w14:lumOff w14:val="5000"/>
                          </w14:schemeClr>
                        </w14:solidFill>
                      </w14:textFill>
                    </w:rPr>
                    <w:t>·</w:t>
                  </w:r>
                  <w:r>
                    <w:rPr>
                      <w:color w:val="0D0D0D" w:themeColor="text1" w:themeTint="F2"/>
                      <w:szCs w:val="21"/>
                      <w:u w:val="single"/>
                      <w14:textFill>
                        <w14:solidFill>
                          <w14:schemeClr w14:val="tx1">
                            <w14:lumMod w14:val="95000"/>
                            <w14:lumOff w14:val="5000"/>
                          </w14:schemeClr>
                        </w14:solidFill>
                      </w14:textFill>
                    </w:rPr>
                    <w:t>h</w:t>
                  </w:r>
                  <w:r>
                    <w:rPr>
                      <w:rFonts w:hint="eastAsia"/>
                      <w:color w:val="0D0D0D" w:themeColor="text1" w:themeTint="F2"/>
                      <w:szCs w:val="21"/>
                      <w:u w:val="single"/>
                      <w14:textFill>
                        <w14:solidFill>
                          <w14:schemeClr w14:val="tx1">
                            <w14:lumMod w14:val="95000"/>
                            <w14:lumOff w14:val="5000"/>
                          </w14:schemeClr>
                        </w14:solidFill>
                      </w14:textFill>
                    </w:rPr>
                    <w:t>/</w:t>
                  </w:r>
                  <w:r>
                    <w:rPr>
                      <w:color w:val="0D0D0D" w:themeColor="text1" w:themeTint="F2"/>
                      <w:szCs w:val="21"/>
                      <w:u w:val="single"/>
                      <w14:textFill>
                        <w14:solidFill>
                          <w14:schemeClr w14:val="tx1">
                            <w14:lumMod w14:val="95000"/>
                            <w14:lumOff w14:val="5000"/>
                          </w14:schemeClr>
                        </w14:solidFill>
                      </w14:textFill>
                    </w:rPr>
                    <w:t>a</w:t>
                  </w:r>
                </w:p>
              </w:tc>
              <w:tc>
                <w:tcPr>
                  <w:tcW w:w="580" w:type="pct"/>
                  <w:vAlign w:val="center"/>
                </w:tcPr>
                <w:p w14:paraId="67FC16AD">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5万</w:t>
                  </w:r>
                </w:p>
              </w:tc>
              <w:tc>
                <w:tcPr>
                  <w:tcW w:w="610" w:type="pct"/>
                  <w:vAlign w:val="center"/>
                </w:tcPr>
                <w:p w14:paraId="54814795">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w:t>
                  </w:r>
                </w:p>
              </w:tc>
              <w:tc>
                <w:tcPr>
                  <w:tcW w:w="523" w:type="pct"/>
                  <w:vAlign w:val="center"/>
                </w:tcPr>
                <w:p w14:paraId="65F7933F">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w:t>
                  </w:r>
                </w:p>
              </w:tc>
              <w:tc>
                <w:tcPr>
                  <w:tcW w:w="739" w:type="pct"/>
                  <w:vAlign w:val="center"/>
                </w:tcPr>
                <w:p w14:paraId="4CFED672">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市政供给</w:t>
                  </w:r>
                </w:p>
              </w:tc>
            </w:tr>
          </w:tbl>
          <w:p w14:paraId="0216DC5C">
            <w:pPr>
              <w:spacing w:line="360" w:lineRule="auto"/>
              <w:ind w:firstLine="480" w:firstLineChars="200"/>
              <w:rPr>
                <w:color w:val="0D0D0D" w:themeColor="text1" w:themeTint="F2"/>
                <w:sz w:val="24"/>
                <w:u w:val="single"/>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项目防腐分为常规防腐和高温防腐，其中常规防腐喷涂工艺路线为环氧富锌底漆和环氧云铁中间漆；高温防腐喷涂工艺路线为无机硅酸富锌底漆和有机硅耐高温铝粉漆。项目年加工钢材20000m</w:t>
            </w:r>
            <w:r>
              <w:rPr>
                <w:rFonts w:hint="eastAsia"/>
                <w:color w:val="0D0D0D" w:themeColor="text1" w:themeTint="F2"/>
                <w:sz w:val="24"/>
                <w:vertAlign w:val="superscript"/>
                <w14:textFill>
                  <w14:solidFill>
                    <w14:schemeClr w14:val="tx1">
                      <w14:lumMod w14:val="95000"/>
                      <w14:lumOff w14:val="5000"/>
                    </w14:schemeClr>
                  </w14:solidFill>
                </w14:textFill>
              </w:rPr>
              <w:t>2</w:t>
            </w:r>
            <w:r>
              <w:rPr>
                <w:rFonts w:hint="eastAsia"/>
                <w:color w:val="0D0D0D" w:themeColor="text1" w:themeTint="F2"/>
                <w:sz w:val="24"/>
                <w14:textFill>
                  <w14:solidFill>
                    <w14:schemeClr w14:val="tx1">
                      <w14:lumMod w14:val="95000"/>
                      <w14:lumOff w14:val="5000"/>
                    </w14:schemeClr>
                  </w14:solidFill>
                </w14:textFill>
              </w:rPr>
              <w:t>，其中常规防腐15000m</w:t>
            </w:r>
            <w:r>
              <w:rPr>
                <w:rFonts w:hint="eastAsia"/>
                <w:color w:val="0D0D0D" w:themeColor="text1" w:themeTint="F2"/>
                <w:sz w:val="24"/>
                <w:vertAlign w:val="superscript"/>
                <w14:textFill>
                  <w14:solidFill>
                    <w14:schemeClr w14:val="tx1">
                      <w14:lumMod w14:val="95000"/>
                      <w14:lumOff w14:val="5000"/>
                    </w14:schemeClr>
                  </w14:solidFill>
                </w14:textFill>
              </w:rPr>
              <w:t>2</w:t>
            </w:r>
            <w:r>
              <w:rPr>
                <w:rFonts w:hint="eastAsia"/>
                <w:color w:val="0D0D0D" w:themeColor="text1" w:themeTint="F2"/>
                <w:sz w:val="24"/>
                <w14:textFill>
                  <w14:solidFill>
                    <w14:schemeClr w14:val="tx1">
                      <w14:lumMod w14:val="95000"/>
                      <w14:lumOff w14:val="5000"/>
                    </w14:schemeClr>
                  </w14:solidFill>
                </w14:textFill>
              </w:rPr>
              <w:t>/a，高温防腐5000m</w:t>
            </w:r>
            <w:r>
              <w:rPr>
                <w:rFonts w:hint="eastAsia"/>
                <w:color w:val="0D0D0D" w:themeColor="text1" w:themeTint="F2"/>
                <w:sz w:val="24"/>
                <w:vertAlign w:val="superscript"/>
                <w14:textFill>
                  <w14:solidFill>
                    <w14:schemeClr w14:val="tx1">
                      <w14:lumMod w14:val="95000"/>
                      <w14:lumOff w14:val="5000"/>
                    </w14:schemeClr>
                  </w14:solidFill>
                </w14:textFill>
              </w:rPr>
              <w:t>2</w:t>
            </w:r>
            <w:r>
              <w:rPr>
                <w:rFonts w:hint="eastAsia"/>
                <w:color w:val="0D0D0D" w:themeColor="text1" w:themeTint="F2"/>
                <w:sz w:val="24"/>
                <w14:textFill>
                  <w14:solidFill>
                    <w14:schemeClr w14:val="tx1">
                      <w14:lumMod w14:val="95000"/>
                      <w14:lumOff w14:val="5000"/>
                    </w14:schemeClr>
                  </w14:solidFill>
                </w14:textFill>
              </w:rPr>
              <w:t>/a，每种涂料喷涂层数均为1层。</w:t>
            </w:r>
            <w:r>
              <w:rPr>
                <w:rFonts w:hint="eastAsia"/>
                <w:color w:val="0D0D0D" w:themeColor="text1" w:themeTint="F2"/>
                <w:sz w:val="24"/>
                <w:u w:val="single"/>
                <w14:textFill>
                  <w14:solidFill>
                    <w14:schemeClr w14:val="tx1">
                      <w14:lumMod w14:val="95000"/>
                      <w14:lumOff w14:val="5000"/>
                    </w14:schemeClr>
                  </w14:solidFill>
                </w14:textFill>
              </w:rPr>
              <w:t>项目使用高压无气喷涂机进行喷涂作业，根据建设单位提供的资料，高压无气喷涂机上漆率为85%。</w:t>
            </w:r>
          </w:p>
          <w:p w14:paraId="42106261">
            <w:pPr>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根据油漆及稀释剂产品技术参数（附件9），油漆和稀释剂相关资料如下：</w:t>
            </w:r>
          </w:p>
          <w:p w14:paraId="099AFC7C">
            <w:pPr>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（1）环氧富锌底漆</w:t>
            </w:r>
          </w:p>
          <w:p w14:paraId="19D4D1FA">
            <w:pPr>
              <w:spacing w:line="360" w:lineRule="auto"/>
              <w:ind w:firstLine="480" w:firstLineChars="200"/>
              <w:rPr>
                <w:color w:val="0D0D0D" w:themeColor="text1" w:themeTint="F2"/>
                <w:sz w:val="24"/>
                <w:u w:val="single"/>
                <w14:textFill>
                  <w14:solidFill>
                    <w14:schemeClr w14:val="tx1">
                      <w14:lumMod w14:val="95000"/>
                      <w14:lumOff w14:val="5000"/>
                    </w14:schemeClr>
                  </w14:solidFill>
                </w14:textFill>
              </w:rPr>
            </w:pPr>
            <w:r>
              <w:rPr>
                <w:rFonts w:hint="eastAsia"/>
                <w:color w:val="0D0D0D" w:themeColor="text1" w:themeTint="F2"/>
                <w:sz w:val="24"/>
                <w:u w:val="single"/>
                <w14:textFill>
                  <w14:solidFill>
                    <w14:schemeClr w14:val="tx1">
                      <w14:lumMod w14:val="95000"/>
                      <w14:lumOff w14:val="5000"/>
                    </w14:schemeClr>
                  </w14:solidFill>
                </w14:textFill>
              </w:rPr>
              <w:t>为双组份聚胺固化富锌环氧涂料，组分A和组分B使用比例为3.5：1（体积比），按双组份聚胺固化富锌环氧涂料体积的5%添加17号稀释剂加速挥发，常温下干燥时间为2小时，干膜厚度为60~100μm，理论涂布率为9.5~5.9m</w:t>
            </w:r>
            <w:r>
              <w:rPr>
                <w:rFonts w:hint="eastAsia"/>
                <w:color w:val="0D0D0D" w:themeColor="text1" w:themeTint="F2"/>
                <w:sz w:val="24"/>
                <w:u w:val="single"/>
                <w:vertAlign w:val="superscript"/>
                <w14:textFill>
                  <w14:solidFill>
                    <w14:schemeClr w14:val="tx1">
                      <w14:lumMod w14:val="95000"/>
                      <w14:lumOff w14:val="5000"/>
                    </w14:schemeClr>
                  </w14:solidFill>
                </w14:textFill>
              </w:rPr>
              <w:t>2</w:t>
            </w:r>
            <w:r>
              <w:rPr>
                <w:rFonts w:hint="eastAsia"/>
                <w:color w:val="0D0D0D" w:themeColor="text1" w:themeTint="F2"/>
                <w:sz w:val="24"/>
                <w:u w:val="single"/>
                <w14:textFill>
                  <w14:solidFill>
                    <w14:schemeClr w14:val="tx1">
                      <w14:lumMod w14:val="95000"/>
                      <w14:lumOff w14:val="5000"/>
                    </w14:schemeClr>
                  </w14:solidFill>
                </w14:textFill>
              </w:rPr>
              <w:t>/L，固体分含量59%，密度为2.6kg/L。根据委托方防腐需求，项目喷涂工序干膜厚度控制在60μm，涂布率按9.5m</w:t>
            </w:r>
            <w:r>
              <w:rPr>
                <w:rFonts w:hint="eastAsia"/>
                <w:color w:val="0D0D0D" w:themeColor="text1" w:themeTint="F2"/>
                <w:sz w:val="24"/>
                <w:u w:val="single"/>
                <w:vertAlign w:val="superscript"/>
                <w14:textFill>
                  <w14:solidFill>
                    <w14:schemeClr w14:val="tx1">
                      <w14:lumMod w14:val="95000"/>
                      <w14:lumOff w14:val="5000"/>
                    </w14:schemeClr>
                  </w14:solidFill>
                </w14:textFill>
              </w:rPr>
              <w:t>2</w:t>
            </w:r>
            <w:r>
              <w:rPr>
                <w:rFonts w:hint="eastAsia"/>
                <w:color w:val="0D0D0D" w:themeColor="text1" w:themeTint="F2"/>
                <w:sz w:val="24"/>
                <w:u w:val="single"/>
                <w14:textFill>
                  <w14:solidFill>
                    <w14:schemeClr w14:val="tx1">
                      <w14:lumMod w14:val="95000"/>
                      <w14:lumOff w14:val="5000"/>
                    </w14:schemeClr>
                  </w14:solidFill>
                </w14:textFill>
              </w:rPr>
              <w:t>/L计。</w:t>
            </w:r>
          </w:p>
          <w:p w14:paraId="285F76DA">
            <w:pPr>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（2）</w:t>
            </w:r>
            <w:bookmarkStart w:id="5" w:name="OLE_LINK1"/>
            <w:r>
              <w:rPr>
                <w:rFonts w:hint="eastAsia"/>
                <w:color w:val="0D0D0D" w:themeColor="text1" w:themeTint="F2"/>
                <w:sz w:val="24"/>
                <w14:textFill>
                  <w14:solidFill>
                    <w14:schemeClr w14:val="tx1">
                      <w14:lumMod w14:val="95000"/>
                      <w14:lumOff w14:val="5000"/>
                    </w14:schemeClr>
                  </w14:solidFill>
                </w14:textFill>
              </w:rPr>
              <w:t>环氧云铁中间漆</w:t>
            </w:r>
            <w:bookmarkEnd w:id="5"/>
          </w:p>
          <w:p w14:paraId="715F59BE">
            <w:pPr>
              <w:spacing w:line="360" w:lineRule="auto"/>
              <w:ind w:firstLine="480" w:firstLineChars="200"/>
              <w:rPr>
                <w:color w:val="0D0D0D" w:themeColor="text1" w:themeTint="F2"/>
                <w:sz w:val="24"/>
                <w:u w:val="single"/>
                <w14:textFill>
                  <w14:solidFill>
                    <w14:schemeClr w14:val="tx1">
                      <w14:lumMod w14:val="95000"/>
                      <w14:lumOff w14:val="5000"/>
                    </w14:schemeClr>
                  </w14:solidFill>
                </w14:textFill>
              </w:rPr>
            </w:pPr>
            <w:r>
              <w:rPr>
                <w:rFonts w:hint="eastAsia"/>
                <w:color w:val="0D0D0D" w:themeColor="text1" w:themeTint="F2"/>
                <w:sz w:val="24"/>
                <w:u w:val="single"/>
                <w14:textFill>
                  <w14:solidFill>
                    <w14:schemeClr w14:val="tx1">
                      <w14:lumMod w14:val="95000"/>
                      <w14:lumOff w14:val="5000"/>
                    </w14:schemeClr>
                  </w14:solidFill>
                </w14:textFill>
              </w:rPr>
              <w:t>为双组份聚胺固化环氧涂料，组分A和组分B使用比例为5：1（体积比），按环氧云铁中间漆体积的5%添加17号稀释剂，常温下干燥时间为5小时，干膜厚度为80~200μm，理论涂布率为8.9~3.55m</w:t>
            </w:r>
            <w:r>
              <w:rPr>
                <w:rFonts w:hint="eastAsia"/>
                <w:color w:val="0D0D0D" w:themeColor="text1" w:themeTint="F2"/>
                <w:sz w:val="24"/>
                <w:u w:val="single"/>
                <w:vertAlign w:val="superscript"/>
                <w14:textFill>
                  <w14:solidFill>
                    <w14:schemeClr w14:val="tx1">
                      <w14:lumMod w14:val="95000"/>
                      <w14:lumOff w14:val="5000"/>
                    </w14:schemeClr>
                  </w14:solidFill>
                </w14:textFill>
              </w:rPr>
              <w:t>2</w:t>
            </w:r>
            <w:r>
              <w:rPr>
                <w:rFonts w:hint="eastAsia"/>
                <w:color w:val="0D0D0D" w:themeColor="text1" w:themeTint="F2"/>
                <w:sz w:val="24"/>
                <w:u w:val="single"/>
                <w14:textFill>
                  <w14:solidFill>
                    <w14:schemeClr w14:val="tx1">
                      <w14:lumMod w14:val="95000"/>
                      <w14:lumOff w14:val="5000"/>
                    </w14:schemeClr>
                  </w14:solidFill>
                </w14:textFill>
              </w:rPr>
              <w:t>/L，固体分含量71%，密度为1.54kg/L。根据委托方防腐需求，项目喷涂工序干膜厚度控制在80μm，涂布率按8.9m</w:t>
            </w:r>
            <w:r>
              <w:rPr>
                <w:rFonts w:hint="eastAsia"/>
                <w:color w:val="0D0D0D" w:themeColor="text1" w:themeTint="F2"/>
                <w:sz w:val="24"/>
                <w:u w:val="single"/>
                <w:vertAlign w:val="superscript"/>
                <w14:textFill>
                  <w14:solidFill>
                    <w14:schemeClr w14:val="tx1">
                      <w14:lumMod w14:val="95000"/>
                      <w14:lumOff w14:val="5000"/>
                    </w14:schemeClr>
                  </w14:solidFill>
                </w14:textFill>
              </w:rPr>
              <w:t>2</w:t>
            </w:r>
            <w:r>
              <w:rPr>
                <w:rFonts w:hint="eastAsia"/>
                <w:color w:val="0D0D0D" w:themeColor="text1" w:themeTint="F2"/>
                <w:sz w:val="24"/>
                <w:u w:val="single"/>
                <w14:textFill>
                  <w14:solidFill>
                    <w14:schemeClr w14:val="tx1">
                      <w14:lumMod w14:val="95000"/>
                      <w14:lumOff w14:val="5000"/>
                    </w14:schemeClr>
                  </w14:solidFill>
                </w14:textFill>
              </w:rPr>
              <w:t>/计。</w:t>
            </w:r>
          </w:p>
          <w:p w14:paraId="14882EC0">
            <w:pPr>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（3）</w:t>
            </w:r>
            <w:bookmarkStart w:id="6" w:name="OLE_LINK2"/>
            <w:r>
              <w:rPr>
                <w:rFonts w:hint="eastAsia"/>
                <w:color w:val="0D0D0D" w:themeColor="text1" w:themeTint="F2"/>
                <w:sz w:val="24"/>
                <w14:textFill>
                  <w14:solidFill>
                    <w14:schemeClr w14:val="tx1">
                      <w14:lumMod w14:val="95000"/>
                      <w14:lumOff w14:val="5000"/>
                    </w14:schemeClr>
                  </w14:solidFill>
                </w14:textFill>
              </w:rPr>
              <w:t>无机硅酸富锌底漆</w:t>
            </w:r>
            <w:bookmarkEnd w:id="6"/>
          </w:p>
          <w:p w14:paraId="477647CD">
            <w:pPr>
              <w:spacing w:line="360" w:lineRule="auto"/>
              <w:ind w:firstLine="480" w:firstLineChars="200"/>
              <w:rPr>
                <w:color w:val="0D0D0D" w:themeColor="text1" w:themeTint="F2"/>
                <w:sz w:val="24"/>
                <w:u w:val="single"/>
                <w14:textFill>
                  <w14:solidFill>
                    <w14:schemeClr w14:val="tx1">
                      <w14:lumMod w14:val="95000"/>
                      <w14:lumOff w14:val="5000"/>
                    </w14:schemeClr>
                  </w14:solidFill>
                </w14:textFill>
              </w:rPr>
            </w:pPr>
            <w:r>
              <w:rPr>
                <w:rFonts w:hint="eastAsia"/>
                <w:color w:val="0D0D0D" w:themeColor="text1" w:themeTint="F2"/>
                <w:sz w:val="24"/>
                <w:u w:val="single"/>
                <w14:textFill>
                  <w14:solidFill>
                    <w14:schemeClr w14:val="tx1">
                      <w14:lumMod w14:val="95000"/>
                      <w14:lumOff w14:val="5000"/>
                    </w14:schemeClr>
                  </w14:solidFill>
                </w14:textFill>
              </w:rPr>
              <w:t>为双组份湿气固化无机硅酸锌涂料，组分A和组分B使用比例为9：2.6（体积比），按无机硅酸富锌底漆体积的5%添加4号稀释剂加速挥发，添加比例不超过5%体积比，常温下干燥时间为0.5小时，干膜厚度为50~90μm，理论涂布率为14.4~8m</w:t>
            </w:r>
            <w:r>
              <w:rPr>
                <w:rFonts w:hint="eastAsia"/>
                <w:color w:val="0D0D0D" w:themeColor="text1" w:themeTint="F2"/>
                <w:sz w:val="24"/>
                <w:u w:val="single"/>
                <w:vertAlign w:val="superscript"/>
                <w14:textFill>
                  <w14:solidFill>
                    <w14:schemeClr w14:val="tx1">
                      <w14:lumMod w14:val="95000"/>
                      <w14:lumOff w14:val="5000"/>
                    </w14:schemeClr>
                  </w14:solidFill>
                </w14:textFill>
              </w:rPr>
              <w:t>2</w:t>
            </w:r>
            <w:r>
              <w:rPr>
                <w:rFonts w:hint="eastAsia"/>
                <w:color w:val="0D0D0D" w:themeColor="text1" w:themeTint="F2"/>
                <w:sz w:val="24"/>
                <w:u w:val="single"/>
                <w14:textFill>
                  <w14:solidFill>
                    <w14:schemeClr w14:val="tx1">
                      <w14:lumMod w14:val="95000"/>
                      <w14:lumOff w14:val="5000"/>
                    </w14:schemeClr>
                  </w14:solidFill>
                </w14:textFill>
              </w:rPr>
              <w:t>/L，固体分含量72%，密度为2.5kg/L。根据委托方防腐需求，项目喷涂工序干膜厚度控制在50μm，涂布率按14.4m</w:t>
            </w:r>
            <w:r>
              <w:rPr>
                <w:rFonts w:hint="eastAsia"/>
                <w:color w:val="0D0D0D" w:themeColor="text1" w:themeTint="F2"/>
                <w:sz w:val="24"/>
                <w:u w:val="single"/>
                <w:vertAlign w:val="superscript"/>
                <w14:textFill>
                  <w14:solidFill>
                    <w14:schemeClr w14:val="tx1">
                      <w14:lumMod w14:val="95000"/>
                      <w14:lumOff w14:val="5000"/>
                    </w14:schemeClr>
                  </w14:solidFill>
                </w14:textFill>
              </w:rPr>
              <w:t>2</w:t>
            </w:r>
            <w:r>
              <w:rPr>
                <w:rFonts w:hint="eastAsia"/>
                <w:color w:val="0D0D0D" w:themeColor="text1" w:themeTint="F2"/>
                <w:sz w:val="24"/>
                <w:u w:val="single"/>
                <w14:textFill>
                  <w14:solidFill>
                    <w14:schemeClr w14:val="tx1">
                      <w14:lumMod w14:val="95000"/>
                      <w14:lumOff w14:val="5000"/>
                    </w14:schemeClr>
                  </w14:solidFill>
                </w14:textFill>
              </w:rPr>
              <w:t>/计。</w:t>
            </w:r>
          </w:p>
          <w:p w14:paraId="6EF63A3D">
            <w:pPr>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（4）有机硅耐高温铝粉漆</w:t>
            </w:r>
          </w:p>
          <w:p w14:paraId="77252414">
            <w:pPr>
              <w:spacing w:line="360" w:lineRule="auto"/>
              <w:ind w:firstLine="480" w:firstLineChars="200"/>
              <w:rPr>
                <w:color w:val="0D0D0D" w:themeColor="text1" w:themeTint="F2"/>
                <w:sz w:val="24"/>
                <w:u w:val="single"/>
                <w14:textFill>
                  <w14:solidFill>
                    <w14:schemeClr w14:val="tx1">
                      <w14:lumMod w14:val="95000"/>
                      <w14:lumOff w14:val="5000"/>
                    </w14:schemeClr>
                  </w14:solidFill>
                </w14:textFill>
              </w:rPr>
            </w:pPr>
            <w:r>
              <w:rPr>
                <w:rFonts w:hint="eastAsia"/>
                <w:color w:val="0D0D0D" w:themeColor="text1" w:themeTint="F2"/>
                <w:sz w:val="24"/>
                <w:u w:val="single"/>
                <w14:textFill>
                  <w14:solidFill>
                    <w14:schemeClr w14:val="tx1">
                      <w14:lumMod w14:val="95000"/>
                      <w14:lumOff w14:val="5000"/>
                    </w14:schemeClr>
                  </w14:solidFill>
                </w14:textFill>
              </w:rPr>
              <w:t>为高固体份，单组份物理干燥的有机硅丙烯酸涂料，不需使用稀释剂，常温下干燥时间为2小时，干膜厚度为20~40μm，理论涂布率为24~12m</w:t>
            </w:r>
            <w:r>
              <w:rPr>
                <w:rFonts w:hint="eastAsia"/>
                <w:color w:val="0D0D0D" w:themeColor="text1" w:themeTint="F2"/>
                <w:sz w:val="24"/>
                <w:u w:val="single"/>
                <w:vertAlign w:val="superscript"/>
                <w14:textFill>
                  <w14:solidFill>
                    <w14:schemeClr w14:val="tx1">
                      <w14:lumMod w14:val="95000"/>
                      <w14:lumOff w14:val="5000"/>
                    </w14:schemeClr>
                  </w14:solidFill>
                </w14:textFill>
              </w:rPr>
              <w:t>2</w:t>
            </w:r>
            <w:r>
              <w:rPr>
                <w:rFonts w:hint="eastAsia"/>
                <w:color w:val="0D0D0D" w:themeColor="text1" w:themeTint="F2"/>
                <w:sz w:val="24"/>
                <w:u w:val="single"/>
                <w14:textFill>
                  <w14:solidFill>
                    <w14:schemeClr w14:val="tx1">
                      <w14:lumMod w14:val="95000"/>
                      <w14:lumOff w14:val="5000"/>
                    </w14:schemeClr>
                  </w14:solidFill>
                </w14:textFill>
              </w:rPr>
              <w:t>/L，固体分含量49%，密度为1.22kg/L。根据委托方防腐需求，项目喷涂工序干膜厚度控制在25μm，涂布率按19.6m</w:t>
            </w:r>
            <w:r>
              <w:rPr>
                <w:rFonts w:hint="eastAsia"/>
                <w:color w:val="0D0D0D" w:themeColor="text1" w:themeTint="F2"/>
                <w:sz w:val="24"/>
                <w:u w:val="single"/>
                <w:vertAlign w:val="superscript"/>
                <w14:textFill>
                  <w14:solidFill>
                    <w14:schemeClr w14:val="tx1">
                      <w14:lumMod w14:val="95000"/>
                      <w14:lumOff w14:val="5000"/>
                    </w14:schemeClr>
                  </w14:solidFill>
                </w14:textFill>
              </w:rPr>
              <w:t>2</w:t>
            </w:r>
            <w:r>
              <w:rPr>
                <w:rFonts w:hint="eastAsia"/>
                <w:color w:val="0D0D0D" w:themeColor="text1" w:themeTint="F2"/>
                <w:sz w:val="24"/>
                <w:u w:val="single"/>
                <w14:textFill>
                  <w14:solidFill>
                    <w14:schemeClr w14:val="tx1">
                      <w14:lumMod w14:val="95000"/>
                      <w14:lumOff w14:val="5000"/>
                    </w14:schemeClr>
                  </w14:solidFill>
                </w14:textFill>
              </w:rPr>
              <w:t>/计。</w:t>
            </w:r>
          </w:p>
          <w:p w14:paraId="4EE8D597">
            <w:pPr>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（5）佐敦4号稀释剂</w:t>
            </w:r>
          </w:p>
          <w:p w14:paraId="011FE2DD">
            <w:pPr>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用于提高无机硅酸锌在低温施工时的流平性，也可作为喷漆前后泵和工具的清洁剂，密度为0.8kg/L。</w:t>
            </w:r>
          </w:p>
          <w:p w14:paraId="116DF971">
            <w:pPr>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（6）佐敦17号稀释剂</w:t>
            </w:r>
          </w:p>
          <w:p w14:paraId="645C16F9">
            <w:pPr>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专用于改善一系列佐敦环氧型涂料的流动性，也可作为喷漆前后泵和工具的清洁剂，密度为0.9kg/L。</w:t>
            </w:r>
          </w:p>
          <w:p w14:paraId="486F64C1">
            <w:pPr>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油漆用量采用以下公式进行计算：</w:t>
            </w:r>
          </w:p>
          <w:p w14:paraId="74790F76">
            <w:pPr>
              <w:spacing w:line="360" w:lineRule="auto"/>
              <w:jc w:val="center"/>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m=ρδs×10</w:t>
            </w:r>
            <w:r>
              <w:rPr>
                <w:rFonts w:hint="eastAsia"/>
                <w:color w:val="0D0D0D" w:themeColor="text1" w:themeTint="F2"/>
                <w:sz w:val="24"/>
                <w:vertAlign w:val="superscript"/>
                <w14:textFill>
                  <w14:solidFill>
                    <w14:schemeClr w14:val="tx1">
                      <w14:lumMod w14:val="95000"/>
                      <w14:lumOff w14:val="5000"/>
                    </w14:schemeClr>
                  </w14:solidFill>
                </w14:textFill>
              </w:rPr>
              <w:t>-6</w:t>
            </w:r>
            <w:r>
              <w:rPr>
                <w:rFonts w:hint="eastAsia"/>
                <w:color w:val="0D0D0D" w:themeColor="text1" w:themeTint="F2"/>
                <w:sz w:val="24"/>
                <w14:textFill>
                  <w14:solidFill>
                    <w14:schemeClr w14:val="tx1">
                      <w14:lumMod w14:val="95000"/>
                      <w14:lumOff w14:val="5000"/>
                    </w14:schemeClr>
                  </w14:solidFill>
                </w14:textFill>
              </w:rPr>
              <w:t>/（NV·ε）</w:t>
            </w:r>
          </w:p>
          <w:p w14:paraId="6353096B">
            <w:pPr>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式中：</w:t>
            </w:r>
          </w:p>
          <w:p w14:paraId="039D28EA">
            <w:pPr>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m——漆总用量（t/a）；</w:t>
            </w:r>
          </w:p>
          <w:p w14:paraId="3F3740B8">
            <w:pPr>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ρ——油漆密度（g/cm³）；</w:t>
            </w:r>
          </w:p>
          <w:p w14:paraId="508A4FBD">
            <w:pPr>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δ——涂层厚度（μm）；</w:t>
            </w:r>
          </w:p>
          <w:p w14:paraId="270C3567">
            <w:pPr>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s——喷涂面积（m</w:t>
            </w:r>
            <w:r>
              <w:rPr>
                <w:rFonts w:hint="eastAsia"/>
                <w:color w:val="0D0D0D" w:themeColor="text1" w:themeTint="F2"/>
                <w:sz w:val="24"/>
                <w:vertAlign w:val="superscript"/>
                <w14:textFill>
                  <w14:solidFill>
                    <w14:schemeClr w14:val="tx1">
                      <w14:lumMod w14:val="95000"/>
                      <w14:lumOff w14:val="5000"/>
                    </w14:schemeClr>
                  </w14:solidFill>
                </w14:textFill>
              </w:rPr>
              <w:t>2</w:t>
            </w:r>
            <w:r>
              <w:rPr>
                <w:rFonts w:hint="eastAsia"/>
                <w:color w:val="0D0D0D" w:themeColor="text1" w:themeTint="F2"/>
                <w:sz w:val="24"/>
                <w14:textFill>
                  <w14:solidFill>
                    <w14:schemeClr w14:val="tx1">
                      <w14:lumMod w14:val="95000"/>
                      <w14:lumOff w14:val="5000"/>
                    </w14:schemeClr>
                  </w14:solidFill>
                </w14:textFill>
              </w:rPr>
              <w:t>/年）；</w:t>
            </w:r>
          </w:p>
          <w:p w14:paraId="1A696A31">
            <w:pPr>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NV——油漆中的体积固体份（%）；</w:t>
            </w:r>
          </w:p>
          <w:p w14:paraId="194BC85F">
            <w:pPr>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ε——上漆率。</w:t>
            </w:r>
          </w:p>
          <w:p w14:paraId="7AEE12F5">
            <w:pPr>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项目油漆用量核算参数详见表2-5。油漆用量核算结果详见表2-6。</w:t>
            </w:r>
          </w:p>
          <w:p w14:paraId="66E5FF16">
            <w:pPr>
              <w:jc w:val="center"/>
              <w:rPr>
                <w:b/>
                <w:bCs/>
                <w:color w:val="0D0D0D" w:themeColor="text1" w:themeTint="F2"/>
                <w:szCs w:val="21"/>
                <w14:textFill>
                  <w14:solidFill>
                    <w14:schemeClr w14:val="tx1">
                      <w14:lumMod w14:val="95000"/>
                      <w14:lumOff w14:val="5000"/>
                    </w14:schemeClr>
                  </w14:solidFill>
                </w14:textFill>
              </w:rPr>
            </w:pPr>
            <w:r>
              <w:rPr>
                <w:rFonts w:hint="eastAsia"/>
                <w:b/>
                <w:bCs/>
                <w:color w:val="0D0D0D" w:themeColor="text1" w:themeTint="F2"/>
                <w:szCs w:val="21"/>
                <w14:textFill>
                  <w14:solidFill>
                    <w14:schemeClr w14:val="tx1">
                      <w14:lumMod w14:val="95000"/>
                      <w14:lumOff w14:val="5000"/>
                    </w14:schemeClr>
                  </w14:solidFill>
                </w14:textFill>
              </w:rPr>
              <w:t>表2-5  核算参数表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62"/>
              <w:gridCol w:w="1241"/>
              <w:gridCol w:w="1228"/>
              <w:gridCol w:w="1285"/>
              <w:gridCol w:w="1029"/>
              <w:gridCol w:w="1029"/>
            </w:tblGrid>
            <w:tr w14:paraId="3B8AC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9" w:type="pct"/>
                  <w:vAlign w:val="center"/>
                </w:tcPr>
                <w:p w14:paraId="3093CBB4">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名称</w:t>
                  </w:r>
                </w:p>
              </w:tc>
              <w:tc>
                <w:tcPr>
                  <w:tcW w:w="741" w:type="pct"/>
                  <w:vAlign w:val="center"/>
                </w:tcPr>
                <w:p w14:paraId="30FA8FAF">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喷涂</w:t>
                  </w:r>
                </w:p>
                <w:p w14:paraId="1766F781">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面积</w:t>
                  </w:r>
                </w:p>
                <w:p w14:paraId="6431DBEA">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（m</w:t>
                  </w:r>
                  <w:r>
                    <w:rPr>
                      <w:rFonts w:hint="eastAsia"/>
                      <w:color w:val="0D0D0D" w:themeColor="text1" w:themeTint="F2"/>
                      <w:szCs w:val="21"/>
                      <w:u w:val="single"/>
                      <w:vertAlign w:val="superscript"/>
                      <w14:textFill>
                        <w14:solidFill>
                          <w14:schemeClr w14:val="tx1">
                            <w14:lumMod w14:val="95000"/>
                            <w14:lumOff w14:val="5000"/>
                          </w14:schemeClr>
                        </w14:solidFill>
                      </w14:textFill>
                    </w:rPr>
                    <w:t>2</w:t>
                  </w:r>
                  <w:r>
                    <w:rPr>
                      <w:rFonts w:hint="eastAsia"/>
                      <w:color w:val="0D0D0D" w:themeColor="text1" w:themeTint="F2"/>
                      <w:szCs w:val="21"/>
                      <w:u w:val="single"/>
                      <w14:textFill>
                        <w14:solidFill>
                          <w14:schemeClr w14:val="tx1">
                            <w14:lumMod w14:val="95000"/>
                            <w14:lumOff w14:val="5000"/>
                          </w14:schemeClr>
                        </w14:solidFill>
                      </w14:textFill>
                    </w:rPr>
                    <w:t>/a）</w:t>
                  </w:r>
                </w:p>
              </w:tc>
              <w:tc>
                <w:tcPr>
                  <w:tcW w:w="733" w:type="pct"/>
                  <w:vAlign w:val="center"/>
                </w:tcPr>
                <w:p w14:paraId="67CE87DB">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喷涂</w:t>
                  </w:r>
                </w:p>
                <w:p w14:paraId="793ED351">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厚度</w:t>
                  </w:r>
                </w:p>
                <w:p w14:paraId="7A3DC6CE">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（μ</w:t>
                  </w:r>
                  <w:r>
                    <w:rPr>
                      <w:color w:val="0D0D0D" w:themeColor="text1" w:themeTint="F2"/>
                      <w:szCs w:val="21"/>
                      <w:u w:val="single"/>
                      <w14:textFill>
                        <w14:solidFill>
                          <w14:schemeClr w14:val="tx1">
                            <w14:lumMod w14:val="95000"/>
                            <w14:lumOff w14:val="5000"/>
                          </w14:schemeClr>
                        </w14:solidFill>
                      </w14:textFill>
                    </w:rPr>
                    <w:t>m</w:t>
                  </w:r>
                  <w:r>
                    <w:rPr>
                      <w:rFonts w:hint="eastAsia"/>
                      <w:color w:val="0D0D0D" w:themeColor="text1" w:themeTint="F2"/>
                      <w:szCs w:val="21"/>
                      <w:u w:val="single"/>
                      <w14:textFill>
                        <w14:solidFill>
                          <w14:schemeClr w14:val="tx1">
                            <w14:lumMod w14:val="95000"/>
                            <w14:lumOff w14:val="5000"/>
                          </w14:schemeClr>
                        </w14:solidFill>
                      </w14:textFill>
                    </w:rPr>
                    <w:t>）</w:t>
                  </w:r>
                </w:p>
              </w:tc>
              <w:tc>
                <w:tcPr>
                  <w:tcW w:w="767" w:type="pct"/>
                  <w:vAlign w:val="center"/>
                </w:tcPr>
                <w:p w14:paraId="2F00BAC2">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涂布率</w:t>
                  </w:r>
                </w:p>
                <w:p w14:paraId="4A0969EF">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（m</w:t>
                  </w:r>
                  <w:r>
                    <w:rPr>
                      <w:rFonts w:hint="eastAsia"/>
                      <w:color w:val="0D0D0D" w:themeColor="text1" w:themeTint="F2"/>
                      <w:szCs w:val="21"/>
                      <w:u w:val="single"/>
                      <w:vertAlign w:val="superscript"/>
                      <w14:textFill>
                        <w14:solidFill>
                          <w14:schemeClr w14:val="tx1">
                            <w14:lumMod w14:val="95000"/>
                            <w14:lumOff w14:val="5000"/>
                          </w14:schemeClr>
                        </w14:solidFill>
                      </w14:textFill>
                    </w:rPr>
                    <w:t>2</w:t>
                  </w:r>
                  <w:r>
                    <w:rPr>
                      <w:rFonts w:hint="eastAsia"/>
                      <w:color w:val="0D0D0D" w:themeColor="text1" w:themeTint="F2"/>
                      <w:szCs w:val="21"/>
                      <w:u w:val="single"/>
                      <w14:textFill>
                        <w14:solidFill>
                          <w14:schemeClr w14:val="tx1">
                            <w14:lumMod w14:val="95000"/>
                            <w14:lumOff w14:val="5000"/>
                          </w14:schemeClr>
                        </w14:solidFill>
                      </w14:textFill>
                    </w:rPr>
                    <w:t>/L）</w:t>
                  </w:r>
                </w:p>
              </w:tc>
              <w:tc>
                <w:tcPr>
                  <w:tcW w:w="614" w:type="pct"/>
                  <w:vAlign w:val="center"/>
                </w:tcPr>
                <w:p w14:paraId="6631DE46">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固体分</w:t>
                  </w:r>
                </w:p>
                <w:p w14:paraId="22290537">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w:t>
                  </w:r>
                </w:p>
              </w:tc>
              <w:tc>
                <w:tcPr>
                  <w:tcW w:w="614" w:type="pct"/>
                  <w:vAlign w:val="center"/>
                </w:tcPr>
                <w:p w14:paraId="1AB9C408">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上漆率</w:t>
                  </w:r>
                </w:p>
                <w:p w14:paraId="63A23175">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w:t>
                  </w:r>
                </w:p>
              </w:tc>
            </w:tr>
            <w:tr w14:paraId="5F627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9" w:type="pct"/>
                  <w:vAlign w:val="center"/>
                </w:tcPr>
                <w:p w14:paraId="1172D8EB">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环氧富锌底漆</w:t>
                  </w:r>
                </w:p>
              </w:tc>
              <w:tc>
                <w:tcPr>
                  <w:tcW w:w="741" w:type="pct"/>
                  <w:vAlign w:val="center"/>
                </w:tcPr>
                <w:p w14:paraId="7DF86B63">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15000</w:t>
                  </w:r>
                </w:p>
              </w:tc>
              <w:tc>
                <w:tcPr>
                  <w:tcW w:w="733" w:type="pct"/>
                  <w:vAlign w:val="center"/>
                </w:tcPr>
                <w:p w14:paraId="3E3CA1C3">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60</w:t>
                  </w:r>
                </w:p>
              </w:tc>
              <w:tc>
                <w:tcPr>
                  <w:tcW w:w="767" w:type="pct"/>
                  <w:vAlign w:val="center"/>
                </w:tcPr>
                <w:p w14:paraId="371685CA">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9.5</w:t>
                  </w:r>
                </w:p>
              </w:tc>
              <w:tc>
                <w:tcPr>
                  <w:tcW w:w="614" w:type="pct"/>
                  <w:vAlign w:val="center"/>
                </w:tcPr>
                <w:p w14:paraId="761768F3">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59</w:t>
                  </w:r>
                </w:p>
              </w:tc>
              <w:tc>
                <w:tcPr>
                  <w:tcW w:w="614" w:type="pct"/>
                  <w:vAlign w:val="center"/>
                </w:tcPr>
                <w:p w14:paraId="7B2238EC">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85</w:t>
                  </w:r>
                </w:p>
              </w:tc>
            </w:tr>
            <w:tr w14:paraId="63646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9" w:type="pct"/>
                  <w:vAlign w:val="center"/>
                </w:tcPr>
                <w:p w14:paraId="2A0CF5D1">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环氧云铁中间漆</w:t>
                  </w:r>
                </w:p>
              </w:tc>
              <w:tc>
                <w:tcPr>
                  <w:tcW w:w="741" w:type="pct"/>
                  <w:vAlign w:val="center"/>
                </w:tcPr>
                <w:p w14:paraId="4E3F104B">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15000</w:t>
                  </w:r>
                </w:p>
              </w:tc>
              <w:tc>
                <w:tcPr>
                  <w:tcW w:w="733" w:type="pct"/>
                  <w:vAlign w:val="center"/>
                </w:tcPr>
                <w:p w14:paraId="6460DE04">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80</w:t>
                  </w:r>
                </w:p>
              </w:tc>
              <w:tc>
                <w:tcPr>
                  <w:tcW w:w="767" w:type="pct"/>
                  <w:vAlign w:val="center"/>
                </w:tcPr>
                <w:p w14:paraId="7332384F">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8.9</w:t>
                  </w:r>
                </w:p>
              </w:tc>
              <w:tc>
                <w:tcPr>
                  <w:tcW w:w="614" w:type="pct"/>
                  <w:vAlign w:val="center"/>
                </w:tcPr>
                <w:p w14:paraId="68A72E60">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71</w:t>
                  </w:r>
                </w:p>
              </w:tc>
              <w:tc>
                <w:tcPr>
                  <w:tcW w:w="614" w:type="pct"/>
                  <w:vAlign w:val="center"/>
                </w:tcPr>
                <w:p w14:paraId="70AB067E">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85</w:t>
                  </w:r>
                </w:p>
              </w:tc>
            </w:tr>
            <w:tr w14:paraId="66B12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9" w:type="pct"/>
                  <w:vAlign w:val="center"/>
                </w:tcPr>
                <w:p w14:paraId="7059E42A">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无机硅酸富锌底漆</w:t>
                  </w:r>
                </w:p>
              </w:tc>
              <w:tc>
                <w:tcPr>
                  <w:tcW w:w="741" w:type="pct"/>
                  <w:vAlign w:val="center"/>
                </w:tcPr>
                <w:p w14:paraId="43931605">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5000</w:t>
                  </w:r>
                </w:p>
              </w:tc>
              <w:tc>
                <w:tcPr>
                  <w:tcW w:w="733" w:type="pct"/>
                  <w:vAlign w:val="center"/>
                </w:tcPr>
                <w:p w14:paraId="7CC093E8">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50</w:t>
                  </w:r>
                </w:p>
              </w:tc>
              <w:tc>
                <w:tcPr>
                  <w:tcW w:w="767" w:type="pct"/>
                  <w:vAlign w:val="center"/>
                </w:tcPr>
                <w:p w14:paraId="02F7202C">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14.4</w:t>
                  </w:r>
                </w:p>
              </w:tc>
              <w:tc>
                <w:tcPr>
                  <w:tcW w:w="614" w:type="pct"/>
                  <w:vAlign w:val="center"/>
                </w:tcPr>
                <w:p w14:paraId="5D99F93F">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72</w:t>
                  </w:r>
                </w:p>
              </w:tc>
              <w:tc>
                <w:tcPr>
                  <w:tcW w:w="614" w:type="pct"/>
                  <w:vAlign w:val="center"/>
                </w:tcPr>
                <w:p w14:paraId="76FBC7BE">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85</w:t>
                  </w:r>
                </w:p>
              </w:tc>
            </w:tr>
            <w:tr w14:paraId="587F3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9" w:type="pct"/>
                  <w:vAlign w:val="center"/>
                </w:tcPr>
                <w:p w14:paraId="0BFDDE49">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有机硅耐高温铝粉漆</w:t>
                  </w:r>
                </w:p>
              </w:tc>
              <w:tc>
                <w:tcPr>
                  <w:tcW w:w="741" w:type="pct"/>
                  <w:vAlign w:val="center"/>
                </w:tcPr>
                <w:p w14:paraId="25454979">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5000</w:t>
                  </w:r>
                </w:p>
              </w:tc>
              <w:tc>
                <w:tcPr>
                  <w:tcW w:w="733" w:type="pct"/>
                  <w:vAlign w:val="center"/>
                </w:tcPr>
                <w:p w14:paraId="6E206E36">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25</w:t>
                  </w:r>
                </w:p>
              </w:tc>
              <w:tc>
                <w:tcPr>
                  <w:tcW w:w="767" w:type="pct"/>
                  <w:vAlign w:val="center"/>
                </w:tcPr>
                <w:p w14:paraId="6D3103DA">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19.6</w:t>
                  </w:r>
                </w:p>
              </w:tc>
              <w:tc>
                <w:tcPr>
                  <w:tcW w:w="614" w:type="pct"/>
                  <w:vAlign w:val="center"/>
                </w:tcPr>
                <w:p w14:paraId="0C6DB451">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49</w:t>
                  </w:r>
                </w:p>
              </w:tc>
              <w:tc>
                <w:tcPr>
                  <w:tcW w:w="614" w:type="pct"/>
                  <w:vAlign w:val="center"/>
                </w:tcPr>
                <w:p w14:paraId="67AB2D1D">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85</w:t>
                  </w:r>
                </w:p>
              </w:tc>
            </w:tr>
            <w:tr w14:paraId="11341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9" w:type="pct"/>
                  <w:vAlign w:val="center"/>
                </w:tcPr>
                <w:p w14:paraId="3D0A43A4">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4号稀释剂</w:t>
                  </w:r>
                </w:p>
              </w:tc>
              <w:tc>
                <w:tcPr>
                  <w:tcW w:w="741" w:type="pct"/>
                  <w:vAlign w:val="center"/>
                </w:tcPr>
                <w:p w14:paraId="4DD1BB6D">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w:t>
                  </w:r>
                </w:p>
              </w:tc>
              <w:tc>
                <w:tcPr>
                  <w:tcW w:w="733" w:type="pct"/>
                  <w:vAlign w:val="center"/>
                </w:tcPr>
                <w:p w14:paraId="02101E11">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w:t>
                  </w:r>
                </w:p>
              </w:tc>
              <w:tc>
                <w:tcPr>
                  <w:tcW w:w="767" w:type="pct"/>
                  <w:vAlign w:val="center"/>
                </w:tcPr>
                <w:p w14:paraId="3F5E2102">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w:t>
                  </w:r>
                </w:p>
              </w:tc>
              <w:tc>
                <w:tcPr>
                  <w:tcW w:w="614" w:type="pct"/>
                  <w:vAlign w:val="center"/>
                </w:tcPr>
                <w:p w14:paraId="1925115D">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w:t>
                  </w:r>
                </w:p>
              </w:tc>
              <w:tc>
                <w:tcPr>
                  <w:tcW w:w="614" w:type="pct"/>
                  <w:vAlign w:val="center"/>
                </w:tcPr>
                <w:p w14:paraId="3E17D9C7">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w:t>
                  </w:r>
                </w:p>
              </w:tc>
            </w:tr>
            <w:tr w14:paraId="63FCA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29" w:type="pct"/>
                  <w:vAlign w:val="center"/>
                </w:tcPr>
                <w:p w14:paraId="5446C338">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17号稀释剂</w:t>
                  </w:r>
                </w:p>
              </w:tc>
              <w:tc>
                <w:tcPr>
                  <w:tcW w:w="741" w:type="pct"/>
                  <w:vAlign w:val="center"/>
                </w:tcPr>
                <w:p w14:paraId="39BC267E">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w:t>
                  </w:r>
                </w:p>
              </w:tc>
              <w:tc>
                <w:tcPr>
                  <w:tcW w:w="733" w:type="pct"/>
                  <w:vAlign w:val="center"/>
                </w:tcPr>
                <w:p w14:paraId="021D7FE0">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w:t>
                  </w:r>
                </w:p>
              </w:tc>
              <w:tc>
                <w:tcPr>
                  <w:tcW w:w="767" w:type="pct"/>
                  <w:vAlign w:val="center"/>
                </w:tcPr>
                <w:p w14:paraId="40BF6E85">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w:t>
                  </w:r>
                </w:p>
              </w:tc>
              <w:tc>
                <w:tcPr>
                  <w:tcW w:w="614" w:type="pct"/>
                  <w:vAlign w:val="center"/>
                </w:tcPr>
                <w:p w14:paraId="0AFFBC5D">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w:t>
                  </w:r>
                </w:p>
              </w:tc>
              <w:tc>
                <w:tcPr>
                  <w:tcW w:w="614" w:type="pct"/>
                  <w:vAlign w:val="center"/>
                </w:tcPr>
                <w:p w14:paraId="0FE9F050">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w:t>
                  </w:r>
                </w:p>
              </w:tc>
            </w:tr>
          </w:tbl>
          <w:p w14:paraId="1C6F5332">
            <w:pPr>
              <w:jc w:val="center"/>
              <w:rPr>
                <w:b/>
                <w:bCs/>
                <w:color w:val="0D0D0D" w:themeColor="text1" w:themeTint="F2"/>
                <w:szCs w:val="21"/>
                <w14:textFill>
                  <w14:solidFill>
                    <w14:schemeClr w14:val="tx1">
                      <w14:lumMod w14:val="95000"/>
                      <w14:lumOff w14:val="5000"/>
                    </w14:schemeClr>
                  </w14:solidFill>
                </w14:textFill>
              </w:rPr>
            </w:pPr>
            <w:r>
              <w:rPr>
                <w:rFonts w:hint="eastAsia"/>
                <w:b/>
                <w:bCs/>
                <w:color w:val="0D0D0D" w:themeColor="text1" w:themeTint="F2"/>
                <w:szCs w:val="21"/>
                <w14:textFill>
                  <w14:solidFill>
                    <w14:schemeClr w14:val="tx1">
                      <w14:lumMod w14:val="95000"/>
                      <w14:lumOff w14:val="5000"/>
                    </w14:schemeClr>
                  </w14:solidFill>
                </w14:textFill>
              </w:rPr>
              <w:t>表2-6  涂料使用情况表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25"/>
              <w:gridCol w:w="1030"/>
              <w:gridCol w:w="923"/>
              <w:gridCol w:w="1264"/>
              <w:gridCol w:w="1313"/>
              <w:gridCol w:w="1022"/>
              <w:gridCol w:w="797"/>
            </w:tblGrid>
            <w:tr w14:paraId="5591A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23" w:type="pct"/>
                  <w:gridSpan w:val="2"/>
                  <w:vAlign w:val="center"/>
                </w:tcPr>
                <w:p w14:paraId="2FB622D3">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名称</w:t>
                  </w:r>
                </w:p>
              </w:tc>
              <w:tc>
                <w:tcPr>
                  <w:tcW w:w="1306" w:type="pct"/>
                  <w:gridSpan w:val="2"/>
                  <w:vAlign w:val="center"/>
                </w:tcPr>
                <w:p w14:paraId="1B40A464">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使用量</w:t>
                  </w:r>
                </w:p>
                <w:p w14:paraId="5AFC0DF1">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（L/a）</w:t>
                  </w:r>
                </w:p>
              </w:tc>
              <w:tc>
                <w:tcPr>
                  <w:tcW w:w="784" w:type="pct"/>
                  <w:vAlign w:val="center"/>
                </w:tcPr>
                <w:p w14:paraId="20A69D7F">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密度</w:t>
                  </w:r>
                </w:p>
                <w:p w14:paraId="12AFBAE2">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（g/cm</w:t>
                  </w:r>
                  <w:r>
                    <w:rPr>
                      <w:rFonts w:hint="eastAsia"/>
                      <w:color w:val="0D0D0D" w:themeColor="text1" w:themeTint="F2"/>
                      <w:szCs w:val="21"/>
                      <w:u w:val="single"/>
                      <w:vertAlign w:val="superscript"/>
                      <w14:textFill>
                        <w14:solidFill>
                          <w14:schemeClr w14:val="tx1">
                            <w14:lumMod w14:val="95000"/>
                            <w14:lumOff w14:val="5000"/>
                          </w14:schemeClr>
                        </w14:solidFill>
                      </w14:textFill>
                    </w:rPr>
                    <w:t>3</w:t>
                  </w:r>
                  <w:r>
                    <w:rPr>
                      <w:rFonts w:hint="eastAsia"/>
                      <w:color w:val="0D0D0D" w:themeColor="text1" w:themeTint="F2"/>
                      <w:szCs w:val="21"/>
                      <w:u w:val="single"/>
                      <w14:textFill>
                        <w14:solidFill>
                          <w14:schemeClr w14:val="tx1">
                            <w14:lumMod w14:val="95000"/>
                            <w14:lumOff w14:val="5000"/>
                          </w14:schemeClr>
                        </w14:solidFill>
                      </w14:textFill>
                    </w:rPr>
                    <w:t>）</w:t>
                  </w:r>
                </w:p>
              </w:tc>
              <w:tc>
                <w:tcPr>
                  <w:tcW w:w="1087" w:type="pct"/>
                  <w:gridSpan w:val="2"/>
                  <w:vAlign w:val="center"/>
                </w:tcPr>
                <w:p w14:paraId="1A03F8FF">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使用量</w:t>
                  </w:r>
                </w:p>
                <w:p w14:paraId="141DC816">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（t/a）</w:t>
                  </w:r>
                </w:p>
              </w:tc>
            </w:tr>
            <w:tr w14:paraId="2E456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9" w:type="pct"/>
                  <w:vMerge w:val="restart"/>
                  <w:vAlign w:val="center"/>
                </w:tcPr>
                <w:p w14:paraId="503433DE">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环氧富锌底漆</w:t>
                  </w:r>
                </w:p>
              </w:tc>
              <w:tc>
                <w:tcPr>
                  <w:tcW w:w="615" w:type="pct"/>
                  <w:vAlign w:val="center"/>
                </w:tcPr>
                <w:p w14:paraId="7DB6B25F">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组分A</w:t>
                  </w:r>
                </w:p>
              </w:tc>
              <w:tc>
                <w:tcPr>
                  <w:tcW w:w="551" w:type="pct"/>
                  <w:vMerge w:val="restart"/>
                  <w:vAlign w:val="center"/>
                </w:tcPr>
                <w:p w14:paraId="64E5E7D6">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1857.59</w:t>
                  </w:r>
                </w:p>
              </w:tc>
              <w:tc>
                <w:tcPr>
                  <w:tcW w:w="754" w:type="pct"/>
                  <w:vAlign w:val="center"/>
                </w:tcPr>
                <w:p w14:paraId="62FBEA5C">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1444.79</w:t>
                  </w:r>
                </w:p>
              </w:tc>
              <w:tc>
                <w:tcPr>
                  <w:tcW w:w="784" w:type="pct"/>
                  <w:vAlign w:val="center"/>
                </w:tcPr>
                <w:p w14:paraId="755AC1A8">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3.048</w:t>
                  </w:r>
                </w:p>
              </w:tc>
              <w:tc>
                <w:tcPr>
                  <w:tcW w:w="610" w:type="pct"/>
                  <w:vMerge w:val="restart"/>
                  <w:vAlign w:val="center"/>
                </w:tcPr>
                <w:p w14:paraId="35C43C00">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4.83</w:t>
                  </w:r>
                </w:p>
              </w:tc>
              <w:tc>
                <w:tcPr>
                  <w:tcW w:w="477" w:type="pct"/>
                  <w:vAlign w:val="center"/>
                </w:tcPr>
                <w:p w14:paraId="443E8A1E">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4.45</w:t>
                  </w:r>
                </w:p>
              </w:tc>
            </w:tr>
            <w:tr w14:paraId="3FFC6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9" w:type="pct"/>
                  <w:vMerge w:val="continue"/>
                  <w:vAlign w:val="center"/>
                </w:tcPr>
                <w:p w14:paraId="38187223">
                  <w:pPr>
                    <w:jc w:val="center"/>
                    <w:rPr>
                      <w:color w:val="0D0D0D" w:themeColor="text1" w:themeTint="F2"/>
                      <w:szCs w:val="21"/>
                      <w:u w:val="single"/>
                      <w14:textFill>
                        <w14:solidFill>
                          <w14:schemeClr w14:val="tx1">
                            <w14:lumMod w14:val="95000"/>
                            <w14:lumOff w14:val="5000"/>
                          </w14:schemeClr>
                        </w14:solidFill>
                      </w14:textFill>
                    </w:rPr>
                  </w:pPr>
                </w:p>
              </w:tc>
              <w:tc>
                <w:tcPr>
                  <w:tcW w:w="615" w:type="pct"/>
                  <w:vAlign w:val="center"/>
                </w:tcPr>
                <w:p w14:paraId="1CDF85C7">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组分B</w:t>
                  </w:r>
                </w:p>
              </w:tc>
              <w:tc>
                <w:tcPr>
                  <w:tcW w:w="551" w:type="pct"/>
                  <w:vMerge w:val="continue"/>
                  <w:vAlign w:val="center"/>
                </w:tcPr>
                <w:p w14:paraId="461BEDB2">
                  <w:pPr>
                    <w:jc w:val="center"/>
                    <w:rPr>
                      <w:color w:val="0D0D0D" w:themeColor="text1" w:themeTint="F2"/>
                      <w:szCs w:val="21"/>
                      <w:u w:val="single"/>
                      <w14:textFill>
                        <w14:solidFill>
                          <w14:schemeClr w14:val="tx1">
                            <w14:lumMod w14:val="95000"/>
                            <w14:lumOff w14:val="5000"/>
                          </w14:schemeClr>
                        </w14:solidFill>
                      </w14:textFill>
                    </w:rPr>
                  </w:pPr>
                </w:p>
              </w:tc>
              <w:tc>
                <w:tcPr>
                  <w:tcW w:w="754" w:type="pct"/>
                  <w:vAlign w:val="center"/>
                </w:tcPr>
                <w:p w14:paraId="387AADAA">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412.8</w:t>
                  </w:r>
                </w:p>
              </w:tc>
              <w:tc>
                <w:tcPr>
                  <w:tcW w:w="784" w:type="pct"/>
                  <w:vAlign w:val="center"/>
                </w:tcPr>
                <w:p w14:paraId="55653117">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0.9</w:t>
                  </w:r>
                </w:p>
              </w:tc>
              <w:tc>
                <w:tcPr>
                  <w:tcW w:w="610" w:type="pct"/>
                  <w:vMerge w:val="continue"/>
                  <w:vAlign w:val="center"/>
                </w:tcPr>
                <w:p w14:paraId="2619337F">
                  <w:pPr>
                    <w:jc w:val="center"/>
                    <w:rPr>
                      <w:color w:val="0D0D0D" w:themeColor="text1" w:themeTint="F2"/>
                      <w:szCs w:val="21"/>
                      <w:u w:val="single"/>
                      <w14:textFill>
                        <w14:solidFill>
                          <w14:schemeClr w14:val="tx1">
                            <w14:lumMod w14:val="95000"/>
                            <w14:lumOff w14:val="5000"/>
                          </w14:schemeClr>
                        </w14:solidFill>
                      </w14:textFill>
                    </w:rPr>
                  </w:pPr>
                </w:p>
              </w:tc>
              <w:tc>
                <w:tcPr>
                  <w:tcW w:w="477" w:type="pct"/>
                  <w:vAlign w:val="center"/>
                </w:tcPr>
                <w:p w14:paraId="2FD95772">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0.38</w:t>
                  </w:r>
                </w:p>
              </w:tc>
            </w:tr>
            <w:tr w14:paraId="31368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9" w:type="pct"/>
                  <w:vMerge w:val="restart"/>
                  <w:vAlign w:val="center"/>
                </w:tcPr>
                <w:p w14:paraId="5231C0BF">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环氧云铁中间漆</w:t>
                  </w:r>
                </w:p>
              </w:tc>
              <w:tc>
                <w:tcPr>
                  <w:tcW w:w="615" w:type="pct"/>
                  <w:vAlign w:val="center"/>
                </w:tcPr>
                <w:p w14:paraId="59BC4909">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组分A</w:t>
                  </w:r>
                </w:p>
              </w:tc>
              <w:tc>
                <w:tcPr>
                  <w:tcW w:w="551" w:type="pct"/>
                  <w:vMerge w:val="restart"/>
                  <w:vAlign w:val="center"/>
                </w:tcPr>
                <w:p w14:paraId="274ABC75">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1982.82</w:t>
                  </w:r>
                </w:p>
              </w:tc>
              <w:tc>
                <w:tcPr>
                  <w:tcW w:w="754" w:type="pct"/>
                  <w:vAlign w:val="center"/>
                </w:tcPr>
                <w:p w14:paraId="792C9457">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1652.35</w:t>
                  </w:r>
                </w:p>
              </w:tc>
              <w:tc>
                <w:tcPr>
                  <w:tcW w:w="784" w:type="pct"/>
                  <w:vAlign w:val="center"/>
                </w:tcPr>
                <w:p w14:paraId="3E43C484">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1.619</w:t>
                  </w:r>
                </w:p>
              </w:tc>
              <w:tc>
                <w:tcPr>
                  <w:tcW w:w="610" w:type="pct"/>
                  <w:vMerge w:val="restart"/>
                  <w:vAlign w:val="center"/>
                </w:tcPr>
                <w:p w14:paraId="48D6DFFB">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3.05</w:t>
                  </w:r>
                </w:p>
              </w:tc>
              <w:tc>
                <w:tcPr>
                  <w:tcW w:w="477" w:type="pct"/>
                  <w:vAlign w:val="center"/>
                </w:tcPr>
                <w:p w14:paraId="765B8CD4">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2.72</w:t>
                  </w:r>
                </w:p>
              </w:tc>
            </w:tr>
            <w:tr w14:paraId="558FA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9" w:type="pct"/>
                  <w:vMerge w:val="continue"/>
                  <w:vAlign w:val="center"/>
                </w:tcPr>
                <w:p w14:paraId="14419C38">
                  <w:pPr>
                    <w:jc w:val="center"/>
                    <w:rPr>
                      <w:color w:val="0D0D0D" w:themeColor="text1" w:themeTint="F2"/>
                      <w:szCs w:val="21"/>
                      <w:u w:val="single"/>
                      <w14:textFill>
                        <w14:solidFill>
                          <w14:schemeClr w14:val="tx1">
                            <w14:lumMod w14:val="95000"/>
                            <w14:lumOff w14:val="5000"/>
                          </w14:schemeClr>
                        </w14:solidFill>
                      </w14:textFill>
                    </w:rPr>
                  </w:pPr>
                </w:p>
              </w:tc>
              <w:tc>
                <w:tcPr>
                  <w:tcW w:w="615" w:type="pct"/>
                  <w:vAlign w:val="center"/>
                </w:tcPr>
                <w:p w14:paraId="3412D07C">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组分B</w:t>
                  </w:r>
                </w:p>
              </w:tc>
              <w:tc>
                <w:tcPr>
                  <w:tcW w:w="551" w:type="pct"/>
                  <w:vMerge w:val="continue"/>
                  <w:vAlign w:val="center"/>
                </w:tcPr>
                <w:p w14:paraId="50D4EB1B">
                  <w:pPr>
                    <w:jc w:val="center"/>
                    <w:rPr>
                      <w:color w:val="0D0D0D" w:themeColor="text1" w:themeTint="F2"/>
                      <w:szCs w:val="21"/>
                      <w:u w:val="single"/>
                      <w14:textFill>
                        <w14:solidFill>
                          <w14:schemeClr w14:val="tx1">
                            <w14:lumMod w14:val="95000"/>
                            <w14:lumOff w14:val="5000"/>
                          </w14:schemeClr>
                        </w14:solidFill>
                      </w14:textFill>
                    </w:rPr>
                  </w:pPr>
                </w:p>
              </w:tc>
              <w:tc>
                <w:tcPr>
                  <w:tcW w:w="754" w:type="pct"/>
                  <w:vAlign w:val="center"/>
                </w:tcPr>
                <w:p w14:paraId="134C3E48">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330.47</w:t>
                  </w:r>
                </w:p>
              </w:tc>
              <w:tc>
                <w:tcPr>
                  <w:tcW w:w="784" w:type="pct"/>
                  <w:vAlign w:val="center"/>
                </w:tcPr>
                <w:p w14:paraId="6EFE10F7">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0.97</w:t>
                  </w:r>
                </w:p>
              </w:tc>
              <w:tc>
                <w:tcPr>
                  <w:tcW w:w="610" w:type="pct"/>
                  <w:vMerge w:val="continue"/>
                  <w:vAlign w:val="center"/>
                </w:tcPr>
                <w:p w14:paraId="23DDD881">
                  <w:pPr>
                    <w:jc w:val="center"/>
                    <w:rPr>
                      <w:color w:val="0D0D0D" w:themeColor="text1" w:themeTint="F2"/>
                      <w:szCs w:val="21"/>
                      <w:u w:val="single"/>
                      <w14:textFill>
                        <w14:solidFill>
                          <w14:schemeClr w14:val="tx1">
                            <w14:lumMod w14:val="95000"/>
                            <w14:lumOff w14:val="5000"/>
                          </w14:schemeClr>
                        </w14:solidFill>
                      </w14:textFill>
                    </w:rPr>
                  </w:pPr>
                </w:p>
              </w:tc>
              <w:tc>
                <w:tcPr>
                  <w:tcW w:w="477" w:type="pct"/>
                  <w:vAlign w:val="center"/>
                </w:tcPr>
                <w:p w14:paraId="10C7A19C">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0.33</w:t>
                  </w:r>
                </w:p>
              </w:tc>
            </w:tr>
            <w:tr w14:paraId="1E1E3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9" w:type="pct"/>
                  <w:vMerge w:val="restart"/>
                  <w:vAlign w:val="center"/>
                </w:tcPr>
                <w:p w14:paraId="4EA5985D">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无机硅酸富锌底漆</w:t>
                  </w:r>
                </w:p>
              </w:tc>
              <w:tc>
                <w:tcPr>
                  <w:tcW w:w="615" w:type="pct"/>
                  <w:vAlign w:val="center"/>
                </w:tcPr>
                <w:p w14:paraId="41D3049F">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组分A</w:t>
                  </w:r>
                </w:p>
              </w:tc>
              <w:tc>
                <w:tcPr>
                  <w:tcW w:w="551" w:type="pct"/>
                  <w:vMerge w:val="restart"/>
                  <w:vAlign w:val="center"/>
                </w:tcPr>
                <w:p w14:paraId="5765239F">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408.50</w:t>
                  </w:r>
                </w:p>
              </w:tc>
              <w:tc>
                <w:tcPr>
                  <w:tcW w:w="754" w:type="pct"/>
                  <w:vAlign w:val="center"/>
                </w:tcPr>
                <w:p w14:paraId="5E147F20">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316.94</w:t>
                  </w:r>
                </w:p>
              </w:tc>
              <w:tc>
                <w:tcPr>
                  <w:tcW w:w="784" w:type="pct"/>
                  <w:vAlign w:val="center"/>
                </w:tcPr>
                <w:p w14:paraId="535DCBD6">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1.17</w:t>
                  </w:r>
                </w:p>
              </w:tc>
              <w:tc>
                <w:tcPr>
                  <w:tcW w:w="610" w:type="pct"/>
                  <w:vMerge w:val="restart"/>
                  <w:vAlign w:val="center"/>
                </w:tcPr>
                <w:p w14:paraId="5061A915">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1.02</w:t>
                  </w:r>
                </w:p>
              </w:tc>
              <w:tc>
                <w:tcPr>
                  <w:tcW w:w="477" w:type="pct"/>
                  <w:vAlign w:val="center"/>
                </w:tcPr>
                <w:p w14:paraId="4DA06A63">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0.35</w:t>
                  </w:r>
                </w:p>
              </w:tc>
            </w:tr>
            <w:tr w14:paraId="37E08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09" w:type="pct"/>
                  <w:vMerge w:val="continue"/>
                  <w:vAlign w:val="center"/>
                </w:tcPr>
                <w:p w14:paraId="3E0A1DE9">
                  <w:pPr>
                    <w:jc w:val="center"/>
                    <w:rPr>
                      <w:color w:val="0D0D0D" w:themeColor="text1" w:themeTint="F2"/>
                      <w:szCs w:val="21"/>
                      <w:u w:val="single"/>
                      <w14:textFill>
                        <w14:solidFill>
                          <w14:schemeClr w14:val="tx1">
                            <w14:lumMod w14:val="95000"/>
                            <w14:lumOff w14:val="5000"/>
                          </w14:schemeClr>
                        </w14:solidFill>
                      </w14:textFill>
                    </w:rPr>
                  </w:pPr>
                </w:p>
              </w:tc>
              <w:tc>
                <w:tcPr>
                  <w:tcW w:w="615" w:type="pct"/>
                  <w:vAlign w:val="center"/>
                </w:tcPr>
                <w:p w14:paraId="252A43D2">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组分B</w:t>
                  </w:r>
                </w:p>
              </w:tc>
              <w:tc>
                <w:tcPr>
                  <w:tcW w:w="551" w:type="pct"/>
                  <w:vMerge w:val="continue"/>
                  <w:vAlign w:val="center"/>
                </w:tcPr>
                <w:p w14:paraId="61789066">
                  <w:pPr>
                    <w:jc w:val="center"/>
                    <w:rPr>
                      <w:color w:val="0D0D0D" w:themeColor="text1" w:themeTint="F2"/>
                      <w:szCs w:val="21"/>
                      <w:u w:val="single"/>
                      <w14:textFill>
                        <w14:solidFill>
                          <w14:schemeClr w14:val="tx1">
                            <w14:lumMod w14:val="95000"/>
                            <w14:lumOff w14:val="5000"/>
                          </w14:schemeClr>
                        </w14:solidFill>
                      </w14:textFill>
                    </w:rPr>
                  </w:pPr>
                </w:p>
              </w:tc>
              <w:tc>
                <w:tcPr>
                  <w:tcW w:w="754" w:type="pct"/>
                  <w:vAlign w:val="center"/>
                </w:tcPr>
                <w:p w14:paraId="69489356">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91.56</w:t>
                  </w:r>
                </w:p>
              </w:tc>
              <w:tc>
                <w:tcPr>
                  <w:tcW w:w="784" w:type="pct"/>
                  <w:vAlign w:val="center"/>
                </w:tcPr>
                <w:p w14:paraId="204934DE">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7.14</w:t>
                  </w:r>
                </w:p>
              </w:tc>
              <w:tc>
                <w:tcPr>
                  <w:tcW w:w="610" w:type="pct"/>
                  <w:vMerge w:val="continue"/>
                  <w:vAlign w:val="center"/>
                </w:tcPr>
                <w:p w14:paraId="337DEE55">
                  <w:pPr>
                    <w:jc w:val="center"/>
                    <w:rPr>
                      <w:color w:val="0D0D0D" w:themeColor="text1" w:themeTint="F2"/>
                      <w:szCs w:val="21"/>
                      <w:u w:val="single"/>
                      <w14:textFill>
                        <w14:solidFill>
                          <w14:schemeClr w14:val="tx1">
                            <w14:lumMod w14:val="95000"/>
                            <w14:lumOff w14:val="5000"/>
                          </w14:schemeClr>
                        </w14:solidFill>
                      </w14:textFill>
                    </w:rPr>
                  </w:pPr>
                </w:p>
              </w:tc>
              <w:tc>
                <w:tcPr>
                  <w:tcW w:w="477" w:type="pct"/>
                  <w:vAlign w:val="center"/>
                </w:tcPr>
                <w:p w14:paraId="012D09E0">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0.67</w:t>
                  </w:r>
                </w:p>
              </w:tc>
            </w:tr>
            <w:tr w14:paraId="47D28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23" w:type="pct"/>
                  <w:gridSpan w:val="2"/>
                  <w:vAlign w:val="center"/>
                </w:tcPr>
                <w:p w14:paraId="742F0587">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有机硅耐高温铝粉漆</w:t>
                  </w:r>
                </w:p>
              </w:tc>
              <w:tc>
                <w:tcPr>
                  <w:tcW w:w="1306" w:type="pct"/>
                  <w:gridSpan w:val="2"/>
                  <w:vAlign w:val="center"/>
                </w:tcPr>
                <w:p w14:paraId="0D619743">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300.12</w:t>
                  </w:r>
                </w:p>
              </w:tc>
              <w:tc>
                <w:tcPr>
                  <w:tcW w:w="784" w:type="pct"/>
                  <w:vAlign w:val="center"/>
                </w:tcPr>
                <w:p w14:paraId="73F4AC38">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1.22</w:t>
                  </w:r>
                </w:p>
              </w:tc>
              <w:tc>
                <w:tcPr>
                  <w:tcW w:w="1087" w:type="pct"/>
                  <w:gridSpan w:val="2"/>
                  <w:vAlign w:val="center"/>
                </w:tcPr>
                <w:p w14:paraId="1FDEF7BB">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0.37</w:t>
                  </w:r>
                </w:p>
              </w:tc>
            </w:tr>
            <w:tr w14:paraId="5DF0A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23" w:type="pct"/>
                  <w:gridSpan w:val="2"/>
                  <w:vAlign w:val="center"/>
                </w:tcPr>
                <w:p w14:paraId="3F5B0C96">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4号稀释剂</w:t>
                  </w:r>
                </w:p>
              </w:tc>
              <w:tc>
                <w:tcPr>
                  <w:tcW w:w="1306" w:type="pct"/>
                  <w:gridSpan w:val="2"/>
                  <w:vAlign w:val="center"/>
                </w:tcPr>
                <w:p w14:paraId="1D91D7A4">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20.43</w:t>
                  </w:r>
                </w:p>
              </w:tc>
              <w:tc>
                <w:tcPr>
                  <w:tcW w:w="784" w:type="pct"/>
                  <w:vAlign w:val="center"/>
                </w:tcPr>
                <w:p w14:paraId="7F0A81D2">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0.8</w:t>
                  </w:r>
                </w:p>
              </w:tc>
              <w:tc>
                <w:tcPr>
                  <w:tcW w:w="1087" w:type="pct"/>
                  <w:gridSpan w:val="2"/>
                  <w:vAlign w:val="center"/>
                </w:tcPr>
                <w:p w14:paraId="527141A8">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0.02</w:t>
                  </w:r>
                </w:p>
              </w:tc>
            </w:tr>
            <w:tr w14:paraId="1F1DE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23" w:type="pct"/>
                  <w:gridSpan w:val="2"/>
                  <w:vAlign w:val="center"/>
                </w:tcPr>
                <w:p w14:paraId="1A66CF55">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17号稀释剂</w:t>
                  </w:r>
                </w:p>
              </w:tc>
              <w:tc>
                <w:tcPr>
                  <w:tcW w:w="1306" w:type="pct"/>
                  <w:gridSpan w:val="2"/>
                  <w:vAlign w:val="center"/>
                </w:tcPr>
                <w:p w14:paraId="4BCBCB03">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192.02</w:t>
                  </w:r>
                </w:p>
              </w:tc>
              <w:tc>
                <w:tcPr>
                  <w:tcW w:w="784" w:type="pct"/>
                  <w:vAlign w:val="center"/>
                </w:tcPr>
                <w:p w14:paraId="6437FDB1">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0.9</w:t>
                  </w:r>
                </w:p>
              </w:tc>
              <w:tc>
                <w:tcPr>
                  <w:tcW w:w="1087" w:type="pct"/>
                  <w:gridSpan w:val="2"/>
                  <w:vAlign w:val="center"/>
                </w:tcPr>
                <w:p w14:paraId="1AF40985">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0.17</w:t>
                  </w:r>
                </w:p>
              </w:tc>
            </w:tr>
            <w:tr w14:paraId="3CA09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13" w:type="pct"/>
                  <w:gridSpan w:val="5"/>
                  <w:vAlign w:val="center"/>
                </w:tcPr>
                <w:p w14:paraId="4E70B00C">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合计</w:t>
                  </w:r>
                </w:p>
              </w:tc>
              <w:tc>
                <w:tcPr>
                  <w:tcW w:w="1087" w:type="pct"/>
                  <w:gridSpan w:val="2"/>
                  <w:vAlign w:val="center"/>
                </w:tcPr>
                <w:p w14:paraId="334A18A7">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9.46</w:t>
                  </w:r>
                </w:p>
              </w:tc>
            </w:tr>
            <w:tr w14:paraId="0DD6C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7"/>
                  <w:vAlign w:val="center"/>
                </w:tcPr>
                <w:p w14:paraId="10066240">
                  <w:pP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注：（1）根据环氧富锌底漆组分A和组分B的体积比以及各组分的密度，组分A和组分B的质量比为889：75；</w:t>
                  </w:r>
                </w:p>
                <w:p w14:paraId="3D977C99">
                  <w:pP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（2）根据环氧云铁中间漆组分A和组分B的体积比以及各组分的密度，组分A和组分B的质量比为1619：194；</w:t>
                  </w:r>
                </w:p>
                <w:p w14:paraId="24C41FE2">
                  <w:pP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（3）无机硅酸富锌底漆组分A和组分B的体积比以及各组分的密度，组分A和组分B的质量比为135：258；</w:t>
                  </w:r>
                </w:p>
                <w:p w14:paraId="569DEA06">
                  <w:pP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（4）环氧富锌底漆使用过程中需使用17号稀释剂92.88L/a，环氧云铁中间漆使用过程中需使用17号稀释剂99.14L/a，17号稀释剂使用量为192.02L/a；</w:t>
                  </w:r>
                </w:p>
                <w:p w14:paraId="4A0702C7">
                  <w:pP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（5）无机硅酸富锌底漆需使用4号稀释剂20.43L/a；</w:t>
                  </w:r>
                </w:p>
                <w:p w14:paraId="0B4915D2">
                  <w:pP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（6）喷枪采用稀释剂进行清洗，其清洗废液全部回用于喷涂工序，该部分用量已纳入此次核算中。</w:t>
                  </w:r>
                </w:p>
              </w:tc>
            </w:tr>
          </w:tbl>
          <w:p w14:paraId="0F74CA9C">
            <w:pPr>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根据油漆和稀释剂的安全技术说明书（附件11），其成分含量详见表2-7。原辅材料主要理化性质详见表2-8。</w:t>
            </w:r>
          </w:p>
          <w:p w14:paraId="3A5F5879">
            <w:pPr>
              <w:jc w:val="center"/>
              <w:rPr>
                <w:b/>
                <w:bCs/>
                <w:color w:val="0D0D0D" w:themeColor="text1" w:themeTint="F2"/>
                <w:szCs w:val="21"/>
                <w14:textFill>
                  <w14:solidFill>
                    <w14:schemeClr w14:val="tx1">
                      <w14:lumMod w14:val="95000"/>
                      <w14:lumOff w14:val="5000"/>
                    </w14:schemeClr>
                  </w14:solidFill>
                </w14:textFill>
              </w:rPr>
            </w:pPr>
            <w:r>
              <w:rPr>
                <w:rFonts w:hint="eastAsia"/>
                <w:b/>
                <w:bCs/>
                <w:color w:val="0D0D0D" w:themeColor="text1" w:themeTint="F2"/>
                <w:szCs w:val="21"/>
                <w14:textFill>
                  <w14:solidFill>
                    <w14:schemeClr w14:val="tx1">
                      <w14:lumMod w14:val="95000"/>
                      <w14:lumOff w14:val="5000"/>
                    </w14:schemeClr>
                  </w14:solidFill>
                </w14:textFill>
              </w:rPr>
              <w:t>表2</w:t>
            </w:r>
            <w:r>
              <w:rPr>
                <w:b/>
                <w:bCs/>
                <w:color w:val="0D0D0D" w:themeColor="text1" w:themeTint="F2"/>
                <w:szCs w:val="21"/>
                <w14:textFill>
                  <w14:solidFill>
                    <w14:schemeClr w14:val="tx1">
                      <w14:lumMod w14:val="95000"/>
                      <w14:lumOff w14:val="5000"/>
                    </w14:schemeClr>
                  </w14:solidFill>
                </w14:textFill>
              </w:rPr>
              <w:t>-</w:t>
            </w:r>
            <w:r>
              <w:rPr>
                <w:rFonts w:hint="eastAsia"/>
                <w:b/>
                <w:bCs/>
                <w:color w:val="0D0D0D" w:themeColor="text1" w:themeTint="F2"/>
                <w:szCs w:val="21"/>
                <w14:textFill>
                  <w14:solidFill>
                    <w14:schemeClr w14:val="tx1">
                      <w14:lumMod w14:val="95000"/>
                      <w14:lumOff w14:val="5000"/>
                    </w14:schemeClr>
                  </w14:solidFill>
                </w14:textFill>
              </w:rPr>
              <w:t>7</w:t>
            </w:r>
            <w:r>
              <w:rPr>
                <w:b/>
                <w:bCs/>
                <w:color w:val="0D0D0D" w:themeColor="text1" w:themeTint="F2"/>
                <w:szCs w:val="21"/>
                <w14:textFill>
                  <w14:solidFill>
                    <w14:schemeClr w14:val="tx1">
                      <w14:lumMod w14:val="95000"/>
                      <w14:lumOff w14:val="5000"/>
                    </w14:schemeClr>
                  </w14:solidFill>
                </w14:textFill>
              </w:rPr>
              <w:t xml:space="preserve">  </w:t>
            </w:r>
            <w:r>
              <w:rPr>
                <w:rFonts w:hint="eastAsia"/>
                <w:b/>
                <w:bCs/>
                <w:color w:val="0D0D0D" w:themeColor="text1" w:themeTint="F2"/>
                <w:szCs w:val="21"/>
                <w14:textFill>
                  <w14:solidFill>
                    <w14:schemeClr w14:val="tx1">
                      <w14:lumMod w14:val="95000"/>
                      <w14:lumOff w14:val="5000"/>
                    </w14:schemeClr>
                  </w14:solidFill>
                </w14:textFill>
              </w:rPr>
              <w:t>涂料成分含量表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0"/>
              <w:gridCol w:w="2126"/>
              <w:gridCol w:w="2268"/>
              <w:gridCol w:w="1134"/>
              <w:gridCol w:w="1064"/>
            </w:tblGrid>
            <w:tr w14:paraId="6B078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Align w:val="center"/>
                </w:tcPr>
                <w:p w14:paraId="15564413">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名称</w:t>
                  </w:r>
                </w:p>
              </w:tc>
              <w:tc>
                <w:tcPr>
                  <w:tcW w:w="2126" w:type="dxa"/>
                  <w:vAlign w:val="center"/>
                </w:tcPr>
                <w:p w14:paraId="297E5955">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成分</w:t>
                  </w:r>
                </w:p>
              </w:tc>
              <w:tc>
                <w:tcPr>
                  <w:tcW w:w="2268" w:type="dxa"/>
                  <w:vAlign w:val="center"/>
                </w:tcPr>
                <w:p w14:paraId="6F35CFD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CAS</w:t>
                  </w:r>
                </w:p>
              </w:tc>
              <w:tc>
                <w:tcPr>
                  <w:tcW w:w="1134" w:type="dxa"/>
                  <w:vAlign w:val="center"/>
                </w:tcPr>
                <w:p w14:paraId="3DD87F69">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质量分数</w:t>
                  </w:r>
                </w:p>
                <w:p w14:paraId="7E73739F">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c>
                <w:tcPr>
                  <w:tcW w:w="1064" w:type="dxa"/>
                  <w:vAlign w:val="center"/>
                </w:tcPr>
                <w:p w14:paraId="2E27992B">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属性</w:t>
                  </w:r>
                </w:p>
              </w:tc>
            </w:tr>
            <w:tr w14:paraId="0EC30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restart"/>
                  <w:vAlign w:val="center"/>
                </w:tcPr>
                <w:p w14:paraId="1AB81F7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环氧富锌底漆组分A</w:t>
                  </w:r>
                </w:p>
              </w:tc>
              <w:tc>
                <w:tcPr>
                  <w:tcW w:w="2126" w:type="dxa"/>
                  <w:vAlign w:val="center"/>
                </w:tcPr>
                <w:p w14:paraId="249B52C6">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锌粉</w:t>
                  </w:r>
                </w:p>
              </w:tc>
              <w:tc>
                <w:tcPr>
                  <w:tcW w:w="2268" w:type="dxa"/>
                  <w:vAlign w:val="center"/>
                </w:tcPr>
                <w:p w14:paraId="75C3412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7440-66-6</w:t>
                  </w:r>
                </w:p>
              </w:tc>
              <w:tc>
                <w:tcPr>
                  <w:tcW w:w="1134" w:type="dxa"/>
                  <w:vAlign w:val="center"/>
                </w:tcPr>
                <w:p w14:paraId="5EA78375">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≤75</w:t>
                  </w:r>
                </w:p>
              </w:tc>
              <w:tc>
                <w:tcPr>
                  <w:tcW w:w="1064" w:type="dxa"/>
                  <w:vAlign w:val="center"/>
                </w:tcPr>
                <w:p w14:paraId="5B6AF6F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固体分</w:t>
                  </w:r>
                </w:p>
              </w:tc>
            </w:tr>
            <w:tr w14:paraId="394910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continue"/>
                  <w:vAlign w:val="center"/>
                </w:tcPr>
                <w:p w14:paraId="7C6BFAFD">
                  <w:pPr>
                    <w:jc w:val="center"/>
                    <w:rPr>
                      <w:color w:val="0D0D0D" w:themeColor="text1" w:themeTint="F2"/>
                      <w:szCs w:val="21"/>
                      <w14:textFill>
                        <w14:solidFill>
                          <w14:schemeClr w14:val="tx1">
                            <w14:lumMod w14:val="95000"/>
                            <w14:lumOff w14:val="5000"/>
                          </w14:schemeClr>
                        </w14:solidFill>
                      </w14:textFill>
                    </w:rPr>
                  </w:pPr>
                </w:p>
              </w:tc>
              <w:tc>
                <w:tcPr>
                  <w:tcW w:w="2126" w:type="dxa"/>
                  <w:vAlign w:val="center"/>
                </w:tcPr>
                <w:p w14:paraId="5588B18C">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二甲苯</w:t>
                  </w:r>
                </w:p>
              </w:tc>
              <w:tc>
                <w:tcPr>
                  <w:tcW w:w="2268" w:type="dxa"/>
                  <w:vAlign w:val="center"/>
                </w:tcPr>
                <w:p w14:paraId="78102897">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1330-20-7</w:t>
                  </w:r>
                </w:p>
              </w:tc>
              <w:tc>
                <w:tcPr>
                  <w:tcW w:w="1134" w:type="dxa"/>
                  <w:vAlign w:val="center"/>
                </w:tcPr>
                <w:p w14:paraId="1EF215CE">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w:t>
                  </w:r>
                </w:p>
              </w:tc>
              <w:tc>
                <w:tcPr>
                  <w:tcW w:w="1064" w:type="dxa"/>
                  <w:vAlign w:val="center"/>
                </w:tcPr>
                <w:p w14:paraId="483B378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4FB12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continue"/>
                  <w:vAlign w:val="center"/>
                </w:tcPr>
                <w:p w14:paraId="21B09B91">
                  <w:pPr>
                    <w:jc w:val="center"/>
                    <w:rPr>
                      <w:color w:val="0D0D0D" w:themeColor="text1" w:themeTint="F2"/>
                      <w:szCs w:val="21"/>
                      <w14:textFill>
                        <w14:solidFill>
                          <w14:schemeClr w14:val="tx1">
                            <w14:lumMod w14:val="95000"/>
                            <w14:lumOff w14:val="5000"/>
                          </w14:schemeClr>
                        </w14:solidFill>
                      </w14:textFill>
                    </w:rPr>
                  </w:pPr>
                </w:p>
              </w:tc>
              <w:tc>
                <w:tcPr>
                  <w:tcW w:w="2126" w:type="dxa"/>
                  <w:vAlign w:val="center"/>
                </w:tcPr>
                <w:p w14:paraId="0F4CCEC3">
                  <w:pPr>
                    <w:jc w:val="center"/>
                    <w:rPr>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环氧树脂</w:t>
                  </w:r>
                </w:p>
              </w:tc>
              <w:tc>
                <w:tcPr>
                  <w:tcW w:w="2268" w:type="dxa"/>
                  <w:vAlign w:val="center"/>
                </w:tcPr>
                <w:p w14:paraId="10A4D47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25036-25-3</w:t>
                  </w:r>
                </w:p>
              </w:tc>
              <w:tc>
                <w:tcPr>
                  <w:tcW w:w="1134" w:type="dxa"/>
                  <w:vAlign w:val="center"/>
                </w:tcPr>
                <w:p w14:paraId="1E770FCE">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w:t>
                  </w:r>
                </w:p>
              </w:tc>
              <w:tc>
                <w:tcPr>
                  <w:tcW w:w="1064" w:type="dxa"/>
                  <w:vAlign w:val="center"/>
                </w:tcPr>
                <w:p w14:paraId="58A60503">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固体分</w:t>
                  </w:r>
                </w:p>
              </w:tc>
            </w:tr>
            <w:tr w14:paraId="7D6A6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continue"/>
                  <w:vAlign w:val="center"/>
                </w:tcPr>
                <w:p w14:paraId="591E4A5C">
                  <w:pPr>
                    <w:jc w:val="center"/>
                    <w:rPr>
                      <w:color w:val="0D0D0D" w:themeColor="text1" w:themeTint="F2"/>
                      <w:szCs w:val="21"/>
                      <w14:textFill>
                        <w14:solidFill>
                          <w14:schemeClr w14:val="tx1">
                            <w14:lumMod w14:val="95000"/>
                            <w14:lumOff w14:val="5000"/>
                          </w14:schemeClr>
                        </w14:solidFill>
                      </w14:textFill>
                    </w:rPr>
                  </w:pPr>
                </w:p>
              </w:tc>
              <w:tc>
                <w:tcPr>
                  <w:tcW w:w="2126" w:type="dxa"/>
                  <w:vAlign w:val="center"/>
                </w:tcPr>
                <w:p w14:paraId="7A1784CF">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1-甲氧基-2-丙醇</w:t>
                  </w:r>
                </w:p>
              </w:tc>
              <w:tc>
                <w:tcPr>
                  <w:tcW w:w="2268" w:type="dxa"/>
                  <w:vAlign w:val="center"/>
                </w:tcPr>
                <w:p w14:paraId="734EEDC9">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107-98-2</w:t>
                  </w:r>
                </w:p>
              </w:tc>
              <w:tc>
                <w:tcPr>
                  <w:tcW w:w="1134" w:type="dxa"/>
                  <w:vAlign w:val="center"/>
                </w:tcPr>
                <w:p w14:paraId="36052A23">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w:t>
                  </w:r>
                </w:p>
              </w:tc>
              <w:tc>
                <w:tcPr>
                  <w:tcW w:w="1064" w:type="dxa"/>
                  <w:vAlign w:val="center"/>
                </w:tcPr>
                <w:p w14:paraId="7F2E4CC3">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6BFE14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continue"/>
                  <w:vAlign w:val="center"/>
                </w:tcPr>
                <w:p w14:paraId="7CC885D0">
                  <w:pPr>
                    <w:jc w:val="center"/>
                    <w:rPr>
                      <w:color w:val="0D0D0D" w:themeColor="text1" w:themeTint="F2"/>
                      <w:szCs w:val="21"/>
                      <w14:textFill>
                        <w14:solidFill>
                          <w14:schemeClr w14:val="tx1">
                            <w14:lumMod w14:val="95000"/>
                            <w14:lumOff w14:val="5000"/>
                          </w14:schemeClr>
                        </w14:solidFill>
                      </w14:textFill>
                    </w:rPr>
                  </w:pPr>
                </w:p>
              </w:tc>
              <w:tc>
                <w:tcPr>
                  <w:tcW w:w="2126" w:type="dxa"/>
                  <w:vAlign w:val="center"/>
                </w:tcPr>
                <w:p w14:paraId="33C2870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乙苯</w:t>
                  </w:r>
                </w:p>
              </w:tc>
              <w:tc>
                <w:tcPr>
                  <w:tcW w:w="2268" w:type="dxa"/>
                  <w:vAlign w:val="center"/>
                </w:tcPr>
                <w:p w14:paraId="48C30B2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100-41-4</w:t>
                  </w:r>
                </w:p>
              </w:tc>
              <w:tc>
                <w:tcPr>
                  <w:tcW w:w="1134" w:type="dxa"/>
                  <w:vAlign w:val="center"/>
                </w:tcPr>
                <w:p w14:paraId="7D8FE1C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w:t>
                  </w:r>
                </w:p>
              </w:tc>
              <w:tc>
                <w:tcPr>
                  <w:tcW w:w="1064" w:type="dxa"/>
                  <w:vAlign w:val="center"/>
                </w:tcPr>
                <w:p w14:paraId="13D5B736">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54596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continue"/>
                  <w:vAlign w:val="center"/>
                </w:tcPr>
                <w:p w14:paraId="5D54B10F">
                  <w:pPr>
                    <w:jc w:val="center"/>
                    <w:rPr>
                      <w:color w:val="0D0D0D" w:themeColor="text1" w:themeTint="F2"/>
                      <w:szCs w:val="21"/>
                      <w14:textFill>
                        <w14:solidFill>
                          <w14:schemeClr w14:val="tx1">
                            <w14:lumMod w14:val="95000"/>
                            <w14:lumOff w14:val="5000"/>
                          </w14:schemeClr>
                        </w14:solidFill>
                      </w14:textFill>
                    </w:rPr>
                  </w:pPr>
                </w:p>
              </w:tc>
              <w:tc>
                <w:tcPr>
                  <w:tcW w:w="2126" w:type="dxa"/>
                  <w:vAlign w:val="center"/>
                </w:tcPr>
                <w:p w14:paraId="1519799F">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氧化锌</w:t>
                  </w:r>
                </w:p>
              </w:tc>
              <w:tc>
                <w:tcPr>
                  <w:tcW w:w="2268" w:type="dxa"/>
                  <w:vAlign w:val="center"/>
                </w:tcPr>
                <w:p w14:paraId="0D5B9531">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1314-13-2</w:t>
                  </w:r>
                </w:p>
              </w:tc>
              <w:tc>
                <w:tcPr>
                  <w:tcW w:w="1134" w:type="dxa"/>
                  <w:vAlign w:val="center"/>
                </w:tcPr>
                <w:p w14:paraId="0D7736C5">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w:t>
                  </w:r>
                </w:p>
              </w:tc>
              <w:tc>
                <w:tcPr>
                  <w:tcW w:w="1064" w:type="dxa"/>
                  <w:vAlign w:val="center"/>
                </w:tcPr>
                <w:p w14:paraId="317CDF5C">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固体分</w:t>
                  </w:r>
                </w:p>
              </w:tc>
            </w:tr>
            <w:tr w14:paraId="31559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restart"/>
                  <w:vAlign w:val="center"/>
                </w:tcPr>
                <w:p w14:paraId="6C0ED3D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环氧富锌底漆组分B</w:t>
                  </w:r>
                </w:p>
              </w:tc>
              <w:tc>
                <w:tcPr>
                  <w:tcW w:w="2126" w:type="dxa"/>
                  <w:vAlign w:val="center"/>
                </w:tcPr>
                <w:p w14:paraId="0FE15BBD">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二甲苯</w:t>
                  </w:r>
                </w:p>
              </w:tc>
              <w:tc>
                <w:tcPr>
                  <w:tcW w:w="2268" w:type="dxa"/>
                  <w:vAlign w:val="center"/>
                </w:tcPr>
                <w:p w14:paraId="53890E8B">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1330-20-7</w:t>
                  </w:r>
                </w:p>
              </w:tc>
              <w:tc>
                <w:tcPr>
                  <w:tcW w:w="1134" w:type="dxa"/>
                  <w:vAlign w:val="center"/>
                </w:tcPr>
                <w:p w14:paraId="4BFFBCC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＜55</w:t>
                  </w:r>
                </w:p>
              </w:tc>
              <w:tc>
                <w:tcPr>
                  <w:tcW w:w="1064" w:type="dxa"/>
                  <w:vAlign w:val="center"/>
                </w:tcPr>
                <w:p w14:paraId="2CF995F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74EFF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continue"/>
                  <w:vAlign w:val="center"/>
                </w:tcPr>
                <w:p w14:paraId="6A7769EE">
                  <w:pPr>
                    <w:jc w:val="center"/>
                    <w:rPr>
                      <w:color w:val="0D0D0D" w:themeColor="text1" w:themeTint="F2"/>
                      <w:szCs w:val="21"/>
                      <w14:textFill>
                        <w14:solidFill>
                          <w14:schemeClr w14:val="tx1">
                            <w14:lumMod w14:val="95000"/>
                            <w14:lumOff w14:val="5000"/>
                          </w14:schemeClr>
                        </w14:solidFill>
                      </w14:textFill>
                    </w:rPr>
                  </w:pPr>
                </w:p>
              </w:tc>
              <w:tc>
                <w:tcPr>
                  <w:tcW w:w="2126" w:type="dxa"/>
                  <w:vAlign w:val="center"/>
                </w:tcPr>
                <w:p w14:paraId="0227AFD3">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乙苯</w:t>
                  </w:r>
                </w:p>
              </w:tc>
              <w:tc>
                <w:tcPr>
                  <w:tcW w:w="2268" w:type="dxa"/>
                  <w:vAlign w:val="center"/>
                </w:tcPr>
                <w:p w14:paraId="4790D565">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100-41-4</w:t>
                  </w:r>
                </w:p>
              </w:tc>
              <w:tc>
                <w:tcPr>
                  <w:tcW w:w="1134" w:type="dxa"/>
                  <w:vAlign w:val="center"/>
                </w:tcPr>
                <w:p w14:paraId="1A574FD3">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＜25</w:t>
                  </w:r>
                </w:p>
              </w:tc>
              <w:tc>
                <w:tcPr>
                  <w:tcW w:w="1064" w:type="dxa"/>
                  <w:vAlign w:val="center"/>
                </w:tcPr>
                <w:p w14:paraId="229E0AC0">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4FD07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continue"/>
                  <w:vAlign w:val="center"/>
                </w:tcPr>
                <w:p w14:paraId="0D15C4E7">
                  <w:pPr>
                    <w:jc w:val="center"/>
                    <w:rPr>
                      <w:color w:val="0D0D0D" w:themeColor="text1" w:themeTint="F2"/>
                      <w:szCs w:val="21"/>
                      <w14:textFill>
                        <w14:solidFill>
                          <w14:schemeClr w14:val="tx1">
                            <w14:lumMod w14:val="95000"/>
                            <w14:lumOff w14:val="5000"/>
                          </w14:schemeClr>
                        </w14:solidFill>
                      </w14:textFill>
                    </w:rPr>
                  </w:pPr>
                </w:p>
              </w:tc>
              <w:tc>
                <w:tcPr>
                  <w:tcW w:w="2126" w:type="dxa"/>
                  <w:vAlign w:val="center"/>
                </w:tcPr>
                <w:p w14:paraId="172F9A00">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1-甲氧基-2-丙醇</w:t>
                  </w:r>
                </w:p>
              </w:tc>
              <w:tc>
                <w:tcPr>
                  <w:tcW w:w="2268" w:type="dxa"/>
                  <w:vAlign w:val="center"/>
                </w:tcPr>
                <w:p w14:paraId="1833C1CD">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107-98-2</w:t>
                  </w:r>
                </w:p>
              </w:tc>
              <w:tc>
                <w:tcPr>
                  <w:tcW w:w="1134" w:type="dxa"/>
                  <w:vAlign w:val="center"/>
                </w:tcPr>
                <w:p w14:paraId="149E9A1C">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w:t>
                  </w:r>
                </w:p>
              </w:tc>
              <w:tc>
                <w:tcPr>
                  <w:tcW w:w="1064" w:type="dxa"/>
                  <w:vAlign w:val="center"/>
                </w:tcPr>
                <w:p w14:paraId="238AE656">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1583F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continue"/>
                  <w:vAlign w:val="center"/>
                </w:tcPr>
                <w:p w14:paraId="3F99240E">
                  <w:pPr>
                    <w:jc w:val="center"/>
                    <w:rPr>
                      <w:color w:val="0D0D0D" w:themeColor="text1" w:themeTint="F2"/>
                      <w:szCs w:val="21"/>
                      <w14:textFill>
                        <w14:solidFill>
                          <w14:schemeClr w14:val="tx1">
                            <w14:lumMod w14:val="95000"/>
                            <w14:lumOff w14:val="5000"/>
                          </w14:schemeClr>
                        </w14:solidFill>
                      </w14:textFill>
                    </w:rPr>
                  </w:pPr>
                </w:p>
              </w:tc>
              <w:tc>
                <w:tcPr>
                  <w:tcW w:w="2126" w:type="dxa"/>
                  <w:vAlign w:val="center"/>
                </w:tcPr>
                <w:p w14:paraId="710910BD">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2，4，6-三（二甲基胺甲基）苯酚</w:t>
                  </w:r>
                </w:p>
              </w:tc>
              <w:tc>
                <w:tcPr>
                  <w:tcW w:w="2268" w:type="dxa"/>
                  <w:vAlign w:val="center"/>
                </w:tcPr>
                <w:p w14:paraId="03D412D5">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90-72-2</w:t>
                  </w:r>
                </w:p>
              </w:tc>
              <w:tc>
                <w:tcPr>
                  <w:tcW w:w="1134" w:type="dxa"/>
                  <w:vAlign w:val="center"/>
                </w:tcPr>
                <w:p w14:paraId="79E325B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w:t>
                  </w:r>
                </w:p>
              </w:tc>
              <w:tc>
                <w:tcPr>
                  <w:tcW w:w="1064" w:type="dxa"/>
                  <w:vAlign w:val="center"/>
                </w:tcPr>
                <w:p w14:paraId="1A2A70A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固体分</w:t>
                  </w:r>
                </w:p>
              </w:tc>
            </w:tr>
            <w:tr w14:paraId="3ABA0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restart"/>
                  <w:vAlign w:val="center"/>
                </w:tcPr>
                <w:p w14:paraId="1DBC4B50">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环氧云铁中间漆组分A</w:t>
                  </w:r>
                </w:p>
              </w:tc>
              <w:tc>
                <w:tcPr>
                  <w:tcW w:w="2126" w:type="dxa"/>
                  <w:vAlign w:val="center"/>
                </w:tcPr>
                <w:p w14:paraId="5BA1F78E">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环氧树脂</w:t>
                  </w:r>
                </w:p>
              </w:tc>
              <w:tc>
                <w:tcPr>
                  <w:tcW w:w="2268" w:type="dxa"/>
                  <w:vAlign w:val="center"/>
                </w:tcPr>
                <w:p w14:paraId="6FA2E4F7">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1675-54-3</w:t>
                  </w:r>
                </w:p>
              </w:tc>
              <w:tc>
                <w:tcPr>
                  <w:tcW w:w="1134" w:type="dxa"/>
                  <w:vAlign w:val="center"/>
                </w:tcPr>
                <w:p w14:paraId="5736C486">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＜25</w:t>
                  </w:r>
                </w:p>
              </w:tc>
              <w:tc>
                <w:tcPr>
                  <w:tcW w:w="1064" w:type="dxa"/>
                  <w:vAlign w:val="center"/>
                </w:tcPr>
                <w:p w14:paraId="6B1E3EFD">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固体分</w:t>
                  </w:r>
                </w:p>
              </w:tc>
            </w:tr>
            <w:tr w14:paraId="2A0E0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continue"/>
                  <w:vAlign w:val="center"/>
                </w:tcPr>
                <w:p w14:paraId="724DBBF7">
                  <w:pPr>
                    <w:jc w:val="center"/>
                    <w:rPr>
                      <w:color w:val="0D0D0D" w:themeColor="text1" w:themeTint="F2"/>
                      <w:szCs w:val="21"/>
                      <w14:textFill>
                        <w14:solidFill>
                          <w14:schemeClr w14:val="tx1">
                            <w14:lumMod w14:val="95000"/>
                            <w14:lumOff w14:val="5000"/>
                          </w14:schemeClr>
                        </w14:solidFill>
                      </w14:textFill>
                    </w:rPr>
                  </w:pPr>
                </w:p>
              </w:tc>
              <w:tc>
                <w:tcPr>
                  <w:tcW w:w="2126" w:type="dxa"/>
                  <w:vAlign w:val="center"/>
                </w:tcPr>
                <w:p w14:paraId="2B30E286">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二甲苯</w:t>
                  </w:r>
                </w:p>
              </w:tc>
              <w:tc>
                <w:tcPr>
                  <w:tcW w:w="2268" w:type="dxa"/>
                  <w:vAlign w:val="center"/>
                </w:tcPr>
                <w:p w14:paraId="0D6F08D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1330-20-7</w:t>
                  </w:r>
                </w:p>
              </w:tc>
              <w:tc>
                <w:tcPr>
                  <w:tcW w:w="1134" w:type="dxa"/>
                  <w:vAlign w:val="center"/>
                </w:tcPr>
                <w:p w14:paraId="77B2277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≤16</w:t>
                  </w:r>
                </w:p>
              </w:tc>
              <w:tc>
                <w:tcPr>
                  <w:tcW w:w="1064" w:type="dxa"/>
                  <w:vAlign w:val="center"/>
                </w:tcPr>
                <w:p w14:paraId="08A115DE">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3484C6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continue"/>
                  <w:vAlign w:val="center"/>
                </w:tcPr>
                <w:p w14:paraId="5DD31B72">
                  <w:pPr>
                    <w:jc w:val="center"/>
                    <w:rPr>
                      <w:color w:val="0D0D0D" w:themeColor="text1" w:themeTint="F2"/>
                      <w:szCs w:val="21"/>
                      <w14:textFill>
                        <w14:solidFill>
                          <w14:schemeClr w14:val="tx1">
                            <w14:lumMod w14:val="95000"/>
                            <w14:lumOff w14:val="5000"/>
                          </w14:schemeClr>
                        </w14:solidFill>
                      </w14:textFill>
                    </w:rPr>
                  </w:pPr>
                </w:p>
              </w:tc>
              <w:tc>
                <w:tcPr>
                  <w:tcW w:w="2126" w:type="dxa"/>
                  <w:vAlign w:val="center"/>
                </w:tcPr>
                <w:p w14:paraId="06D0D855">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乙苯</w:t>
                  </w:r>
                </w:p>
              </w:tc>
              <w:tc>
                <w:tcPr>
                  <w:tcW w:w="2268" w:type="dxa"/>
                  <w:vAlign w:val="center"/>
                </w:tcPr>
                <w:p w14:paraId="1507E84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100-41-4</w:t>
                  </w:r>
                </w:p>
              </w:tc>
              <w:tc>
                <w:tcPr>
                  <w:tcW w:w="1134" w:type="dxa"/>
                  <w:vAlign w:val="center"/>
                </w:tcPr>
                <w:p w14:paraId="6B66DCDC">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w:t>
                  </w:r>
                </w:p>
              </w:tc>
              <w:tc>
                <w:tcPr>
                  <w:tcW w:w="1064" w:type="dxa"/>
                  <w:vAlign w:val="center"/>
                </w:tcPr>
                <w:p w14:paraId="6433C16E">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7DE76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continue"/>
                  <w:vAlign w:val="center"/>
                </w:tcPr>
                <w:p w14:paraId="2671399C">
                  <w:pPr>
                    <w:jc w:val="center"/>
                    <w:rPr>
                      <w:color w:val="0D0D0D" w:themeColor="text1" w:themeTint="F2"/>
                      <w:szCs w:val="21"/>
                      <w14:textFill>
                        <w14:solidFill>
                          <w14:schemeClr w14:val="tx1">
                            <w14:lumMod w14:val="95000"/>
                            <w14:lumOff w14:val="5000"/>
                          </w14:schemeClr>
                        </w14:solidFill>
                      </w14:textFill>
                    </w:rPr>
                  </w:pPr>
                </w:p>
              </w:tc>
              <w:tc>
                <w:tcPr>
                  <w:tcW w:w="2126" w:type="dxa"/>
                  <w:vAlign w:val="center"/>
                </w:tcPr>
                <w:p w14:paraId="60BBD01D">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异丁醇</w:t>
                  </w:r>
                </w:p>
              </w:tc>
              <w:tc>
                <w:tcPr>
                  <w:tcW w:w="2268" w:type="dxa"/>
                  <w:vAlign w:val="center"/>
                </w:tcPr>
                <w:p w14:paraId="202BDC7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78-83-1</w:t>
                  </w:r>
                </w:p>
              </w:tc>
              <w:tc>
                <w:tcPr>
                  <w:tcW w:w="1134" w:type="dxa"/>
                  <w:vAlign w:val="center"/>
                </w:tcPr>
                <w:p w14:paraId="4DB5018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w:t>
                  </w:r>
                </w:p>
              </w:tc>
              <w:tc>
                <w:tcPr>
                  <w:tcW w:w="1064" w:type="dxa"/>
                  <w:vAlign w:val="center"/>
                </w:tcPr>
                <w:p w14:paraId="3408FC33">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5F5DF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restart"/>
                  <w:vAlign w:val="center"/>
                </w:tcPr>
                <w:p w14:paraId="7886536C">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环氧云铁中间漆组分B</w:t>
                  </w:r>
                </w:p>
              </w:tc>
              <w:tc>
                <w:tcPr>
                  <w:tcW w:w="2126" w:type="dxa"/>
                  <w:vAlign w:val="center"/>
                </w:tcPr>
                <w:p w14:paraId="543B49C6">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二甲苯</w:t>
                  </w:r>
                </w:p>
              </w:tc>
              <w:tc>
                <w:tcPr>
                  <w:tcW w:w="2268" w:type="dxa"/>
                  <w:vAlign w:val="center"/>
                </w:tcPr>
                <w:p w14:paraId="018A0E5F">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1330-20-7</w:t>
                  </w:r>
                </w:p>
              </w:tc>
              <w:tc>
                <w:tcPr>
                  <w:tcW w:w="1134" w:type="dxa"/>
                  <w:vAlign w:val="center"/>
                </w:tcPr>
                <w:p w14:paraId="2855F30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≤18</w:t>
                  </w:r>
                </w:p>
              </w:tc>
              <w:tc>
                <w:tcPr>
                  <w:tcW w:w="1064" w:type="dxa"/>
                  <w:vAlign w:val="center"/>
                </w:tcPr>
                <w:p w14:paraId="04594D4E">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5FA42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continue"/>
                  <w:vAlign w:val="center"/>
                </w:tcPr>
                <w:p w14:paraId="5C6040E2">
                  <w:pPr>
                    <w:jc w:val="center"/>
                    <w:rPr>
                      <w:color w:val="0D0D0D" w:themeColor="text1" w:themeTint="F2"/>
                      <w:szCs w:val="21"/>
                      <w14:textFill>
                        <w14:solidFill>
                          <w14:schemeClr w14:val="tx1">
                            <w14:lumMod w14:val="95000"/>
                            <w14:lumOff w14:val="5000"/>
                          </w14:schemeClr>
                        </w14:solidFill>
                      </w14:textFill>
                    </w:rPr>
                  </w:pPr>
                </w:p>
              </w:tc>
              <w:tc>
                <w:tcPr>
                  <w:tcW w:w="2126" w:type="dxa"/>
                  <w:vAlign w:val="center"/>
                </w:tcPr>
                <w:p w14:paraId="73A5FF95">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1-丁醇</w:t>
                  </w:r>
                </w:p>
              </w:tc>
              <w:tc>
                <w:tcPr>
                  <w:tcW w:w="2268" w:type="dxa"/>
                  <w:vAlign w:val="center"/>
                </w:tcPr>
                <w:p w14:paraId="424ADD0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71-36-3</w:t>
                  </w:r>
                </w:p>
              </w:tc>
              <w:tc>
                <w:tcPr>
                  <w:tcW w:w="1134" w:type="dxa"/>
                  <w:vAlign w:val="center"/>
                </w:tcPr>
                <w:p w14:paraId="4D0E56F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w:t>
                  </w:r>
                </w:p>
              </w:tc>
              <w:tc>
                <w:tcPr>
                  <w:tcW w:w="1064" w:type="dxa"/>
                  <w:vAlign w:val="center"/>
                </w:tcPr>
                <w:p w14:paraId="3A2A4FFD">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66F9A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continue"/>
                  <w:vAlign w:val="center"/>
                </w:tcPr>
                <w:p w14:paraId="4853727D">
                  <w:pPr>
                    <w:jc w:val="center"/>
                    <w:rPr>
                      <w:color w:val="0D0D0D" w:themeColor="text1" w:themeTint="F2"/>
                      <w:szCs w:val="21"/>
                      <w14:textFill>
                        <w14:solidFill>
                          <w14:schemeClr w14:val="tx1">
                            <w14:lumMod w14:val="95000"/>
                            <w14:lumOff w14:val="5000"/>
                          </w14:schemeClr>
                        </w14:solidFill>
                      </w14:textFill>
                    </w:rPr>
                  </w:pPr>
                </w:p>
              </w:tc>
              <w:tc>
                <w:tcPr>
                  <w:tcW w:w="2126" w:type="dxa"/>
                  <w:vAlign w:val="center"/>
                </w:tcPr>
                <w:p w14:paraId="445C0D69">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乙苯</w:t>
                  </w:r>
                </w:p>
              </w:tc>
              <w:tc>
                <w:tcPr>
                  <w:tcW w:w="2268" w:type="dxa"/>
                  <w:vAlign w:val="center"/>
                </w:tcPr>
                <w:p w14:paraId="1A7B537B">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100-41-4</w:t>
                  </w:r>
                </w:p>
              </w:tc>
              <w:tc>
                <w:tcPr>
                  <w:tcW w:w="1134" w:type="dxa"/>
                  <w:vAlign w:val="center"/>
                </w:tcPr>
                <w:p w14:paraId="083E6377">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≤6.2</w:t>
                  </w:r>
                </w:p>
              </w:tc>
              <w:tc>
                <w:tcPr>
                  <w:tcW w:w="1064" w:type="dxa"/>
                  <w:vAlign w:val="center"/>
                </w:tcPr>
                <w:p w14:paraId="5C7A6E2C">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79152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restart"/>
                  <w:vAlign w:val="center"/>
                </w:tcPr>
                <w:p w14:paraId="10720437">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无机硅酸富锌底漆组分A</w:t>
                  </w:r>
                </w:p>
              </w:tc>
              <w:tc>
                <w:tcPr>
                  <w:tcW w:w="2126" w:type="dxa"/>
                  <w:vAlign w:val="center"/>
                </w:tcPr>
                <w:p w14:paraId="0118753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乙醇</w:t>
                  </w:r>
                </w:p>
              </w:tc>
              <w:tc>
                <w:tcPr>
                  <w:tcW w:w="2268" w:type="dxa"/>
                  <w:vAlign w:val="center"/>
                </w:tcPr>
                <w:p w14:paraId="2254B005">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64-17-5</w:t>
                  </w:r>
                </w:p>
              </w:tc>
              <w:tc>
                <w:tcPr>
                  <w:tcW w:w="1134" w:type="dxa"/>
                  <w:vAlign w:val="center"/>
                </w:tcPr>
                <w:p w14:paraId="25F173C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≤25</w:t>
                  </w:r>
                </w:p>
              </w:tc>
              <w:tc>
                <w:tcPr>
                  <w:tcW w:w="1064" w:type="dxa"/>
                  <w:vAlign w:val="center"/>
                </w:tcPr>
                <w:p w14:paraId="3AF374F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1CA10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continue"/>
                  <w:vAlign w:val="center"/>
                </w:tcPr>
                <w:p w14:paraId="20D06CB3">
                  <w:pPr>
                    <w:jc w:val="center"/>
                    <w:rPr>
                      <w:color w:val="0D0D0D" w:themeColor="text1" w:themeTint="F2"/>
                      <w:szCs w:val="21"/>
                      <w14:textFill>
                        <w14:solidFill>
                          <w14:schemeClr w14:val="tx1">
                            <w14:lumMod w14:val="95000"/>
                            <w14:lumOff w14:val="5000"/>
                          </w14:schemeClr>
                        </w14:solidFill>
                      </w14:textFill>
                    </w:rPr>
                  </w:pPr>
                </w:p>
              </w:tc>
              <w:tc>
                <w:tcPr>
                  <w:tcW w:w="2126" w:type="dxa"/>
                  <w:vAlign w:val="center"/>
                </w:tcPr>
                <w:p w14:paraId="76E6CD4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2-丁氧基乙醇</w:t>
                  </w:r>
                </w:p>
              </w:tc>
              <w:tc>
                <w:tcPr>
                  <w:tcW w:w="2268" w:type="dxa"/>
                  <w:vAlign w:val="center"/>
                </w:tcPr>
                <w:p w14:paraId="0F5E8DE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111-76-2</w:t>
                  </w:r>
                </w:p>
              </w:tc>
              <w:tc>
                <w:tcPr>
                  <w:tcW w:w="1134" w:type="dxa"/>
                  <w:vAlign w:val="center"/>
                </w:tcPr>
                <w:p w14:paraId="39771191">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≤11</w:t>
                  </w:r>
                </w:p>
              </w:tc>
              <w:tc>
                <w:tcPr>
                  <w:tcW w:w="1064" w:type="dxa"/>
                  <w:vAlign w:val="center"/>
                </w:tcPr>
                <w:p w14:paraId="27E9AD10">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0CAF9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continue"/>
                  <w:vAlign w:val="center"/>
                </w:tcPr>
                <w:p w14:paraId="190D0BE2">
                  <w:pPr>
                    <w:jc w:val="center"/>
                    <w:rPr>
                      <w:color w:val="0D0D0D" w:themeColor="text1" w:themeTint="F2"/>
                      <w:szCs w:val="21"/>
                      <w14:textFill>
                        <w14:solidFill>
                          <w14:schemeClr w14:val="tx1">
                            <w14:lumMod w14:val="95000"/>
                            <w14:lumOff w14:val="5000"/>
                          </w14:schemeClr>
                        </w14:solidFill>
                      </w14:textFill>
                    </w:rPr>
                  </w:pPr>
                </w:p>
              </w:tc>
              <w:tc>
                <w:tcPr>
                  <w:tcW w:w="2126" w:type="dxa"/>
                  <w:vAlign w:val="center"/>
                </w:tcPr>
                <w:p w14:paraId="248D9E5E">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二甲苯</w:t>
                  </w:r>
                </w:p>
              </w:tc>
              <w:tc>
                <w:tcPr>
                  <w:tcW w:w="2268" w:type="dxa"/>
                  <w:vAlign w:val="center"/>
                </w:tcPr>
                <w:p w14:paraId="680137A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1330-20-7</w:t>
                  </w:r>
                </w:p>
              </w:tc>
              <w:tc>
                <w:tcPr>
                  <w:tcW w:w="1134" w:type="dxa"/>
                  <w:vAlign w:val="center"/>
                </w:tcPr>
                <w:p w14:paraId="11C070F6">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≤7.3</w:t>
                  </w:r>
                </w:p>
              </w:tc>
              <w:tc>
                <w:tcPr>
                  <w:tcW w:w="1064" w:type="dxa"/>
                  <w:vAlign w:val="center"/>
                </w:tcPr>
                <w:p w14:paraId="1EBA53CD">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6DE56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continue"/>
                  <w:vAlign w:val="center"/>
                </w:tcPr>
                <w:p w14:paraId="7E0E2341">
                  <w:pPr>
                    <w:jc w:val="center"/>
                    <w:rPr>
                      <w:color w:val="0D0D0D" w:themeColor="text1" w:themeTint="F2"/>
                      <w:szCs w:val="21"/>
                      <w14:textFill>
                        <w14:solidFill>
                          <w14:schemeClr w14:val="tx1">
                            <w14:lumMod w14:val="95000"/>
                            <w14:lumOff w14:val="5000"/>
                          </w14:schemeClr>
                        </w14:solidFill>
                      </w14:textFill>
                    </w:rPr>
                  </w:pPr>
                </w:p>
              </w:tc>
              <w:tc>
                <w:tcPr>
                  <w:tcW w:w="2126" w:type="dxa"/>
                  <w:vAlign w:val="center"/>
                </w:tcPr>
                <w:p w14:paraId="7F6B68AC">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四乙氧基硅烷</w:t>
                  </w:r>
                </w:p>
              </w:tc>
              <w:tc>
                <w:tcPr>
                  <w:tcW w:w="2268" w:type="dxa"/>
                  <w:vAlign w:val="center"/>
                </w:tcPr>
                <w:p w14:paraId="569B9C9F">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78-10-4</w:t>
                  </w:r>
                </w:p>
              </w:tc>
              <w:tc>
                <w:tcPr>
                  <w:tcW w:w="1134" w:type="dxa"/>
                  <w:vAlign w:val="center"/>
                </w:tcPr>
                <w:p w14:paraId="2AD46FA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≤6.4</w:t>
                  </w:r>
                </w:p>
              </w:tc>
              <w:tc>
                <w:tcPr>
                  <w:tcW w:w="1064" w:type="dxa"/>
                  <w:vAlign w:val="center"/>
                </w:tcPr>
                <w:p w14:paraId="32CB5499">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75CCA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continue"/>
                  <w:vAlign w:val="center"/>
                </w:tcPr>
                <w:p w14:paraId="08003A87">
                  <w:pPr>
                    <w:jc w:val="center"/>
                    <w:rPr>
                      <w:color w:val="0D0D0D" w:themeColor="text1" w:themeTint="F2"/>
                      <w:szCs w:val="21"/>
                      <w14:textFill>
                        <w14:solidFill>
                          <w14:schemeClr w14:val="tx1">
                            <w14:lumMod w14:val="95000"/>
                            <w14:lumOff w14:val="5000"/>
                          </w14:schemeClr>
                        </w14:solidFill>
                      </w14:textFill>
                    </w:rPr>
                  </w:pPr>
                </w:p>
              </w:tc>
              <w:tc>
                <w:tcPr>
                  <w:tcW w:w="2126" w:type="dxa"/>
                  <w:vAlign w:val="center"/>
                </w:tcPr>
                <w:p w14:paraId="0BD1FA61">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1-甲氧基-2-丙醇</w:t>
                  </w:r>
                </w:p>
              </w:tc>
              <w:tc>
                <w:tcPr>
                  <w:tcW w:w="2268" w:type="dxa"/>
                  <w:vAlign w:val="center"/>
                </w:tcPr>
                <w:p w14:paraId="117F0A99">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107-98-2</w:t>
                  </w:r>
                </w:p>
              </w:tc>
              <w:tc>
                <w:tcPr>
                  <w:tcW w:w="1134" w:type="dxa"/>
                  <w:vAlign w:val="center"/>
                </w:tcPr>
                <w:p w14:paraId="51C63B4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w:t>
                  </w:r>
                </w:p>
              </w:tc>
              <w:tc>
                <w:tcPr>
                  <w:tcW w:w="1064" w:type="dxa"/>
                  <w:vAlign w:val="center"/>
                </w:tcPr>
                <w:p w14:paraId="3CDC759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33E70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continue"/>
                  <w:vAlign w:val="center"/>
                </w:tcPr>
                <w:p w14:paraId="7509C851">
                  <w:pPr>
                    <w:jc w:val="center"/>
                    <w:rPr>
                      <w:color w:val="0D0D0D" w:themeColor="text1" w:themeTint="F2"/>
                      <w:szCs w:val="21"/>
                      <w14:textFill>
                        <w14:solidFill>
                          <w14:schemeClr w14:val="tx1">
                            <w14:lumMod w14:val="95000"/>
                            <w14:lumOff w14:val="5000"/>
                          </w14:schemeClr>
                        </w14:solidFill>
                      </w14:textFill>
                    </w:rPr>
                  </w:pPr>
                </w:p>
              </w:tc>
              <w:tc>
                <w:tcPr>
                  <w:tcW w:w="2126" w:type="dxa"/>
                  <w:vAlign w:val="center"/>
                </w:tcPr>
                <w:p w14:paraId="1356B11B">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乙苯</w:t>
                  </w:r>
                </w:p>
              </w:tc>
              <w:tc>
                <w:tcPr>
                  <w:tcW w:w="2268" w:type="dxa"/>
                  <w:vAlign w:val="center"/>
                </w:tcPr>
                <w:p w14:paraId="7FD51F03">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100-41-4</w:t>
                  </w:r>
                </w:p>
              </w:tc>
              <w:tc>
                <w:tcPr>
                  <w:tcW w:w="1134" w:type="dxa"/>
                  <w:vAlign w:val="center"/>
                </w:tcPr>
                <w:p w14:paraId="2E13BDDC">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＜2.5</w:t>
                  </w:r>
                </w:p>
              </w:tc>
              <w:tc>
                <w:tcPr>
                  <w:tcW w:w="1064" w:type="dxa"/>
                  <w:vAlign w:val="center"/>
                </w:tcPr>
                <w:p w14:paraId="46677FDB">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4C5ED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restart"/>
                  <w:vAlign w:val="center"/>
                </w:tcPr>
                <w:p w14:paraId="2D2F6C81">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无机硅酸富锌底漆组分B</w:t>
                  </w:r>
                </w:p>
              </w:tc>
              <w:tc>
                <w:tcPr>
                  <w:tcW w:w="2126" w:type="dxa"/>
                  <w:vAlign w:val="center"/>
                </w:tcPr>
                <w:p w14:paraId="0F624FBB">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锌粉</w:t>
                  </w:r>
                </w:p>
              </w:tc>
              <w:tc>
                <w:tcPr>
                  <w:tcW w:w="2268" w:type="dxa"/>
                  <w:vAlign w:val="center"/>
                </w:tcPr>
                <w:p w14:paraId="49997B9F">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7440-66-6</w:t>
                  </w:r>
                </w:p>
              </w:tc>
              <w:tc>
                <w:tcPr>
                  <w:tcW w:w="1134" w:type="dxa"/>
                  <w:vAlign w:val="center"/>
                </w:tcPr>
                <w:p w14:paraId="20284F91">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≥90</w:t>
                  </w:r>
                </w:p>
              </w:tc>
              <w:tc>
                <w:tcPr>
                  <w:tcW w:w="1064" w:type="dxa"/>
                  <w:vAlign w:val="center"/>
                </w:tcPr>
                <w:p w14:paraId="4581281F">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固体分</w:t>
                  </w:r>
                </w:p>
              </w:tc>
            </w:tr>
            <w:tr w14:paraId="2769D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continue"/>
                  <w:vAlign w:val="center"/>
                </w:tcPr>
                <w:p w14:paraId="5A47970C">
                  <w:pPr>
                    <w:jc w:val="center"/>
                    <w:rPr>
                      <w:color w:val="0D0D0D" w:themeColor="text1" w:themeTint="F2"/>
                      <w:szCs w:val="21"/>
                      <w14:textFill>
                        <w14:solidFill>
                          <w14:schemeClr w14:val="tx1">
                            <w14:lumMod w14:val="95000"/>
                            <w14:lumOff w14:val="5000"/>
                          </w14:schemeClr>
                        </w14:solidFill>
                      </w14:textFill>
                    </w:rPr>
                  </w:pPr>
                </w:p>
              </w:tc>
              <w:tc>
                <w:tcPr>
                  <w:tcW w:w="2126" w:type="dxa"/>
                  <w:vAlign w:val="center"/>
                </w:tcPr>
                <w:p w14:paraId="077A944F">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氧化锌</w:t>
                  </w:r>
                </w:p>
              </w:tc>
              <w:tc>
                <w:tcPr>
                  <w:tcW w:w="2268" w:type="dxa"/>
                  <w:vAlign w:val="center"/>
                </w:tcPr>
                <w:p w14:paraId="0498523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1314-13-2</w:t>
                  </w:r>
                </w:p>
              </w:tc>
              <w:tc>
                <w:tcPr>
                  <w:tcW w:w="1134" w:type="dxa"/>
                  <w:vAlign w:val="center"/>
                </w:tcPr>
                <w:p w14:paraId="62971F09">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w:t>
                  </w:r>
                </w:p>
              </w:tc>
              <w:tc>
                <w:tcPr>
                  <w:tcW w:w="1064" w:type="dxa"/>
                  <w:vAlign w:val="center"/>
                </w:tcPr>
                <w:p w14:paraId="5A8E7D4D">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固体分</w:t>
                  </w:r>
                </w:p>
              </w:tc>
            </w:tr>
            <w:tr w14:paraId="2C767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restart"/>
                  <w:vAlign w:val="center"/>
                </w:tcPr>
                <w:p w14:paraId="6A308DA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有机硅耐高温铝粉漆</w:t>
                  </w:r>
                </w:p>
              </w:tc>
              <w:tc>
                <w:tcPr>
                  <w:tcW w:w="2126" w:type="dxa"/>
                  <w:vAlign w:val="center"/>
                </w:tcPr>
                <w:p w14:paraId="63B75E70">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二甲苯</w:t>
                  </w:r>
                </w:p>
              </w:tc>
              <w:tc>
                <w:tcPr>
                  <w:tcW w:w="2268" w:type="dxa"/>
                  <w:vAlign w:val="center"/>
                </w:tcPr>
                <w:p w14:paraId="0CAEEAEC">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1330-20-7</w:t>
                  </w:r>
                </w:p>
              </w:tc>
              <w:tc>
                <w:tcPr>
                  <w:tcW w:w="1134" w:type="dxa"/>
                  <w:vAlign w:val="center"/>
                </w:tcPr>
                <w:p w14:paraId="2D77195B">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≤25</w:t>
                  </w:r>
                </w:p>
              </w:tc>
              <w:tc>
                <w:tcPr>
                  <w:tcW w:w="1064" w:type="dxa"/>
                  <w:vAlign w:val="center"/>
                </w:tcPr>
                <w:p w14:paraId="4D1485AF">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4D446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continue"/>
                  <w:vAlign w:val="center"/>
                </w:tcPr>
                <w:p w14:paraId="410DBF40">
                  <w:pPr>
                    <w:jc w:val="center"/>
                    <w:rPr>
                      <w:color w:val="0D0D0D" w:themeColor="text1" w:themeTint="F2"/>
                      <w:szCs w:val="21"/>
                      <w14:textFill>
                        <w14:solidFill>
                          <w14:schemeClr w14:val="tx1">
                            <w14:lumMod w14:val="95000"/>
                            <w14:lumOff w14:val="5000"/>
                          </w14:schemeClr>
                        </w14:solidFill>
                      </w14:textFill>
                    </w:rPr>
                  </w:pPr>
                </w:p>
              </w:tc>
              <w:tc>
                <w:tcPr>
                  <w:tcW w:w="2126" w:type="dxa"/>
                  <w:vAlign w:val="center"/>
                </w:tcPr>
                <w:p w14:paraId="476EDF5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乙苯</w:t>
                  </w:r>
                </w:p>
              </w:tc>
              <w:tc>
                <w:tcPr>
                  <w:tcW w:w="2268" w:type="dxa"/>
                  <w:vAlign w:val="center"/>
                </w:tcPr>
                <w:p w14:paraId="037A74A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100-41-4</w:t>
                  </w:r>
                </w:p>
              </w:tc>
              <w:tc>
                <w:tcPr>
                  <w:tcW w:w="1134" w:type="dxa"/>
                  <w:vAlign w:val="center"/>
                </w:tcPr>
                <w:p w14:paraId="0BD91989">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w:t>
                  </w:r>
                </w:p>
              </w:tc>
              <w:tc>
                <w:tcPr>
                  <w:tcW w:w="1064" w:type="dxa"/>
                  <w:vAlign w:val="center"/>
                </w:tcPr>
                <w:p w14:paraId="22B55677">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7DA26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continue"/>
                  <w:vAlign w:val="center"/>
                </w:tcPr>
                <w:p w14:paraId="3C3FD9A5">
                  <w:pPr>
                    <w:jc w:val="center"/>
                    <w:rPr>
                      <w:color w:val="0D0D0D" w:themeColor="text1" w:themeTint="F2"/>
                      <w:szCs w:val="21"/>
                      <w14:textFill>
                        <w14:solidFill>
                          <w14:schemeClr w14:val="tx1">
                            <w14:lumMod w14:val="95000"/>
                            <w14:lumOff w14:val="5000"/>
                          </w14:schemeClr>
                        </w14:solidFill>
                      </w14:textFill>
                    </w:rPr>
                  </w:pPr>
                </w:p>
              </w:tc>
              <w:tc>
                <w:tcPr>
                  <w:tcW w:w="2126" w:type="dxa"/>
                  <w:vAlign w:val="center"/>
                </w:tcPr>
                <w:p w14:paraId="788D6C00">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轻芳烃溶剂石脑油（石油）</w:t>
                  </w:r>
                </w:p>
              </w:tc>
              <w:tc>
                <w:tcPr>
                  <w:tcW w:w="2268" w:type="dxa"/>
                  <w:vAlign w:val="center"/>
                </w:tcPr>
                <w:p w14:paraId="64752CC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64742-95-6</w:t>
                  </w:r>
                </w:p>
              </w:tc>
              <w:tc>
                <w:tcPr>
                  <w:tcW w:w="1134" w:type="dxa"/>
                  <w:vAlign w:val="center"/>
                </w:tcPr>
                <w:p w14:paraId="7E434346">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w:t>
                  </w:r>
                </w:p>
              </w:tc>
              <w:tc>
                <w:tcPr>
                  <w:tcW w:w="1064" w:type="dxa"/>
                  <w:vAlign w:val="center"/>
                </w:tcPr>
                <w:p w14:paraId="7578E01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05EF4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continue"/>
                  <w:vAlign w:val="center"/>
                </w:tcPr>
                <w:p w14:paraId="79D20176">
                  <w:pPr>
                    <w:jc w:val="center"/>
                    <w:rPr>
                      <w:color w:val="0D0D0D" w:themeColor="text1" w:themeTint="F2"/>
                      <w:szCs w:val="21"/>
                      <w14:textFill>
                        <w14:solidFill>
                          <w14:schemeClr w14:val="tx1">
                            <w14:lumMod w14:val="95000"/>
                            <w14:lumOff w14:val="5000"/>
                          </w14:schemeClr>
                        </w14:solidFill>
                      </w14:textFill>
                    </w:rPr>
                  </w:pPr>
                </w:p>
              </w:tc>
              <w:tc>
                <w:tcPr>
                  <w:tcW w:w="2126" w:type="dxa"/>
                  <w:vAlign w:val="center"/>
                </w:tcPr>
                <w:p w14:paraId="088F0987">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1-丁醇</w:t>
                  </w:r>
                </w:p>
              </w:tc>
              <w:tc>
                <w:tcPr>
                  <w:tcW w:w="2268" w:type="dxa"/>
                  <w:vAlign w:val="center"/>
                </w:tcPr>
                <w:p w14:paraId="726D24AE">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71-36-3</w:t>
                  </w:r>
                </w:p>
              </w:tc>
              <w:tc>
                <w:tcPr>
                  <w:tcW w:w="1134" w:type="dxa"/>
                  <w:vAlign w:val="center"/>
                </w:tcPr>
                <w:p w14:paraId="6025209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w:t>
                  </w:r>
                </w:p>
              </w:tc>
              <w:tc>
                <w:tcPr>
                  <w:tcW w:w="1064" w:type="dxa"/>
                  <w:vAlign w:val="center"/>
                </w:tcPr>
                <w:p w14:paraId="0B604AF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22295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continue"/>
                  <w:vAlign w:val="center"/>
                </w:tcPr>
                <w:p w14:paraId="77FEC3C8">
                  <w:pPr>
                    <w:jc w:val="center"/>
                    <w:rPr>
                      <w:color w:val="0D0D0D" w:themeColor="text1" w:themeTint="F2"/>
                      <w:szCs w:val="21"/>
                      <w14:textFill>
                        <w14:solidFill>
                          <w14:schemeClr w14:val="tx1">
                            <w14:lumMod w14:val="95000"/>
                            <w14:lumOff w14:val="5000"/>
                          </w14:schemeClr>
                        </w14:solidFill>
                      </w14:textFill>
                    </w:rPr>
                  </w:pPr>
                </w:p>
              </w:tc>
              <w:tc>
                <w:tcPr>
                  <w:tcW w:w="2126" w:type="dxa"/>
                  <w:vAlign w:val="center"/>
                </w:tcPr>
                <w:p w14:paraId="03A9B650">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γ-丙三醇氧基丙基三甲基硅烷</w:t>
                  </w:r>
                </w:p>
              </w:tc>
              <w:tc>
                <w:tcPr>
                  <w:tcW w:w="2268" w:type="dxa"/>
                  <w:vAlign w:val="center"/>
                </w:tcPr>
                <w:p w14:paraId="20C3D715">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2530-83-8</w:t>
                  </w:r>
                </w:p>
              </w:tc>
              <w:tc>
                <w:tcPr>
                  <w:tcW w:w="1134" w:type="dxa"/>
                  <w:vAlign w:val="center"/>
                </w:tcPr>
                <w:p w14:paraId="141F0711">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w:t>
                  </w:r>
                </w:p>
              </w:tc>
              <w:tc>
                <w:tcPr>
                  <w:tcW w:w="1064" w:type="dxa"/>
                  <w:vAlign w:val="center"/>
                </w:tcPr>
                <w:p w14:paraId="055EC0C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5626D4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continue"/>
                  <w:vAlign w:val="center"/>
                </w:tcPr>
                <w:p w14:paraId="39149B2D">
                  <w:pPr>
                    <w:jc w:val="center"/>
                    <w:rPr>
                      <w:color w:val="0D0D0D" w:themeColor="text1" w:themeTint="F2"/>
                      <w:szCs w:val="21"/>
                      <w14:textFill>
                        <w14:solidFill>
                          <w14:schemeClr w14:val="tx1">
                            <w14:lumMod w14:val="95000"/>
                            <w14:lumOff w14:val="5000"/>
                          </w14:schemeClr>
                        </w14:solidFill>
                      </w14:textFill>
                    </w:rPr>
                  </w:pPr>
                </w:p>
              </w:tc>
              <w:tc>
                <w:tcPr>
                  <w:tcW w:w="2126" w:type="dxa"/>
                  <w:vAlign w:val="center"/>
                </w:tcPr>
                <w:p w14:paraId="6691D74D">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加氢的石油磺化重石脑油</w:t>
                  </w:r>
                </w:p>
              </w:tc>
              <w:tc>
                <w:tcPr>
                  <w:tcW w:w="2268" w:type="dxa"/>
                  <w:vAlign w:val="center"/>
                </w:tcPr>
                <w:p w14:paraId="03FD898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64741-82-1</w:t>
                  </w:r>
                </w:p>
              </w:tc>
              <w:tc>
                <w:tcPr>
                  <w:tcW w:w="1134" w:type="dxa"/>
                  <w:vAlign w:val="center"/>
                </w:tcPr>
                <w:p w14:paraId="3091D0BE">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w:t>
                  </w:r>
                </w:p>
              </w:tc>
              <w:tc>
                <w:tcPr>
                  <w:tcW w:w="1064" w:type="dxa"/>
                  <w:vAlign w:val="center"/>
                </w:tcPr>
                <w:p w14:paraId="6501D48D">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0847D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Align w:val="center"/>
                </w:tcPr>
                <w:p w14:paraId="0B7E4061">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4号稀释剂</w:t>
                  </w:r>
                </w:p>
              </w:tc>
              <w:tc>
                <w:tcPr>
                  <w:tcW w:w="2126" w:type="dxa"/>
                  <w:vAlign w:val="center"/>
                </w:tcPr>
                <w:p w14:paraId="05787680">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异丙醇</w:t>
                  </w:r>
                </w:p>
              </w:tc>
              <w:tc>
                <w:tcPr>
                  <w:tcW w:w="2268" w:type="dxa"/>
                  <w:vAlign w:val="center"/>
                </w:tcPr>
                <w:p w14:paraId="7966B4E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67-63-0</w:t>
                  </w:r>
                </w:p>
              </w:tc>
              <w:tc>
                <w:tcPr>
                  <w:tcW w:w="1134" w:type="dxa"/>
                  <w:vAlign w:val="center"/>
                </w:tcPr>
                <w:p w14:paraId="74363EA1">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100</w:t>
                  </w:r>
                </w:p>
              </w:tc>
              <w:tc>
                <w:tcPr>
                  <w:tcW w:w="1064" w:type="dxa"/>
                  <w:vAlign w:val="center"/>
                </w:tcPr>
                <w:p w14:paraId="600DA27E">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485A4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restart"/>
                  <w:vAlign w:val="center"/>
                </w:tcPr>
                <w:p w14:paraId="1DCA59BE">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17号稀释剂</w:t>
                  </w:r>
                </w:p>
              </w:tc>
              <w:tc>
                <w:tcPr>
                  <w:tcW w:w="2126" w:type="dxa"/>
                  <w:vAlign w:val="center"/>
                </w:tcPr>
                <w:p w14:paraId="76E19E0C">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轻芳烃溶剂石脑油（石油）</w:t>
                  </w:r>
                </w:p>
              </w:tc>
              <w:tc>
                <w:tcPr>
                  <w:tcW w:w="2268" w:type="dxa"/>
                  <w:vAlign w:val="center"/>
                </w:tcPr>
                <w:p w14:paraId="48791A49">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64742-95-6</w:t>
                  </w:r>
                </w:p>
              </w:tc>
              <w:tc>
                <w:tcPr>
                  <w:tcW w:w="1134" w:type="dxa"/>
                  <w:vAlign w:val="center"/>
                </w:tcPr>
                <w:p w14:paraId="68F239F5">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≤80</w:t>
                  </w:r>
                </w:p>
              </w:tc>
              <w:tc>
                <w:tcPr>
                  <w:tcW w:w="1064" w:type="dxa"/>
                  <w:vAlign w:val="center"/>
                </w:tcPr>
                <w:p w14:paraId="2FA66B3C">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02F24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continue"/>
                  <w:vAlign w:val="center"/>
                </w:tcPr>
                <w:p w14:paraId="4855C1F7">
                  <w:pPr>
                    <w:jc w:val="center"/>
                    <w:rPr>
                      <w:color w:val="0D0D0D" w:themeColor="text1" w:themeTint="F2"/>
                      <w:szCs w:val="21"/>
                      <w14:textFill>
                        <w14:solidFill>
                          <w14:schemeClr w14:val="tx1">
                            <w14:lumMod w14:val="95000"/>
                            <w14:lumOff w14:val="5000"/>
                          </w14:schemeClr>
                        </w14:solidFill>
                      </w14:textFill>
                    </w:rPr>
                  </w:pPr>
                </w:p>
              </w:tc>
              <w:tc>
                <w:tcPr>
                  <w:tcW w:w="2126" w:type="dxa"/>
                  <w:vAlign w:val="center"/>
                </w:tcPr>
                <w:p w14:paraId="1CFF0A6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二甲苯</w:t>
                  </w:r>
                </w:p>
              </w:tc>
              <w:tc>
                <w:tcPr>
                  <w:tcW w:w="2268" w:type="dxa"/>
                  <w:vAlign w:val="center"/>
                </w:tcPr>
                <w:p w14:paraId="7F3E096B">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1330-20-7</w:t>
                  </w:r>
                </w:p>
              </w:tc>
              <w:tc>
                <w:tcPr>
                  <w:tcW w:w="1134" w:type="dxa"/>
                  <w:vAlign w:val="center"/>
                </w:tcPr>
                <w:p w14:paraId="09FC5A71">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≤30</w:t>
                  </w:r>
                </w:p>
              </w:tc>
              <w:tc>
                <w:tcPr>
                  <w:tcW w:w="1064" w:type="dxa"/>
                  <w:vAlign w:val="center"/>
                </w:tcPr>
                <w:p w14:paraId="31264B3D">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5A16C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continue"/>
                  <w:vAlign w:val="center"/>
                </w:tcPr>
                <w:p w14:paraId="7ABC4387">
                  <w:pPr>
                    <w:jc w:val="center"/>
                    <w:rPr>
                      <w:color w:val="0D0D0D" w:themeColor="text1" w:themeTint="F2"/>
                      <w:szCs w:val="21"/>
                      <w14:textFill>
                        <w14:solidFill>
                          <w14:schemeClr w14:val="tx1">
                            <w14:lumMod w14:val="95000"/>
                            <w14:lumOff w14:val="5000"/>
                          </w14:schemeClr>
                        </w14:solidFill>
                      </w14:textFill>
                    </w:rPr>
                  </w:pPr>
                </w:p>
              </w:tc>
              <w:tc>
                <w:tcPr>
                  <w:tcW w:w="2126" w:type="dxa"/>
                  <w:vAlign w:val="center"/>
                </w:tcPr>
                <w:p w14:paraId="2377945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1-丁醇</w:t>
                  </w:r>
                </w:p>
              </w:tc>
              <w:tc>
                <w:tcPr>
                  <w:tcW w:w="2268" w:type="dxa"/>
                  <w:vAlign w:val="center"/>
                </w:tcPr>
                <w:p w14:paraId="3D82C903">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71-36-3</w:t>
                  </w:r>
                </w:p>
              </w:tc>
              <w:tc>
                <w:tcPr>
                  <w:tcW w:w="1134" w:type="dxa"/>
                  <w:vAlign w:val="center"/>
                </w:tcPr>
                <w:p w14:paraId="5D665825">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≤30</w:t>
                  </w:r>
                </w:p>
              </w:tc>
              <w:tc>
                <w:tcPr>
                  <w:tcW w:w="1064" w:type="dxa"/>
                  <w:vAlign w:val="center"/>
                </w:tcPr>
                <w:p w14:paraId="3A507E66">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r w14:paraId="0B854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50" w:type="dxa"/>
                  <w:vMerge w:val="continue"/>
                  <w:vAlign w:val="center"/>
                </w:tcPr>
                <w:p w14:paraId="60D38EA6">
                  <w:pPr>
                    <w:jc w:val="center"/>
                    <w:rPr>
                      <w:color w:val="0D0D0D" w:themeColor="text1" w:themeTint="F2"/>
                      <w:szCs w:val="21"/>
                      <w14:textFill>
                        <w14:solidFill>
                          <w14:schemeClr w14:val="tx1">
                            <w14:lumMod w14:val="95000"/>
                            <w14:lumOff w14:val="5000"/>
                          </w14:schemeClr>
                        </w14:solidFill>
                      </w14:textFill>
                    </w:rPr>
                  </w:pPr>
                </w:p>
              </w:tc>
              <w:tc>
                <w:tcPr>
                  <w:tcW w:w="2126" w:type="dxa"/>
                  <w:vAlign w:val="center"/>
                </w:tcPr>
                <w:p w14:paraId="2F14728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乙苯</w:t>
                  </w:r>
                </w:p>
              </w:tc>
              <w:tc>
                <w:tcPr>
                  <w:tcW w:w="2268" w:type="dxa"/>
                  <w:vAlign w:val="center"/>
                </w:tcPr>
                <w:p w14:paraId="3E7AD1C1">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100-41-4</w:t>
                  </w:r>
                </w:p>
              </w:tc>
              <w:tc>
                <w:tcPr>
                  <w:tcW w:w="1134" w:type="dxa"/>
                  <w:vAlign w:val="center"/>
                </w:tcPr>
                <w:p w14:paraId="08CDA6BE">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w:t>
                  </w:r>
                </w:p>
              </w:tc>
              <w:tc>
                <w:tcPr>
                  <w:tcW w:w="1064" w:type="dxa"/>
                  <w:vAlign w:val="center"/>
                </w:tcPr>
                <w:p w14:paraId="5482816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挥发分</w:t>
                  </w:r>
                </w:p>
              </w:tc>
            </w:tr>
          </w:tbl>
          <w:p w14:paraId="76FBAD3C">
            <w:pPr>
              <w:ind w:firstLine="422" w:firstLineChars="200"/>
              <w:jc w:val="center"/>
              <w:rPr>
                <w:b/>
                <w:bCs/>
                <w:color w:val="0D0D0D" w:themeColor="text1" w:themeTint="F2"/>
                <w:szCs w:val="21"/>
                <w14:textFill>
                  <w14:solidFill>
                    <w14:schemeClr w14:val="tx1">
                      <w14:lumMod w14:val="95000"/>
                      <w14:lumOff w14:val="5000"/>
                    </w14:schemeClr>
                  </w14:solidFill>
                </w14:textFill>
              </w:rPr>
            </w:pPr>
            <w:r>
              <w:rPr>
                <w:rFonts w:hint="eastAsia"/>
                <w:b/>
                <w:bCs/>
                <w:color w:val="0D0D0D" w:themeColor="text1" w:themeTint="F2"/>
                <w:szCs w:val="21"/>
                <w14:textFill>
                  <w14:solidFill>
                    <w14:schemeClr w14:val="tx1">
                      <w14:lumMod w14:val="95000"/>
                      <w14:lumOff w14:val="5000"/>
                    </w14:schemeClr>
                  </w14:solidFill>
                </w14:textFill>
              </w:rPr>
              <w:t>表2-8  涂料主要理化性质一览表</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3"/>
              <w:gridCol w:w="1457"/>
              <w:gridCol w:w="2773"/>
              <w:gridCol w:w="3131"/>
            </w:tblGrid>
            <w:tr w14:paraId="73AD5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75" w:type="pct"/>
                  <w:gridSpan w:val="2"/>
                  <w:vAlign w:val="center"/>
                </w:tcPr>
                <w:p w14:paraId="413DDCE2">
                  <w:pPr>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名称</w:t>
                  </w:r>
                </w:p>
              </w:tc>
              <w:tc>
                <w:tcPr>
                  <w:tcW w:w="1656" w:type="pct"/>
                  <w:vAlign w:val="center"/>
                </w:tcPr>
                <w:p w14:paraId="65DAC2CF">
                  <w:pPr>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理化性质</w:t>
                  </w:r>
                </w:p>
              </w:tc>
              <w:tc>
                <w:tcPr>
                  <w:tcW w:w="1869" w:type="pct"/>
                  <w:vAlign w:val="center"/>
                </w:tcPr>
                <w:p w14:paraId="36F79094">
                  <w:pPr>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危险性或毒性</w:t>
                  </w:r>
                </w:p>
              </w:tc>
            </w:tr>
            <w:tr w14:paraId="73201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5" w:type="pct"/>
                  <w:vMerge w:val="restart"/>
                  <w:vAlign w:val="center"/>
                </w:tcPr>
                <w:p w14:paraId="72F3F451">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环氧富锌底漆</w:t>
                  </w:r>
                </w:p>
              </w:tc>
              <w:tc>
                <w:tcPr>
                  <w:tcW w:w="870" w:type="pct"/>
                  <w:vAlign w:val="center"/>
                </w:tcPr>
                <w:p w14:paraId="728ACF25">
                  <w:pPr>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组分A</w:t>
                  </w:r>
                </w:p>
              </w:tc>
              <w:tc>
                <w:tcPr>
                  <w:tcW w:w="1656" w:type="pct"/>
                  <w:vAlign w:val="center"/>
                </w:tcPr>
                <w:p w14:paraId="13F0CC0D">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灰色，液体，胺类气味，密度3.0458g/cm</w:t>
                  </w:r>
                  <w:r>
                    <w:rPr>
                      <w:rFonts w:hint="eastAsia"/>
                      <w:bCs/>
                      <w:color w:val="0D0D0D" w:themeColor="text1" w:themeTint="F2"/>
                      <w:szCs w:val="21"/>
                      <w:vertAlign w:val="superscript"/>
                      <w14:textFill>
                        <w14:solidFill>
                          <w14:schemeClr w14:val="tx1">
                            <w14:lumMod w14:val="95000"/>
                            <w14:lumOff w14:val="5000"/>
                          </w14:schemeClr>
                        </w14:solidFill>
                      </w14:textFill>
                    </w:rPr>
                    <w:t>3</w:t>
                  </w:r>
                  <w:r>
                    <w:rPr>
                      <w:rFonts w:hint="eastAsia"/>
                      <w:bCs/>
                      <w:color w:val="0D0D0D" w:themeColor="text1" w:themeTint="F2"/>
                      <w:szCs w:val="21"/>
                      <w14:textFill>
                        <w14:solidFill>
                          <w14:schemeClr w14:val="tx1">
                            <w14:lumMod w14:val="95000"/>
                            <w14:lumOff w14:val="5000"/>
                          </w14:schemeClr>
                        </w14:solidFill>
                      </w14:textFill>
                    </w:rPr>
                    <w:t>，不溶于水</w:t>
                  </w:r>
                </w:p>
              </w:tc>
              <w:tc>
                <w:tcPr>
                  <w:tcW w:w="1869" w:type="pct"/>
                  <w:vAlign w:val="center"/>
                </w:tcPr>
                <w:p w14:paraId="010A42B4">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危险性：易燃液体和蒸气</w:t>
                  </w:r>
                </w:p>
                <w:p w14:paraId="41A24E93">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健康危害：造成皮肤刺激；可能造成皮肤过敏反应；造成严重眼刺激；怀疑致癌</w:t>
                  </w:r>
                </w:p>
              </w:tc>
            </w:tr>
            <w:tr w14:paraId="561CB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5" w:type="pct"/>
                  <w:vMerge w:val="continue"/>
                  <w:vAlign w:val="center"/>
                </w:tcPr>
                <w:p w14:paraId="26919789">
                  <w:pPr>
                    <w:rPr>
                      <w:bCs/>
                      <w:color w:val="0D0D0D" w:themeColor="text1" w:themeTint="F2"/>
                      <w:szCs w:val="21"/>
                      <w14:textFill>
                        <w14:solidFill>
                          <w14:schemeClr w14:val="tx1">
                            <w14:lumMod w14:val="95000"/>
                            <w14:lumOff w14:val="5000"/>
                          </w14:schemeClr>
                        </w14:solidFill>
                      </w14:textFill>
                    </w:rPr>
                  </w:pPr>
                </w:p>
              </w:tc>
              <w:tc>
                <w:tcPr>
                  <w:tcW w:w="870" w:type="pct"/>
                  <w:vAlign w:val="center"/>
                </w:tcPr>
                <w:p w14:paraId="08E3F944">
                  <w:pPr>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组分B</w:t>
                  </w:r>
                </w:p>
              </w:tc>
              <w:tc>
                <w:tcPr>
                  <w:tcW w:w="1656" w:type="pct"/>
                  <w:vAlign w:val="center"/>
                </w:tcPr>
                <w:p w14:paraId="3A6F3857">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灰色，液体，胺类气味，密度0.9g/cm</w:t>
                  </w:r>
                  <w:r>
                    <w:rPr>
                      <w:rFonts w:hint="eastAsia"/>
                      <w:bCs/>
                      <w:color w:val="0D0D0D" w:themeColor="text1" w:themeTint="F2"/>
                      <w:szCs w:val="21"/>
                      <w:vertAlign w:val="superscript"/>
                      <w14:textFill>
                        <w14:solidFill>
                          <w14:schemeClr w14:val="tx1">
                            <w14:lumMod w14:val="95000"/>
                            <w14:lumOff w14:val="5000"/>
                          </w14:schemeClr>
                        </w14:solidFill>
                      </w14:textFill>
                    </w:rPr>
                    <w:t>3</w:t>
                  </w:r>
                  <w:r>
                    <w:rPr>
                      <w:rFonts w:hint="eastAsia"/>
                      <w:bCs/>
                      <w:color w:val="0D0D0D" w:themeColor="text1" w:themeTint="F2"/>
                      <w:szCs w:val="21"/>
                      <w14:textFill>
                        <w14:solidFill>
                          <w14:schemeClr w14:val="tx1">
                            <w14:lumMod w14:val="95000"/>
                            <w14:lumOff w14:val="5000"/>
                          </w14:schemeClr>
                        </w14:solidFill>
                      </w14:textFill>
                    </w:rPr>
                    <w:t>，不溶于水</w:t>
                  </w:r>
                </w:p>
              </w:tc>
              <w:tc>
                <w:tcPr>
                  <w:tcW w:w="1869" w:type="pct"/>
                  <w:vAlign w:val="center"/>
                </w:tcPr>
                <w:p w14:paraId="131202AF">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危险性：易燃液体和蒸气</w:t>
                  </w:r>
                </w:p>
                <w:p w14:paraId="0DA0BB98">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健康危害：造成皮肤刺激；可能造成呼吸道刺激；造成严重眼刺激；怀疑致癌</w:t>
                  </w:r>
                </w:p>
              </w:tc>
            </w:tr>
            <w:tr w14:paraId="2A34A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5" w:type="pct"/>
                  <w:vMerge w:val="restart"/>
                  <w:vAlign w:val="center"/>
                </w:tcPr>
                <w:p w14:paraId="0C46C997">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环氧云铁中间漆</w:t>
                  </w:r>
                </w:p>
              </w:tc>
              <w:tc>
                <w:tcPr>
                  <w:tcW w:w="870" w:type="pct"/>
                  <w:vAlign w:val="center"/>
                </w:tcPr>
                <w:p w14:paraId="694C68AA">
                  <w:pPr>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组分A</w:t>
                  </w:r>
                </w:p>
              </w:tc>
              <w:tc>
                <w:tcPr>
                  <w:tcW w:w="1656" w:type="pct"/>
                  <w:vAlign w:val="center"/>
                </w:tcPr>
                <w:p w14:paraId="12B0580F">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灰色，白色，氧化物红，液体，烃类气味，密度1.597~1.64g/cm</w:t>
                  </w:r>
                  <w:r>
                    <w:rPr>
                      <w:rFonts w:hint="eastAsia"/>
                      <w:bCs/>
                      <w:color w:val="0D0D0D" w:themeColor="text1" w:themeTint="F2"/>
                      <w:szCs w:val="21"/>
                      <w:vertAlign w:val="superscript"/>
                      <w14:textFill>
                        <w14:solidFill>
                          <w14:schemeClr w14:val="tx1">
                            <w14:lumMod w14:val="95000"/>
                            <w14:lumOff w14:val="5000"/>
                          </w14:schemeClr>
                        </w14:solidFill>
                      </w14:textFill>
                    </w:rPr>
                    <w:t>3</w:t>
                  </w:r>
                  <w:r>
                    <w:rPr>
                      <w:rFonts w:hint="eastAsia"/>
                      <w:bCs/>
                      <w:color w:val="0D0D0D" w:themeColor="text1" w:themeTint="F2"/>
                      <w:szCs w:val="21"/>
                      <w14:textFill>
                        <w14:solidFill>
                          <w14:schemeClr w14:val="tx1">
                            <w14:lumMod w14:val="95000"/>
                            <w14:lumOff w14:val="5000"/>
                          </w14:schemeClr>
                        </w14:solidFill>
                      </w14:textFill>
                    </w:rPr>
                    <w:t>，不溶于水</w:t>
                  </w:r>
                </w:p>
              </w:tc>
              <w:tc>
                <w:tcPr>
                  <w:tcW w:w="1869" w:type="pct"/>
                  <w:vAlign w:val="center"/>
                </w:tcPr>
                <w:p w14:paraId="7E8D46B1">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危险性：易燃液体和蒸气</w:t>
                  </w:r>
                </w:p>
                <w:p w14:paraId="30FC6979">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健康危害：造成皮肤刺激；可能造成皮肤过敏反应；造成严重眼刺激；怀疑致癌</w:t>
                  </w:r>
                </w:p>
              </w:tc>
            </w:tr>
            <w:tr w14:paraId="060DF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5" w:type="pct"/>
                  <w:vMerge w:val="continue"/>
                  <w:vAlign w:val="center"/>
                </w:tcPr>
                <w:p w14:paraId="196E40B0">
                  <w:pPr>
                    <w:rPr>
                      <w:bCs/>
                      <w:color w:val="0D0D0D" w:themeColor="text1" w:themeTint="F2"/>
                      <w:szCs w:val="21"/>
                      <w14:textFill>
                        <w14:solidFill>
                          <w14:schemeClr w14:val="tx1">
                            <w14:lumMod w14:val="95000"/>
                            <w14:lumOff w14:val="5000"/>
                          </w14:schemeClr>
                        </w14:solidFill>
                      </w14:textFill>
                    </w:rPr>
                  </w:pPr>
                </w:p>
              </w:tc>
              <w:tc>
                <w:tcPr>
                  <w:tcW w:w="870" w:type="pct"/>
                  <w:vAlign w:val="center"/>
                </w:tcPr>
                <w:p w14:paraId="5A5D7DC1">
                  <w:pPr>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组分B</w:t>
                  </w:r>
                </w:p>
              </w:tc>
              <w:tc>
                <w:tcPr>
                  <w:tcW w:w="1656" w:type="pct"/>
                  <w:vAlign w:val="center"/>
                </w:tcPr>
                <w:p w14:paraId="35B46852">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灰色，液体，胺类气味，密度0.9g/cm</w:t>
                  </w:r>
                  <w:r>
                    <w:rPr>
                      <w:rFonts w:hint="eastAsia"/>
                      <w:bCs/>
                      <w:color w:val="0D0D0D" w:themeColor="text1" w:themeTint="F2"/>
                      <w:szCs w:val="21"/>
                      <w:vertAlign w:val="superscript"/>
                      <w14:textFill>
                        <w14:solidFill>
                          <w14:schemeClr w14:val="tx1">
                            <w14:lumMod w14:val="95000"/>
                            <w14:lumOff w14:val="5000"/>
                          </w14:schemeClr>
                        </w14:solidFill>
                      </w14:textFill>
                    </w:rPr>
                    <w:t>3</w:t>
                  </w:r>
                  <w:r>
                    <w:rPr>
                      <w:rFonts w:hint="eastAsia"/>
                      <w:bCs/>
                      <w:color w:val="0D0D0D" w:themeColor="text1" w:themeTint="F2"/>
                      <w:szCs w:val="21"/>
                      <w14:textFill>
                        <w14:solidFill>
                          <w14:schemeClr w14:val="tx1">
                            <w14:lumMod w14:val="95000"/>
                            <w14:lumOff w14:val="5000"/>
                          </w14:schemeClr>
                        </w14:solidFill>
                      </w14:textFill>
                    </w:rPr>
                    <w:t>，不溶于水</w:t>
                  </w:r>
                </w:p>
              </w:tc>
              <w:tc>
                <w:tcPr>
                  <w:tcW w:w="1869" w:type="pct"/>
                  <w:vAlign w:val="center"/>
                </w:tcPr>
                <w:p w14:paraId="0FCA108B">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危险性：易燃液体和蒸气</w:t>
                  </w:r>
                </w:p>
                <w:p w14:paraId="1ED2B499">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健康危害：造成皮肤刺激；造成严重眼刺激；可能造成呼吸道刺激；怀疑致癌</w:t>
                  </w:r>
                </w:p>
              </w:tc>
            </w:tr>
            <w:tr w14:paraId="51ECB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5" w:type="pct"/>
                  <w:vMerge w:val="restart"/>
                  <w:vAlign w:val="center"/>
                </w:tcPr>
                <w:p w14:paraId="648E30A5">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无机硅酸富锌底漆</w:t>
                  </w:r>
                </w:p>
              </w:tc>
              <w:tc>
                <w:tcPr>
                  <w:tcW w:w="870" w:type="pct"/>
                  <w:vAlign w:val="center"/>
                </w:tcPr>
                <w:p w14:paraId="6C59C9A0">
                  <w:pPr>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组分A</w:t>
                  </w:r>
                </w:p>
              </w:tc>
              <w:tc>
                <w:tcPr>
                  <w:tcW w:w="1656" w:type="pct"/>
                  <w:vAlign w:val="center"/>
                </w:tcPr>
                <w:p w14:paraId="3DED1BAF">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灰色，液体，密度1.17g/cm</w:t>
                  </w:r>
                  <w:r>
                    <w:rPr>
                      <w:rFonts w:hint="eastAsia"/>
                      <w:bCs/>
                      <w:color w:val="0D0D0D" w:themeColor="text1" w:themeTint="F2"/>
                      <w:szCs w:val="21"/>
                      <w:vertAlign w:val="superscript"/>
                      <w14:textFill>
                        <w14:solidFill>
                          <w14:schemeClr w14:val="tx1">
                            <w14:lumMod w14:val="95000"/>
                            <w14:lumOff w14:val="5000"/>
                          </w14:schemeClr>
                        </w14:solidFill>
                      </w14:textFill>
                    </w:rPr>
                    <w:t>3</w:t>
                  </w:r>
                  <w:r>
                    <w:rPr>
                      <w:rFonts w:hint="eastAsia"/>
                      <w:bCs/>
                      <w:color w:val="0D0D0D" w:themeColor="text1" w:themeTint="F2"/>
                      <w:szCs w:val="21"/>
                      <w14:textFill>
                        <w14:solidFill>
                          <w14:schemeClr w14:val="tx1">
                            <w14:lumMod w14:val="95000"/>
                            <w14:lumOff w14:val="5000"/>
                          </w14:schemeClr>
                        </w14:solidFill>
                      </w14:textFill>
                    </w:rPr>
                    <w:t>，不溶于水</w:t>
                  </w:r>
                </w:p>
              </w:tc>
              <w:tc>
                <w:tcPr>
                  <w:tcW w:w="1869" w:type="pct"/>
                  <w:vAlign w:val="center"/>
                </w:tcPr>
                <w:p w14:paraId="518DE284">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危险性：高度易燃液体和蒸气</w:t>
                  </w:r>
                </w:p>
                <w:p w14:paraId="14AD2008">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健康危害：造成皮肤刺激；造成严重眼刺激；怀疑致癌</w:t>
                  </w:r>
                </w:p>
              </w:tc>
            </w:tr>
            <w:tr w14:paraId="4EFCE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5" w:type="pct"/>
                  <w:vMerge w:val="continue"/>
                  <w:vAlign w:val="center"/>
                </w:tcPr>
                <w:p w14:paraId="2C9D81A1">
                  <w:pPr>
                    <w:jc w:val="center"/>
                    <w:rPr>
                      <w:bCs/>
                      <w:color w:val="0D0D0D" w:themeColor="text1" w:themeTint="F2"/>
                      <w:szCs w:val="21"/>
                      <w14:textFill>
                        <w14:solidFill>
                          <w14:schemeClr w14:val="tx1">
                            <w14:lumMod w14:val="95000"/>
                            <w14:lumOff w14:val="5000"/>
                          </w14:schemeClr>
                        </w14:solidFill>
                      </w14:textFill>
                    </w:rPr>
                  </w:pPr>
                </w:p>
              </w:tc>
              <w:tc>
                <w:tcPr>
                  <w:tcW w:w="870" w:type="pct"/>
                  <w:vAlign w:val="center"/>
                </w:tcPr>
                <w:p w14:paraId="3182BF34">
                  <w:pPr>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组分B</w:t>
                  </w:r>
                </w:p>
              </w:tc>
              <w:tc>
                <w:tcPr>
                  <w:tcW w:w="1656" w:type="pct"/>
                  <w:vAlign w:val="center"/>
                </w:tcPr>
                <w:p w14:paraId="7FEDECD4">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浅灰色的细小粉末，密度为7.13g/cm</w:t>
                  </w:r>
                  <w:r>
                    <w:rPr>
                      <w:rFonts w:hint="eastAsia"/>
                      <w:bCs/>
                      <w:color w:val="0D0D0D" w:themeColor="text1" w:themeTint="F2"/>
                      <w:szCs w:val="21"/>
                      <w:vertAlign w:val="superscript"/>
                      <w14:textFill>
                        <w14:solidFill>
                          <w14:schemeClr w14:val="tx1">
                            <w14:lumMod w14:val="95000"/>
                            <w14:lumOff w14:val="5000"/>
                          </w14:schemeClr>
                        </w14:solidFill>
                      </w14:textFill>
                    </w:rPr>
                    <w:t>3</w:t>
                  </w:r>
                  <w:r>
                    <w:rPr>
                      <w:rFonts w:hint="eastAsia"/>
                      <w:bCs/>
                      <w:color w:val="0D0D0D" w:themeColor="text1" w:themeTint="F2"/>
                      <w:szCs w:val="21"/>
                      <w14:textFill>
                        <w14:solidFill>
                          <w14:schemeClr w14:val="tx1">
                            <w14:lumMod w14:val="95000"/>
                            <w14:lumOff w14:val="5000"/>
                          </w14:schemeClr>
                        </w14:solidFill>
                      </w14:textFill>
                    </w:rPr>
                    <w:t>，溶于酸或碱</w:t>
                  </w:r>
                </w:p>
              </w:tc>
              <w:tc>
                <w:tcPr>
                  <w:tcW w:w="1869" w:type="pct"/>
                  <w:vAlign w:val="center"/>
                </w:tcPr>
                <w:p w14:paraId="6AC352B5">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危险性：遇湿易燃</w:t>
                  </w:r>
                </w:p>
                <w:p w14:paraId="4A342F06">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健康危害：造成皮肤刺激</w:t>
                  </w:r>
                </w:p>
              </w:tc>
            </w:tr>
            <w:tr w14:paraId="0BFE1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75" w:type="pct"/>
                  <w:gridSpan w:val="2"/>
                  <w:vAlign w:val="center"/>
                </w:tcPr>
                <w:p w14:paraId="42FBDFB7">
                  <w:pPr>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有机硅耐高温铝粉漆</w:t>
                  </w:r>
                </w:p>
              </w:tc>
              <w:tc>
                <w:tcPr>
                  <w:tcW w:w="1656" w:type="pct"/>
                  <w:vAlign w:val="center"/>
                </w:tcPr>
                <w:p w14:paraId="2DDBA89B">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铝色，液体，密度1.318g/cm</w:t>
                  </w:r>
                  <w:r>
                    <w:rPr>
                      <w:rFonts w:hint="eastAsia"/>
                      <w:bCs/>
                      <w:color w:val="0D0D0D" w:themeColor="text1" w:themeTint="F2"/>
                      <w:szCs w:val="21"/>
                      <w:vertAlign w:val="superscript"/>
                      <w14:textFill>
                        <w14:solidFill>
                          <w14:schemeClr w14:val="tx1">
                            <w14:lumMod w14:val="95000"/>
                            <w14:lumOff w14:val="5000"/>
                          </w14:schemeClr>
                        </w14:solidFill>
                      </w14:textFill>
                    </w:rPr>
                    <w:t>3</w:t>
                  </w:r>
                  <w:r>
                    <w:rPr>
                      <w:rFonts w:hint="eastAsia"/>
                      <w:bCs/>
                      <w:color w:val="0D0D0D" w:themeColor="text1" w:themeTint="F2"/>
                      <w:szCs w:val="21"/>
                      <w14:textFill>
                        <w14:solidFill>
                          <w14:schemeClr w14:val="tx1">
                            <w14:lumMod w14:val="95000"/>
                            <w14:lumOff w14:val="5000"/>
                          </w14:schemeClr>
                        </w14:solidFill>
                      </w14:textFill>
                    </w:rPr>
                    <w:t>，不溶于水</w:t>
                  </w:r>
                </w:p>
              </w:tc>
              <w:tc>
                <w:tcPr>
                  <w:tcW w:w="1869" w:type="pct"/>
                  <w:vAlign w:val="center"/>
                </w:tcPr>
                <w:p w14:paraId="09A9E8A8">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危险性：易燃液体和蒸气</w:t>
                  </w:r>
                </w:p>
                <w:p w14:paraId="5586AC58">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健康危害：造成皮肤刺激；造成严重眼损伤；可能造成呼吸道刺激；怀疑致癌</w:t>
                  </w:r>
                </w:p>
              </w:tc>
            </w:tr>
            <w:tr w14:paraId="75444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5" w:type="pct"/>
                  <w:vMerge w:val="restart"/>
                  <w:vAlign w:val="center"/>
                </w:tcPr>
                <w:p w14:paraId="1B126446">
                  <w:pPr>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稀释剂</w:t>
                  </w:r>
                </w:p>
              </w:tc>
              <w:tc>
                <w:tcPr>
                  <w:tcW w:w="870" w:type="pct"/>
                  <w:vAlign w:val="center"/>
                </w:tcPr>
                <w:p w14:paraId="5EB1C9E6">
                  <w:pPr>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4号稀释剂</w:t>
                  </w:r>
                </w:p>
              </w:tc>
              <w:tc>
                <w:tcPr>
                  <w:tcW w:w="1656" w:type="pct"/>
                  <w:vAlign w:val="center"/>
                </w:tcPr>
                <w:p w14:paraId="2B9DA221">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清澈液体，密度0.78g/cm</w:t>
                  </w:r>
                  <w:r>
                    <w:rPr>
                      <w:rFonts w:hint="eastAsia"/>
                      <w:bCs/>
                      <w:color w:val="0D0D0D" w:themeColor="text1" w:themeTint="F2"/>
                      <w:szCs w:val="21"/>
                      <w:vertAlign w:val="superscript"/>
                      <w14:textFill>
                        <w14:solidFill>
                          <w14:schemeClr w14:val="tx1">
                            <w14:lumMod w14:val="95000"/>
                            <w14:lumOff w14:val="5000"/>
                          </w14:schemeClr>
                        </w14:solidFill>
                      </w14:textFill>
                    </w:rPr>
                    <w:t>3</w:t>
                  </w:r>
                  <w:r>
                    <w:rPr>
                      <w:rFonts w:hint="eastAsia"/>
                      <w:bCs/>
                      <w:color w:val="0D0D0D" w:themeColor="text1" w:themeTint="F2"/>
                      <w:szCs w:val="21"/>
                      <w14:textFill>
                        <w14:solidFill>
                          <w14:schemeClr w14:val="tx1">
                            <w14:lumMod w14:val="95000"/>
                            <w14:lumOff w14:val="5000"/>
                          </w14:schemeClr>
                        </w14:solidFill>
                      </w14:textFill>
                    </w:rPr>
                    <w:t>，不溶于水</w:t>
                  </w:r>
                </w:p>
              </w:tc>
              <w:tc>
                <w:tcPr>
                  <w:tcW w:w="1869" w:type="pct"/>
                  <w:vAlign w:val="center"/>
                </w:tcPr>
                <w:p w14:paraId="41F33613">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危险性：高度易燃液体和蒸气</w:t>
                  </w:r>
                </w:p>
                <w:p w14:paraId="0FFE8064">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健康危害：造成严重眼刺激；可能造成昏昏欲睡或眩晕</w:t>
                  </w:r>
                </w:p>
              </w:tc>
            </w:tr>
            <w:tr w14:paraId="22F50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05" w:type="pct"/>
                  <w:vMerge w:val="continue"/>
                  <w:vAlign w:val="center"/>
                </w:tcPr>
                <w:p w14:paraId="7583F423">
                  <w:pPr>
                    <w:jc w:val="center"/>
                    <w:rPr>
                      <w:bCs/>
                      <w:color w:val="0D0D0D" w:themeColor="text1" w:themeTint="F2"/>
                      <w:szCs w:val="21"/>
                      <w14:textFill>
                        <w14:solidFill>
                          <w14:schemeClr w14:val="tx1">
                            <w14:lumMod w14:val="95000"/>
                            <w14:lumOff w14:val="5000"/>
                          </w14:schemeClr>
                        </w14:solidFill>
                      </w14:textFill>
                    </w:rPr>
                  </w:pPr>
                </w:p>
              </w:tc>
              <w:tc>
                <w:tcPr>
                  <w:tcW w:w="870" w:type="pct"/>
                  <w:vAlign w:val="center"/>
                </w:tcPr>
                <w:p w14:paraId="6239CDB6">
                  <w:pPr>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17号稀释剂</w:t>
                  </w:r>
                </w:p>
              </w:tc>
              <w:tc>
                <w:tcPr>
                  <w:tcW w:w="1656" w:type="pct"/>
                  <w:vAlign w:val="center"/>
                </w:tcPr>
                <w:p w14:paraId="5E95A7A4">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清澈液体，密度0.86g/cm</w:t>
                  </w:r>
                  <w:r>
                    <w:rPr>
                      <w:rFonts w:hint="eastAsia"/>
                      <w:bCs/>
                      <w:color w:val="0D0D0D" w:themeColor="text1" w:themeTint="F2"/>
                      <w:szCs w:val="21"/>
                      <w:vertAlign w:val="superscript"/>
                      <w14:textFill>
                        <w14:solidFill>
                          <w14:schemeClr w14:val="tx1">
                            <w14:lumMod w14:val="95000"/>
                            <w14:lumOff w14:val="5000"/>
                          </w14:schemeClr>
                        </w14:solidFill>
                      </w14:textFill>
                    </w:rPr>
                    <w:t>3</w:t>
                  </w:r>
                  <w:r>
                    <w:rPr>
                      <w:rFonts w:hint="eastAsia"/>
                      <w:bCs/>
                      <w:color w:val="0D0D0D" w:themeColor="text1" w:themeTint="F2"/>
                      <w:szCs w:val="21"/>
                      <w14:textFill>
                        <w14:solidFill>
                          <w14:schemeClr w14:val="tx1">
                            <w14:lumMod w14:val="95000"/>
                            <w14:lumOff w14:val="5000"/>
                          </w14:schemeClr>
                        </w14:solidFill>
                      </w14:textFill>
                    </w:rPr>
                    <w:t>，不溶于水</w:t>
                  </w:r>
                </w:p>
              </w:tc>
              <w:tc>
                <w:tcPr>
                  <w:tcW w:w="1869" w:type="pct"/>
                  <w:vAlign w:val="center"/>
                </w:tcPr>
                <w:p w14:paraId="4DBE4927">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危险性：易燃液体和蒸气</w:t>
                  </w:r>
                </w:p>
                <w:p w14:paraId="218B77B5">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健康危害：吞咽及进入呼吸道可能致命；皮肤接触或吸入有害；造成皮肤刺激；造成严重</w:t>
                  </w:r>
                </w:p>
                <w:p w14:paraId="60EA98CE">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眼损伤；可能造成呼吸道刺激；可能造成昏昏欲睡或眩晕</w:t>
                  </w:r>
                </w:p>
              </w:tc>
            </w:tr>
            <w:tr w14:paraId="0354F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75" w:type="pct"/>
                  <w:gridSpan w:val="2"/>
                  <w:vAlign w:val="center"/>
                </w:tcPr>
                <w:p w14:paraId="2BA95B98">
                  <w:pPr>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二甲苯</w:t>
                  </w:r>
                </w:p>
              </w:tc>
              <w:tc>
                <w:tcPr>
                  <w:tcW w:w="1656" w:type="pct"/>
                  <w:vAlign w:val="center"/>
                </w:tcPr>
                <w:p w14:paraId="1B2B90BE">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无色透明液体，有芳香气味，密度约0.86~0.88g/cm</w:t>
                  </w:r>
                  <w:r>
                    <w:rPr>
                      <w:rFonts w:hint="eastAsia"/>
                      <w:bCs/>
                      <w:color w:val="0D0D0D" w:themeColor="text1" w:themeTint="F2"/>
                      <w:szCs w:val="21"/>
                      <w:vertAlign w:val="superscript"/>
                      <w14:textFill>
                        <w14:solidFill>
                          <w14:schemeClr w14:val="tx1">
                            <w14:lumMod w14:val="95000"/>
                            <w14:lumOff w14:val="5000"/>
                          </w14:schemeClr>
                        </w14:solidFill>
                      </w14:textFill>
                    </w:rPr>
                    <w:t>3</w:t>
                  </w:r>
                  <w:r>
                    <w:rPr>
                      <w:rFonts w:hint="eastAsia"/>
                      <w:bCs/>
                      <w:color w:val="0D0D0D" w:themeColor="text1" w:themeTint="F2"/>
                      <w:szCs w:val="21"/>
                      <w14:textFill>
                        <w14:solidFill>
                          <w14:schemeClr w14:val="tx1">
                            <w14:lumMod w14:val="95000"/>
                            <w14:lumOff w14:val="5000"/>
                          </w14:schemeClr>
                        </w14:solidFill>
                      </w14:textFill>
                    </w:rPr>
                    <w:t>（20℃），难溶于水，与乙醇、乙醚混溶</w:t>
                  </w:r>
                </w:p>
              </w:tc>
              <w:tc>
                <w:tcPr>
                  <w:tcW w:w="1869" w:type="pct"/>
                  <w:vAlign w:val="center"/>
                </w:tcPr>
                <w:p w14:paraId="09B9C8DA">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危险性：易燃液体</w:t>
                  </w:r>
                </w:p>
                <w:p w14:paraId="715C772D">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健康危害：吸入致头晕、恶心；皮肤接触致皮炎</w:t>
                  </w:r>
                </w:p>
              </w:tc>
            </w:tr>
            <w:tr w14:paraId="1BC45C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75" w:type="pct"/>
                  <w:gridSpan w:val="2"/>
                  <w:vAlign w:val="center"/>
                </w:tcPr>
                <w:p w14:paraId="4C9CA310">
                  <w:pPr>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乙苯</w:t>
                  </w:r>
                </w:p>
              </w:tc>
              <w:tc>
                <w:tcPr>
                  <w:tcW w:w="1656" w:type="pct"/>
                  <w:vAlign w:val="center"/>
                </w:tcPr>
                <w:p w14:paraId="30286FD6">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无色透明液体，略带甜味，密度约0.867g/cm</w:t>
                  </w:r>
                  <w:r>
                    <w:rPr>
                      <w:rFonts w:hint="eastAsia"/>
                      <w:bCs/>
                      <w:color w:val="0D0D0D" w:themeColor="text1" w:themeTint="F2"/>
                      <w:szCs w:val="21"/>
                      <w:vertAlign w:val="superscript"/>
                      <w14:textFill>
                        <w14:solidFill>
                          <w14:schemeClr w14:val="tx1">
                            <w14:lumMod w14:val="95000"/>
                            <w14:lumOff w14:val="5000"/>
                          </w14:schemeClr>
                        </w14:solidFill>
                      </w14:textFill>
                    </w:rPr>
                    <w:t>3</w:t>
                  </w:r>
                  <w:r>
                    <w:rPr>
                      <w:rFonts w:hint="eastAsia"/>
                      <w:bCs/>
                      <w:color w:val="0D0D0D" w:themeColor="text1" w:themeTint="F2"/>
                      <w:szCs w:val="21"/>
                      <w14:textFill>
                        <w14:solidFill>
                          <w14:schemeClr w14:val="tx1">
                            <w14:lumMod w14:val="95000"/>
                            <w14:lumOff w14:val="5000"/>
                          </w14:schemeClr>
                        </w14:solidFill>
                      </w14:textFill>
                    </w:rPr>
                    <w:t>（20℃），极微溶于水，混溶有机溶剂</w:t>
                  </w:r>
                </w:p>
              </w:tc>
              <w:tc>
                <w:tcPr>
                  <w:tcW w:w="1869" w:type="pct"/>
                  <w:vAlign w:val="center"/>
                </w:tcPr>
                <w:p w14:paraId="4FE26295">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危险性：易燃液体</w:t>
                  </w:r>
                </w:p>
                <w:p w14:paraId="1A57221C">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健康危害：吸入导致中枢抑制、肝损伤；刺激眼/呼吸道</w:t>
                  </w:r>
                </w:p>
              </w:tc>
            </w:tr>
          </w:tbl>
          <w:p w14:paraId="2DC7025B">
            <w:pPr>
              <w:adjustRightInd w:val="0"/>
              <w:snapToGrid w:val="0"/>
              <w:spacing w:line="360" w:lineRule="auto"/>
              <w:ind w:firstLine="482" w:firstLineChars="200"/>
              <w:rPr>
                <w:rFonts w:cs="宋体"/>
                <w:b/>
                <w:bCs/>
                <w:color w:val="0D0D0D" w:themeColor="text1" w:themeTint="F2"/>
                <w:sz w:val="24"/>
                <w14:textFill>
                  <w14:solidFill>
                    <w14:schemeClr w14:val="tx1">
                      <w14:lumMod w14:val="95000"/>
                      <w14:lumOff w14:val="5000"/>
                    </w14:schemeClr>
                  </w14:solidFill>
                </w14:textFill>
              </w:rPr>
            </w:pPr>
            <w:r>
              <w:rPr>
                <w:rFonts w:cs="宋体"/>
                <w:b/>
                <w:bCs/>
                <w:color w:val="0D0D0D" w:themeColor="text1" w:themeTint="F2"/>
                <w:sz w:val="24"/>
                <w14:textFill>
                  <w14:solidFill>
                    <w14:schemeClr w14:val="tx1">
                      <w14:lumMod w14:val="95000"/>
                      <w14:lumOff w14:val="5000"/>
                    </w14:schemeClr>
                  </w14:solidFill>
                </w14:textFill>
              </w:rPr>
              <w:t>5</w:t>
            </w:r>
            <w:r>
              <w:rPr>
                <w:rFonts w:hint="eastAsia" w:cs="宋体"/>
                <w:b/>
                <w:bCs/>
                <w:color w:val="0D0D0D" w:themeColor="text1" w:themeTint="F2"/>
                <w:sz w:val="24"/>
                <w14:textFill>
                  <w14:solidFill>
                    <w14:schemeClr w14:val="tx1">
                      <w14:lumMod w14:val="95000"/>
                      <w14:lumOff w14:val="5000"/>
                    </w14:schemeClr>
                  </w14:solidFill>
                </w14:textFill>
              </w:rPr>
              <w:t>、公用工程</w:t>
            </w:r>
          </w:p>
          <w:p w14:paraId="46B232DA">
            <w:pPr>
              <w:adjustRightInd w:val="0"/>
              <w:snapToGrid w:val="0"/>
              <w:spacing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（1）给水</w:t>
            </w:r>
          </w:p>
          <w:p w14:paraId="3D55AE36">
            <w:pPr>
              <w:adjustRightInd w:val="0"/>
              <w:snapToGrid w:val="0"/>
              <w:spacing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cs="宋体"/>
                <w:bCs/>
                <w:color w:val="0D0D0D" w:themeColor="text1" w:themeTint="F2"/>
                <w:sz w:val="24"/>
                <w14:textFill>
                  <w14:solidFill>
                    <w14:schemeClr w14:val="tx1">
                      <w14:lumMod w14:val="95000"/>
                      <w14:lumOff w14:val="5000"/>
                    </w14:schemeClr>
                  </w14:solidFill>
                </w14:textFill>
              </w:rPr>
              <w:t>项目用水</w:t>
            </w:r>
            <w:r>
              <w:rPr>
                <w:rFonts w:hint="eastAsia" w:cs="宋体"/>
                <w:bCs/>
                <w:color w:val="0D0D0D" w:themeColor="text1" w:themeTint="F2"/>
                <w:sz w:val="24"/>
                <w14:textFill>
                  <w14:solidFill>
                    <w14:schemeClr w14:val="tx1">
                      <w14:lumMod w14:val="95000"/>
                      <w14:lumOff w14:val="5000"/>
                    </w14:schemeClr>
                  </w14:solidFill>
                </w14:textFill>
              </w:rPr>
              <w:t>包括生产用水和生活用水，</w:t>
            </w:r>
            <w:r>
              <w:rPr>
                <w:rFonts w:cs="宋体"/>
                <w:bCs/>
                <w:color w:val="0D0D0D" w:themeColor="text1" w:themeTint="F2"/>
                <w:sz w:val="24"/>
                <w14:textFill>
                  <w14:solidFill>
                    <w14:schemeClr w14:val="tx1">
                      <w14:lumMod w14:val="95000"/>
                      <w14:lumOff w14:val="5000"/>
                    </w14:schemeClr>
                  </w14:solidFill>
                </w14:textFill>
              </w:rPr>
              <w:t>由</w:t>
            </w:r>
            <w:r>
              <w:rPr>
                <w:rFonts w:hint="eastAsia" w:cs="宋体"/>
                <w:bCs/>
                <w:color w:val="0D0D0D" w:themeColor="text1" w:themeTint="F2"/>
                <w:sz w:val="24"/>
                <w14:textFill>
                  <w14:solidFill>
                    <w14:schemeClr w14:val="tx1">
                      <w14:lumMod w14:val="95000"/>
                      <w14:lumOff w14:val="5000"/>
                    </w14:schemeClr>
                  </w14:solidFill>
                </w14:textFill>
              </w:rPr>
              <w:t>市政管网供给</w:t>
            </w:r>
            <w:r>
              <w:rPr>
                <w:rFonts w:cs="宋体"/>
                <w:bCs/>
                <w:color w:val="0D0D0D" w:themeColor="text1" w:themeTint="F2"/>
                <w:sz w:val="24"/>
                <w14:textFill>
                  <w14:solidFill>
                    <w14:schemeClr w14:val="tx1">
                      <w14:lumMod w14:val="95000"/>
                      <w14:lumOff w14:val="5000"/>
                    </w14:schemeClr>
                  </w14:solidFill>
                </w14:textFill>
              </w:rPr>
              <w:t>，可满足项目需求。</w:t>
            </w:r>
            <w:r>
              <w:rPr>
                <w:rFonts w:hint="eastAsia" w:cs="宋体"/>
                <w:bCs/>
                <w:color w:val="0D0D0D" w:themeColor="text1" w:themeTint="F2"/>
                <w:sz w:val="24"/>
                <w14:textFill>
                  <w14:solidFill>
                    <w14:schemeClr w14:val="tx1">
                      <w14:lumMod w14:val="95000"/>
                      <w14:lumOff w14:val="5000"/>
                    </w14:schemeClr>
                  </w14:solidFill>
                </w14:textFill>
              </w:rPr>
              <w:t>生产用水为水帘柜喷淋用水。</w:t>
            </w:r>
          </w:p>
          <w:p w14:paraId="0871FF4B">
            <w:pPr>
              <w:adjustRightInd w:val="0"/>
              <w:snapToGrid w:val="0"/>
              <w:spacing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①</w:t>
            </w:r>
            <w:bookmarkStart w:id="7" w:name="OLE_LINK3"/>
            <w:r>
              <w:rPr>
                <w:rFonts w:hint="eastAsia" w:cs="宋体"/>
                <w:bCs/>
                <w:color w:val="0D0D0D" w:themeColor="text1" w:themeTint="F2"/>
                <w:sz w:val="24"/>
                <w14:textFill>
                  <w14:solidFill>
                    <w14:schemeClr w14:val="tx1">
                      <w14:lumMod w14:val="95000"/>
                      <w14:lumOff w14:val="5000"/>
                    </w14:schemeClr>
                  </w14:solidFill>
                </w14:textFill>
              </w:rPr>
              <w:t>水帘柜喷淋用水</w:t>
            </w:r>
            <w:bookmarkEnd w:id="7"/>
          </w:p>
          <w:p w14:paraId="0B087FDA">
            <w:pPr>
              <w:adjustRightInd w:val="0"/>
              <w:snapToGrid w:val="0"/>
              <w:spacing w:line="360" w:lineRule="auto"/>
              <w:ind w:firstLine="480" w:firstLineChars="200"/>
              <w:rPr>
                <w:rFonts w:cs="宋体"/>
                <w:bCs/>
                <w:color w:val="0D0D0D" w:themeColor="text1" w:themeTint="F2"/>
                <w:sz w:val="24"/>
                <w:u w:val="single"/>
                <w14:textFill>
                  <w14:solidFill>
                    <w14:schemeClr w14:val="tx1">
                      <w14:lumMod w14:val="95000"/>
                      <w14:lumOff w14:val="5000"/>
                    </w14:schemeClr>
                  </w14:solidFill>
                </w14:textFill>
              </w:rPr>
            </w:pPr>
            <w:r>
              <w:rPr>
                <w:rFonts w:hint="eastAsia" w:cs="宋体"/>
                <w:bCs/>
                <w:color w:val="0D0D0D" w:themeColor="text1" w:themeTint="F2"/>
                <w:sz w:val="24"/>
                <w:u w:val="single"/>
                <w14:textFill>
                  <w14:solidFill>
                    <w14:schemeClr w14:val="tx1">
                      <w14:lumMod w14:val="95000"/>
                      <w14:lumOff w14:val="5000"/>
                    </w14:schemeClr>
                  </w14:solidFill>
                </w14:textFill>
              </w:rPr>
              <w:t>项目设置1个水帘柜，水帘柜喷淋用水水质要求不高，循环使用，不外排，无废水产生。根据设计资料，水帘柜最大储水量为2m</w:t>
            </w:r>
            <w:r>
              <w:rPr>
                <w:rFonts w:hint="eastAsia" w:cs="宋体"/>
                <w:bCs/>
                <w:color w:val="0D0D0D" w:themeColor="text1" w:themeTint="F2"/>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z w:val="24"/>
                <w:u w:val="single"/>
                <w14:textFill>
                  <w14:solidFill>
                    <w14:schemeClr w14:val="tx1">
                      <w14:lumMod w14:val="95000"/>
                      <w14:lumOff w14:val="5000"/>
                    </w14:schemeClr>
                  </w14:solidFill>
                </w14:textFill>
              </w:rPr>
              <w:t>，循环水量为1m</w:t>
            </w:r>
            <w:r>
              <w:rPr>
                <w:rFonts w:hint="eastAsia" w:cs="宋体"/>
                <w:bCs/>
                <w:color w:val="0D0D0D" w:themeColor="text1" w:themeTint="F2"/>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z w:val="24"/>
                <w:u w:val="single"/>
                <w14:textFill>
                  <w14:solidFill>
                    <w14:schemeClr w14:val="tx1">
                      <w14:lumMod w14:val="95000"/>
                      <w14:lumOff w14:val="5000"/>
                    </w14:schemeClr>
                  </w14:solidFill>
                </w14:textFill>
              </w:rPr>
              <w:t>/h，年工作时间300天，日工作时间8小时，则循环水量为8m</w:t>
            </w:r>
            <w:r>
              <w:rPr>
                <w:rFonts w:hint="eastAsia" w:cs="宋体"/>
                <w:bCs/>
                <w:color w:val="0D0D0D" w:themeColor="text1" w:themeTint="F2"/>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z w:val="24"/>
                <w:u w:val="single"/>
                <w14:textFill>
                  <w14:solidFill>
                    <w14:schemeClr w14:val="tx1">
                      <w14:lumMod w14:val="95000"/>
                      <w14:lumOff w14:val="5000"/>
                    </w14:schemeClr>
                  </w14:solidFill>
                </w14:textFill>
              </w:rPr>
              <w:t>/d，2400m</w:t>
            </w:r>
            <w:r>
              <w:rPr>
                <w:rFonts w:hint="eastAsia" w:cs="宋体"/>
                <w:bCs/>
                <w:color w:val="0D0D0D" w:themeColor="text1" w:themeTint="F2"/>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z w:val="24"/>
                <w:u w:val="single"/>
                <w14:textFill>
                  <w14:solidFill>
                    <w14:schemeClr w14:val="tx1">
                      <w14:lumMod w14:val="95000"/>
                      <w14:lumOff w14:val="5000"/>
                    </w14:schemeClr>
                  </w14:solidFill>
                </w14:textFill>
              </w:rPr>
              <w:t>/a。根据《涂装工艺及车间设计手册》（傅邵燕），其他形式喷漆房的损耗率按每小时循环水量的1%~2%考虑，结合项目实际情况，本次评价损耗量按1%计，需等额补充新鲜水以维持水帘柜的正常运行，即水帘柜喷淋用水为0.08m</w:t>
            </w:r>
            <w:r>
              <w:rPr>
                <w:rFonts w:hint="eastAsia" w:cs="宋体"/>
                <w:bCs/>
                <w:color w:val="0D0D0D" w:themeColor="text1" w:themeTint="F2"/>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z w:val="24"/>
                <w:u w:val="single"/>
                <w14:textFill>
                  <w14:solidFill>
                    <w14:schemeClr w14:val="tx1">
                      <w14:lumMod w14:val="95000"/>
                      <w14:lumOff w14:val="5000"/>
                    </w14:schemeClr>
                  </w14:solidFill>
                </w14:textFill>
              </w:rPr>
              <w:t>/d，24m</w:t>
            </w:r>
            <w:r>
              <w:rPr>
                <w:rFonts w:hint="eastAsia" w:cs="宋体"/>
                <w:bCs/>
                <w:color w:val="0D0D0D" w:themeColor="text1" w:themeTint="F2"/>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z w:val="24"/>
                <w:u w:val="single"/>
                <w14:textFill>
                  <w14:solidFill>
                    <w14:schemeClr w14:val="tx1">
                      <w14:lumMod w14:val="95000"/>
                      <w14:lumOff w14:val="5000"/>
                    </w14:schemeClr>
                  </w14:solidFill>
                </w14:textFill>
              </w:rPr>
              <w:t>/a。</w:t>
            </w:r>
          </w:p>
          <w:p w14:paraId="1B091F5E">
            <w:pPr>
              <w:adjustRightInd w:val="0"/>
              <w:snapToGrid w:val="0"/>
              <w:spacing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②生活用水</w:t>
            </w:r>
          </w:p>
          <w:p w14:paraId="48051325">
            <w:pPr>
              <w:adjustRightInd w:val="0"/>
              <w:snapToGrid w:val="0"/>
              <w:spacing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项目劳动定员25人，年工作300天，在厂内食宿。参照《城镇生活用水定额》（D</w:t>
            </w:r>
            <w:r>
              <w:rPr>
                <w:rFonts w:cs="宋体"/>
                <w:bCs/>
                <w:color w:val="0D0D0D" w:themeColor="text1" w:themeTint="F2"/>
                <w:sz w:val="24"/>
                <w14:textFill>
                  <w14:solidFill>
                    <w14:schemeClr w14:val="tx1">
                      <w14:lumMod w14:val="95000"/>
                      <w14:lumOff w14:val="5000"/>
                    </w14:schemeClr>
                  </w14:solidFill>
                </w14:textFill>
              </w:rPr>
              <w:t>B45/T679-2</w:t>
            </w:r>
            <w:r>
              <w:rPr>
                <w:rFonts w:hint="eastAsia" w:cs="宋体"/>
                <w:bCs/>
                <w:color w:val="0D0D0D" w:themeColor="text1" w:themeTint="F2"/>
                <w:sz w:val="24"/>
                <w14:textFill>
                  <w14:solidFill>
                    <w14:schemeClr w14:val="tx1">
                      <w14:lumMod w14:val="95000"/>
                      <w14:lumOff w14:val="5000"/>
                    </w14:schemeClr>
                  </w14:solidFill>
                </w14:textFill>
              </w:rPr>
              <w:t>023），用水定额按150</w:t>
            </w:r>
            <w:r>
              <w:rPr>
                <w:rFonts w:cs="宋体"/>
                <w:bCs/>
                <w:color w:val="0D0D0D" w:themeColor="text1" w:themeTint="F2"/>
                <w:sz w:val="24"/>
                <w14:textFill>
                  <w14:solidFill>
                    <w14:schemeClr w14:val="tx1">
                      <w14:lumMod w14:val="95000"/>
                      <w14:lumOff w14:val="5000"/>
                    </w14:schemeClr>
                  </w14:solidFill>
                </w14:textFill>
              </w:rPr>
              <w:t>L/</w:t>
            </w:r>
            <w:r>
              <w:rPr>
                <w:rFonts w:hint="eastAsia" w:cs="宋体"/>
                <w:bCs/>
                <w:color w:val="0D0D0D" w:themeColor="text1" w:themeTint="F2"/>
                <w:sz w:val="24"/>
                <w14:textFill>
                  <w14:solidFill>
                    <w14:schemeClr w14:val="tx1">
                      <w14:lumMod w14:val="95000"/>
                      <w14:lumOff w14:val="5000"/>
                    </w14:schemeClr>
                  </w14:solidFill>
                </w14:textFill>
              </w:rPr>
              <w:t>（</w:t>
            </w:r>
            <w:r>
              <w:rPr>
                <w:rFonts w:cs="宋体"/>
                <w:bCs/>
                <w:color w:val="0D0D0D" w:themeColor="text1" w:themeTint="F2"/>
                <w:sz w:val="24"/>
                <w14:textFill>
                  <w14:solidFill>
                    <w14:schemeClr w14:val="tx1">
                      <w14:lumMod w14:val="95000"/>
                      <w14:lumOff w14:val="5000"/>
                    </w14:schemeClr>
                  </w14:solidFill>
                </w14:textFill>
              </w:rPr>
              <w:t>d·</w:t>
            </w:r>
            <w:r>
              <w:rPr>
                <w:rFonts w:hint="eastAsia" w:cs="宋体"/>
                <w:bCs/>
                <w:color w:val="0D0D0D" w:themeColor="text1" w:themeTint="F2"/>
                <w:sz w:val="24"/>
                <w14:textFill>
                  <w14:solidFill>
                    <w14:schemeClr w14:val="tx1">
                      <w14:lumMod w14:val="95000"/>
                      <w14:lumOff w14:val="5000"/>
                    </w14:schemeClr>
                  </w14:solidFill>
                </w14:textFill>
              </w:rPr>
              <w:t>人）计，则生活用水量为3.75</w:t>
            </w:r>
            <w:r>
              <w:rPr>
                <w:rFonts w:cs="宋体"/>
                <w:bCs/>
                <w:color w:val="0D0D0D" w:themeColor="text1" w:themeTint="F2"/>
                <w:sz w:val="24"/>
                <w14:textFill>
                  <w14:solidFill>
                    <w14:schemeClr w14:val="tx1">
                      <w14:lumMod w14:val="95000"/>
                      <w14:lumOff w14:val="5000"/>
                    </w14:schemeClr>
                  </w14:solidFill>
                </w14:textFill>
              </w:rPr>
              <w:t>m</w:t>
            </w:r>
            <w:r>
              <w:rPr>
                <w:rFonts w:cs="宋体"/>
                <w:bCs/>
                <w:color w:val="0D0D0D" w:themeColor="text1" w:themeTint="F2"/>
                <w:sz w:val="24"/>
                <w:vertAlign w:val="superscript"/>
                <w14:textFill>
                  <w14:solidFill>
                    <w14:schemeClr w14:val="tx1">
                      <w14:lumMod w14:val="95000"/>
                      <w14:lumOff w14:val="5000"/>
                    </w14:schemeClr>
                  </w14:solidFill>
                </w14:textFill>
              </w:rPr>
              <w:t>3</w:t>
            </w:r>
            <w:r>
              <w:rPr>
                <w:rFonts w:cs="宋体"/>
                <w:bCs/>
                <w:color w:val="0D0D0D" w:themeColor="text1" w:themeTint="F2"/>
                <w:sz w:val="24"/>
                <w14:textFill>
                  <w14:solidFill>
                    <w14:schemeClr w14:val="tx1">
                      <w14:lumMod w14:val="95000"/>
                      <w14:lumOff w14:val="5000"/>
                    </w14:schemeClr>
                  </w14:solidFill>
                </w14:textFill>
              </w:rPr>
              <w:t>/d</w:t>
            </w:r>
            <w:r>
              <w:rPr>
                <w:rFonts w:hint="eastAsia" w:cs="宋体"/>
                <w:bCs/>
                <w:color w:val="0D0D0D" w:themeColor="text1" w:themeTint="F2"/>
                <w:sz w:val="24"/>
                <w14:textFill>
                  <w14:solidFill>
                    <w14:schemeClr w14:val="tx1">
                      <w14:lumMod w14:val="95000"/>
                      <w14:lumOff w14:val="5000"/>
                    </w14:schemeClr>
                  </w14:solidFill>
                </w14:textFill>
              </w:rPr>
              <w:t>，1125</w:t>
            </w:r>
            <w:r>
              <w:rPr>
                <w:rFonts w:cs="宋体"/>
                <w:bCs/>
                <w:color w:val="0D0D0D" w:themeColor="text1" w:themeTint="F2"/>
                <w:sz w:val="24"/>
                <w14:textFill>
                  <w14:solidFill>
                    <w14:schemeClr w14:val="tx1">
                      <w14:lumMod w14:val="95000"/>
                      <w14:lumOff w14:val="5000"/>
                    </w14:schemeClr>
                  </w14:solidFill>
                </w14:textFill>
              </w:rPr>
              <w:t>m</w:t>
            </w:r>
            <w:r>
              <w:rPr>
                <w:rFonts w:cs="宋体"/>
                <w:bCs/>
                <w:color w:val="0D0D0D" w:themeColor="text1" w:themeTint="F2"/>
                <w:sz w:val="24"/>
                <w:vertAlign w:val="superscript"/>
                <w14:textFill>
                  <w14:solidFill>
                    <w14:schemeClr w14:val="tx1">
                      <w14:lumMod w14:val="95000"/>
                      <w14:lumOff w14:val="5000"/>
                    </w14:schemeClr>
                  </w14:solidFill>
                </w14:textFill>
              </w:rPr>
              <w:t>3</w:t>
            </w:r>
            <w:r>
              <w:rPr>
                <w:rFonts w:cs="宋体"/>
                <w:bCs/>
                <w:color w:val="0D0D0D" w:themeColor="text1" w:themeTint="F2"/>
                <w:sz w:val="24"/>
                <w14:textFill>
                  <w14:solidFill>
                    <w14:schemeClr w14:val="tx1">
                      <w14:lumMod w14:val="95000"/>
                      <w14:lumOff w14:val="5000"/>
                    </w14:schemeClr>
                  </w14:solidFill>
                </w14:textFill>
              </w:rPr>
              <w:t>/a</w:t>
            </w:r>
            <w:r>
              <w:rPr>
                <w:rFonts w:hint="eastAsia" w:cs="宋体"/>
                <w:bCs/>
                <w:color w:val="0D0D0D" w:themeColor="text1" w:themeTint="F2"/>
                <w:sz w:val="24"/>
                <w14:textFill>
                  <w14:solidFill>
                    <w14:schemeClr w14:val="tx1">
                      <w14:lumMod w14:val="95000"/>
                      <w14:lumOff w14:val="5000"/>
                    </w14:schemeClr>
                  </w14:solidFill>
                </w14:textFill>
              </w:rPr>
              <w:t>。</w:t>
            </w:r>
          </w:p>
          <w:p w14:paraId="43935AD7">
            <w:pPr>
              <w:adjustRightInd w:val="0"/>
              <w:snapToGrid w:val="0"/>
              <w:spacing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（2）排水</w:t>
            </w:r>
          </w:p>
          <w:p w14:paraId="2AA6FC2A">
            <w:pPr>
              <w:adjustRightInd w:val="0"/>
              <w:snapToGrid w:val="0"/>
              <w:spacing w:line="360" w:lineRule="auto"/>
              <w:ind w:firstLine="480" w:firstLineChars="200"/>
              <w:rPr>
                <w:rFonts w:cs="宋体"/>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①生活污水</w:t>
            </w:r>
          </w:p>
          <w:p w14:paraId="632497FE">
            <w:pPr>
              <w:adjustRightInd w:val="0"/>
              <w:snapToGrid w:val="0"/>
              <w:spacing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cs="宋体"/>
                <w:bCs/>
                <w:color w:val="0D0D0D" w:themeColor="text1" w:themeTint="F2"/>
                <w:sz w:val="24"/>
                <w14:textFill>
                  <w14:solidFill>
                    <w14:schemeClr w14:val="tx1">
                      <w14:lumMod w14:val="95000"/>
                      <w14:lumOff w14:val="5000"/>
                    </w14:schemeClr>
                  </w14:solidFill>
                </w14:textFill>
              </w:rPr>
              <w:t>生活污水</w:t>
            </w:r>
            <w:r>
              <w:rPr>
                <w:rFonts w:hint="eastAsia" w:cs="宋体"/>
                <w:bCs/>
                <w:color w:val="0D0D0D" w:themeColor="text1" w:themeTint="F2"/>
                <w:sz w:val="24"/>
                <w14:textFill>
                  <w14:solidFill>
                    <w14:schemeClr w14:val="tx1">
                      <w14:lumMod w14:val="95000"/>
                      <w14:lumOff w14:val="5000"/>
                    </w14:schemeClr>
                  </w14:solidFill>
                </w14:textFill>
              </w:rPr>
              <w:t>产生</w:t>
            </w:r>
            <w:r>
              <w:rPr>
                <w:rFonts w:cs="宋体"/>
                <w:bCs/>
                <w:color w:val="0D0D0D" w:themeColor="text1" w:themeTint="F2"/>
                <w:sz w:val="24"/>
                <w14:textFill>
                  <w14:solidFill>
                    <w14:schemeClr w14:val="tx1">
                      <w14:lumMod w14:val="95000"/>
                      <w14:lumOff w14:val="5000"/>
                    </w14:schemeClr>
                  </w14:solidFill>
                </w14:textFill>
              </w:rPr>
              <w:t>量按用水量的80%计，</w:t>
            </w:r>
            <w:r>
              <w:rPr>
                <w:rFonts w:hint="eastAsia" w:cs="宋体"/>
                <w:bCs/>
                <w:color w:val="0D0D0D" w:themeColor="text1" w:themeTint="F2"/>
                <w:sz w:val="24"/>
                <w14:textFill>
                  <w14:solidFill>
                    <w14:schemeClr w14:val="tx1">
                      <w14:lumMod w14:val="95000"/>
                      <w14:lumOff w14:val="5000"/>
                    </w14:schemeClr>
                  </w14:solidFill>
                </w14:textFill>
              </w:rPr>
              <w:t>则生活污水产生量为3</w:t>
            </w:r>
            <w:r>
              <w:rPr>
                <w:rFonts w:cs="宋体"/>
                <w:bCs/>
                <w:color w:val="0D0D0D" w:themeColor="text1" w:themeTint="F2"/>
                <w:sz w:val="24"/>
                <w14:textFill>
                  <w14:solidFill>
                    <w14:schemeClr w14:val="tx1">
                      <w14:lumMod w14:val="95000"/>
                      <w14:lumOff w14:val="5000"/>
                    </w14:schemeClr>
                  </w14:solidFill>
                </w14:textFill>
              </w:rPr>
              <w:t>m</w:t>
            </w:r>
            <w:r>
              <w:rPr>
                <w:rFonts w:cs="宋体"/>
                <w:bCs/>
                <w:color w:val="0D0D0D" w:themeColor="text1" w:themeTint="F2"/>
                <w:sz w:val="24"/>
                <w:vertAlign w:val="superscript"/>
                <w14:textFill>
                  <w14:solidFill>
                    <w14:schemeClr w14:val="tx1">
                      <w14:lumMod w14:val="95000"/>
                      <w14:lumOff w14:val="5000"/>
                    </w14:schemeClr>
                  </w14:solidFill>
                </w14:textFill>
              </w:rPr>
              <w:t>3</w:t>
            </w:r>
            <w:r>
              <w:rPr>
                <w:rFonts w:cs="宋体"/>
                <w:bCs/>
                <w:color w:val="0D0D0D" w:themeColor="text1" w:themeTint="F2"/>
                <w:sz w:val="24"/>
                <w14:textFill>
                  <w14:solidFill>
                    <w14:schemeClr w14:val="tx1">
                      <w14:lumMod w14:val="95000"/>
                      <w14:lumOff w14:val="5000"/>
                    </w14:schemeClr>
                  </w14:solidFill>
                </w14:textFill>
              </w:rPr>
              <w:t>/d</w:t>
            </w:r>
            <w:r>
              <w:rPr>
                <w:rFonts w:hint="eastAsia" w:cs="宋体"/>
                <w:bCs/>
                <w:color w:val="0D0D0D" w:themeColor="text1" w:themeTint="F2"/>
                <w:sz w:val="24"/>
                <w14:textFill>
                  <w14:solidFill>
                    <w14:schemeClr w14:val="tx1">
                      <w14:lumMod w14:val="95000"/>
                      <w14:lumOff w14:val="5000"/>
                    </w14:schemeClr>
                  </w14:solidFill>
                </w14:textFill>
              </w:rPr>
              <w:t>，900</w:t>
            </w:r>
            <w:r>
              <w:rPr>
                <w:rFonts w:cs="宋体"/>
                <w:bCs/>
                <w:color w:val="0D0D0D" w:themeColor="text1" w:themeTint="F2"/>
                <w:sz w:val="24"/>
                <w14:textFill>
                  <w14:solidFill>
                    <w14:schemeClr w14:val="tx1">
                      <w14:lumMod w14:val="95000"/>
                      <w14:lumOff w14:val="5000"/>
                    </w14:schemeClr>
                  </w14:solidFill>
                </w14:textFill>
              </w:rPr>
              <w:t>m</w:t>
            </w:r>
            <w:r>
              <w:rPr>
                <w:rFonts w:cs="宋体"/>
                <w:bCs/>
                <w:color w:val="0D0D0D" w:themeColor="text1" w:themeTint="F2"/>
                <w:sz w:val="24"/>
                <w:vertAlign w:val="superscript"/>
                <w14:textFill>
                  <w14:solidFill>
                    <w14:schemeClr w14:val="tx1">
                      <w14:lumMod w14:val="95000"/>
                      <w14:lumOff w14:val="5000"/>
                    </w14:schemeClr>
                  </w14:solidFill>
                </w14:textFill>
              </w:rPr>
              <w:t>3</w:t>
            </w:r>
            <w:r>
              <w:rPr>
                <w:rFonts w:cs="宋体"/>
                <w:bCs/>
                <w:color w:val="0D0D0D" w:themeColor="text1" w:themeTint="F2"/>
                <w:sz w:val="24"/>
                <w14:textFill>
                  <w14:solidFill>
                    <w14:schemeClr w14:val="tx1">
                      <w14:lumMod w14:val="95000"/>
                      <w14:lumOff w14:val="5000"/>
                    </w14:schemeClr>
                  </w14:solidFill>
                </w14:textFill>
              </w:rPr>
              <w:t>/a</w:t>
            </w:r>
            <w:r>
              <w:rPr>
                <w:rFonts w:hint="eastAsia" w:cs="宋体"/>
                <w:bCs/>
                <w:color w:val="0D0D0D" w:themeColor="text1" w:themeTint="F2"/>
                <w:sz w:val="24"/>
                <w14:textFill>
                  <w14:solidFill>
                    <w14:schemeClr w14:val="tx1">
                      <w14:lumMod w14:val="95000"/>
                      <w14:lumOff w14:val="5000"/>
                    </w14:schemeClr>
                  </w14:solidFill>
                </w14:textFill>
              </w:rPr>
              <w:t>，经三级化粪池处理后排入园区市政污水管网，由钦州胜科水务有限公司污水处理厂进一步处理。</w:t>
            </w:r>
          </w:p>
          <w:p w14:paraId="6017C4A3">
            <w:pPr>
              <w:adjustRightInd w:val="0"/>
              <w:snapToGrid w:val="0"/>
              <w:spacing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项目水平衡详见表2-9和图2-1。</w:t>
            </w:r>
          </w:p>
          <w:p w14:paraId="42FE4529">
            <w:pPr>
              <w:adjustRightInd w:val="0"/>
              <w:snapToGrid w:val="0"/>
              <w:jc w:val="center"/>
              <w:rPr>
                <w:rFonts w:cs="宋体"/>
                <w:b/>
                <w:color w:val="0D0D0D" w:themeColor="text1" w:themeTint="F2"/>
                <w:szCs w:val="21"/>
                <w14:textFill>
                  <w14:solidFill>
                    <w14:schemeClr w14:val="tx1">
                      <w14:lumMod w14:val="95000"/>
                      <w14:lumOff w14:val="5000"/>
                    </w14:schemeClr>
                  </w14:solidFill>
                </w14:textFill>
              </w:rPr>
            </w:pPr>
            <w:r>
              <w:rPr>
                <w:rFonts w:hint="eastAsia" w:cs="宋体"/>
                <w:b/>
                <w:color w:val="0D0D0D" w:themeColor="text1" w:themeTint="F2"/>
                <w:szCs w:val="21"/>
                <w14:textFill>
                  <w14:solidFill>
                    <w14:schemeClr w14:val="tx1">
                      <w14:lumMod w14:val="95000"/>
                      <w14:lumOff w14:val="5000"/>
                    </w14:schemeClr>
                  </w14:solidFill>
                </w14:textFill>
              </w:rPr>
              <w:t>表2</w:t>
            </w:r>
            <w:r>
              <w:rPr>
                <w:rFonts w:cs="宋体"/>
                <w:b/>
                <w:color w:val="0D0D0D" w:themeColor="text1" w:themeTint="F2"/>
                <w:szCs w:val="21"/>
                <w14:textFill>
                  <w14:solidFill>
                    <w14:schemeClr w14:val="tx1">
                      <w14:lumMod w14:val="95000"/>
                      <w14:lumOff w14:val="5000"/>
                    </w14:schemeClr>
                  </w14:solidFill>
                </w14:textFill>
              </w:rPr>
              <w:t>-</w:t>
            </w:r>
            <w:r>
              <w:rPr>
                <w:rFonts w:hint="eastAsia" w:cs="宋体"/>
                <w:b/>
                <w:color w:val="0D0D0D" w:themeColor="text1" w:themeTint="F2"/>
                <w:szCs w:val="21"/>
                <w14:textFill>
                  <w14:solidFill>
                    <w14:schemeClr w14:val="tx1">
                      <w14:lumMod w14:val="95000"/>
                      <w14:lumOff w14:val="5000"/>
                    </w14:schemeClr>
                  </w14:solidFill>
                </w14:textFill>
              </w:rPr>
              <w:t>9</w:t>
            </w:r>
            <w:r>
              <w:rPr>
                <w:rFonts w:cs="宋体"/>
                <w:b/>
                <w:color w:val="0D0D0D" w:themeColor="text1" w:themeTint="F2"/>
                <w:szCs w:val="21"/>
                <w14:textFill>
                  <w14:solidFill>
                    <w14:schemeClr w14:val="tx1">
                      <w14:lumMod w14:val="95000"/>
                      <w14:lumOff w14:val="5000"/>
                    </w14:schemeClr>
                  </w14:solidFill>
                </w14:textFill>
              </w:rPr>
              <w:t xml:space="preserve">  </w:t>
            </w:r>
            <w:r>
              <w:rPr>
                <w:rFonts w:hint="eastAsia" w:cs="宋体"/>
                <w:b/>
                <w:color w:val="0D0D0D" w:themeColor="text1" w:themeTint="F2"/>
                <w:szCs w:val="21"/>
                <w14:textFill>
                  <w14:solidFill>
                    <w14:schemeClr w14:val="tx1">
                      <w14:lumMod w14:val="95000"/>
                      <w14:lumOff w14:val="5000"/>
                    </w14:schemeClr>
                  </w14:solidFill>
                </w14:textFill>
              </w:rPr>
              <w:t xml:space="preserve">项目水平衡一览表 </w:t>
            </w:r>
            <w:r>
              <w:rPr>
                <w:rFonts w:cs="宋体"/>
                <w:b/>
                <w:color w:val="0D0D0D" w:themeColor="text1" w:themeTint="F2"/>
                <w:szCs w:val="21"/>
                <w14:textFill>
                  <w14:solidFill>
                    <w14:schemeClr w14:val="tx1">
                      <w14:lumMod w14:val="95000"/>
                      <w14:lumOff w14:val="5000"/>
                    </w14:schemeClr>
                  </w14:solidFill>
                </w14:textFill>
              </w:rPr>
              <w:t xml:space="preserve"> </w:t>
            </w:r>
            <w:r>
              <w:rPr>
                <w:rFonts w:hint="eastAsia" w:cs="宋体"/>
                <w:b/>
                <w:color w:val="0D0D0D" w:themeColor="text1" w:themeTint="F2"/>
                <w:szCs w:val="21"/>
                <w14:textFill>
                  <w14:solidFill>
                    <w14:schemeClr w14:val="tx1">
                      <w14:lumMod w14:val="95000"/>
                      <w14:lumOff w14:val="5000"/>
                    </w14:schemeClr>
                  </w14:solidFill>
                </w14:textFill>
              </w:rPr>
              <w:t>单位：m</w:t>
            </w:r>
            <w:r>
              <w:rPr>
                <w:rFonts w:cs="宋体"/>
                <w:b/>
                <w:color w:val="0D0D0D" w:themeColor="text1" w:themeTint="F2"/>
                <w:szCs w:val="21"/>
                <w:vertAlign w:val="superscript"/>
                <w14:textFill>
                  <w14:solidFill>
                    <w14:schemeClr w14:val="tx1">
                      <w14:lumMod w14:val="95000"/>
                      <w14:lumOff w14:val="5000"/>
                    </w14:schemeClr>
                  </w14:solidFill>
                </w14:textFill>
              </w:rPr>
              <w:t>3</w:t>
            </w:r>
            <w:r>
              <w:rPr>
                <w:rFonts w:cs="宋体"/>
                <w:b/>
                <w:color w:val="0D0D0D" w:themeColor="text1" w:themeTint="F2"/>
                <w:szCs w:val="21"/>
                <w14:textFill>
                  <w14:solidFill>
                    <w14:schemeClr w14:val="tx1">
                      <w14:lumMod w14:val="95000"/>
                      <w14:lumOff w14:val="5000"/>
                    </w14:schemeClr>
                  </w14:solidFill>
                </w14:textFill>
              </w:rPr>
              <w:t>/a</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3"/>
              <w:gridCol w:w="1119"/>
              <w:gridCol w:w="1650"/>
              <w:gridCol w:w="1119"/>
              <w:gridCol w:w="673"/>
              <w:gridCol w:w="673"/>
              <w:gridCol w:w="673"/>
              <w:gridCol w:w="897"/>
              <w:gridCol w:w="897"/>
            </w:tblGrid>
            <w:tr w14:paraId="775BC9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2" w:type="pct"/>
                  <w:vAlign w:val="center"/>
                </w:tcPr>
                <w:p w14:paraId="2FB01E7F">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序号</w:t>
                  </w:r>
                </w:p>
              </w:tc>
              <w:tc>
                <w:tcPr>
                  <w:tcW w:w="668" w:type="pct"/>
                  <w:vAlign w:val="center"/>
                </w:tcPr>
                <w:p w14:paraId="128EB77F">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用水项目</w:t>
                  </w:r>
                </w:p>
              </w:tc>
              <w:tc>
                <w:tcPr>
                  <w:tcW w:w="985" w:type="pct"/>
                  <w:vAlign w:val="center"/>
                </w:tcPr>
                <w:p w14:paraId="08222FF3">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用水定额</w:t>
                  </w:r>
                </w:p>
              </w:tc>
              <w:tc>
                <w:tcPr>
                  <w:tcW w:w="668" w:type="pct"/>
                  <w:vAlign w:val="center"/>
                </w:tcPr>
                <w:p w14:paraId="22962238">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用水数量</w:t>
                  </w:r>
                </w:p>
              </w:tc>
              <w:tc>
                <w:tcPr>
                  <w:tcW w:w="402" w:type="pct"/>
                  <w:vAlign w:val="center"/>
                </w:tcPr>
                <w:p w14:paraId="74AB86DF">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总用</w:t>
                  </w:r>
                </w:p>
                <w:p w14:paraId="7362129E">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水量</w:t>
                  </w:r>
                </w:p>
              </w:tc>
              <w:tc>
                <w:tcPr>
                  <w:tcW w:w="402" w:type="pct"/>
                  <w:vAlign w:val="center"/>
                </w:tcPr>
                <w:p w14:paraId="1471301C">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新鲜</w:t>
                  </w:r>
                </w:p>
                <w:p w14:paraId="554F6DA0">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水量</w:t>
                  </w:r>
                </w:p>
              </w:tc>
              <w:tc>
                <w:tcPr>
                  <w:tcW w:w="402" w:type="pct"/>
                  <w:vAlign w:val="center"/>
                </w:tcPr>
                <w:p w14:paraId="632D6997">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产污</w:t>
                  </w:r>
                </w:p>
                <w:p w14:paraId="6038B738">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系数</w:t>
                  </w:r>
                </w:p>
              </w:tc>
              <w:tc>
                <w:tcPr>
                  <w:tcW w:w="535" w:type="pct"/>
                  <w:vAlign w:val="center"/>
                </w:tcPr>
                <w:p w14:paraId="7AD9D8B9">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损耗量</w:t>
                  </w:r>
                </w:p>
              </w:tc>
              <w:tc>
                <w:tcPr>
                  <w:tcW w:w="535" w:type="pct"/>
                  <w:vAlign w:val="center"/>
                </w:tcPr>
                <w:p w14:paraId="125C3B4E">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污水量</w:t>
                  </w:r>
                </w:p>
              </w:tc>
            </w:tr>
            <w:tr w14:paraId="0E4C7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2" w:type="pct"/>
                  <w:vAlign w:val="center"/>
                </w:tcPr>
                <w:p w14:paraId="175A56C2">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bookmarkStart w:id="8" w:name="_Hlk202196231"/>
                  <w:r>
                    <w:rPr>
                      <w:rFonts w:hint="eastAsia" w:cs="宋体"/>
                      <w:bCs/>
                      <w:color w:val="0D0D0D" w:themeColor="text1" w:themeTint="F2"/>
                      <w:szCs w:val="21"/>
                      <w:u w:val="single"/>
                      <w14:textFill>
                        <w14:solidFill>
                          <w14:schemeClr w14:val="tx1">
                            <w14:lumMod w14:val="95000"/>
                            <w14:lumOff w14:val="5000"/>
                          </w14:schemeClr>
                        </w14:solidFill>
                      </w14:textFill>
                    </w:rPr>
                    <w:t>1</w:t>
                  </w:r>
                </w:p>
              </w:tc>
              <w:tc>
                <w:tcPr>
                  <w:tcW w:w="668" w:type="pct"/>
                  <w:vAlign w:val="center"/>
                </w:tcPr>
                <w:p w14:paraId="7FBEFF74">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生活用水</w:t>
                  </w:r>
                </w:p>
              </w:tc>
              <w:tc>
                <w:tcPr>
                  <w:tcW w:w="985" w:type="pct"/>
                  <w:vAlign w:val="center"/>
                </w:tcPr>
                <w:p w14:paraId="5D5B0112">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1</w:t>
                  </w:r>
                  <w:r>
                    <w:rPr>
                      <w:rFonts w:cs="宋体"/>
                      <w:bCs/>
                      <w:color w:val="0D0D0D" w:themeColor="text1" w:themeTint="F2"/>
                      <w:szCs w:val="21"/>
                      <w:u w:val="single"/>
                      <w14:textFill>
                        <w14:solidFill>
                          <w14:schemeClr w14:val="tx1">
                            <w14:lumMod w14:val="95000"/>
                            <w14:lumOff w14:val="5000"/>
                          </w14:schemeClr>
                        </w14:solidFill>
                      </w14:textFill>
                    </w:rPr>
                    <w:t>50L/（d</w:t>
                  </w:r>
                  <w:r>
                    <w:rPr>
                      <w:rFonts w:hint="eastAsia" w:cs="宋体"/>
                      <w:bCs/>
                      <w:color w:val="0D0D0D" w:themeColor="text1" w:themeTint="F2"/>
                      <w:szCs w:val="21"/>
                      <w:u w:val="single"/>
                      <w14:textFill>
                        <w14:solidFill>
                          <w14:schemeClr w14:val="tx1">
                            <w14:lumMod w14:val="95000"/>
                            <w14:lumOff w14:val="5000"/>
                          </w14:schemeClr>
                        </w14:solidFill>
                      </w14:textFill>
                    </w:rPr>
                    <w:t>·</w:t>
                  </w:r>
                  <w:r>
                    <w:rPr>
                      <w:rFonts w:cs="宋体"/>
                      <w:bCs/>
                      <w:color w:val="0D0D0D" w:themeColor="text1" w:themeTint="F2"/>
                      <w:szCs w:val="21"/>
                      <w:u w:val="single"/>
                      <w14:textFill>
                        <w14:solidFill>
                          <w14:schemeClr w14:val="tx1">
                            <w14:lumMod w14:val="95000"/>
                            <w14:lumOff w14:val="5000"/>
                          </w14:schemeClr>
                        </w14:solidFill>
                      </w14:textFill>
                    </w:rPr>
                    <w:t>人）</w:t>
                  </w:r>
                </w:p>
              </w:tc>
              <w:tc>
                <w:tcPr>
                  <w:tcW w:w="668" w:type="pct"/>
                  <w:vAlign w:val="center"/>
                </w:tcPr>
                <w:p w14:paraId="0744FA2A">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25人</w:t>
                  </w:r>
                </w:p>
              </w:tc>
              <w:tc>
                <w:tcPr>
                  <w:tcW w:w="402" w:type="pct"/>
                  <w:vAlign w:val="center"/>
                </w:tcPr>
                <w:p w14:paraId="7C3DE2F0">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1125</w:t>
                  </w:r>
                </w:p>
              </w:tc>
              <w:tc>
                <w:tcPr>
                  <w:tcW w:w="402" w:type="pct"/>
                  <w:vAlign w:val="center"/>
                </w:tcPr>
                <w:p w14:paraId="6D380E8A">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1125</w:t>
                  </w:r>
                </w:p>
              </w:tc>
              <w:tc>
                <w:tcPr>
                  <w:tcW w:w="402" w:type="pct"/>
                  <w:vAlign w:val="center"/>
                </w:tcPr>
                <w:p w14:paraId="1A92BFFE">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0</w:t>
                  </w:r>
                  <w:r>
                    <w:rPr>
                      <w:rFonts w:cs="宋体"/>
                      <w:bCs/>
                      <w:color w:val="0D0D0D" w:themeColor="text1" w:themeTint="F2"/>
                      <w:szCs w:val="21"/>
                      <w:u w:val="single"/>
                      <w14:textFill>
                        <w14:solidFill>
                          <w14:schemeClr w14:val="tx1">
                            <w14:lumMod w14:val="95000"/>
                            <w14:lumOff w14:val="5000"/>
                          </w14:schemeClr>
                        </w14:solidFill>
                      </w14:textFill>
                    </w:rPr>
                    <w:t>.8</w:t>
                  </w:r>
                </w:p>
              </w:tc>
              <w:tc>
                <w:tcPr>
                  <w:tcW w:w="535" w:type="pct"/>
                  <w:vAlign w:val="center"/>
                </w:tcPr>
                <w:p w14:paraId="0ADC307E">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225</w:t>
                  </w:r>
                </w:p>
              </w:tc>
              <w:tc>
                <w:tcPr>
                  <w:tcW w:w="535" w:type="pct"/>
                  <w:vAlign w:val="center"/>
                </w:tcPr>
                <w:p w14:paraId="3C3D149C">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900</w:t>
                  </w:r>
                </w:p>
              </w:tc>
            </w:tr>
            <w:tr w14:paraId="51417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2" w:type="pct"/>
                  <w:vAlign w:val="center"/>
                </w:tcPr>
                <w:p w14:paraId="537EF119">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2</w:t>
                  </w:r>
                </w:p>
              </w:tc>
              <w:tc>
                <w:tcPr>
                  <w:tcW w:w="668" w:type="pct"/>
                  <w:vAlign w:val="center"/>
                </w:tcPr>
                <w:p w14:paraId="47F42AB7">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水帘柜喷淋用水</w:t>
                  </w:r>
                </w:p>
              </w:tc>
              <w:tc>
                <w:tcPr>
                  <w:tcW w:w="985" w:type="pct"/>
                  <w:vAlign w:val="center"/>
                </w:tcPr>
                <w:p w14:paraId="7D179820">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w:t>
                  </w:r>
                </w:p>
              </w:tc>
              <w:tc>
                <w:tcPr>
                  <w:tcW w:w="668" w:type="pct"/>
                  <w:vAlign w:val="center"/>
                </w:tcPr>
                <w:p w14:paraId="0D34082D">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w:t>
                  </w:r>
                </w:p>
              </w:tc>
              <w:tc>
                <w:tcPr>
                  <w:tcW w:w="402" w:type="pct"/>
                  <w:vAlign w:val="center"/>
                </w:tcPr>
                <w:p w14:paraId="202A6644">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24</w:t>
                  </w:r>
                </w:p>
              </w:tc>
              <w:tc>
                <w:tcPr>
                  <w:tcW w:w="402" w:type="pct"/>
                  <w:vAlign w:val="center"/>
                </w:tcPr>
                <w:p w14:paraId="15A1EFDC">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24</w:t>
                  </w:r>
                </w:p>
              </w:tc>
              <w:tc>
                <w:tcPr>
                  <w:tcW w:w="402" w:type="pct"/>
                  <w:vAlign w:val="center"/>
                </w:tcPr>
                <w:p w14:paraId="007B8465">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0</w:t>
                  </w:r>
                </w:p>
              </w:tc>
              <w:tc>
                <w:tcPr>
                  <w:tcW w:w="535" w:type="pct"/>
                  <w:vAlign w:val="center"/>
                </w:tcPr>
                <w:p w14:paraId="1D92D662">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24</w:t>
                  </w:r>
                </w:p>
              </w:tc>
              <w:tc>
                <w:tcPr>
                  <w:tcW w:w="535" w:type="pct"/>
                  <w:vAlign w:val="center"/>
                </w:tcPr>
                <w:p w14:paraId="25373037">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0</w:t>
                  </w:r>
                </w:p>
              </w:tc>
            </w:tr>
            <w:bookmarkEnd w:id="8"/>
            <w:tr w14:paraId="178EF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723" w:type="pct"/>
                  <w:gridSpan w:val="4"/>
                  <w:vAlign w:val="center"/>
                </w:tcPr>
                <w:p w14:paraId="7D722FB1">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合计</w:t>
                  </w:r>
                </w:p>
              </w:tc>
              <w:tc>
                <w:tcPr>
                  <w:tcW w:w="402" w:type="pct"/>
                  <w:vAlign w:val="center"/>
                </w:tcPr>
                <w:p w14:paraId="209C9B9A">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1149</w:t>
                  </w:r>
                </w:p>
              </w:tc>
              <w:tc>
                <w:tcPr>
                  <w:tcW w:w="402" w:type="pct"/>
                  <w:vAlign w:val="center"/>
                </w:tcPr>
                <w:p w14:paraId="330A37FD">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1149</w:t>
                  </w:r>
                </w:p>
              </w:tc>
              <w:tc>
                <w:tcPr>
                  <w:tcW w:w="402" w:type="pct"/>
                  <w:vAlign w:val="center"/>
                </w:tcPr>
                <w:p w14:paraId="2A12C4F8">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w:t>
                  </w:r>
                </w:p>
              </w:tc>
              <w:tc>
                <w:tcPr>
                  <w:tcW w:w="535" w:type="pct"/>
                  <w:vAlign w:val="center"/>
                </w:tcPr>
                <w:p w14:paraId="2D1B32B0">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249</w:t>
                  </w:r>
                </w:p>
              </w:tc>
              <w:tc>
                <w:tcPr>
                  <w:tcW w:w="535" w:type="pct"/>
                  <w:vAlign w:val="center"/>
                </w:tcPr>
                <w:p w14:paraId="0774668D">
                  <w:pPr>
                    <w:adjustRightInd w:val="0"/>
                    <w:snapToGrid w:val="0"/>
                    <w:jc w:val="center"/>
                    <w:rPr>
                      <w:rFonts w:cs="宋体"/>
                      <w:bCs/>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zCs w:val="21"/>
                      <w:u w:val="single"/>
                      <w14:textFill>
                        <w14:solidFill>
                          <w14:schemeClr w14:val="tx1">
                            <w14:lumMod w14:val="95000"/>
                            <w14:lumOff w14:val="5000"/>
                          </w14:schemeClr>
                        </w14:solidFill>
                      </w14:textFill>
                    </w:rPr>
                    <w:t>900</w:t>
                  </w:r>
                </w:p>
              </w:tc>
            </w:tr>
          </w:tbl>
          <w:p w14:paraId="62871D13">
            <w:pPr>
              <w:adjustRightInd w:val="0"/>
              <w:snapToGrid w:val="0"/>
              <w:jc w:val="center"/>
              <w:rPr>
                <w:rFonts w:cs="宋体"/>
                <w:bCs/>
                <w:color w:val="0D0D0D" w:themeColor="text1" w:themeTint="F2"/>
                <w:sz w:val="24"/>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object>
                <v:shape id="_x0000_i1025" o:spt="75" type="#_x0000_t75" style="height:134.85pt;width:402.45pt;" o:ole="t" filled="f" o:preferrelative="t" stroked="f" coordsize="21600,21600">
                  <v:path/>
                  <v:fill on="f" focussize="0,0"/>
                  <v:stroke on="f" joinstyle="miter"/>
                  <v:imagedata r:id="rId26" o:title=""/>
                  <o:lock v:ext="edit" aspectratio="t"/>
                  <w10:wrap type="none"/>
                  <w10:anchorlock/>
                </v:shape>
                <o:OLEObject Type="Embed" ProgID="Visio.Drawing.15" ShapeID="_x0000_i1025" DrawAspect="Content" ObjectID="_1468075725" r:id="rId25">
                  <o:LockedField>false</o:LockedField>
                </o:OLEObject>
              </w:object>
            </w:r>
          </w:p>
          <w:p w14:paraId="0FA9F9B0">
            <w:pPr>
              <w:adjustRightInd w:val="0"/>
              <w:snapToGrid w:val="0"/>
              <w:jc w:val="center"/>
              <w:rPr>
                <w:rFonts w:cs="宋体"/>
                <w:b/>
                <w:color w:val="0D0D0D" w:themeColor="text1" w:themeTint="F2"/>
                <w:szCs w:val="21"/>
                <w:u w:val="single"/>
                <w14:textFill>
                  <w14:solidFill>
                    <w14:schemeClr w14:val="tx1">
                      <w14:lumMod w14:val="95000"/>
                      <w14:lumOff w14:val="5000"/>
                    </w14:schemeClr>
                  </w14:solidFill>
                </w14:textFill>
              </w:rPr>
            </w:pPr>
            <w:r>
              <w:rPr>
                <w:rFonts w:hint="eastAsia" w:cs="宋体"/>
                <w:b/>
                <w:color w:val="0D0D0D" w:themeColor="text1" w:themeTint="F2"/>
                <w:szCs w:val="21"/>
                <w:u w:val="single"/>
                <w14:textFill>
                  <w14:solidFill>
                    <w14:schemeClr w14:val="tx1">
                      <w14:lumMod w14:val="95000"/>
                      <w14:lumOff w14:val="5000"/>
                    </w14:schemeClr>
                  </w14:solidFill>
                </w14:textFill>
              </w:rPr>
              <w:t>图2-1</w:t>
            </w:r>
            <w:r>
              <w:rPr>
                <w:rFonts w:cs="宋体"/>
                <w:b/>
                <w:color w:val="0D0D0D" w:themeColor="text1" w:themeTint="F2"/>
                <w:szCs w:val="21"/>
                <w:u w:val="single"/>
                <w14:textFill>
                  <w14:solidFill>
                    <w14:schemeClr w14:val="tx1">
                      <w14:lumMod w14:val="95000"/>
                      <w14:lumOff w14:val="5000"/>
                    </w14:schemeClr>
                  </w14:solidFill>
                </w14:textFill>
              </w:rPr>
              <w:t xml:space="preserve">  </w:t>
            </w:r>
            <w:r>
              <w:rPr>
                <w:rFonts w:hint="eastAsia" w:cs="宋体"/>
                <w:b/>
                <w:color w:val="0D0D0D" w:themeColor="text1" w:themeTint="F2"/>
                <w:szCs w:val="21"/>
                <w:u w:val="single"/>
                <w14:textFill>
                  <w14:solidFill>
                    <w14:schemeClr w14:val="tx1">
                      <w14:lumMod w14:val="95000"/>
                      <w14:lumOff w14:val="5000"/>
                    </w14:schemeClr>
                  </w14:solidFill>
                </w14:textFill>
              </w:rPr>
              <w:t xml:space="preserve">项目水平衡图 </w:t>
            </w:r>
            <w:r>
              <w:rPr>
                <w:rFonts w:cs="宋体"/>
                <w:b/>
                <w:color w:val="0D0D0D" w:themeColor="text1" w:themeTint="F2"/>
                <w:szCs w:val="21"/>
                <w:u w:val="single"/>
                <w14:textFill>
                  <w14:solidFill>
                    <w14:schemeClr w14:val="tx1">
                      <w14:lumMod w14:val="95000"/>
                      <w14:lumOff w14:val="5000"/>
                    </w14:schemeClr>
                  </w14:solidFill>
                </w14:textFill>
              </w:rPr>
              <w:t xml:space="preserve"> </w:t>
            </w:r>
            <w:r>
              <w:rPr>
                <w:rFonts w:hint="eastAsia" w:cs="宋体"/>
                <w:b/>
                <w:color w:val="0D0D0D" w:themeColor="text1" w:themeTint="F2"/>
                <w:szCs w:val="21"/>
                <w:u w:val="single"/>
                <w14:textFill>
                  <w14:solidFill>
                    <w14:schemeClr w14:val="tx1">
                      <w14:lumMod w14:val="95000"/>
                      <w14:lumOff w14:val="5000"/>
                    </w14:schemeClr>
                  </w14:solidFill>
                </w14:textFill>
              </w:rPr>
              <w:t>单位：m</w:t>
            </w:r>
            <w:r>
              <w:rPr>
                <w:rFonts w:cs="宋体"/>
                <w:b/>
                <w:color w:val="0D0D0D" w:themeColor="text1" w:themeTint="F2"/>
                <w:szCs w:val="21"/>
                <w:u w:val="single"/>
                <w:vertAlign w:val="superscript"/>
                <w14:textFill>
                  <w14:solidFill>
                    <w14:schemeClr w14:val="tx1">
                      <w14:lumMod w14:val="95000"/>
                      <w14:lumOff w14:val="5000"/>
                    </w14:schemeClr>
                  </w14:solidFill>
                </w14:textFill>
              </w:rPr>
              <w:t>3</w:t>
            </w:r>
            <w:r>
              <w:rPr>
                <w:rFonts w:cs="宋体"/>
                <w:b/>
                <w:color w:val="0D0D0D" w:themeColor="text1" w:themeTint="F2"/>
                <w:szCs w:val="21"/>
                <w:u w:val="single"/>
                <w14:textFill>
                  <w14:solidFill>
                    <w14:schemeClr w14:val="tx1">
                      <w14:lumMod w14:val="95000"/>
                      <w14:lumOff w14:val="5000"/>
                    </w14:schemeClr>
                  </w14:solidFill>
                </w14:textFill>
              </w:rPr>
              <w:t>/a</w:t>
            </w:r>
          </w:p>
          <w:p w14:paraId="06DC94DB">
            <w:pPr>
              <w:adjustRightInd w:val="0"/>
              <w:snapToGrid w:val="0"/>
              <w:spacing w:line="360" w:lineRule="auto"/>
              <w:ind w:firstLine="480" w:firstLineChars="200"/>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（3）供电</w:t>
            </w:r>
          </w:p>
          <w:p w14:paraId="574746B6">
            <w:pPr>
              <w:adjustRightInd w:val="0"/>
              <w:snapToGrid w:val="0"/>
              <w:spacing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cs="宋体"/>
                <w:bCs/>
                <w:color w:val="0D0D0D" w:themeColor="text1" w:themeTint="F2"/>
                <w:sz w:val="24"/>
                <w14:textFill>
                  <w14:solidFill>
                    <w14:schemeClr w14:val="tx1">
                      <w14:lumMod w14:val="95000"/>
                      <w14:lumOff w14:val="5000"/>
                    </w14:schemeClr>
                  </w14:solidFill>
                </w14:textFill>
              </w:rPr>
              <w:t>项目用电由</w:t>
            </w:r>
            <w:r>
              <w:rPr>
                <w:rFonts w:hint="eastAsia" w:cs="宋体"/>
                <w:bCs/>
                <w:color w:val="0D0D0D" w:themeColor="text1" w:themeTint="F2"/>
                <w:sz w:val="24"/>
                <w14:textFill>
                  <w14:solidFill>
                    <w14:schemeClr w14:val="tx1">
                      <w14:lumMod w14:val="95000"/>
                      <w14:lumOff w14:val="5000"/>
                    </w14:schemeClr>
                  </w14:solidFill>
                </w14:textFill>
              </w:rPr>
              <w:t>市政电网供给</w:t>
            </w:r>
            <w:r>
              <w:rPr>
                <w:rFonts w:cs="宋体"/>
                <w:bCs/>
                <w:color w:val="0D0D0D" w:themeColor="text1" w:themeTint="F2"/>
                <w:sz w:val="24"/>
                <w14:textFill>
                  <w14:solidFill>
                    <w14:schemeClr w14:val="tx1">
                      <w14:lumMod w14:val="95000"/>
                      <w14:lumOff w14:val="5000"/>
                    </w14:schemeClr>
                  </w14:solidFill>
                </w14:textFill>
              </w:rPr>
              <w:t>，电力充足，供电有保障</w:t>
            </w:r>
            <w:r>
              <w:rPr>
                <w:rFonts w:hint="eastAsia" w:cs="宋体"/>
                <w:bCs/>
                <w:color w:val="0D0D0D" w:themeColor="text1" w:themeTint="F2"/>
                <w:sz w:val="24"/>
                <w14:textFill>
                  <w14:solidFill>
                    <w14:schemeClr w14:val="tx1">
                      <w14:lumMod w14:val="95000"/>
                      <w14:lumOff w14:val="5000"/>
                    </w14:schemeClr>
                  </w14:solidFill>
                </w14:textFill>
              </w:rPr>
              <w:t>，</w:t>
            </w:r>
            <w:r>
              <w:rPr>
                <w:rFonts w:cs="宋体"/>
                <w:bCs/>
                <w:color w:val="0D0D0D" w:themeColor="text1" w:themeTint="F2"/>
                <w:sz w:val="24"/>
                <w14:textFill>
                  <w14:solidFill>
                    <w14:schemeClr w14:val="tx1">
                      <w14:lumMod w14:val="95000"/>
                      <w14:lumOff w14:val="5000"/>
                    </w14:schemeClr>
                  </w14:solidFill>
                </w14:textFill>
              </w:rPr>
              <w:t>不</w:t>
            </w:r>
            <w:r>
              <w:rPr>
                <w:rFonts w:hint="eastAsia" w:cs="宋体"/>
                <w:bCs/>
                <w:color w:val="0D0D0D" w:themeColor="text1" w:themeTint="F2"/>
                <w:sz w:val="24"/>
                <w14:textFill>
                  <w14:solidFill>
                    <w14:schemeClr w14:val="tx1">
                      <w14:lumMod w14:val="95000"/>
                      <w14:lumOff w14:val="5000"/>
                    </w14:schemeClr>
                  </w14:solidFill>
                </w14:textFill>
              </w:rPr>
              <w:t>设置备</w:t>
            </w:r>
            <w:r>
              <w:rPr>
                <w:rFonts w:cs="宋体"/>
                <w:bCs/>
                <w:color w:val="0D0D0D" w:themeColor="text1" w:themeTint="F2"/>
                <w:sz w:val="24"/>
                <w14:textFill>
                  <w14:solidFill>
                    <w14:schemeClr w14:val="tx1">
                      <w14:lumMod w14:val="95000"/>
                      <w14:lumOff w14:val="5000"/>
                    </w14:schemeClr>
                  </w14:solidFill>
                </w14:textFill>
              </w:rPr>
              <w:t>用</w:t>
            </w:r>
            <w:r>
              <w:rPr>
                <w:rFonts w:hint="eastAsia" w:cs="宋体"/>
                <w:bCs/>
                <w:color w:val="0D0D0D" w:themeColor="text1" w:themeTint="F2"/>
                <w:sz w:val="24"/>
                <w14:textFill>
                  <w14:solidFill>
                    <w14:schemeClr w14:val="tx1">
                      <w14:lumMod w14:val="95000"/>
                      <w14:lumOff w14:val="5000"/>
                    </w14:schemeClr>
                  </w14:solidFill>
                </w14:textFill>
              </w:rPr>
              <w:t>柴油</w:t>
            </w:r>
            <w:r>
              <w:rPr>
                <w:rFonts w:cs="宋体"/>
                <w:bCs/>
                <w:color w:val="0D0D0D" w:themeColor="text1" w:themeTint="F2"/>
                <w:sz w:val="24"/>
                <w14:textFill>
                  <w14:solidFill>
                    <w14:schemeClr w14:val="tx1">
                      <w14:lumMod w14:val="95000"/>
                      <w14:lumOff w14:val="5000"/>
                    </w14:schemeClr>
                  </w14:solidFill>
                </w14:textFill>
              </w:rPr>
              <w:t>发电机</w:t>
            </w:r>
            <w:r>
              <w:rPr>
                <w:rFonts w:hint="eastAsia" w:cs="宋体"/>
                <w:bCs/>
                <w:color w:val="0D0D0D" w:themeColor="text1" w:themeTint="F2"/>
                <w:sz w:val="24"/>
                <w14:textFill>
                  <w14:solidFill>
                    <w14:schemeClr w14:val="tx1">
                      <w14:lumMod w14:val="95000"/>
                      <w14:lumOff w14:val="5000"/>
                    </w14:schemeClr>
                  </w14:solidFill>
                </w14:textFill>
              </w:rPr>
              <w:t>。</w:t>
            </w:r>
          </w:p>
          <w:p w14:paraId="73CDFA7D">
            <w:pPr>
              <w:adjustRightInd w:val="0"/>
              <w:snapToGrid w:val="0"/>
              <w:spacing w:line="360" w:lineRule="auto"/>
              <w:ind w:firstLine="482" w:firstLineChars="200"/>
              <w:rPr>
                <w:rFonts w:cs="宋体"/>
                <w:b/>
                <w:bCs/>
                <w:color w:val="0D0D0D" w:themeColor="text1" w:themeTint="F2"/>
                <w:sz w:val="24"/>
                <w14:textFill>
                  <w14:solidFill>
                    <w14:schemeClr w14:val="tx1">
                      <w14:lumMod w14:val="95000"/>
                      <w14:lumOff w14:val="5000"/>
                    </w14:schemeClr>
                  </w14:solidFill>
                </w14:textFill>
              </w:rPr>
            </w:pPr>
            <w:r>
              <w:rPr>
                <w:rFonts w:hint="eastAsia" w:cs="宋体"/>
                <w:b/>
                <w:bCs/>
                <w:color w:val="0D0D0D" w:themeColor="text1" w:themeTint="F2"/>
                <w:sz w:val="24"/>
                <w14:textFill>
                  <w14:solidFill>
                    <w14:schemeClr w14:val="tx1">
                      <w14:lumMod w14:val="95000"/>
                      <w14:lumOff w14:val="5000"/>
                    </w14:schemeClr>
                  </w14:solidFill>
                </w14:textFill>
              </w:rPr>
              <w:t>6、劳动定员及工作制度</w:t>
            </w:r>
          </w:p>
          <w:p w14:paraId="400F799B">
            <w:pPr>
              <w:adjustRightInd w:val="0"/>
              <w:snapToGrid w:val="0"/>
              <w:spacing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项目劳动定员25人，年工作300天，在厂内食宿，每天工作8小时，单班制生产。</w:t>
            </w:r>
          </w:p>
          <w:p w14:paraId="2CB9143D">
            <w:pPr>
              <w:adjustRightInd w:val="0"/>
              <w:snapToGrid w:val="0"/>
              <w:spacing w:line="360" w:lineRule="auto"/>
              <w:ind w:firstLine="482" w:firstLineChars="200"/>
              <w:rPr>
                <w:rFonts w:cs="宋体"/>
                <w:b/>
                <w:color w:val="0D0D0D" w:themeColor="text1" w:themeTint="F2"/>
                <w:sz w:val="24"/>
                <w14:textFill>
                  <w14:solidFill>
                    <w14:schemeClr w14:val="tx1">
                      <w14:lumMod w14:val="95000"/>
                      <w14:lumOff w14:val="5000"/>
                    </w14:schemeClr>
                  </w14:solidFill>
                </w14:textFill>
              </w:rPr>
            </w:pPr>
            <w:r>
              <w:rPr>
                <w:rFonts w:hint="eastAsia" w:cs="宋体"/>
                <w:b/>
                <w:color w:val="0D0D0D" w:themeColor="text1" w:themeTint="F2"/>
                <w:sz w:val="24"/>
                <w14:textFill>
                  <w14:solidFill>
                    <w14:schemeClr w14:val="tx1">
                      <w14:lumMod w14:val="95000"/>
                      <w14:lumOff w14:val="5000"/>
                    </w14:schemeClr>
                  </w14:solidFill>
                </w14:textFill>
              </w:rPr>
              <w:t>7、施工计划</w:t>
            </w:r>
          </w:p>
          <w:p w14:paraId="534A3556">
            <w:pPr>
              <w:adjustRightInd w:val="0"/>
              <w:snapToGrid w:val="0"/>
              <w:spacing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施工期为</w:t>
            </w:r>
            <w:r>
              <w:rPr>
                <w:rFonts w:cs="宋体"/>
                <w:bCs/>
                <w:color w:val="0D0D0D" w:themeColor="text1" w:themeTint="F2"/>
                <w:sz w:val="24"/>
                <w14:textFill>
                  <w14:solidFill>
                    <w14:schemeClr w14:val="tx1">
                      <w14:lumMod w14:val="95000"/>
                      <w14:lumOff w14:val="5000"/>
                    </w14:schemeClr>
                  </w14:solidFill>
                </w14:textFill>
              </w:rPr>
              <w:t>202</w:t>
            </w:r>
            <w:r>
              <w:rPr>
                <w:rFonts w:hint="eastAsia" w:cs="宋体"/>
                <w:bCs/>
                <w:color w:val="0D0D0D" w:themeColor="text1" w:themeTint="F2"/>
                <w:sz w:val="24"/>
                <w14:textFill>
                  <w14:solidFill>
                    <w14:schemeClr w14:val="tx1">
                      <w14:lumMod w14:val="95000"/>
                      <w14:lumOff w14:val="5000"/>
                    </w14:schemeClr>
                  </w14:solidFill>
                </w14:textFill>
              </w:rPr>
              <w:t>5年5月至</w:t>
            </w:r>
            <w:r>
              <w:rPr>
                <w:rFonts w:cs="宋体"/>
                <w:bCs/>
                <w:color w:val="0D0D0D" w:themeColor="text1" w:themeTint="F2"/>
                <w:sz w:val="24"/>
                <w14:textFill>
                  <w14:solidFill>
                    <w14:schemeClr w14:val="tx1">
                      <w14:lumMod w14:val="95000"/>
                      <w14:lumOff w14:val="5000"/>
                    </w14:schemeClr>
                  </w14:solidFill>
                </w14:textFill>
              </w:rPr>
              <w:t>202</w:t>
            </w:r>
            <w:r>
              <w:rPr>
                <w:rFonts w:hint="eastAsia" w:cs="宋体"/>
                <w:bCs/>
                <w:color w:val="0D0D0D" w:themeColor="text1" w:themeTint="F2"/>
                <w:sz w:val="24"/>
                <w14:textFill>
                  <w14:solidFill>
                    <w14:schemeClr w14:val="tx1">
                      <w14:lumMod w14:val="95000"/>
                      <w14:lumOff w14:val="5000"/>
                    </w14:schemeClr>
                  </w14:solidFill>
                </w14:textFill>
              </w:rPr>
              <w:t>5年6月，1个月。</w:t>
            </w:r>
          </w:p>
          <w:p w14:paraId="60ED0187">
            <w:pPr>
              <w:adjustRightInd w:val="0"/>
              <w:snapToGrid w:val="0"/>
              <w:spacing w:line="360" w:lineRule="auto"/>
              <w:ind w:firstLine="482" w:firstLineChars="200"/>
              <w:rPr>
                <w:rFonts w:cs="宋体"/>
                <w:b/>
                <w:color w:val="0D0D0D" w:themeColor="text1" w:themeTint="F2"/>
                <w:sz w:val="24"/>
                <w14:textFill>
                  <w14:solidFill>
                    <w14:schemeClr w14:val="tx1">
                      <w14:lumMod w14:val="95000"/>
                      <w14:lumOff w14:val="5000"/>
                    </w14:schemeClr>
                  </w14:solidFill>
                </w14:textFill>
              </w:rPr>
            </w:pPr>
            <w:r>
              <w:rPr>
                <w:rFonts w:hint="eastAsia" w:cs="宋体"/>
                <w:b/>
                <w:color w:val="0D0D0D" w:themeColor="text1" w:themeTint="F2"/>
                <w:sz w:val="24"/>
                <w14:textFill>
                  <w14:solidFill>
                    <w14:schemeClr w14:val="tx1">
                      <w14:lumMod w14:val="95000"/>
                      <w14:lumOff w14:val="5000"/>
                    </w14:schemeClr>
                  </w14:solidFill>
                </w14:textFill>
              </w:rPr>
              <w:t>8、总平面布置</w:t>
            </w:r>
          </w:p>
          <w:p w14:paraId="7C052699">
            <w:pPr>
              <w:adjustRightInd w:val="0"/>
              <w:snapToGrid w:val="0"/>
              <w:spacing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cs="宋体"/>
                <w:bCs/>
                <w:color w:val="0D0D0D" w:themeColor="text1" w:themeTint="F2"/>
                <w:sz w:val="24"/>
                <w14:textFill>
                  <w14:solidFill>
                    <w14:schemeClr w14:val="tx1">
                      <w14:lumMod w14:val="95000"/>
                      <w14:lumOff w14:val="5000"/>
                    </w14:schemeClr>
                  </w14:solidFill>
                </w14:textFill>
              </w:rPr>
              <w:t>项目</w:t>
            </w:r>
            <w:r>
              <w:rPr>
                <w:rFonts w:hint="eastAsia" w:cs="宋体"/>
                <w:bCs/>
                <w:color w:val="0D0D0D" w:themeColor="text1" w:themeTint="F2"/>
                <w:sz w:val="24"/>
                <w14:textFill>
                  <w14:solidFill>
                    <w14:schemeClr w14:val="tx1">
                      <w14:lumMod w14:val="95000"/>
                      <w14:lumOff w14:val="5000"/>
                    </w14:schemeClr>
                  </w14:solidFill>
                </w14:textFill>
              </w:rPr>
              <w:t>平面按照生产工艺流程进行布置，将厂区划分为堆场、生产区和生活办公区，其中堆场包括原料区和成品区。厂区北部设置原料区和成品区，中部设置生产车间和原料区，南部设置成品区和生活办公区，生产车间由北至南设置抛丸区、待检区和喷漆房（喷漆区和晾晒区），可减轻废气污染物对生活办公区的影响。</w:t>
            </w:r>
          </w:p>
          <w:p w14:paraId="60540369">
            <w:pPr>
              <w:adjustRightInd w:val="0"/>
              <w:snapToGrid w:val="0"/>
              <w:spacing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项目平面按照生产工艺特点合理布局，方便生产管理，布局基本合理，平面布置图详见附图2。</w:t>
            </w:r>
          </w:p>
        </w:tc>
      </w:tr>
      <w:tr w14:paraId="55DD83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77" w:hRule="atLeast"/>
          <w:jc w:val="center"/>
        </w:trPr>
        <w:tc>
          <w:tcPr>
            <w:tcW w:w="254" w:type="pct"/>
            <w:vAlign w:val="center"/>
          </w:tcPr>
          <w:p w14:paraId="1B470A09">
            <w:pPr>
              <w:pStyle w:val="18"/>
              <w:adjustRightInd w:val="0"/>
              <w:snapToGrid w:val="0"/>
              <w:spacing w:before="0" w:beforeAutospacing="0" w:after="0" w:afterAutospacing="0"/>
              <w:jc w:val="center"/>
              <w:rPr>
                <w:rFonts w:ascii="Times New Roman" w:hAnsi="Times New Roman" w:cs="宋体"/>
                <w:color w:val="0D0D0D" w:themeColor="text1" w:themeTint="F2"/>
                <w:szCs w:val="24"/>
                <w14:textFill>
                  <w14:solidFill>
                    <w14:schemeClr w14:val="tx1">
                      <w14:lumMod w14:val="95000"/>
                      <w14:lumOff w14:val="5000"/>
                    </w14:schemeClr>
                  </w14:solidFill>
                </w14:textFill>
              </w:rPr>
            </w:pPr>
            <w:r>
              <w:rPr>
                <w:rFonts w:hint="eastAsia" w:ascii="Times New Roman" w:hAnsi="Times New Roman" w:cs="宋体"/>
                <w:color w:val="0D0D0D" w:themeColor="text1" w:themeTint="F2"/>
                <w:szCs w:val="24"/>
                <w14:textFill>
                  <w14:solidFill>
                    <w14:schemeClr w14:val="tx1">
                      <w14:lumMod w14:val="95000"/>
                      <w14:lumOff w14:val="5000"/>
                    </w14:schemeClr>
                  </w14:solidFill>
                </w14:textFill>
              </w:rPr>
              <w:t>工艺流程和产排污环节</w:t>
            </w:r>
          </w:p>
        </w:tc>
        <w:tc>
          <w:tcPr>
            <w:tcW w:w="4746" w:type="pct"/>
          </w:tcPr>
          <w:p w14:paraId="0F58BF9C">
            <w:pPr>
              <w:adjustRightInd w:val="0"/>
              <w:snapToGrid w:val="0"/>
              <w:spacing w:line="360" w:lineRule="auto"/>
              <w:ind w:firstLine="482" w:firstLineChars="200"/>
              <w:jc w:val="left"/>
              <w:rPr>
                <w:b/>
                <w:color w:val="0D0D0D" w:themeColor="text1" w:themeTint="F2"/>
                <w:sz w:val="24"/>
                <w14:textFill>
                  <w14:solidFill>
                    <w14:schemeClr w14:val="tx1">
                      <w14:lumMod w14:val="95000"/>
                      <w14:lumOff w14:val="5000"/>
                    </w14:schemeClr>
                  </w14:solidFill>
                </w14:textFill>
              </w:rPr>
            </w:pPr>
            <w:r>
              <w:rPr>
                <w:rFonts w:hint="eastAsia"/>
                <w:b/>
                <w:color w:val="0D0D0D" w:themeColor="text1" w:themeTint="F2"/>
                <w:sz w:val="24"/>
                <w14:textFill>
                  <w14:solidFill>
                    <w14:schemeClr w14:val="tx1">
                      <w14:lumMod w14:val="95000"/>
                      <w14:lumOff w14:val="5000"/>
                    </w14:schemeClr>
                  </w14:solidFill>
                </w14:textFill>
              </w:rPr>
              <w:t>1、施工期</w:t>
            </w:r>
          </w:p>
          <w:p w14:paraId="62DCD53C">
            <w:pPr>
              <w:adjustRightInd w:val="0"/>
              <w:snapToGrid w:val="0"/>
              <w:spacing w:line="360" w:lineRule="auto"/>
              <w:ind w:firstLine="480" w:firstLineChars="200"/>
              <w:rPr>
                <w:bCs/>
                <w:color w:val="0D0D0D" w:themeColor="text1" w:themeTint="F2"/>
                <w:sz w:val="24"/>
                <w14:textFill>
                  <w14:solidFill>
                    <w14:schemeClr w14:val="tx1">
                      <w14:lumMod w14:val="95000"/>
                      <w14:lumOff w14:val="5000"/>
                    </w14:schemeClr>
                  </w14:solidFill>
                </w14:textFill>
              </w:rPr>
            </w:pPr>
            <w:r>
              <w:rPr>
                <w:rFonts w:hint="eastAsia"/>
                <w:bCs/>
                <w:color w:val="0D0D0D" w:themeColor="text1" w:themeTint="F2"/>
                <w:sz w:val="24"/>
                <w14:textFill>
                  <w14:solidFill>
                    <w14:schemeClr w14:val="tx1">
                      <w14:lumMod w14:val="95000"/>
                      <w14:lumOff w14:val="5000"/>
                    </w14:schemeClr>
                  </w14:solidFill>
                </w14:textFill>
              </w:rPr>
              <w:t>项目已投产运营，施工期不涉及土建，主要施工环节为环保设施的安装与调试，本次评价不再分析施工期工艺流程及产污环节。</w:t>
            </w:r>
          </w:p>
          <w:p w14:paraId="7AE30A7D">
            <w:pPr>
              <w:adjustRightInd w:val="0"/>
              <w:snapToGrid w:val="0"/>
              <w:spacing w:line="360" w:lineRule="auto"/>
              <w:ind w:firstLine="482" w:firstLineChars="200"/>
              <w:rPr>
                <w:b/>
                <w:color w:val="0D0D0D" w:themeColor="text1" w:themeTint="F2"/>
                <w:sz w:val="24"/>
                <w14:textFill>
                  <w14:solidFill>
                    <w14:schemeClr w14:val="tx1">
                      <w14:lumMod w14:val="95000"/>
                      <w14:lumOff w14:val="5000"/>
                    </w14:schemeClr>
                  </w14:solidFill>
                </w14:textFill>
              </w:rPr>
            </w:pPr>
            <w:r>
              <w:rPr>
                <w:rFonts w:hint="eastAsia"/>
                <w:b/>
                <w:color w:val="0D0D0D" w:themeColor="text1" w:themeTint="F2"/>
                <w:sz w:val="24"/>
                <w14:textFill>
                  <w14:solidFill>
                    <w14:schemeClr w14:val="tx1">
                      <w14:lumMod w14:val="95000"/>
                      <w14:lumOff w14:val="5000"/>
                    </w14:schemeClr>
                  </w14:solidFill>
                </w14:textFill>
              </w:rPr>
              <w:t>2、运营期</w:t>
            </w:r>
          </w:p>
          <w:p w14:paraId="731655BE">
            <w:pPr>
              <w:adjustRightInd w:val="0"/>
              <w:snapToGrid w:val="0"/>
              <w:spacing w:line="360" w:lineRule="auto"/>
              <w:ind w:firstLine="480" w:firstLineChars="200"/>
              <w:rPr>
                <w:bCs/>
                <w:color w:val="0D0D0D" w:themeColor="text1" w:themeTint="F2"/>
                <w:sz w:val="24"/>
                <w14:textFill>
                  <w14:solidFill>
                    <w14:schemeClr w14:val="tx1">
                      <w14:lumMod w14:val="95000"/>
                      <w14:lumOff w14:val="5000"/>
                    </w14:schemeClr>
                  </w14:solidFill>
                </w14:textFill>
              </w:rPr>
            </w:pPr>
            <w:r>
              <w:rPr>
                <w:rFonts w:hint="eastAsia"/>
                <w:bCs/>
                <w:color w:val="0D0D0D" w:themeColor="text1" w:themeTint="F2"/>
                <w:sz w:val="24"/>
                <w14:textFill>
                  <w14:solidFill>
                    <w14:schemeClr w14:val="tx1">
                      <w14:lumMod w14:val="95000"/>
                      <w14:lumOff w14:val="5000"/>
                    </w14:schemeClr>
                  </w14:solidFill>
                </w14:textFill>
              </w:rPr>
              <w:t>项目运营期工艺流程和产污环节如图2</w:t>
            </w:r>
            <w:r>
              <w:rPr>
                <w:bCs/>
                <w:color w:val="0D0D0D" w:themeColor="text1" w:themeTint="F2"/>
                <w:sz w:val="24"/>
                <w14:textFill>
                  <w14:solidFill>
                    <w14:schemeClr w14:val="tx1">
                      <w14:lumMod w14:val="95000"/>
                      <w14:lumOff w14:val="5000"/>
                    </w14:schemeClr>
                  </w14:solidFill>
                </w14:textFill>
              </w:rPr>
              <w:t>-</w:t>
            </w:r>
            <w:r>
              <w:rPr>
                <w:rFonts w:hint="eastAsia"/>
                <w:bCs/>
                <w:color w:val="0D0D0D" w:themeColor="text1" w:themeTint="F2"/>
                <w:sz w:val="24"/>
                <w14:textFill>
                  <w14:solidFill>
                    <w14:schemeClr w14:val="tx1">
                      <w14:lumMod w14:val="95000"/>
                      <w14:lumOff w14:val="5000"/>
                    </w14:schemeClr>
                  </w14:solidFill>
                </w14:textFill>
              </w:rPr>
              <w:t>2所示。</w:t>
            </w:r>
          </w:p>
          <w:p w14:paraId="3AE44F70">
            <w:pPr>
              <w:adjustRightInd w:val="0"/>
              <w:snapToGrid w:val="0"/>
              <w:jc w:val="center"/>
              <w:rPr>
                <w:color w:val="0D0D0D" w:themeColor="text1" w:themeTint="F2"/>
                <w14:textFill>
                  <w14:solidFill>
                    <w14:schemeClr w14:val="tx1">
                      <w14:lumMod w14:val="95000"/>
                      <w14:lumOff w14:val="5000"/>
                    </w14:schemeClr>
                  </w14:solidFill>
                </w14:textFill>
              </w:rPr>
            </w:pPr>
            <w:r>
              <w:rPr>
                <w:rFonts w:hint="eastAsia"/>
              </w:rPr>
              <w:object>
                <v:shape id="_x0000_i1026" o:spt="75" type="#_x0000_t75" style="height:390.65pt;width:211.7pt;" o:ole="t" filled="f" o:preferrelative="t" stroked="f" coordsize="21600,21600">
                  <v:path/>
                  <v:fill on="f" focussize="0,0"/>
                  <v:stroke on="f" joinstyle="miter"/>
                  <v:imagedata r:id="rId28" o:title=""/>
                  <o:lock v:ext="edit" aspectratio="t"/>
                  <w10:wrap type="none"/>
                  <w10:anchorlock/>
                </v:shape>
                <o:OLEObject Type="Embed" ProgID="Visio.Drawing.15" ShapeID="_x0000_i1026" DrawAspect="Content" ObjectID="_1468075726" r:id="rId27">
                  <o:LockedField>false</o:LockedField>
                </o:OLEObject>
              </w:object>
            </w:r>
          </w:p>
          <w:p w14:paraId="4FC6F58A">
            <w:pPr>
              <w:adjustRightInd w:val="0"/>
              <w:snapToGrid w:val="0"/>
              <w:jc w:val="center"/>
              <w:rPr>
                <w:bCs/>
                <w:color w:val="0D0D0D" w:themeColor="text1" w:themeTint="F2"/>
                <w:szCs w:val="21"/>
                <w14:textFill>
                  <w14:solidFill>
                    <w14:schemeClr w14:val="tx1">
                      <w14:lumMod w14:val="95000"/>
                      <w14:lumOff w14:val="5000"/>
                    </w14:schemeClr>
                  </w14:solidFill>
                </w14:textFill>
              </w:rPr>
            </w:pPr>
            <w:r>
              <w:rPr>
                <w:rFonts w:hint="eastAsia"/>
                <w:b/>
                <w:color w:val="0D0D0D" w:themeColor="text1" w:themeTint="F2"/>
                <w:szCs w:val="21"/>
                <w14:textFill>
                  <w14:solidFill>
                    <w14:schemeClr w14:val="tx1">
                      <w14:lumMod w14:val="95000"/>
                      <w14:lumOff w14:val="5000"/>
                    </w14:schemeClr>
                  </w14:solidFill>
                </w14:textFill>
              </w:rPr>
              <w:t>图2-2</w:t>
            </w:r>
            <w:r>
              <w:rPr>
                <w:b/>
                <w:color w:val="0D0D0D" w:themeColor="text1" w:themeTint="F2"/>
                <w:szCs w:val="21"/>
                <w14:textFill>
                  <w14:solidFill>
                    <w14:schemeClr w14:val="tx1">
                      <w14:lumMod w14:val="95000"/>
                      <w14:lumOff w14:val="5000"/>
                    </w14:schemeClr>
                  </w14:solidFill>
                </w14:textFill>
              </w:rPr>
              <w:t xml:space="preserve">  </w:t>
            </w:r>
            <w:r>
              <w:rPr>
                <w:rFonts w:hint="eastAsia"/>
                <w:b/>
                <w:color w:val="0D0D0D" w:themeColor="text1" w:themeTint="F2"/>
                <w:szCs w:val="21"/>
                <w14:textFill>
                  <w14:solidFill>
                    <w14:schemeClr w14:val="tx1">
                      <w14:lumMod w14:val="95000"/>
                      <w14:lumOff w14:val="5000"/>
                    </w14:schemeClr>
                  </w14:solidFill>
                </w14:textFill>
              </w:rPr>
              <w:t>运营期工艺流程及产污环节图</w:t>
            </w:r>
          </w:p>
          <w:p w14:paraId="1EC69CAE">
            <w:pPr>
              <w:adjustRightInd w:val="0"/>
              <w:snapToGrid w:val="0"/>
              <w:spacing w:line="360" w:lineRule="auto"/>
              <w:ind w:firstLine="482" w:firstLineChars="200"/>
              <w:rPr>
                <w:bCs/>
                <w:color w:val="0D0D0D" w:themeColor="text1" w:themeTint="F2"/>
                <w:sz w:val="24"/>
                <w14:textFill>
                  <w14:solidFill>
                    <w14:schemeClr w14:val="tx1">
                      <w14:lumMod w14:val="95000"/>
                      <w14:lumOff w14:val="5000"/>
                    </w14:schemeClr>
                  </w14:solidFill>
                </w14:textFill>
              </w:rPr>
            </w:pPr>
            <w:r>
              <w:rPr>
                <w:rFonts w:hint="eastAsia"/>
                <w:b/>
                <w:color w:val="0D0D0D" w:themeColor="text1" w:themeTint="F2"/>
                <w:sz w:val="24"/>
                <w14:textFill>
                  <w14:solidFill>
                    <w14:schemeClr w14:val="tx1">
                      <w14:lumMod w14:val="95000"/>
                      <w14:lumOff w14:val="5000"/>
                    </w14:schemeClr>
                  </w14:solidFill>
                </w14:textFill>
              </w:rPr>
              <w:t>工艺流程简述：</w:t>
            </w:r>
          </w:p>
          <w:p w14:paraId="3E20280F">
            <w:pPr>
              <w:adjustRightInd w:val="0"/>
              <w:snapToGrid w:val="0"/>
              <w:spacing w:line="360" w:lineRule="auto"/>
              <w:ind w:firstLine="480" w:firstLineChars="200"/>
              <w:rPr>
                <w:rFonts w:cs="宋体"/>
                <w:bCs/>
                <w:color w:val="0D0D0D" w:themeColor="text1" w:themeTint="F2"/>
                <w:sz w:val="24"/>
                <w:u w:val="single"/>
                <w14:textFill>
                  <w14:solidFill>
                    <w14:schemeClr w14:val="tx1">
                      <w14:lumMod w14:val="95000"/>
                      <w14:lumOff w14:val="5000"/>
                    </w14:schemeClr>
                  </w14:solidFill>
                </w14:textFill>
              </w:rPr>
            </w:pPr>
            <w:r>
              <w:rPr>
                <w:rFonts w:hint="eastAsia" w:cs="宋体"/>
                <w:bCs/>
                <w:color w:val="0D0D0D" w:themeColor="text1" w:themeTint="F2"/>
                <w:sz w:val="24"/>
                <w:u w:val="single"/>
                <w14:textFill>
                  <w14:solidFill>
                    <w14:schemeClr w14:val="tx1">
                      <w14:lumMod w14:val="95000"/>
                      <w14:lumOff w14:val="5000"/>
                    </w14:schemeClr>
                  </w14:solidFill>
                </w14:textFill>
              </w:rPr>
              <w:t>（1）原料进厂</w:t>
            </w:r>
          </w:p>
          <w:p w14:paraId="290ED2C9">
            <w:pPr>
              <w:adjustRightInd w:val="0"/>
              <w:snapToGrid w:val="0"/>
              <w:spacing w:line="360" w:lineRule="auto"/>
              <w:ind w:firstLine="480" w:firstLineChars="200"/>
              <w:rPr>
                <w:rFonts w:cs="宋体"/>
                <w:bCs/>
                <w:color w:val="0D0D0D" w:themeColor="text1" w:themeTint="F2"/>
                <w:sz w:val="24"/>
                <w:u w:val="single"/>
                <w14:textFill>
                  <w14:solidFill>
                    <w14:schemeClr w14:val="tx1">
                      <w14:lumMod w14:val="95000"/>
                      <w14:lumOff w14:val="5000"/>
                    </w14:schemeClr>
                  </w14:solidFill>
                </w14:textFill>
              </w:rPr>
            </w:pPr>
            <w:r>
              <w:rPr>
                <w:rFonts w:hint="eastAsia" w:cs="宋体"/>
                <w:bCs/>
                <w:color w:val="0D0D0D" w:themeColor="text1" w:themeTint="F2"/>
                <w:sz w:val="24"/>
                <w:u w:val="single"/>
                <w14:textFill>
                  <w14:solidFill>
                    <w14:schemeClr w14:val="tx1">
                      <w14:lumMod w14:val="95000"/>
                      <w14:lumOff w14:val="5000"/>
                    </w14:schemeClr>
                  </w14:solidFill>
                </w14:textFill>
              </w:rPr>
              <w:t>钢材原料通过货车运至厂区原料区，卸货后，建设单位首先对钢材外观进行检查，主要检查锈蚀、变形、标识、规格符合性等。经检验合格的钢材，根据生产计划安排，可暂时存放于原料区的指定区域，或直接转运至生产车间投入后续加工工序。经检验判定为不合格的钢材，由厂家负责清运拉走并按规定进行处置，不在厂区暂存，厂家清运后按清运量补充新钢材。</w:t>
            </w:r>
          </w:p>
          <w:p w14:paraId="0BD4B141">
            <w:pPr>
              <w:adjustRightInd w:val="0"/>
              <w:snapToGrid w:val="0"/>
              <w:spacing w:line="360" w:lineRule="auto"/>
              <w:ind w:firstLine="480" w:firstLineChars="200"/>
              <w:rPr>
                <w:rFonts w:cs="宋体"/>
                <w:bCs/>
                <w:color w:val="0D0D0D" w:themeColor="text1" w:themeTint="F2"/>
                <w:sz w:val="24"/>
                <w:u w:val="single"/>
                <w14:textFill>
                  <w14:solidFill>
                    <w14:schemeClr w14:val="tx1">
                      <w14:lumMod w14:val="95000"/>
                      <w14:lumOff w14:val="5000"/>
                    </w14:schemeClr>
                  </w14:solidFill>
                </w14:textFill>
              </w:rPr>
            </w:pPr>
            <w:r>
              <w:rPr>
                <w:rFonts w:hint="eastAsia" w:cs="宋体"/>
                <w:bCs/>
                <w:color w:val="0D0D0D" w:themeColor="text1" w:themeTint="F2"/>
                <w:sz w:val="24"/>
                <w:u w:val="single"/>
                <w14:textFill>
                  <w14:solidFill>
                    <w14:schemeClr w14:val="tx1">
                      <w14:lumMod w14:val="95000"/>
                      <w14:lumOff w14:val="5000"/>
                    </w14:schemeClr>
                  </w14:solidFill>
                </w14:textFill>
              </w:rPr>
              <w:t>该工序主要产污环节为运输车辆尾气G1、装卸扬尘G2、运输与装卸噪声N、不合格钢材S1。</w:t>
            </w:r>
          </w:p>
          <w:p w14:paraId="497EF761">
            <w:pPr>
              <w:adjustRightInd w:val="0"/>
              <w:snapToGrid w:val="0"/>
              <w:spacing w:line="360" w:lineRule="auto"/>
              <w:ind w:firstLine="480" w:firstLineChars="200"/>
              <w:rPr>
                <w:rFonts w:cs="宋体"/>
                <w:bCs/>
                <w:color w:val="0D0D0D" w:themeColor="text1" w:themeTint="F2"/>
                <w:sz w:val="24"/>
                <w:u w:val="single"/>
                <w14:textFill>
                  <w14:solidFill>
                    <w14:schemeClr w14:val="tx1">
                      <w14:lumMod w14:val="95000"/>
                      <w14:lumOff w14:val="5000"/>
                    </w14:schemeClr>
                  </w14:solidFill>
                </w14:textFill>
              </w:rPr>
            </w:pPr>
            <w:r>
              <w:rPr>
                <w:rFonts w:hint="eastAsia" w:cs="宋体"/>
                <w:bCs/>
                <w:color w:val="0D0D0D" w:themeColor="text1" w:themeTint="F2"/>
                <w:sz w:val="24"/>
                <w:u w:val="single"/>
                <w14:textFill>
                  <w14:solidFill>
                    <w14:schemeClr w14:val="tx1">
                      <w14:lumMod w14:val="95000"/>
                      <w14:lumOff w14:val="5000"/>
                    </w14:schemeClr>
                  </w14:solidFill>
                </w14:textFill>
              </w:rPr>
              <w:t>（2）抛丸</w:t>
            </w:r>
          </w:p>
          <w:p w14:paraId="14C5E1E4">
            <w:pPr>
              <w:adjustRightInd w:val="0"/>
              <w:snapToGrid w:val="0"/>
              <w:spacing w:line="360" w:lineRule="auto"/>
              <w:ind w:firstLine="480" w:firstLineChars="200"/>
              <w:rPr>
                <w:rFonts w:cs="宋体"/>
                <w:bCs/>
                <w:color w:val="0D0D0D" w:themeColor="text1" w:themeTint="F2"/>
                <w:sz w:val="24"/>
                <w:u w:val="single"/>
                <w14:textFill>
                  <w14:solidFill>
                    <w14:schemeClr w14:val="tx1">
                      <w14:lumMod w14:val="95000"/>
                      <w14:lumOff w14:val="5000"/>
                    </w14:schemeClr>
                  </w14:solidFill>
                </w14:textFill>
              </w:rPr>
            </w:pPr>
            <w:r>
              <w:rPr>
                <w:rFonts w:hint="eastAsia" w:cs="宋体"/>
                <w:bCs/>
                <w:color w:val="0D0D0D" w:themeColor="text1" w:themeTint="F2"/>
                <w:sz w:val="24"/>
                <w:u w:val="single"/>
                <w14:textFill>
                  <w14:solidFill>
                    <w14:schemeClr w14:val="tx1">
                      <w14:lumMod w14:val="95000"/>
                      <w14:lumOff w14:val="5000"/>
                    </w14:schemeClr>
                  </w14:solidFill>
                </w14:textFill>
              </w:rPr>
              <w:t>待加工的钢材首先由龙门吊吊运至生产车间。随后，钢材进入抛丸机进行处理，以清除表面锈蚀、氧化皮等杂质，并达到表面粗糙度要求，同时提升外观质量。抛丸机抛丸作业平台位于抛丸机设备中，其物料进出口设置软帘围挡，整个作业平台在密闭状态下运行，其工作原理是：电动机驱动抛丸机内的叶轮体高速旋转，利用离心力将直径约0.2～3.0mm的弹丸（如铸钢丸、钢丝切丸、不锈钢丸等）高速抛射向钢材表面。弹丸的冲击作用有效剥离了钢材表面的附着物，形成均匀的微观粗糙度。此过程不仅显著去除锈蚀和污物，使钢材表面洁净、活化，也为后续涂装或加工提供了良好的基底。</w:t>
            </w:r>
          </w:p>
          <w:p w14:paraId="06189147">
            <w:pPr>
              <w:adjustRightInd w:val="0"/>
              <w:snapToGrid w:val="0"/>
              <w:spacing w:line="360" w:lineRule="auto"/>
              <w:ind w:firstLine="480" w:firstLineChars="200"/>
              <w:rPr>
                <w:rFonts w:cs="宋体"/>
                <w:bCs/>
                <w:color w:val="0D0D0D" w:themeColor="text1" w:themeTint="F2"/>
                <w:sz w:val="24"/>
                <w:u w:val="single"/>
                <w14:textFill>
                  <w14:solidFill>
                    <w14:schemeClr w14:val="tx1">
                      <w14:lumMod w14:val="95000"/>
                      <w14:lumOff w14:val="5000"/>
                    </w14:schemeClr>
                  </w14:solidFill>
                </w14:textFill>
              </w:rPr>
            </w:pPr>
            <w:r>
              <w:rPr>
                <w:rFonts w:hint="eastAsia" w:cs="宋体"/>
                <w:bCs/>
                <w:color w:val="0D0D0D" w:themeColor="text1" w:themeTint="F2"/>
                <w:sz w:val="24"/>
                <w:u w:val="single"/>
                <w14:textFill>
                  <w14:solidFill>
                    <w14:schemeClr w14:val="tx1">
                      <w14:lumMod w14:val="95000"/>
                      <w14:lumOff w14:val="5000"/>
                    </w14:schemeClr>
                  </w14:solidFill>
                </w14:textFill>
              </w:rPr>
              <w:t>该工序主要产污环节为抛丸粉尘G3、生产设备运行噪声N、废钢丸S2、除尘设备废滤芯S3、除尘设备收集粉尘S4。</w:t>
            </w:r>
          </w:p>
          <w:p w14:paraId="75A65834">
            <w:pPr>
              <w:adjustRightInd w:val="0"/>
              <w:snapToGrid w:val="0"/>
              <w:spacing w:line="360" w:lineRule="auto"/>
              <w:ind w:firstLine="480" w:firstLineChars="200"/>
              <w:rPr>
                <w:rFonts w:cs="宋体"/>
                <w:bCs/>
                <w:color w:val="0D0D0D" w:themeColor="text1" w:themeTint="F2"/>
                <w:sz w:val="24"/>
                <w:u w:val="single"/>
                <w14:textFill>
                  <w14:solidFill>
                    <w14:schemeClr w14:val="tx1">
                      <w14:lumMod w14:val="95000"/>
                      <w14:lumOff w14:val="5000"/>
                    </w14:schemeClr>
                  </w14:solidFill>
                </w14:textFill>
              </w:rPr>
            </w:pPr>
            <w:r>
              <w:rPr>
                <w:rFonts w:hint="eastAsia" w:cs="宋体"/>
                <w:bCs/>
                <w:color w:val="0D0D0D" w:themeColor="text1" w:themeTint="F2"/>
                <w:sz w:val="24"/>
                <w:u w:val="single"/>
                <w14:textFill>
                  <w14:solidFill>
                    <w14:schemeClr w14:val="tx1">
                      <w14:lumMod w14:val="95000"/>
                      <w14:lumOff w14:val="5000"/>
                    </w14:schemeClr>
                  </w14:solidFill>
                </w14:textFill>
              </w:rPr>
              <w:t>（3）喷漆</w:t>
            </w:r>
          </w:p>
          <w:p w14:paraId="42EDEA8C">
            <w:pPr>
              <w:adjustRightInd w:val="0"/>
              <w:snapToGrid w:val="0"/>
              <w:spacing w:line="360" w:lineRule="auto"/>
              <w:ind w:firstLine="480" w:firstLineChars="200"/>
              <w:rPr>
                <w:rFonts w:cs="宋体"/>
                <w:bCs/>
                <w:color w:val="0D0D0D" w:themeColor="text1" w:themeTint="F2"/>
                <w:sz w:val="24"/>
                <w:u w:val="single"/>
                <w14:textFill>
                  <w14:solidFill>
                    <w14:schemeClr w14:val="tx1">
                      <w14:lumMod w14:val="95000"/>
                      <w14:lumOff w14:val="5000"/>
                    </w14:schemeClr>
                  </w14:solidFill>
                </w14:textFill>
              </w:rPr>
            </w:pPr>
            <w:r>
              <w:rPr>
                <w:rFonts w:hint="eastAsia" w:cs="宋体"/>
                <w:bCs/>
                <w:color w:val="0D0D0D" w:themeColor="text1" w:themeTint="F2"/>
                <w:sz w:val="24"/>
                <w:u w:val="single"/>
                <w14:textFill>
                  <w14:solidFill>
                    <w14:schemeClr w14:val="tx1">
                      <w14:lumMod w14:val="95000"/>
                      <w14:lumOff w14:val="5000"/>
                    </w14:schemeClr>
                  </w14:solidFill>
                </w14:textFill>
              </w:rPr>
              <w:t>根据客户订单要求，产品需要进行喷漆防腐处理，主要起到防锈、防腐的基础保护作用，同时满足上色的外观需求。项目防腐分为常规防腐和高温防腐，其中常规防腐喷涂工艺路线为环氧富锌底漆和环氧云铁中间漆；高温防腐喷涂工艺路线为无机硅酸富锌底漆和有机硅耐高温铝粉漆。本项目仅负责喷涂底漆和中间漆，不进行面漆喷涂。</w:t>
            </w:r>
          </w:p>
          <w:p w14:paraId="5DE1AFEE">
            <w:pPr>
              <w:adjustRightInd w:val="0"/>
              <w:snapToGrid w:val="0"/>
              <w:spacing w:line="360" w:lineRule="auto"/>
              <w:ind w:firstLine="480" w:firstLineChars="200"/>
              <w:rPr>
                <w:rFonts w:cs="宋体"/>
                <w:bCs/>
                <w:color w:val="0D0D0D" w:themeColor="text1" w:themeTint="F2"/>
                <w:sz w:val="24"/>
                <w:u w:val="single"/>
                <w14:textFill>
                  <w14:solidFill>
                    <w14:schemeClr w14:val="tx1">
                      <w14:lumMod w14:val="95000"/>
                      <w14:lumOff w14:val="5000"/>
                    </w14:schemeClr>
                  </w14:solidFill>
                </w14:textFill>
              </w:rPr>
            </w:pPr>
            <w:r>
              <w:rPr>
                <w:rFonts w:hint="eastAsia" w:cs="宋体"/>
                <w:bCs/>
                <w:color w:val="0D0D0D" w:themeColor="text1" w:themeTint="F2"/>
                <w:sz w:val="24"/>
                <w:u w:val="single"/>
                <w14:textFill>
                  <w14:solidFill>
                    <w14:schemeClr w14:val="tx1">
                      <w14:lumMod w14:val="95000"/>
                      <w14:lumOff w14:val="5000"/>
                    </w14:schemeClr>
                  </w14:solidFill>
                </w14:textFill>
              </w:rPr>
              <w:t>项目喷漆工艺采用高压无气喷涂，喷漆设备为高压无气喷涂机，其工作原理为：增压泵将液态涂料加压，经高压软管输送至无气喷枪。涂料在喷嘴处因压力骤降而瞬时雾化，高速喷射至工件表面形成均匀涂膜，喷涂后的工件在密闭喷漆房内自然晾干。根据油漆产品技术参数，环氧富锌底漆晾干时间为2小时，环氧云铁中间漆晾干时间为5小时，无机硅酸富锌底漆晾干时间为0.5小时，有机硅耐高温铝粉漆晾干时间为2小时。</w:t>
            </w:r>
          </w:p>
          <w:p w14:paraId="5FE7AE64">
            <w:pPr>
              <w:adjustRightInd w:val="0"/>
              <w:snapToGrid w:val="0"/>
              <w:spacing w:line="360" w:lineRule="auto"/>
              <w:ind w:firstLine="480" w:firstLineChars="200"/>
              <w:rPr>
                <w:rFonts w:cs="宋体"/>
                <w:bCs/>
                <w:color w:val="0D0D0D" w:themeColor="text1" w:themeTint="F2"/>
                <w:sz w:val="24"/>
                <w:u w:val="single"/>
                <w14:textFill>
                  <w14:solidFill>
                    <w14:schemeClr w14:val="tx1">
                      <w14:lumMod w14:val="95000"/>
                      <w14:lumOff w14:val="5000"/>
                    </w14:schemeClr>
                  </w14:solidFill>
                </w14:textFill>
              </w:rPr>
            </w:pPr>
            <w:r>
              <w:rPr>
                <w:rFonts w:hint="eastAsia" w:cs="宋体"/>
                <w:bCs/>
                <w:color w:val="0D0D0D" w:themeColor="text1" w:themeTint="F2"/>
                <w:sz w:val="24"/>
                <w:u w:val="single"/>
                <w14:textFill>
                  <w14:solidFill>
                    <w14:schemeClr w14:val="tx1">
                      <w14:lumMod w14:val="95000"/>
                      <w14:lumOff w14:val="5000"/>
                    </w14:schemeClr>
                  </w14:solidFill>
                </w14:textFill>
              </w:rPr>
              <w:t>根据建设单位提供的资料，油漆使用前需进行调漆，根据使用说明，按比例调配油漆，调配过程在喷漆房内进行，由人工搅拌混合均匀。</w:t>
            </w:r>
          </w:p>
          <w:p w14:paraId="5383681D">
            <w:pPr>
              <w:adjustRightInd w:val="0"/>
              <w:snapToGrid w:val="0"/>
              <w:spacing w:line="360" w:lineRule="auto"/>
              <w:ind w:firstLine="480" w:firstLineChars="200"/>
              <w:rPr>
                <w:rFonts w:cs="宋体"/>
                <w:bCs/>
                <w:color w:val="0D0D0D" w:themeColor="text1" w:themeTint="F2"/>
                <w:sz w:val="24"/>
                <w:u w:val="single"/>
                <w14:textFill>
                  <w14:solidFill>
                    <w14:schemeClr w14:val="tx1">
                      <w14:lumMod w14:val="95000"/>
                      <w14:lumOff w14:val="5000"/>
                    </w14:schemeClr>
                  </w14:solidFill>
                </w14:textFill>
              </w:rPr>
            </w:pPr>
            <w:r>
              <w:rPr>
                <w:rFonts w:hint="eastAsia" w:cs="宋体"/>
                <w:bCs/>
                <w:color w:val="0D0D0D" w:themeColor="text1" w:themeTint="F2"/>
                <w:sz w:val="24"/>
                <w:u w:val="single"/>
                <w14:textFill>
                  <w14:solidFill>
                    <w14:schemeClr w14:val="tx1">
                      <w14:lumMod w14:val="95000"/>
                      <w14:lumOff w14:val="5000"/>
                    </w14:schemeClr>
                  </w14:solidFill>
                </w14:textFill>
              </w:rPr>
              <w:t>项目喷枪使用过程中需要定期对喷枪头进行清洗，平均每天一次，在喷枪使用前进行清洗，清洗过程在喷漆房内进行。因油性漆难以用水清洗，根据油漆使用说明，本项目使用油漆配套的专用稀释剂进行清洗，其中环氧富锌底漆和环氧云铁中间漆使用17号稀释剂，无机硅酸富锌底漆使用4号稀释剂。首先人工将喷枪头浸泡在专用稀释剂中，静置待枪头上凝固的油漆分解即可，该过程会产生喷枪清洗废液，喷枪清洗废液回用于后续调漆工序，此方案依据油漆技术参数确认可行，需严格控制回用比例以避免影响漆膜性能。</w:t>
            </w:r>
          </w:p>
          <w:p w14:paraId="62277041">
            <w:pPr>
              <w:adjustRightInd w:val="0"/>
              <w:snapToGrid w:val="0"/>
              <w:spacing w:line="360" w:lineRule="auto"/>
              <w:ind w:firstLine="480" w:firstLineChars="200"/>
              <w:rPr>
                <w:rFonts w:cs="宋体"/>
                <w:bCs/>
                <w:color w:val="0D0D0D" w:themeColor="text1" w:themeTint="F2"/>
                <w:sz w:val="24"/>
                <w:u w:val="single"/>
                <w14:textFill>
                  <w14:solidFill>
                    <w14:schemeClr w14:val="tx1">
                      <w14:lumMod w14:val="95000"/>
                      <w14:lumOff w14:val="5000"/>
                    </w14:schemeClr>
                  </w14:solidFill>
                </w14:textFill>
              </w:rPr>
            </w:pPr>
            <w:r>
              <w:rPr>
                <w:rFonts w:hint="eastAsia" w:cs="宋体"/>
                <w:bCs/>
                <w:color w:val="0D0D0D" w:themeColor="text1" w:themeTint="F2"/>
                <w:sz w:val="24"/>
                <w:u w:val="single"/>
                <w14:textFill>
                  <w14:solidFill>
                    <w14:schemeClr w14:val="tx1">
                      <w14:lumMod w14:val="95000"/>
                      <w14:lumOff w14:val="5000"/>
                    </w14:schemeClr>
                  </w14:solidFill>
                </w14:textFill>
              </w:rPr>
              <w:t>项目喷漆房为伸缩式干式喷漆房，采用负压通风系统，利用风压差将废气有序排出，废气经“水帘柜+二级活性炭吸附脱附+CO催化燃烧”处理，最后通过20m排气筒（DA002）排放。</w:t>
            </w:r>
          </w:p>
          <w:p w14:paraId="7F21F8CA">
            <w:pPr>
              <w:adjustRightInd w:val="0"/>
              <w:snapToGrid w:val="0"/>
              <w:spacing w:line="360" w:lineRule="auto"/>
              <w:ind w:firstLine="480" w:firstLineChars="200"/>
              <w:rPr>
                <w:rFonts w:cs="宋体"/>
                <w:bCs/>
                <w:color w:val="0D0D0D" w:themeColor="text1" w:themeTint="F2"/>
                <w:sz w:val="24"/>
                <w:u w:val="single"/>
                <w14:textFill>
                  <w14:solidFill>
                    <w14:schemeClr w14:val="tx1">
                      <w14:lumMod w14:val="95000"/>
                      <w14:lumOff w14:val="5000"/>
                    </w14:schemeClr>
                  </w14:solidFill>
                </w14:textFill>
              </w:rPr>
            </w:pPr>
            <w:r>
              <w:rPr>
                <w:rFonts w:hint="eastAsia" w:cs="宋体"/>
                <w:bCs/>
                <w:color w:val="0D0D0D" w:themeColor="text1" w:themeTint="F2"/>
                <w:sz w:val="24"/>
                <w:u w:val="single"/>
                <w14:textFill>
                  <w14:solidFill>
                    <w14:schemeClr w14:val="tx1">
                      <w14:lumMod w14:val="95000"/>
                      <w14:lumOff w14:val="5000"/>
                    </w14:schemeClr>
                  </w14:solidFill>
                </w14:textFill>
              </w:rPr>
              <w:t>该工序会产生喷漆废气G4、喷枪清洗废液W1、设备运行噪声N、废油漆桶S5、漆渣S6、废过滤棉S7、废活性炭S8。</w:t>
            </w:r>
          </w:p>
          <w:p w14:paraId="514FD818">
            <w:pPr>
              <w:adjustRightInd w:val="0"/>
              <w:snapToGrid w:val="0"/>
              <w:spacing w:line="360" w:lineRule="auto"/>
              <w:ind w:firstLine="480" w:firstLineChars="200"/>
              <w:rPr>
                <w:rFonts w:cs="宋体"/>
                <w:bCs/>
                <w:color w:val="0D0D0D" w:themeColor="text1" w:themeTint="F2"/>
                <w:sz w:val="24"/>
                <w:u w:val="single"/>
                <w14:textFill>
                  <w14:solidFill>
                    <w14:schemeClr w14:val="tx1">
                      <w14:lumMod w14:val="95000"/>
                      <w14:lumOff w14:val="5000"/>
                    </w14:schemeClr>
                  </w14:solidFill>
                </w14:textFill>
              </w:rPr>
            </w:pPr>
            <w:r>
              <w:rPr>
                <w:rFonts w:hint="eastAsia" w:cs="宋体"/>
                <w:bCs/>
                <w:color w:val="0D0D0D" w:themeColor="text1" w:themeTint="F2"/>
                <w:sz w:val="24"/>
                <w:u w:val="single"/>
                <w14:textFill>
                  <w14:solidFill>
                    <w14:schemeClr w14:val="tx1">
                      <w14:lumMod w14:val="95000"/>
                      <w14:lumOff w14:val="5000"/>
                    </w14:schemeClr>
                  </w14:solidFill>
                </w14:textFill>
              </w:rPr>
              <w:t>（4）检验</w:t>
            </w:r>
          </w:p>
          <w:p w14:paraId="030C1955">
            <w:pPr>
              <w:adjustRightInd w:val="0"/>
              <w:snapToGrid w:val="0"/>
              <w:spacing w:line="360" w:lineRule="auto"/>
              <w:ind w:firstLine="480" w:firstLineChars="200"/>
              <w:rPr>
                <w:rFonts w:cs="宋体"/>
                <w:bCs/>
                <w:color w:val="0D0D0D" w:themeColor="text1" w:themeTint="F2"/>
                <w:sz w:val="24"/>
                <w:u w:val="single"/>
                <w14:textFill>
                  <w14:solidFill>
                    <w14:schemeClr w14:val="tx1">
                      <w14:lumMod w14:val="95000"/>
                      <w14:lumOff w14:val="5000"/>
                    </w14:schemeClr>
                  </w14:solidFill>
                </w14:textFill>
              </w:rPr>
            </w:pPr>
            <w:r>
              <w:rPr>
                <w:rFonts w:hint="eastAsia" w:cs="宋体"/>
                <w:bCs/>
                <w:color w:val="0D0D0D" w:themeColor="text1" w:themeTint="F2"/>
                <w:sz w:val="24"/>
                <w:u w:val="single"/>
                <w14:textFill>
                  <w14:solidFill>
                    <w14:schemeClr w14:val="tx1">
                      <w14:lumMod w14:val="95000"/>
                      <w14:lumOff w14:val="5000"/>
                    </w14:schemeClr>
                  </w14:solidFill>
                </w14:textFill>
              </w:rPr>
              <w:t>对喷涂晾干后的钢材进行漆膜厚度检查，合格钢材存放于成品区，由客户清运带走，不合格钢材重新喷涂。</w:t>
            </w:r>
          </w:p>
          <w:p w14:paraId="127D2765">
            <w:pPr>
              <w:adjustRightInd w:val="0"/>
              <w:snapToGrid w:val="0"/>
              <w:spacing w:line="360" w:lineRule="auto"/>
              <w:ind w:firstLine="480" w:firstLineChars="200"/>
              <w:rPr>
                <w:rFonts w:cs="宋体"/>
                <w:bCs/>
                <w:color w:val="0D0D0D" w:themeColor="text1" w:themeTint="F2"/>
                <w:sz w:val="24"/>
                <w:u w:val="single"/>
                <w14:textFill>
                  <w14:solidFill>
                    <w14:schemeClr w14:val="tx1">
                      <w14:lumMod w14:val="95000"/>
                      <w14:lumOff w14:val="5000"/>
                    </w14:schemeClr>
                  </w14:solidFill>
                </w14:textFill>
              </w:rPr>
            </w:pPr>
            <w:r>
              <w:rPr>
                <w:rFonts w:hint="eastAsia" w:cs="宋体"/>
                <w:bCs/>
                <w:color w:val="0D0D0D" w:themeColor="text1" w:themeTint="F2"/>
                <w:sz w:val="24"/>
                <w:u w:val="single"/>
                <w14:textFill>
                  <w14:solidFill>
                    <w14:schemeClr w14:val="tx1">
                      <w14:lumMod w14:val="95000"/>
                      <w14:lumOff w14:val="5000"/>
                    </w14:schemeClr>
                  </w14:solidFill>
                </w14:textFill>
              </w:rPr>
              <w:t>项目运营期废气主要为运输车辆尾气G1、装卸扬尘G2、</w:t>
            </w:r>
            <w:r>
              <w:rPr>
                <w:rFonts w:hint="eastAsia"/>
                <w:bCs/>
                <w:color w:val="0D0D0D" w:themeColor="text1" w:themeTint="F2"/>
                <w:sz w:val="24"/>
                <w:u w:val="single"/>
                <w14:textFill>
                  <w14:solidFill>
                    <w14:schemeClr w14:val="tx1">
                      <w14:lumMod w14:val="95000"/>
                      <w14:lumOff w14:val="5000"/>
                    </w14:schemeClr>
                  </w14:solidFill>
                </w14:textFill>
              </w:rPr>
              <w:t>抛丸粉尘G3、喷漆废气G4、危废暂存间废气G5和食堂油烟G6</w:t>
            </w:r>
            <w:r>
              <w:rPr>
                <w:rFonts w:hint="eastAsia" w:cs="宋体"/>
                <w:bCs/>
                <w:color w:val="0D0D0D" w:themeColor="text1" w:themeTint="F2"/>
                <w:sz w:val="24"/>
                <w:u w:val="single"/>
                <w14:textFill>
                  <w14:solidFill>
                    <w14:schemeClr w14:val="tx1">
                      <w14:lumMod w14:val="95000"/>
                      <w14:lumOff w14:val="5000"/>
                    </w14:schemeClr>
                  </w14:solidFill>
                </w14:textFill>
              </w:rPr>
              <w:t>；废水主要为喷枪清洗废液W1和生活污水W2；噪声主要来源于生产设备运行；固体废物主要为不合格钢材S1、废钢丸S2、除尘设备废滤芯S3、除尘设备收集粉尘S4、废油漆桶S5、漆渣S6、废过滤棉S7、废活性炭S8、废机油S9、废含油抹布和劳保用品S10、生活垃圾S11</w:t>
            </w:r>
            <w:r>
              <w:rPr>
                <w:rFonts w:cs="宋体"/>
                <w:bCs/>
                <w:color w:val="0D0D0D" w:themeColor="text1" w:themeTint="F2"/>
                <w:sz w:val="24"/>
                <w:u w:val="single"/>
                <w14:textFill>
                  <w14:solidFill>
                    <w14:schemeClr w14:val="tx1">
                      <w14:lumMod w14:val="95000"/>
                      <w14:lumOff w14:val="5000"/>
                    </w14:schemeClr>
                  </w14:solidFill>
                </w14:textFill>
              </w:rPr>
              <w:t>。</w:t>
            </w:r>
          </w:p>
          <w:p w14:paraId="19367AFC">
            <w:pPr>
              <w:adjustRightInd w:val="0"/>
              <w:snapToGrid w:val="0"/>
              <w:spacing w:line="360" w:lineRule="auto"/>
              <w:ind w:firstLine="480" w:firstLineChars="200"/>
              <w:rPr>
                <w:rFonts w:cs="宋体"/>
                <w:bCs/>
                <w:color w:val="0D0D0D" w:themeColor="text1" w:themeTint="F2"/>
                <w:sz w:val="24"/>
                <w:u w:val="single"/>
                <w14:textFill>
                  <w14:solidFill>
                    <w14:schemeClr w14:val="tx1">
                      <w14:lumMod w14:val="95000"/>
                      <w14:lumOff w14:val="5000"/>
                    </w14:schemeClr>
                  </w14:solidFill>
                </w14:textFill>
              </w:rPr>
            </w:pPr>
            <w:r>
              <w:rPr>
                <w:rFonts w:hint="eastAsia" w:cs="宋体"/>
                <w:bCs/>
                <w:color w:val="0D0D0D" w:themeColor="text1" w:themeTint="F2"/>
                <w:sz w:val="24"/>
                <w:u w:val="single"/>
                <w14:textFill>
                  <w14:solidFill>
                    <w14:schemeClr w14:val="tx1">
                      <w14:lumMod w14:val="95000"/>
                      <w14:lumOff w14:val="5000"/>
                    </w14:schemeClr>
                  </w14:solidFill>
                </w14:textFill>
              </w:rPr>
              <w:t>项目运营期主要环境影响因素识别结果详见表2-10。</w:t>
            </w:r>
          </w:p>
          <w:p w14:paraId="665D1878">
            <w:pPr>
              <w:adjustRightInd w:val="0"/>
              <w:snapToGrid w:val="0"/>
              <w:jc w:val="center"/>
              <w:rPr>
                <w:b/>
                <w:color w:val="0D0D0D" w:themeColor="text1" w:themeTint="F2"/>
                <w:szCs w:val="21"/>
                <w14:textFill>
                  <w14:solidFill>
                    <w14:schemeClr w14:val="tx1">
                      <w14:lumMod w14:val="95000"/>
                      <w14:lumOff w14:val="5000"/>
                    </w14:schemeClr>
                  </w14:solidFill>
                </w14:textFill>
              </w:rPr>
            </w:pPr>
            <w:r>
              <w:rPr>
                <w:rFonts w:hint="eastAsia"/>
                <w:b/>
                <w:color w:val="0D0D0D" w:themeColor="text1" w:themeTint="F2"/>
                <w:szCs w:val="21"/>
                <w14:textFill>
                  <w14:solidFill>
                    <w14:schemeClr w14:val="tx1">
                      <w14:lumMod w14:val="95000"/>
                      <w14:lumOff w14:val="5000"/>
                    </w14:schemeClr>
                  </w14:solidFill>
                </w14:textFill>
              </w:rPr>
              <w:t>表2-10</w:t>
            </w:r>
            <w:r>
              <w:rPr>
                <w:b/>
                <w:color w:val="0D0D0D" w:themeColor="text1" w:themeTint="F2"/>
                <w:szCs w:val="21"/>
                <w14:textFill>
                  <w14:solidFill>
                    <w14:schemeClr w14:val="tx1">
                      <w14:lumMod w14:val="95000"/>
                      <w14:lumOff w14:val="5000"/>
                    </w14:schemeClr>
                  </w14:solidFill>
                </w14:textFill>
              </w:rPr>
              <w:t xml:space="preserve">  运营期主要环境影响因素识别</w:t>
            </w:r>
            <w:r>
              <w:rPr>
                <w:rFonts w:hint="eastAsia"/>
                <w:b/>
                <w:color w:val="0D0D0D" w:themeColor="text1" w:themeTint="F2"/>
                <w:szCs w:val="21"/>
                <w14:textFill>
                  <w14:solidFill>
                    <w14:schemeClr w14:val="tx1">
                      <w14:lumMod w14:val="95000"/>
                      <w14:lumOff w14:val="5000"/>
                    </w14:schemeClr>
                  </w14:solidFill>
                </w14:textFill>
              </w:rPr>
              <w:t>一览表</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7"/>
              <w:gridCol w:w="2417"/>
              <w:gridCol w:w="729"/>
              <w:gridCol w:w="1313"/>
              <w:gridCol w:w="3278"/>
            </w:tblGrid>
            <w:tr w14:paraId="6E003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shd w:val="clear" w:color="auto" w:fill="auto"/>
                  <w:vAlign w:val="center"/>
                </w:tcPr>
                <w:p w14:paraId="1C809813">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类别</w:t>
                  </w:r>
                </w:p>
              </w:tc>
              <w:tc>
                <w:tcPr>
                  <w:tcW w:w="1443" w:type="pct"/>
                  <w:shd w:val="clear" w:color="auto" w:fill="auto"/>
                  <w:vAlign w:val="center"/>
                </w:tcPr>
                <w:p w14:paraId="0C56DAA3">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名称</w:t>
                  </w:r>
                </w:p>
              </w:tc>
              <w:tc>
                <w:tcPr>
                  <w:tcW w:w="435" w:type="pct"/>
                  <w:vAlign w:val="center"/>
                </w:tcPr>
                <w:p w14:paraId="3A7E29EB">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编号</w:t>
                  </w:r>
                </w:p>
              </w:tc>
              <w:tc>
                <w:tcPr>
                  <w:tcW w:w="784" w:type="pct"/>
                  <w:vAlign w:val="center"/>
                </w:tcPr>
                <w:p w14:paraId="02A7F940">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产污环节</w:t>
                  </w:r>
                </w:p>
              </w:tc>
              <w:tc>
                <w:tcPr>
                  <w:tcW w:w="1957" w:type="pct"/>
                  <w:shd w:val="clear" w:color="auto" w:fill="auto"/>
                  <w:vAlign w:val="center"/>
                </w:tcPr>
                <w:p w14:paraId="7B0E487F">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污染物</w:t>
                  </w:r>
                </w:p>
              </w:tc>
            </w:tr>
            <w:tr w14:paraId="011E5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restart"/>
                  <w:shd w:val="clear" w:color="auto" w:fill="auto"/>
                  <w:vAlign w:val="center"/>
                </w:tcPr>
                <w:p w14:paraId="5EBF23F6">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废气</w:t>
                  </w:r>
                </w:p>
              </w:tc>
              <w:tc>
                <w:tcPr>
                  <w:tcW w:w="1443" w:type="pct"/>
                  <w:shd w:val="clear" w:color="auto" w:fill="auto"/>
                  <w:vAlign w:val="center"/>
                </w:tcPr>
                <w:p w14:paraId="65D38C8D">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运输车辆尾气</w:t>
                  </w:r>
                </w:p>
              </w:tc>
              <w:tc>
                <w:tcPr>
                  <w:tcW w:w="435" w:type="pct"/>
                  <w:vAlign w:val="center"/>
                </w:tcPr>
                <w:p w14:paraId="7FC3F22F">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G1</w:t>
                  </w:r>
                </w:p>
              </w:tc>
              <w:tc>
                <w:tcPr>
                  <w:tcW w:w="784" w:type="pct"/>
                  <w:vAlign w:val="center"/>
                </w:tcPr>
                <w:p w14:paraId="1B2EE3AC">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运输</w:t>
                  </w:r>
                </w:p>
              </w:tc>
              <w:tc>
                <w:tcPr>
                  <w:tcW w:w="1957" w:type="pct"/>
                  <w:shd w:val="clear" w:color="auto" w:fill="auto"/>
                  <w:vAlign w:val="center"/>
                </w:tcPr>
                <w:p w14:paraId="70E0F4DB">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CO、HC、</w:t>
                  </w:r>
                  <w:r>
                    <w:rPr>
                      <w:bCs/>
                      <w:color w:val="0D0D0D" w:themeColor="text1" w:themeTint="F2"/>
                      <w:szCs w:val="21"/>
                      <w:u w:val="single"/>
                      <w14:textFill>
                        <w14:solidFill>
                          <w14:schemeClr w14:val="tx1">
                            <w14:lumMod w14:val="95000"/>
                            <w14:lumOff w14:val="5000"/>
                          </w14:schemeClr>
                        </w14:solidFill>
                      </w14:textFill>
                    </w:rPr>
                    <w:t>NOx</w:t>
                  </w:r>
                  <w:r>
                    <w:rPr>
                      <w:rFonts w:hint="eastAsia"/>
                      <w:bCs/>
                      <w:color w:val="0D0D0D" w:themeColor="text1" w:themeTint="F2"/>
                      <w:szCs w:val="21"/>
                      <w:u w:val="single"/>
                      <w14:textFill>
                        <w14:solidFill>
                          <w14:schemeClr w14:val="tx1">
                            <w14:lumMod w14:val="95000"/>
                            <w14:lumOff w14:val="5000"/>
                          </w14:schemeClr>
                        </w14:solidFill>
                      </w14:textFill>
                    </w:rPr>
                    <w:t>等</w:t>
                  </w:r>
                </w:p>
              </w:tc>
            </w:tr>
            <w:tr w14:paraId="5F35D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shd w:val="clear" w:color="auto" w:fill="auto"/>
                  <w:vAlign w:val="center"/>
                </w:tcPr>
                <w:p w14:paraId="76B376D6">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p>
              </w:tc>
              <w:tc>
                <w:tcPr>
                  <w:tcW w:w="1443" w:type="pct"/>
                  <w:shd w:val="clear" w:color="auto" w:fill="auto"/>
                  <w:vAlign w:val="center"/>
                </w:tcPr>
                <w:p w14:paraId="5DE2F616">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装卸粉尘</w:t>
                  </w:r>
                </w:p>
              </w:tc>
              <w:tc>
                <w:tcPr>
                  <w:tcW w:w="435" w:type="pct"/>
                  <w:vAlign w:val="center"/>
                </w:tcPr>
                <w:p w14:paraId="67079E0E">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G2</w:t>
                  </w:r>
                </w:p>
              </w:tc>
              <w:tc>
                <w:tcPr>
                  <w:tcW w:w="784" w:type="pct"/>
                  <w:vAlign w:val="center"/>
                </w:tcPr>
                <w:p w14:paraId="2A4766CA">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装卸</w:t>
                  </w:r>
                </w:p>
              </w:tc>
              <w:tc>
                <w:tcPr>
                  <w:tcW w:w="1957" w:type="pct"/>
                  <w:shd w:val="clear" w:color="auto" w:fill="auto"/>
                  <w:vAlign w:val="center"/>
                </w:tcPr>
                <w:p w14:paraId="103F15D9">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颗粒物</w:t>
                  </w:r>
                </w:p>
              </w:tc>
            </w:tr>
            <w:tr w14:paraId="7231F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shd w:val="clear" w:color="auto" w:fill="auto"/>
                  <w:vAlign w:val="center"/>
                </w:tcPr>
                <w:p w14:paraId="18C6E5DE">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p>
              </w:tc>
              <w:tc>
                <w:tcPr>
                  <w:tcW w:w="1443" w:type="pct"/>
                  <w:shd w:val="clear" w:color="auto" w:fill="auto"/>
                  <w:vAlign w:val="center"/>
                </w:tcPr>
                <w:p w14:paraId="216D454D">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抛丸粉尘</w:t>
                  </w:r>
                </w:p>
              </w:tc>
              <w:tc>
                <w:tcPr>
                  <w:tcW w:w="435" w:type="pct"/>
                  <w:vAlign w:val="center"/>
                </w:tcPr>
                <w:p w14:paraId="46786662">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G3</w:t>
                  </w:r>
                </w:p>
              </w:tc>
              <w:tc>
                <w:tcPr>
                  <w:tcW w:w="784" w:type="pct"/>
                  <w:vAlign w:val="center"/>
                </w:tcPr>
                <w:p w14:paraId="2298C15D">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抛丸</w:t>
                  </w:r>
                </w:p>
              </w:tc>
              <w:tc>
                <w:tcPr>
                  <w:tcW w:w="1957" w:type="pct"/>
                  <w:shd w:val="clear" w:color="auto" w:fill="auto"/>
                  <w:vAlign w:val="center"/>
                </w:tcPr>
                <w:p w14:paraId="780851AB">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颗粒物</w:t>
                  </w:r>
                </w:p>
              </w:tc>
            </w:tr>
            <w:tr w14:paraId="47EEC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shd w:val="clear" w:color="auto" w:fill="auto"/>
                  <w:vAlign w:val="center"/>
                </w:tcPr>
                <w:p w14:paraId="4C547CAC">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p>
              </w:tc>
              <w:tc>
                <w:tcPr>
                  <w:tcW w:w="1443" w:type="pct"/>
                  <w:shd w:val="clear" w:color="auto" w:fill="auto"/>
                  <w:vAlign w:val="center"/>
                </w:tcPr>
                <w:p w14:paraId="603FB9A9">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喷漆废气</w:t>
                  </w:r>
                </w:p>
              </w:tc>
              <w:tc>
                <w:tcPr>
                  <w:tcW w:w="435" w:type="pct"/>
                  <w:vAlign w:val="center"/>
                </w:tcPr>
                <w:p w14:paraId="5DA66C13">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G4</w:t>
                  </w:r>
                </w:p>
              </w:tc>
              <w:tc>
                <w:tcPr>
                  <w:tcW w:w="784" w:type="pct"/>
                  <w:vAlign w:val="center"/>
                </w:tcPr>
                <w:p w14:paraId="5C9546A0">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喷漆</w:t>
                  </w:r>
                </w:p>
              </w:tc>
              <w:tc>
                <w:tcPr>
                  <w:tcW w:w="1957" w:type="pct"/>
                  <w:shd w:val="clear" w:color="auto" w:fill="auto"/>
                  <w:vAlign w:val="center"/>
                </w:tcPr>
                <w:p w14:paraId="07C266CF">
                  <w:pPr>
                    <w:adjustRightInd w:val="0"/>
                    <w:snapToGrid w:val="0"/>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颗粒物、非甲烷总烃、二甲苯</w:t>
                  </w:r>
                </w:p>
              </w:tc>
            </w:tr>
            <w:tr w14:paraId="43D09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shd w:val="clear" w:color="auto" w:fill="auto"/>
                  <w:vAlign w:val="center"/>
                </w:tcPr>
                <w:p w14:paraId="094B4DE2">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p>
              </w:tc>
              <w:tc>
                <w:tcPr>
                  <w:tcW w:w="1443" w:type="pct"/>
                  <w:shd w:val="clear" w:color="auto" w:fill="auto"/>
                  <w:vAlign w:val="center"/>
                </w:tcPr>
                <w:p w14:paraId="28F7851C">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危废暂存间废气</w:t>
                  </w:r>
                </w:p>
              </w:tc>
              <w:tc>
                <w:tcPr>
                  <w:tcW w:w="435" w:type="pct"/>
                  <w:vAlign w:val="center"/>
                </w:tcPr>
                <w:p w14:paraId="3ABA4AE1">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G5</w:t>
                  </w:r>
                </w:p>
              </w:tc>
              <w:tc>
                <w:tcPr>
                  <w:tcW w:w="784" w:type="pct"/>
                  <w:vAlign w:val="center"/>
                </w:tcPr>
                <w:p w14:paraId="17D76D10">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危废暂存</w:t>
                  </w:r>
                </w:p>
              </w:tc>
              <w:tc>
                <w:tcPr>
                  <w:tcW w:w="1957" w:type="pct"/>
                  <w:shd w:val="clear" w:color="auto" w:fill="auto"/>
                  <w:vAlign w:val="center"/>
                </w:tcPr>
                <w:p w14:paraId="3E7FB1B0">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非甲烷总烃、二甲苯</w:t>
                  </w:r>
                </w:p>
              </w:tc>
            </w:tr>
            <w:tr w14:paraId="538806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shd w:val="clear" w:color="auto" w:fill="auto"/>
                  <w:vAlign w:val="center"/>
                </w:tcPr>
                <w:p w14:paraId="0F48240B">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p>
              </w:tc>
              <w:tc>
                <w:tcPr>
                  <w:tcW w:w="1443" w:type="pct"/>
                  <w:shd w:val="clear" w:color="auto" w:fill="auto"/>
                  <w:vAlign w:val="center"/>
                </w:tcPr>
                <w:p w14:paraId="5D9B8599">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食堂油烟</w:t>
                  </w:r>
                </w:p>
              </w:tc>
              <w:tc>
                <w:tcPr>
                  <w:tcW w:w="435" w:type="pct"/>
                  <w:vAlign w:val="center"/>
                </w:tcPr>
                <w:p w14:paraId="3DA16158">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G6</w:t>
                  </w:r>
                </w:p>
              </w:tc>
              <w:tc>
                <w:tcPr>
                  <w:tcW w:w="784" w:type="pct"/>
                  <w:vAlign w:val="center"/>
                </w:tcPr>
                <w:p w14:paraId="10BD7BC6">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食堂</w:t>
                  </w:r>
                </w:p>
              </w:tc>
              <w:tc>
                <w:tcPr>
                  <w:tcW w:w="1957" w:type="pct"/>
                  <w:shd w:val="clear" w:color="auto" w:fill="auto"/>
                  <w:vAlign w:val="center"/>
                </w:tcPr>
                <w:p w14:paraId="326122FD">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油烟</w:t>
                  </w:r>
                </w:p>
              </w:tc>
            </w:tr>
            <w:tr w14:paraId="6DEC6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restart"/>
                  <w:shd w:val="clear" w:color="auto" w:fill="auto"/>
                  <w:vAlign w:val="center"/>
                </w:tcPr>
                <w:p w14:paraId="78447445">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废水</w:t>
                  </w:r>
                </w:p>
              </w:tc>
              <w:tc>
                <w:tcPr>
                  <w:tcW w:w="1443" w:type="pct"/>
                  <w:shd w:val="clear" w:color="auto" w:fill="auto"/>
                  <w:vAlign w:val="center"/>
                </w:tcPr>
                <w:p w14:paraId="752D7AE4">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喷枪清洗废液</w:t>
                  </w:r>
                </w:p>
              </w:tc>
              <w:tc>
                <w:tcPr>
                  <w:tcW w:w="435" w:type="pct"/>
                  <w:vAlign w:val="center"/>
                </w:tcPr>
                <w:p w14:paraId="6CD07888">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W1</w:t>
                  </w:r>
                </w:p>
              </w:tc>
              <w:tc>
                <w:tcPr>
                  <w:tcW w:w="784" w:type="pct"/>
                  <w:vAlign w:val="center"/>
                </w:tcPr>
                <w:p w14:paraId="14ACF56A">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喷涂作业</w:t>
                  </w:r>
                </w:p>
              </w:tc>
              <w:tc>
                <w:tcPr>
                  <w:tcW w:w="1957" w:type="pct"/>
                  <w:shd w:val="clear" w:color="auto" w:fill="auto"/>
                  <w:vAlign w:val="center"/>
                </w:tcPr>
                <w:p w14:paraId="4A4FAEA9">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稀释剂、油漆</w:t>
                  </w:r>
                </w:p>
              </w:tc>
            </w:tr>
            <w:tr w14:paraId="369317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shd w:val="clear" w:color="auto" w:fill="auto"/>
                  <w:vAlign w:val="center"/>
                </w:tcPr>
                <w:p w14:paraId="02E5D58B">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p>
              </w:tc>
              <w:tc>
                <w:tcPr>
                  <w:tcW w:w="1443" w:type="pct"/>
                  <w:shd w:val="clear" w:color="auto" w:fill="auto"/>
                  <w:vAlign w:val="center"/>
                </w:tcPr>
                <w:p w14:paraId="463DF483">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生活污水</w:t>
                  </w:r>
                </w:p>
              </w:tc>
              <w:tc>
                <w:tcPr>
                  <w:tcW w:w="435" w:type="pct"/>
                  <w:vAlign w:val="center"/>
                </w:tcPr>
                <w:p w14:paraId="358EC44C">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W2</w:t>
                  </w:r>
                </w:p>
              </w:tc>
              <w:tc>
                <w:tcPr>
                  <w:tcW w:w="784" w:type="pct"/>
                  <w:vAlign w:val="center"/>
                </w:tcPr>
                <w:p w14:paraId="124650E9">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员工</w:t>
                  </w:r>
                </w:p>
              </w:tc>
              <w:tc>
                <w:tcPr>
                  <w:tcW w:w="1957" w:type="pct"/>
                  <w:shd w:val="clear" w:color="auto" w:fill="auto"/>
                  <w:vAlign w:val="center"/>
                </w:tcPr>
                <w:p w14:paraId="51DA1637">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C</w:t>
                  </w:r>
                  <w:r>
                    <w:rPr>
                      <w:bCs/>
                      <w:color w:val="0D0D0D" w:themeColor="text1" w:themeTint="F2"/>
                      <w:szCs w:val="21"/>
                      <w:u w:val="single"/>
                      <w14:textFill>
                        <w14:solidFill>
                          <w14:schemeClr w14:val="tx1">
                            <w14:lumMod w14:val="95000"/>
                            <w14:lumOff w14:val="5000"/>
                          </w14:schemeClr>
                        </w14:solidFill>
                      </w14:textFill>
                    </w:rPr>
                    <w:t>OD</w:t>
                  </w:r>
                  <w:r>
                    <w:rPr>
                      <w:rFonts w:hint="eastAsia"/>
                      <w:bCs/>
                      <w:color w:val="0D0D0D" w:themeColor="text1" w:themeTint="F2"/>
                      <w:szCs w:val="21"/>
                      <w:u w:val="single"/>
                      <w14:textFill>
                        <w14:solidFill>
                          <w14:schemeClr w14:val="tx1">
                            <w14:lumMod w14:val="95000"/>
                            <w14:lumOff w14:val="5000"/>
                          </w14:schemeClr>
                        </w14:solidFill>
                      </w14:textFill>
                    </w:rPr>
                    <w:t>、</w:t>
                  </w:r>
                  <w:r>
                    <w:rPr>
                      <w:bCs/>
                      <w:color w:val="0D0D0D" w:themeColor="text1" w:themeTint="F2"/>
                      <w:szCs w:val="21"/>
                      <w:u w:val="single"/>
                      <w14:textFill>
                        <w14:solidFill>
                          <w14:schemeClr w14:val="tx1">
                            <w14:lumMod w14:val="95000"/>
                            <w14:lumOff w14:val="5000"/>
                          </w14:schemeClr>
                        </w14:solidFill>
                      </w14:textFill>
                    </w:rPr>
                    <w:t>BOD</w:t>
                  </w:r>
                  <w:r>
                    <w:rPr>
                      <w:bCs/>
                      <w:color w:val="0D0D0D" w:themeColor="text1" w:themeTint="F2"/>
                      <w:szCs w:val="21"/>
                      <w:u w:val="single"/>
                      <w:vertAlign w:val="subscript"/>
                      <w14:textFill>
                        <w14:solidFill>
                          <w14:schemeClr w14:val="tx1">
                            <w14:lumMod w14:val="95000"/>
                            <w14:lumOff w14:val="5000"/>
                          </w14:schemeClr>
                        </w14:solidFill>
                      </w14:textFill>
                    </w:rPr>
                    <w:t>5</w:t>
                  </w:r>
                  <w:r>
                    <w:rPr>
                      <w:rFonts w:hint="eastAsia"/>
                      <w:bCs/>
                      <w:color w:val="0D0D0D" w:themeColor="text1" w:themeTint="F2"/>
                      <w:szCs w:val="21"/>
                      <w:u w:val="single"/>
                      <w14:textFill>
                        <w14:solidFill>
                          <w14:schemeClr w14:val="tx1">
                            <w14:lumMod w14:val="95000"/>
                            <w14:lumOff w14:val="5000"/>
                          </w14:schemeClr>
                        </w14:solidFill>
                      </w14:textFill>
                    </w:rPr>
                    <w:t>、N</w:t>
                  </w:r>
                  <w:r>
                    <w:rPr>
                      <w:bCs/>
                      <w:color w:val="0D0D0D" w:themeColor="text1" w:themeTint="F2"/>
                      <w:szCs w:val="21"/>
                      <w:u w:val="single"/>
                      <w14:textFill>
                        <w14:solidFill>
                          <w14:schemeClr w14:val="tx1">
                            <w14:lumMod w14:val="95000"/>
                            <w14:lumOff w14:val="5000"/>
                          </w14:schemeClr>
                        </w14:solidFill>
                      </w14:textFill>
                    </w:rPr>
                    <w:t>H</w:t>
                  </w:r>
                  <w:r>
                    <w:rPr>
                      <w:bCs/>
                      <w:color w:val="0D0D0D" w:themeColor="text1" w:themeTint="F2"/>
                      <w:szCs w:val="21"/>
                      <w:u w:val="single"/>
                      <w:vertAlign w:val="subscript"/>
                      <w14:textFill>
                        <w14:solidFill>
                          <w14:schemeClr w14:val="tx1">
                            <w14:lumMod w14:val="95000"/>
                            <w14:lumOff w14:val="5000"/>
                          </w14:schemeClr>
                        </w14:solidFill>
                      </w14:textFill>
                    </w:rPr>
                    <w:t>3</w:t>
                  </w:r>
                  <w:r>
                    <w:rPr>
                      <w:bCs/>
                      <w:color w:val="0D0D0D" w:themeColor="text1" w:themeTint="F2"/>
                      <w:szCs w:val="21"/>
                      <w:u w:val="single"/>
                      <w14:textFill>
                        <w14:solidFill>
                          <w14:schemeClr w14:val="tx1">
                            <w14:lumMod w14:val="95000"/>
                            <w14:lumOff w14:val="5000"/>
                          </w14:schemeClr>
                        </w14:solidFill>
                      </w14:textFill>
                    </w:rPr>
                    <w:t>-N</w:t>
                  </w:r>
                  <w:r>
                    <w:rPr>
                      <w:rFonts w:hint="eastAsia"/>
                      <w:bCs/>
                      <w:color w:val="0D0D0D" w:themeColor="text1" w:themeTint="F2"/>
                      <w:szCs w:val="21"/>
                      <w:u w:val="single"/>
                      <w14:textFill>
                        <w14:solidFill>
                          <w14:schemeClr w14:val="tx1">
                            <w14:lumMod w14:val="95000"/>
                            <w14:lumOff w14:val="5000"/>
                          </w14:schemeClr>
                        </w14:solidFill>
                      </w14:textFill>
                    </w:rPr>
                    <w:t>、S</w:t>
                  </w:r>
                  <w:r>
                    <w:rPr>
                      <w:bCs/>
                      <w:color w:val="0D0D0D" w:themeColor="text1" w:themeTint="F2"/>
                      <w:szCs w:val="21"/>
                      <w:u w:val="single"/>
                      <w14:textFill>
                        <w14:solidFill>
                          <w14:schemeClr w14:val="tx1">
                            <w14:lumMod w14:val="95000"/>
                            <w14:lumOff w14:val="5000"/>
                          </w14:schemeClr>
                        </w14:solidFill>
                      </w14:textFill>
                    </w:rPr>
                    <w:t>S</w:t>
                  </w:r>
                  <w:r>
                    <w:rPr>
                      <w:rFonts w:hint="eastAsia"/>
                      <w:bCs/>
                      <w:color w:val="0D0D0D" w:themeColor="text1" w:themeTint="F2"/>
                      <w:szCs w:val="21"/>
                      <w:u w:val="single"/>
                      <w14:textFill>
                        <w14:solidFill>
                          <w14:schemeClr w14:val="tx1">
                            <w14:lumMod w14:val="95000"/>
                            <w14:lumOff w14:val="5000"/>
                          </w14:schemeClr>
                        </w14:solidFill>
                      </w14:textFill>
                    </w:rPr>
                    <w:t>等</w:t>
                  </w:r>
                </w:p>
              </w:tc>
            </w:tr>
            <w:tr w14:paraId="15E7F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shd w:val="clear" w:color="auto" w:fill="auto"/>
                  <w:vAlign w:val="center"/>
                </w:tcPr>
                <w:p w14:paraId="0F79636C">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噪声</w:t>
                  </w:r>
                </w:p>
              </w:tc>
              <w:tc>
                <w:tcPr>
                  <w:tcW w:w="1443" w:type="pct"/>
                  <w:shd w:val="clear" w:color="auto" w:fill="auto"/>
                  <w:vAlign w:val="center"/>
                </w:tcPr>
                <w:p w14:paraId="3EE7CD0C">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设备噪声</w:t>
                  </w:r>
                </w:p>
              </w:tc>
              <w:tc>
                <w:tcPr>
                  <w:tcW w:w="435" w:type="pct"/>
                  <w:vAlign w:val="center"/>
                </w:tcPr>
                <w:p w14:paraId="202A5495">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N</w:t>
                  </w:r>
                </w:p>
              </w:tc>
              <w:tc>
                <w:tcPr>
                  <w:tcW w:w="784" w:type="pct"/>
                  <w:vAlign w:val="center"/>
                </w:tcPr>
                <w:p w14:paraId="4E870536">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设备运行</w:t>
                  </w:r>
                </w:p>
              </w:tc>
              <w:tc>
                <w:tcPr>
                  <w:tcW w:w="1957" w:type="pct"/>
                  <w:shd w:val="clear" w:color="auto" w:fill="auto"/>
                  <w:vAlign w:val="center"/>
                </w:tcPr>
                <w:p w14:paraId="5DB222A5">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等效连续A声级</w:t>
                  </w:r>
                </w:p>
              </w:tc>
            </w:tr>
            <w:tr w14:paraId="6382E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restart"/>
                  <w:shd w:val="clear" w:color="auto" w:fill="auto"/>
                  <w:vAlign w:val="center"/>
                </w:tcPr>
                <w:p w14:paraId="4841981E">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固废</w:t>
                  </w:r>
                </w:p>
              </w:tc>
              <w:tc>
                <w:tcPr>
                  <w:tcW w:w="1443" w:type="pct"/>
                  <w:shd w:val="clear" w:color="auto" w:fill="auto"/>
                  <w:vAlign w:val="center"/>
                </w:tcPr>
                <w:p w14:paraId="1775A3EC">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不合格钢材</w:t>
                  </w:r>
                </w:p>
              </w:tc>
              <w:tc>
                <w:tcPr>
                  <w:tcW w:w="435" w:type="pct"/>
                  <w:vAlign w:val="center"/>
                </w:tcPr>
                <w:p w14:paraId="171E533A">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S1</w:t>
                  </w:r>
                </w:p>
              </w:tc>
              <w:tc>
                <w:tcPr>
                  <w:tcW w:w="784" w:type="pct"/>
                  <w:vAlign w:val="center"/>
                </w:tcPr>
                <w:p w14:paraId="016B9E48">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原辅料</w:t>
                  </w:r>
                </w:p>
              </w:tc>
              <w:tc>
                <w:tcPr>
                  <w:tcW w:w="1957" w:type="pct"/>
                  <w:shd w:val="clear" w:color="auto" w:fill="auto"/>
                  <w:vAlign w:val="center"/>
                </w:tcPr>
                <w:p w14:paraId="18A3EB34">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钢材</w:t>
                  </w:r>
                </w:p>
              </w:tc>
            </w:tr>
            <w:tr w14:paraId="61ABB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shd w:val="clear" w:color="auto" w:fill="auto"/>
                  <w:vAlign w:val="center"/>
                </w:tcPr>
                <w:p w14:paraId="3361C9CF">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p>
              </w:tc>
              <w:tc>
                <w:tcPr>
                  <w:tcW w:w="1443" w:type="pct"/>
                  <w:shd w:val="clear" w:color="auto" w:fill="auto"/>
                  <w:vAlign w:val="center"/>
                </w:tcPr>
                <w:p w14:paraId="4987E72F">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废钢丸</w:t>
                  </w:r>
                </w:p>
              </w:tc>
              <w:tc>
                <w:tcPr>
                  <w:tcW w:w="435" w:type="pct"/>
                  <w:vAlign w:val="center"/>
                </w:tcPr>
                <w:p w14:paraId="7DBCDFDF">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S2</w:t>
                  </w:r>
                </w:p>
              </w:tc>
              <w:tc>
                <w:tcPr>
                  <w:tcW w:w="784" w:type="pct"/>
                  <w:vAlign w:val="center"/>
                </w:tcPr>
                <w:p w14:paraId="51E55A22">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抛丸作业</w:t>
                  </w:r>
                </w:p>
              </w:tc>
              <w:tc>
                <w:tcPr>
                  <w:tcW w:w="1957" w:type="pct"/>
                  <w:shd w:val="clear" w:color="auto" w:fill="auto"/>
                  <w:vAlign w:val="center"/>
                </w:tcPr>
                <w:p w14:paraId="66BFA862">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废钢丸</w:t>
                  </w:r>
                </w:p>
              </w:tc>
            </w:tr>
            <w:tr w14:paraId="3EC57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shd w:val="clear" w:color="auto" w:fill="auto"/>
                  <w:vAlign w:val="center"/>
                </w:tcPr>
                <w:p w14:paraId="73766BF6">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p>
              </w:tc>
              <w:tc>
                <w:tcPr>
                  <w:tcW w:w="1443" w:type="pct"/>
                  <w:shd w:val="clear" w:color="auto" w:fill="auto"/>
                  <w:vAlign w:val="center"/>
                </w:tcPr>
                <w:p w14:paraId="2118C411">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除尘设备废滤芯</w:t>
                  </w:r>
                </w:p>
              </w:tc>
              <w:tc>
                <w:tcPr>
                  <w:tcW w:w="435" w:type="pct"/>
                  <w:vAlign w:val="center"/>
                </w:tcPr>
                <w:p w14:paraId="4E2671DA">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S3</w:t>
                  </w:r>
                </w:p>
              </w:tc>
              <w:tc>
                <w:tcPr>
                  <w:tcW w:w="784" w:type="pct"/>
                  <w:vAlign w:val="center"/>
                </w:tcPr>
                <w:p w14:paraId="33EAA272">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废气处理</w:t>
                  </w:r>
                </w:p>
              </w:tc>
              <w:tc>
                <w:tcPr>
                  <w:tcW w:w="1957" w:type="pct"/>
                  <w:shd w:val="clear" w:color="auto" w:fill="auto"/>
                  <w:vAlign w:val="center"/>
                </w:tcPr>
                <w:p w14:paraId="4B66B89E">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废滤芯</w:t>
                  </w:r>
                </w:p>
              </w:tc>
            </w:tr>
            <w:tr w14:paraId="48B4C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trPr>
              <w:tc>
                <w:tcPr>
                  <w:tcW w:w="381" w:type="pct"/>
                  <w:vMerge w:val="continue"/>
                  <w:shd w:val="clear" w:color="auto" w:fill="auto"/>
                  <w:vAlign w:val="center"/>
                </w:tcPr>
                <w:p w14:paraId="45B2C9BC">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p>
              </w:tc>
              <w:tc>
                <w:tcPr>
                  <w:tcW w:w="1443" w:type="pct"/>
                  <w:shd w:val="clear" w:color="auto" w:fill="auto"/>
                  <w:vAlign w:val="center"/>
                </w:tcPr>
                <w:p w14:paraId="76F1F81A">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除尘器收集粉尘</w:t>
                  </w:r>
                </w:p>
              </w:tc>
              <w:tc>
                <w:tcPr>
                  <w:tcW w:w="435" w:type="pct"/>
                  <w:vAlign w:val="center"/>
                </w:tcPr>
                <w:p w14:paraId="3BC7F03C">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S4</w:t>
                  </w:r>
                </w:p>
              </w:tc>
              <w:tc>
                <w:tcPr>
                  <w:tcW w:w="784" w:type="pct"/>
                  <w:vAlign w:val="center"/>
                </w:tcPr>
                <w:p w14:paraId="00581221">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废气处理</w:t>
                  </w:r>
                </w:p>
              </w:tc>
              <w:tc>
                <w:tcPr>
                  <w:tcW w:w="1957" w:type="pct"/>
                  <w:shd w:val="clear" w:color="auto" w:fill="auto"/>
                  <w:vAlign w:val="center"/>
                </w:tcPr>
                <w:p w14:paraId="4DBC37C8">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粉尘</w:t>
                  </w:r>
                </w:p>
              </w:tc>
            </w:tr>
            <w:tr w14:paraId="739C9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shd w:val="clear" w:color="auto" w:fill="auto"/>
                  <w:vAlign w:val="center"/>
                </w:tcPr>
                <w:p w14:paraId="02D3972A">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p>
              </w:tc>
              <w:tc>
                <w:tcPr>
                  <w:tcW w:w="1443" w:type="pct"/>
                  <w:shd w:val="clear" w:color="auto" w:fill="auto"/>
                  <w:vAlign w:val="center"/>
                </w:tcPr>
                <w:p w14:paraId="0A5AE354">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废油漆桶</w:t>
                  </w:r>
                </w:p>
              </w:tc>
              <w:tc>
                <w:tcPr>
                  <w:tcW w:w="435" w:type="pct"/>
                  <w:vAlign w:val="center"/>
                </w:tcPr>
                <w:p w14:paraId="0D7D6527">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S5</w:t>
                  </w:r>
                </w:p>
              </w:tc>
              <w:tc>
                <w:tcPr>
                  <w:tcW w:w="784" w:type="pct"/>
                  <w:vAlign w:val="center"/>
                </w:tcPr>
                <w:p w14:paraId="5BCFC26A">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原辅料</w:t>
                  </w:r>
                </w:p>
              </w:tc>
              <w:tc>
                <w:tcPr>
                  <w:tcW w:w="1957" w:type="pct"/>
                  <w:shd w:val="clear" w:color="auto" w:fill="auto"/>
                  <w:vAlign w:val="center"/>
                </w:tcPr>
                <w:p w14:paraId="4C62567B">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废油漆桶</w:t>
                  </w:r>
                </w:p>
              </w:tc>
            </w:tr>
            <w:tr w14:paraId="0C0B4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shd w:val="clear" w:color="auto" w:fill="auto"/>
                  <w:vAlign w:val="center"/>
                </w:tcPr>
                <w:p w14:paraId="025DF3E4">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p>
              </w:tc>
              <w:tc>
                <w:tcPr>
                  <w:tcW w:w="1443" w:type="pct"/>
                  <w:shd w:val="clear" w:color="auto" w:fill="auto"/>
                  <w:vAlign w:val="center"/>
                </w:tcPr>
                <w:p w14:paraId="69622E5E">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漆渣</w:t>
                  </w:r>
                </w:p>
              </w:tc>
              <w:tc>
                <w:tcPr>
                  <w:tcW w:w="435" w:type="pct"/>
                  <w:vAlign w:val="center"/>
                </w:tcPr>
                <w:p w14:paraId="377258A6">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S6</w:t>
                  </w:r>
                </w:p>
              </w:tc>
              <w:tc>
                <w:tcPr>
                  <w:tcW w:w="784" w:type="pct"/>
                  <w:vAlign w:val="center"/>
                </w:tcPr>
                <w:p w14:paraId="7699C35C">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喷涂作业</w:t>
                  </w:r>
                </w:p>
              </w:tc>
              <w:tc>
                <w:tcPr>
                  <w:tcW w:w="1957" w:type="pct"/>
                  <w:shd w:val="clear" w:color="auto" w:fill="auto"/>
                  <w:vAlign w:val="center"/>
                </w:tcPr>
                <w:p w14:paraId="03E890E5">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漆渣</w:t>
                  </w:r>
                </w:p>
              </w:tc>
            </w:tr>
            <w:tr w14:paraId="6D3D4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shd w:val="clear" w:color="auto" w:fill="auto"/>
                  <w:vAlign w:val="center"/>
                </w:tcPr>
                <w:p w14:paraId="226FBC5B">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p>
              </w:tc>
              <w:tc>
                <w:tcPr>
                  <w:tcW w:w="1443" w:type="pct"/>
                  <w:shd w:val="clear" w:color="auto" w:fill="auto"/>
                  <w:vAlign w:val="center"/>
                </w:tcPr>
                <w:p w14:paraId="3399C381">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废过滤棉</w:t>
                  </w:r>
                </w:p>
              </w:tc>
              <w:tc>
                <w:tcPr>
                  <w:tcW w:w="435" w:type="pct"/>
                  <w:vAlign w:val="center"/>
                </w:tcPr>
                <w:p w14:paraId="2C41D134">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S7</w:t>
                  </w:r>
                </w:p>
              </w:tc>
              <w:tc>
                <w:tcPr>
                  <w:tcW w:w="784" w:type="pct"/>
                  <w:vAlign w:val="center"/>
                </w:tcPr>
                <w:p w14:paraId="2CEDFA8A">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废气处理</w:t>
                  </w:r>
                </w:p>
              </w:tc>
              <w:tc>
                <w:tcPr>
                  <w:tcW w:w="1957" w:type="pct"/>
                  <w:shd w:val="clear" w:color="auto" w:fill="auto"/>
                  <w:vAlign w:val="center"/>
                </w:tcPr>
                <w:p w14:paraId="40B14F55">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废过滤棉</w:t>
                  </w:r>
                </w:p>
              </w:tc>
            </w:tr>
            <w:tr w14:paraId="32E36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shd w:val="clear" w:color="auto" w:fill="auto"/>
                  <w:vAlign w:val="center"/>
                </w:tcPr>
                <w:p w14:paraId="039ED233">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p>
              </w:tc>
              <w:tc>
                <w:tcPr>
                  <w:tcW w:w="1443" w:type="pct"/>
                  <w:shd w:val="clear" w:color="auto" w:fill="auto"/>
                  <w:vAlign w:val="center"/>
                </w:tcPr>
                <w:p w14:paraId="7EF2B375">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废活性炭</w:t>
                  </w:r>
                </w:p>
              </w:tc>
              <w:tc>
                <w:tcPr>
                  <w:tcW w:w="435" w:type="pct"/>
                  <w:vAlign w:val="center"/>
                </w:tcPr>
                <w:p w14:paraId="3FDB93E7">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S8</w:t>
                  </w:r>
                </w:p>
              </w:tc>
              <w:tc>
                <w:tcPr>
                  <w:tcW w:w="784" w:type="pct"/>
                  <w:vAlign w:val="center"/>
                </w:tcPr>
                <w:p w14:paraId="65C5DD42">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废气处理</w:t>
                  </w:r>
                </w:p>
              </w:tc>
              <w:tc>
                <w:tcPr>
                  <w:tcW w:w="1957" w:type="pct"/>
                  <w:shd w:val="clear" w:color="auto" w:fill="auto"/>
                  <w:vAlign w:val="center"/>
                </w:tcPr>
                <w:p w14:paraId="72C60CBB">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废活性炭</w:t>
                  </w:r>
                </w:p>
              </w:tc>
            </w:tr>
            <w:tr w14:paraId="609DF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shd w:val="clear" w:color="auto" w:fill="auto"/>
                  <w:vAlign w:val="center"/>
                </w:tcPr>
                <w:p w14:paraId="782FA1FD">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p>
              </w:tc>
              <w:tc>
                <w:tcPr>
                  <w:tcW w:w="1443" w:type="pct"/>
                  <w:shd w:val="clear" w:color="auto" w:fill="auto"/>
                  <w:vAlign w:val="center"/>
                </w:tcPr>
                <w:p w14:paraId="5666532E">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废机油</w:t>
                  </w:r>
                </w:p>
              </w:tc>
              <w:tc>
                <w:tcPr>
                  <w:tcW w:w="435" w:type="pct"/>
                  <w:vAlign w:val="center"/>
                </w:tcPr>
                <w:p w14:paraId="44572E82">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S9</w:t>
                  </w:r>
                </w:p>
              </w:tc>
              <w:tc>
                <w:tcPr>
                  <w:tcW w:w="784" w:type="pct"/>
                  <w:vAlign w:val="center"/>
                </w:tcPr>
                <w:p w14:paraId="2E91F7AF">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设备维护</w:t>
                  </w:r>
                </w:p>
              </w:tc>
              <w:tc>
                <w:tcPr>
                  <w:tcW w:w="1957" w:type="pct"/>
                  <w:shd w:val="clear" w:color="auto" w:fill="auto"/>
                  <w:vAlign w:val="center"/>
                </w:tcPr>
                <w:p w14:paraId="30D7C499">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废机油</w:t>
                  </w:r>
                </w:p>
              </w:tc>
            </w:tr>
            <w:tr w14:paraId="77935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shd w:val="clear" w:color="auto" w:fill="auto"/>
                  <w:vAlign w:val="center"/>
                </w:tcPr>
                <w:p w14:paraId="36872CB5">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p>
              </w:tc>
              <w:tc>
                <w:tcPr>
                  <w:tcW w:w="1443" w:type="pct"/>
                  <w:shd w:val="clear" w:color="auto" w:fill="auto"/>
                  <w:vAlign w:val="center"/>
                </w:tcPr>
                <w:p w14:paraId="7ACADF09">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废含油抹布和劳保用品</w:t>
                  </w:r>
                </w:p>
              </w:tc>
              <w:tc>
                <w:tcPr>
                  <w:tcW w:w="435" w:type="pct"/>
                  <w:vAlign w:val="center"/>
                </w:tcPr>
                <w:p w14:paraId="18AA6A4D">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S10</w:t>
                  </w:r>
                </w:p>
              </w:tc>
              <w:tc>
                <w:tcPr>
                  <w:tcW w:w="784" w:type="pct"/>
                  <w:vAlign w:val="center"/>
                </w:tcPr>
                <w:p w14:paraId="53DB60D1">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设备维护</w:t>
                  </w:r>
                </w:p>
              </w:tc>
              <w:tc>
                <w:tcPr>
                  <w:tcW w:w="1957" w:type="pct"/>
                  <w:shd w:val="clear" w:color="auto" w:fill="auto"/>
                  <w:vAlign w:val="center"/>
                </w:tcPr>
                <w:p w14:paraId="221E1834">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废含油抹布和劳保用品</w:t>
                  </w:r>
                </w:p>
              </w:tc>
            </w:tr>
            <w:tr w14:paraId="178D4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81" w:type="pct"/>
                  <w:vMerge w:val="continue"/>
                  <w:shd w:val="clear" w:color="auto" w:fill="auto"/>
                  <w:vAlign w:val="center"/>
                </w:tcPr>
                <w:p w14:paraId="39FE56AA">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p>
              </w:tc>
              <w:tc>
                <w:tcPr>
                  <w:tcW w:w="1443" w:type="pct"/>
                  <w:shd w:val="clear" w:color="auto" w:fill="auto"/>
                  <w:vAlign w:val="center"/>
                </w:tcPr>
                <w:p w14:paraId="6D4F9664">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生活垃圾</w:t>
                  </w:r>
                </w:p>
              </w:tc>
              <w:tc>
                <w:tcPr>
                  <w:tcW w:w="435" w:type="pct"/>
                  <w:vAlign w:val="center"/>
                </w:tcPr>
                <w:p w14:paraId="50F525D8">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S11</w:t>
                  </w:r>
                </w:p>
              </w:tc>
              <w:tc>
                <w:tcPr>
                  <w:tcW w:w="784" w:type="pct"/>
                  <w:vAlign w:val="center"/>
                </w:tcPr>
                <w:p w14:paraId="56186C6F">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废气处理</w:t>
                  </w:r>
                </w:p>
              </w:tc>
              <w:tc>
                <w:tcPr>
                  <w:tcW w:w="1957" w:type="pct"/>
                  <w:shd w:val="clear" w:color="auto" w:fill="auto"/>
                  <w:vAlign w:val="center"/>
                </w:tcPr>
                <w:p w14:paraId="214963FB">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生活垃圾</w:t>
                  </w:r>
                </w:p>
              </w:tc>
            </w:tr>
          </w:tbl>
          <w:p w14:paraId="2E06CC6F">
            <w:pPr>
              <w:adjustRightInd w:val="0"/>
              <w:snapToGrid w:val="0"/>
              <w:spacing w:line="360" w:lineRule="auto"/>
              <w:rPr>
                <w:color w:val="0D0D0D" w:themeColor="text1" w:themeTint="F2"/>
                <w:sz w:val="24"/>
                <w14:textFill>
                  <w14:solidFill>
                    <w14:schemeClr w14:val="tx1">
                      <w14:lumMod w14:val="95000"/>
                      <w14:lumOff w14:val="5000"/>
                    </w14:schemeClr>
                  </w14:solidFill>
                </w14:textFill>
              </w:rPr>
            </w:pPr>
          </w:p>
        </w:tc>
      </w:tr>
      <w:tr w14:paraId="4732C0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40" w:hRule="atLeast"/>
          <w:jc w:val="center"/>
        </w:trPr>
        <w:tc>
          <w:tcPr>
            <w:tcW w:w="254" w:type="pct"/>
            <w:vAlign w:val="center"/>
          </w:tcPr>
          <w:p w14:paraId="2E1857FA">
            <w:pPr>
              <w:pStyle w:val="18"/>
              <w:adjustRightInd w:val="0"/>
              <w:snapToGrid w:val="0"/>
              <w:spacing w:before="0" w:beforeAutospacing="0" w:after="0" w:afterAutospacing="0"/>
              <w:jc w:val="center"/>
              <w:rPr>
                <w:rFonts w:ascii="Times New Roman" w:hAnsi="Times New Roman" w:cs="宋体"/>
                <w:color w:val="0D0D0D" w:themeColor="text1" w:themeTint="F2"/>
                <w:szCs w:val="24"/>
                <w14:textFill>
                  <w14:solidFill>
                    <w14:schemeClr w14:val="tx1">
                      <w14:lumMod w14:val="95000"/>
                      <w14:lumOff w14:val="5000"/>
                    </w14:schemeClr>
                  </w14:solidFill>
                </w14:textFill>
              </w:rPr>
            </w:pPr>
            <w:r>
              <w:rPr>
                <w:rFonts w:hint="eastAsia" w:ascii="Times New Roman" w:hAnsi="Times New Roman" w:cs="宋体"/>
                <w:bCs/>
                <w:color w:val="0D0D0D" w:themeColor="text1" w:themeTint="F2"/>
                <w:kern w:val="2"/>
                <w:szCs w:val="24"/>
                <w14:textFill>
                  <w14:solidFill>
                    <w14:schemeClr w14:val="tx1">
                      <w14:lumMod w14:val="95000"/>
                      <w14:lumOff w14:val="5000"/>
                    </w14:schemeClr>
                  </w14:solidFill>
                </w14:textFill>
              </w:rPr>
              <w:t>与项目有关的原有环境污染问题</w:t>
            </w:r>
          </w:p>
        </w:tc>
        <w:tc>
          <w:tcPr>
            <w:tcW w:w="4746" w:type="pct"/>
          </w:tcPr>
          <w:p w14:paraId="56CBA6FB">
            <w:pPr>
              <w:adjustRightInd w:val="0"/>
              <w:snapToGrid w:val="0"/>
              <w:spacing w:line="360" w:lineRule="auto"/>
              <w:ind w:firstLine="480" w:firstLineChars="200"/>
              <w:rPr>
                <w:bCs/>
                <w:color w:val="0D0D0D" w:themeColor="text1" w:themeTint="F2"/>
                <w:sz w:val="24"/>
                <w14:textFill>
                  <w14:solidFill>
                    <w14:schemeClr w14:val="tx1">
                      <w14:lumMod w14:val="95000"/>
                      <w14:lumOff w14:val="5000"/>
                    </w14:schemeClr>
                  </w14:solidFill>
                </w14:textFill>
              </w:rPr>
            </w:pPr>
            <w:r>
              <w:rPr>
                <w:rFonts w:hint="eastAsia"/>
                <w:bCs/>
                <w:color w:val="0D0D0D" w:themeColor="text1" w:themeTint="F2"/>
                <w:sz w:val="24"/>
                <w14:textFill>
                  <w14:solidFill>
                    <w14:schemeClr w14:val="tx1">
                      <w14:lumMod w14:val="95000"/>
                      <w14:lumOff w14:val="5000"/>
                    </w14:schemeClr>
                  </w14:solidFill>
                </w14:textFill>
              </w:rPr>
              <w:t>项目租用广西自贸区临海资产管理有限公司空置场地进行生产，</w:t>
            </w:r>
            <w:r>
              <w:rPr>
                <w:rFonts w:hint="eastAsia" w:cs="宋体"/>
                <w:color w:val="0D0D0D" w:themeColor="text1" w:themeTint="F2"/>
                <w:kern w:val="0"/>
                <w:sz w:val="24"/>
                <w14:textFill>
                  <w14:solidFill>
                    <w14:schemeClr w14:val="tx1">
                      <w14:lumMod w14:val="95000"/>
                      <w14:lumOff w14:val="5000"/>
                    </w14:schemeClr>
                  </w14:solidFill>
                </w14:textFill>
              </w:rPr>
              <w:t>根据现场踏勘，</w:t>
            </w:r>
            <w:r>
              <w:rPr>
                <w:rFonts w:hint="eastAsia"/>
                <w:bCs/>
                <w:color w:val="0D0D0D" w:themeColor="text1" w:themeTint="F2"/>
                <w:sz w:val="24"/>
                <w14:textFill>
                  <w14:solidFill>
                    <w14:schemeClr w14:val="tx1">
                      <w14:lumMod w14:val="95000"/>
                      <w14:lumOff w14:val="5000"/>
                    </w14:schemeClr>
                  </w14:solidFill>
                </w14:textFill>
              </w:rPr>
              <w:t>项目东面为河道和临海大道，南面为临海大道，西面为孚宝（钦州）码头有限公司，北面为空地，周边环境概况详见附图3。经调查，项目用地租用给建设单位之前未进行过生产活动，且项目为新建项目，不存在与项目有关的原有环境污染问题。</w:t>
            </w:r>
          </w:p>
          <w:p w14:paraId="6F170203">
            <w:pPr>
              <w:adjustRightInd w:val="0"/>
              <w:snapToGrid w:val="0"/>
              <w:spacing w:line="360" w:lineRule="auto"/>
              <w:ind w:firstLine="480" w:firstLineChars="200"/>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项目现已投产，对照现行环保政策要求，项目存在的环境问题为：</w:t>
            </w:r>
          </w:p>
          <w:p w14:paraId="4C19CE55">
            <w:pPr>
              <w:adjustRightInd w:val="0"/>
              <w:snapToGrid w:val="0"/>
              <w:spacing w:line="360" w:lineRule="auto"/>
              <w:ind w:firstLine="480" w:firstLineChars="200"/>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（1）利用集装箱作为危废暂存间，未按要求采取防渗措施和废气收集处理设施；</w:t>
            </w:r>
          </w:p>
          <w:p w14:paraId="5154E2B7">
            <w:pPr>
              <w:adjustRightInd w:val="0"/>
              <w:snapToGrid w:val="0"/>
              <w:spacing w:line="360" w:lineRule="auto"/>
              <w:ind w:firstLine="480" w:firstLineChars="200"/>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（2）喷涂工序未设置喷漆房以及废气处理设施；</w:t>
            </w:r>
          </w:p>
          <w:p w14:paraId="408A565B">
            <w:pPr>
              <w:adjustRightInd w:val="0"/>
              <w:snapToGrid w:val="0"/>
              <w:spacing w:line="360" w:lineRule="auto"/>
              <w:ind w:firstLine="480" w:firstLineChars="200"/>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（3）未建设一般固废暂存间，未按要求存放一般固废；</w:t>
            </w:r>
          </w:p>
          <w:p w14:paraId="1357C48D">
            <w:pPr>
              <w:adjustRightInd w:val="0"/>
              <w:snapToGrid w:val="0"/>
              <w:spacing w:line="360" w:lineRule="auto"/>
              <w:ind w:firstLine="480" w:firstLineChars="200"/>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（4）抛丸粉尘经电子脉冲滤芯式除尘器处理后无组织排放。</w:t>
            </w:r>
          </w:p>
          <w:p w14:paraId="1EEF033F">
            <w:pPr>
              <w:adjustRightInd w:val="0"/>
              <w:snapToGrid w:val="0"/>
              <w:spacing w:line="360" w:lineRule="auto"/>
              <w:ind w:firstLine="480" w:firstLineChars="200"/>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针对上述问题，本次评价提出下列整改方案：</w:t>
            </w:r>
          </w:p>
          <w:p w14:paraId="58B6FF19">
            <w:pPr>
              <w:adjustRightInd w:val="0"/>
              <w:snapToGrid w:val="0"/>
              <w:spacing w:line="360" w:lineRule="auto"/>
              <w:ind w:firstLine="480" w:firstLineChars="200"/>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（1）将危废暂存间移至生产车间，按照《危险废物贮存污染控制标准》（GB18597-2023）完善危废暂存间防渗措施和废气收集措施；</w:t>
            </w:r>
          </w:p>
          <w:p w14:paraId="5D89F7F8">
            <w:pPr>
              <w:adjustRightInd w:val="0"/>
              <w:snapToGrid w:val="0"/>
              <w:spacing w:line="360" w:lineRule="auto"/>
              <w:ind w:firstLine="480" w:firstLineChars="200"/>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（2）按照环评要求设置喷漆房和废气处理设施；</w:t>
            </w:r>
          </w:p>
          <w:p w14:paraId="10FADEDB">
            <w:pPr>
              <w:adjustRightInd w:val="0"/>
              <w:snapToGrid w:val="0"/>
              <w:spacing w:line="360" w:lineRule="auto"/>
              <w:ind w:firstLine="480" w:firstLineChars="200"/>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（3）建设一般固废暂存间，按要求储存一般固废；</w:t>
            </w:r>
          </w:p>
          <w:p w14:paraId="78649EF3">
            <w:pPr>
              <w:adjustRightInd w:val="0"/>
              <w:snapToGrid w:val="0"/>
              <w:spacing w:line="360" w:lineRule="auto"/>
              <w:ind w:firstLine="480" w:firstLineChars="200"/>
              <w:rPr>
                <w:rFonts w:cs="宋体"/>
                <w:color w:val="0D0D0D" w:themeColor="text1" w:themeTint="F2"/>
                <w:sz w:val="24"/>
                <w14:textFill>
                  <w14:solidFill>
                    <w14:schemeClr w14:val="tx1">
                      <w14:lumMod w14:val="95000"/>
                      <w14:lumOff w14:val="5000"/>
                    </w14:schemeClr>
                  </w14:solidFill>
                </w14:textFill>
              </w:rPr>
            </w:pPr>
            <w:r>
              <w:rPr>
                <w:rFonts w:hint="eastAsia" w:cs="宋体"/>
                <w:color w:val="0D0D0D" w:themeColor="text1" w:themeTint="F2"/>
                <w:sz w:val="24"/>
                <w14:textFill>
                  <w14:solidFill>
                    <w14:schemeClr w14:val="tx1">
                      <w14:lumMod w14:val="95000"/>
                      <w14:lumOff w14:val="5000"/>
                    </w14:schemeClr>
                  </w14:solidFill>
                </w14:textFill>
              </w:rPr>
              <w:t>（4）抛丸粉尘经电子脉冲滤芯式除尘器处理后通过20m排气筒（DA001）排放。</w:t>
            </w:r>
          </w:p>
        </w:tc>
      </w:tr>
    </w:tbl>
    <w:p w14:paraId="126CEFC6">
      <w:pPr>
        <w:pStyle w:val="18"/>
        <w:jc w:val="center"/>
        <w:rPr>
          <w:rFonts w:ascii="Times New Roman" w:hAnsi="Times New Roman"/>
          <w:snapToGrid w:val="0"/>
          <w:color w:val="0D0D0D" w:themeColor="text1" w:themeTint="F2"/>
          <w:sz w:val="36"/>
          <w:szCs w:val="36"/>
          <w14:textFill>
            <w14:solidFill>
              <w14:schemeClr w14:val="tx1">
                <w14:lumMod w14:val="95000"/>
                <w14:lumOff w14:val="5000"/>
              </w14:schemeClr>
            </w14:solidFill>
          </w14:textFill>
        </w:rPr>
        <w:sectPr>
          <w:pgSz w:w="11906" w:h="16838"/>
          <w:pgMar w:top="1701" w:right="1531" w:bottom="1701" w:left="1531" w:header="851" w:footer="851" w:gutter="0"/>
          <w:cols w:space="720" w:num="1"/>
          <w:docGrid w:linePitch="312" w:charSpace="0"/>
        </w:sectPr>
      </w:pPr>
    </w:p>
    <w:p w14:paraId="280393F0">
      <w:pPr>
        <w:pStyle w:val="18"/>
        <w:jc w:val="center"/>
        <w:outlineLvl w:val="0"/>
        <w:rPr>
          <w:rFonts w:ascii="Times New Roman" w:hAnsi="Times New Roman"/>
          <w:snapToGrid w:val="0"/>
          <w:color w:val="0D0D0D" w:themeColor="text1" w:themeTint="F2"/>
          <w:sz w:val="30"/>
          <w:szCs w:val="30"/>
          <w14:textFill>
            <w14:solidFill>
              <w14:schemeClr w14:val="tx1">
                <w14:lumMod w14:val="95000"/>
                <w14:lumOff w14:val="5000"/>
              </w14:schemeClr>
            </w14:solidFill>
          </w14:textFill>
        </w:rPr>
      </w:pPr>
      <w:bookmarkStart w:id="9" w:name="_Toc136522025"/>
      <w:r>
        <w:rPr>
          <w:rFonts w:hint="eastAsia" w:ascii="Times New Roman" w:hAnsi="Times New Roman"/>
          <w:snapToGrid w:val="0"/>
          <w:color w:val="0D0D0D" w:themeColor="text1" w:themeTint="F2"/>
          <w:sz w:val="30"/>
          <w:szCs w:val="30"/>
          <w14:textFill>
            <w14:solidFill>
              <w14:schemeClr w14:val="tx1">
                <w14:lumMod w14:val="95000"/>
                <w14:lumOff w14:val="5000"/>
              </w14:schemeClr>
            </w14:solidFill>
          </w14:textFill>
        </w:rPr>
        <w:t>三、区域环境质量现状、环境保护目标及评价标准</w:t>
      </w:r>
      <w:bookmarkEnd w:id="9"/>
    </w:p>
    <w:tbl>
      <w:tblPr>
        <w:tblStyle w:val="2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605"/>
      </w:tblGrid>
      <w:tr w14:paraId="3A0316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241" w:type="pct"/>
            <w:vAlign w:val="center"/>
          </w:tcPr>
          <w:p w14:paraId="2C4F2419">
            <w:pPr>
              <w:adjustRightInd w:val="0"/>
              <w:snapToGrid w:val="0"/>
              <w:jc w:val="center"/>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区域环境质量现状</w:t>
            </w:r>
          </w:p>
        </w:tc>
        <w:tc>
          <w:tcPr>
            <w:tcW w:w="4759" w:type="pct"/>
          </w:tcPr>
          <w:p w14:paraId="7328A41D">
            <w:pPr>
              <w:widowControl/>
              <w:adjustRightInd w:val="0"/>
              <w:snapToGrid w:val="0"/>
              <w:spacing w:line="360" w:lineRule="auto"/>
              <w:ind w:firstLine="482" w:firstLineChars="200"/>
              <w:rPr>
                <w:b/>
                <w:bCs/>
                <w:color w:val="0D0D0D" w:themeColor="text1" w:themeTint="F2"/>
                <w:sz w:val="24"/>
                <w14:textFill>
                  <w14:solidFill>
                    <w14:schemeClr w14:val="tx1">
                      <w14:lumMod w14:val="95000"/>
                      <w14:lumOff w14:val="5000"/>
                    </w14:schemeClr>
                  </w14:solidFill>
                </w14:textFill>
              </w:rPr>
            </w:pPr>
            <w:r>
              <w:rPr>
                <w:b/>
                <w:bCs/>
                <w:color w:val="0D0D0D" w:themeColor="text1" w:themeTint="F2"/>
                <w:sz w:val="24"/>
                <w14:textFill>
                  <w14:solidFill>
                    <w14:schemeClr w14:val="tx1">
                      <w14:lumMod w14:val="95000"/>
                      <w14:lumOff w14:val="5000"/>
                    </w14:schemeClr>
                  </w14:solidFill>
                </w14:textFill>
              </w:rPr>
              <w:t>1、大气环境</w:t>
            </w:r>
            <w:r>
              <w:rPr>
                <w:rFonts w:hint="eastAsia"/>
                <w:b/>
                <w:bCs/>
                <w:color w:val="0D0D0D" w:themeColor="text1" w:themeTint="F2"/>
                <w:sz w:val="24"/>
                <w14:textFill>
                  <w14:solidFill>
                    <w14:schemeClr w14:val="tx1">
                      <w14:lumMod w14:val="95000"/>
                      <w14:lumOff w14:val="5000"/>
                    </w14:schemeClr>
                  </w14:solidFill>
                </w14:textFill>
              </w:rPr>
              <w:t>质量现状</w:t>
            </w:r>
          </w:p>
          <w:p w14:paraId="5F142FBA">
            <w:pPr>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（1）达标区判定</w:t>
            </w:r>
          </w:p>
          <w:p w14:paraId="4B30F421">
            <w:pPr>
              <w:spacing w:line="360" w:lineRule="auto"/>
              <w:ind w:firstLine="480" w:firstLineChars="200"/>
              <w:rPr>
                <w:color w:val="0D0D0D" w:themeColor="text1" w:themeTint="F2"/>
                <w:sz w:val="24"/>
                <w:u w:val="single"/>
                <w14:textFill>
                  <w14:solidFill>
                    <w14:schemeClr w14:val="tx1">
                      <w14:lumMod w14:val="95000"/>
                      <w14:lumOff w14:val="5000"/>
                    </w14:schemeClr>
                  </w14:solidFill>
                </w14:textFill>
              </w:rPr>
            </w:pPr>
            <w:r>
              <w:rPr>
                <w:rFonts w:hint="eastAsia"/>
                <w:color w:val="0D0D0D" w:themeColor="text1" w:themeTint="F2"/>
                <w:sz w:val="24"/>
                <w:u w:val="single"/>
                <w14:textFill>
                  <w14:solidFill>
                    <w14:schemeClr w14:val="tx1">
                      <w14:lumMod w14:val="95000"/>
                      <w14:lumOff w14:val="5000"/>
                    </w14:schemeClr>
                  </w14:solidFill>
                </w14:textFill>
              </w:rPr>
              <w:t>项目所在地环境空气质量功能区为二类区</w:t>
            </w:r>
            <w:r>
              <w:rPr>
                <w:color w:val="0D0D0D" w:themeColor="text1" w:themeTint="F2"/>
                <w:sz w:val="24"/>
                <w:u w:val="single"/>
                <w14:textFill>
                  <w14:solidFill>
                    <w14:schemeClr w14:val="tx1">
                      <w14:lumMod w14:val="95000"/>
                      <w14:lumOff w14:val="5000"/>
                    </w14:schemeClr>
                  </w14:solidFill>
                </w14:textFill>
              </w:rPr>
              <w:t>，执行《环境空气质量标准》（GB3095-2012）</w:t>
            </w:r>
            <w:r>
              <w:rPr>
                <w:rFonts w:hint="eastAsia"/>
                <w:color w:val="0D0D0D" w:themeColor="text1" w:themeTint="F2"/>
                <w:sz w:val="24"/>
                <w:u w:val="single"/>
                <w14:textFill>
                  <w14:solidFill>
                    <w14:schemeClr w14:val="tx1">
                      <w14:lumMod w14:val="95000"/>
                      <w14:lumOff w14:val="5000"/>
                    </w14:schemeClr>
                  </w14:solidFill>
                </w14:textFill>
              </w:rPr>
              <w:t>及其修改单</w:t>
            </w:r>
            <w:r>
              <w:rPr>
                <w:color w:val="0D0D0D" w:themeColor="text1" w:themeTint="F2"/>
                <w:sz w:val="24"/>
                <w:u w:val="single"/>
                <w14:textFill>
                  <w14:solidFill>
                    <w14:schemeClr w14:val="tx1">
                      <w14:lumMod w14:val="95000"/>
                      <w14:lumOff w14:val="5000"/>
                    </w14:schemeClr>
                  </w14:solidFill>
                </w14:textFill>
              </w:rPr>
              <w:t>二级标准。</w:t>
            </w:r>
          </w:p>
          <w:p w14:paraId="50361438">
            <w:pPr>
              <w:spacing w:line="360" w:lineRule="auto"/>
              <w:ind w:firstLine="480" w:firstLineChars="200"/>
              <w:rPr>
                <w:color w:val="0D0D0D" w:themeColor="text1" w:themeTint="F2"/>
                <w:sz w:val="24"/>
                <w:u w:val="single"/>
                <w14:textFill>
                  <w14:solidFill>
                    <w14:schemeClr w14:val="tx1">
                      <w14:lumMod w14:val="95000"/>
                      <w14:lumOff w14:val="5000"/>
                    </w14:schemeClr>
                  </w14:solidFill>
                </w14:textFill>
              </w:rPr>
            </w:pPr>
            <w:r>
              <w:rPr>
                <w:rFonts w:hint="eastAsia"/>
                <w:color w:val="0D0D0D" w:themeColor="text1" w:themeTint="F2"/>
                <w:sz w:val="24"/>
                <w:u w:val="single"/>
                <w14:textFill>
                  <w14:solidFill>
                    <w14:schemeClr w14:val="tx1">
                      <w14:lumMod w14:val="95000"/>
                      <w14:lumOff w14:val="5000"/>
                    </w14:schemeClr>
                  </w14:solidFill>
                </w14:textFill>
              </w:rPr>
              <w:t>根</w:t>
            </w:r>
            <w:r>
              <w:rPr>
                <w:color w:val="0D0D0D" w:themeColor="text1" w:themeTint="F2"/>
                <w:sz w:val="24"/>
                <w:u w:val="single"/>
                <w14:textFill>
                  <w14:solidFill>
                    <w14:schemeClr w14:val="tx1">
                      <w14:lumMod w14:val="95000"/>
                      <w14:lumOff w14:val="5000"/>
                    </w14:schemeClr>
                  </w14:solidFill>
                </w14:textFill>
              </w:rPr>
              <w:t>据《</w:t>
            </w:r>
            <w:r>
              <w:rPr>
                <w:rFonts w:hint="eastAsia"/>
                <w:color w:val="0D0D0D" w:themeColor="text1" w:themeTint="F2"/>
                <w:sz w:val="24"/>
                <w:u w:val="single"/>
                <w14:textFill>
                  <w14:solidFill>
                    <w14:schemeClr w14:val="tx1">
                      <w14:lumMod w14:val="95000"/>
                      <w14:lumOff w14:val="5000"/>
                    </w14:schemeClr>
                  </w14:solidFill>
                </w14:textFill>
              </w:rPr>
              <w:t>自治区生态环境厅关于通报2024年设区市及各县（市、区）环境空气质量的函</w:t>
            </w:r>
            <w:r>
              <w:rPr>
                <w:color w:val="0D0D0D" w:themeColor="text1" w:themeTint="F2"/>
                <w:sz w:val="24"/>
                <w:u w:val="single"/>
                <w14:textFill>
                  <w14:solidFill>
                    <w14:schemeClr w14:val="tx1">
                      <w14:lumMod w14:val="95000"/>
                      <w14:lumOff w14:val="5000"/>
                    </w14:schemeClr>
                  </w14:solidFill>
                </w14:textFill>
              </w:rPr>
              <w:t>》（桂环函〔202</w:t>
            </w:r>
            <w:r>
              <w:rPr>
                <w:rFonts w:hint="eastAsia"/>
                <w:color w:val="0D0D0D" w:themeColor="text1" w:themeTint="F2"/>
                <w:sz w:val="24"/>
                <w:u w:val="single"/>
                <w14:textFill>
                  <w14:solidFill>
                    <w14:schemeClr w14:val="tx1">
                      <w14:lumMod w14:val="95000"/>
                      <w14:lumOff w14:val="5000"/>
                    </w14:schemeClr>
                  </w14:solidFill>
                </w14:textFill>
              </w:rPr>
              <w:t>5</w:t>
            </w:r>
            <w:r>
              <w:rPr>
                <w:color w:val="0D0D0D" w:themeColor="text1" w:themeTint="F2"/>
                <w:sz w:val="24"/>
                <w:u w:val="single"/>
                <w14:textFill>
                  <w14:solidFill>
                    <w14:schemeClr w14:val="tx1">
                      <w14:lumMod w14:val="95000"/>
                      <w14:lumOff w14:val="5000"/>
                    </w14:schemeClr>
                  </w14:solidFill>
                </w14:textFill>
              </w:rPr>
              <w:t>〕</w:t>
            </w:r>
            <w:r>
              <w:rPr>
                <w:rFonts w:hint="eastAsia"/>
                <w:color w:val="0D0D0D" w:themeColor="text1" w:themeTint="F2"/>
                <w:sz w:val="24"/>
                <w:u w:val="single"/>
                <w14:textFill>
                  <w14:solidFill>
                    <w14:schemeClr w14:val="tx1">
                      <w14:lumMod w14:val="95000"/>
                      <w14:lumOff w14:val="5000"/>
                    </w14:schemeClr>
                  </w14:solidFill>
                </w14:textFill>
              </w:rPr>
              <w:t>66</w:t>
            </w:r>
            <w:r>
              <w:rPr>
                <w:color w:val="0D0D0D" w:themeColor="text1" w:themeTint="F2"/>
                <w:sz w:val="24"/>
                <w:u w:val="single"/>
                <w14:textFill>
                  <w14:solidFill>
                    <w14:schemeClr w14:val="tx1">
                      <w14:lumMod w14:val="95000"/>
                      <w14:lumOff w14:val="5000"/>
                    </w14:schemeClr>
                  </w14:solidFill>
                </w14:textFill>
              </w:rPr>
              <w:t>号），</w:t>
            </w:r>
            <w:r>
              <w:rPr>
                <w:rFonts w:hint="eastAsia"/>
                <w:color w:val="0D0D0D" w:themeColor="text1" w:themeTint="F2"/>
                <w:sz w:val="24"/>
                <w:u w:val="single"/>
                <w14:textFill>
                  <w14:solidFill>
                    <w14:schemeClr w14:val="tx1">
                      <w14:lumMod w14:val="95000"/>
                      <w14:lumOff w14:val="5000"/>
                    </w14:schemeClr>
                  </w14:solidFill>
                </w14:textFill>
              </w:rPr>
              <w:t>钦州市</w:t>
            </w:r>
            <w:r>
              <w:rPr>
                <w:color w:val="0D0D0D" w:themeColor="text1" w:themeTint="F2"/>
                <w:sz w:val="24"/>
                <w:u w:val="single"/>
                <w14:textFill>
                  <w14:solidFill>
                    <w14:schemeClr w14:val="tx1">
                      <w14:lumMod w14:val="95000"/>
                      <w14:lumOff w14:val="5000"/>
                    </w14:schemeClr>
                  </w14:solidFill>
                </w14:textFill>
              </w:rPr>
              <w:t>基本污染物环境空气质量情况</w:t>
            </w:r>
            <w:r>
              <w:rPr>
                <w:rFonts w:hint="eastAsia"/>
                <w:color w:val="0D0D0D" w:themeColor="text1" w:themeTint="F2"/>
                <w:sz w:val="24"/>
                <w:u w:val="single"/>
                <w14:textFill>
                  <w14:solidFill>
                    <w14:schemeClr w14:val="tx1">
                      <w14:lumMod w14:val="95000"/>
                      <w14:lumOff w14:val="5000"/>
                    </w14:schemeClr>
                  </w14:solidFill>
                </w14:textFill>
              </w:rPr>
              <w:t>详见</w:t>
            </w:r>
            <w:r>
              <w:rPr>
                <w:color w:val="0D0D0D" w:themeColor="text1" w:themeTint="F2"/>
                <w:sz w:val="24"/>
                <w:u w:val="single"/>
                <w14:textFill>
                  <w14:solidFill>
                    <w14:schemeClr w14:val="tx1">
                      <w14:lumMod w14:val="95000"/>
                      <w14:lumOff w14:val="5000"/>
                    </w14:schemeClr>
                  </w14:solidFill>
                </w14:textFill>
              </w:rPr>
              <w:t>表</w:t>
            </w:r>
            <w:r>
              <w:rPr>
                <w:rFonts w:hint="eastAsia"/>
                <w:color w:val="0D0D0D" w:themeColor="text1" w:themeTint="F2"/>
                <w:sz w:val="24"/>
                <w:u w:val="single"/>
                <w14:textFill>
                  <w14:solidFill>
                    <w14:schemeClr w14:val="tx1">
                      <w14:lumMod w14:val="95000"/>
                      <w14:lumOff w14:val="5000"/>
                    </w14:schemeClr>
                  </w14:solidFill>
                </w14:textFill>
              </w:rPr>
              <w:t>3</w:t>
            </w:r>
            <w:r>
              <w:rPr>
                <w:color w:val="0D0D0D" w:themeColor="text1" w:themeTint="F2"/>
                <w:sz w:val="24"/>
                <w:u w:val="single"/>
                <w14:textFill>
                  <w14:solidFill>
                    <w14:schemeClr w14:val="tx1">
                      <w14:lumMod w14:val="95000"/>
                      <w14:lumOff w14:val="5000"/>
                    </w14:schemeClr>
                  </w14:solidFill>
                </w14:textFill>
              </w:rPr>
              <w:t>-1。</w:t>
            </w:r>
          </w:p>
          <w:p w14:paraId="45B2882D">
            <w:pPr>
              <w:ind w:firstLine="422" w:firstLineChars="200"/>
              <w:jc w:val="center"/>
              <w:rPr>
                <w:b/>
                <w:bCs/>
                <w:color w:val="0D0D0D" w:themeColor="text1" w:themeTint="F2"/>
                <w:szCs w:val="21"/>
                <w14:textFill>
                  <w14:solidFill>
                    <w14:schemeClr w14:val="tx1">
                      <w14:lumMod w14:val="95000"/>
                      <w14:lumOff w14:val="5000"/>
                    </w14:schemeClr>
                  </w14:solidFill>
                </w14:textFill>
              </w:rPr>
            </w:pPr>
            <w:r>
              <w:rPr>
                <w:b/>
                <w:bCs/>
                <w:color w:val="0D0D0D" w:themeColor="text1" w:themeTint="F2"/>
                <w:szCs w:val="21"/>
                <w14:textFill>
                  <w14:solidFill>
                    <w14:schemeClr w14:val="tx1">
                      <w14:lumMod w14:val="95000"/>
                      <w14:lumOff w14:val="5000"/>
                    </w14:schemeClr>
                  </w14:solidFill>
                </w14:textFill>
              </w:rPr>
              <w:t xml:space="preserve">表3-1  </w:t>
            </w:r>
            <w:r>
              <w:rPr>
                <w:rFonts w:hint="eastAsia"/>
                <w:b/>
                <w:bCs/>
                <w:color w:val="0D0D0D" w:themeColor="text1" w:themeTint="F2"/>
                <w:szCs w:val="21"/>
                <w14:textFill>
                  <w14:solidFill>
                    <w14:schemeClr w14:val="tx1">
                      <w14:lumMod w14:val="95000"/>
                      <w14:lumOff w14:val="5000"/>
                    </w14:schemeClr>
                  </w14:solidFill>
                </w14:textFill>
              </w:rPr>
              <w:t>区域空气质量现状评价表</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5"/>
              <w:gridCol w:w="3154"/>
              <w:gridCol w:w="1193"/>
              <w:gridCol w:w="1193"/>
              <w:gridCol w:w="875"/>
              <w:gridCol w:w="1089"/>
            </w:tblGrid>
            <w:tr w14:paraId="5B096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2" w:type="pct"/>
                  <w:shd w:val="clear" w:color="auto" w:fill="auto"/>
                  <w:vAlign w:val="center"/>
                </w:tcPr>
                <w:p w14:paraId="6D1F0C66">
                  <w:pPr>
                    <w:jc w:val="center"/>
                    <w:rPr>
                      <w:color w:val="0D0D0D" w:themeColor="text1" w:themeTint="F2"/>
                      <w:szCs w:val="21"/>
                      <w:u w:val="single"/>
                      <w14:textFill>
                        <w14:solidFill>
                          <w14:schemeClr w14:val="tx1">
                            <w14:lumMod w14:val="95000"/>
                            <w14:lumOff w14:val="5000"/>
                          </w14:schemeClr>
                        </w14:solidFill>
                      </w14:textFill>
                    </w:rPr>
                  </w:pPr>
                </w:p>
              </w:tc>
              <w:tc>
                <w:tcPr>
                  <w:tcW w:w="1882" w:type="pct"/>
                  <w:shd w:val="clear" w:color="auto" w:fill="auto"/>
                  <w:vAlign w:val="center"/>
                </w:tcPr>
                <w:p w14:paraId="5B2B8E07">
                  <w:pPr>
                    <w:jc w:val="center"/>
                    <w:rPr>
                      <w:color w:val="0D0D0D" w:themeColor="text1" w:themeTint="F2"/>
                      <w:szCs w:val="21"/>
                      <w:u w:val="single"/>
                      <w14:textFill>
                        <w14:solidFill>
                          <w14:schemeClr w14:val="tx1">
                            <w14:lumMod w14:val="95000"/>
                            <w14:lumOff w14:val="5000"/>
                          </w14:schemeClr>
                        </w14:solidFill>
                      </w14:textFill>
                    </w:rPr>
                  </w:pPr>
                </w:p>
              </w:tc>
              <w:tc>
                <w:tcPr>
                  <w:tcW w:w="712" w:type="pct"/>
                  <w:shd w:val="clear" w:color="auto" w:fill="auto"/>
                  <w:vAlign w:val="center"/>
                </w:tcPr>
                <w:p w14:paraId="3117AD76">
                  <w:pPr>
                    <w:jc w:val="center"/>
                    <w:rPr>
                      <w:color w:val="0D0D0D" w:themeColor="text1" w:themeTint="F2"/>
                      <w:szCs w:val="21"/>
                      <w:u w:val="single"/>
                      <w14:textFill>
                        <w14:solidFill>
                          <w14:schemeClr w14:val="tx1">
                            <w14:lumMod w14:val="95000"/>
                            <w14:lumOff w14:val="5000"/>
                          </w14:schemeClr>
                        </w14:solidFill>
                      </w14:textFill>
                    </w:rPr>
                  </w:pPr>
                </w:p>
              </w:tc>
              <w:tc>
                <w:tcPr>
                  <w:tcW w:w="712" w:type="pct"/>
                  <w:shd w:val="clear" w:color="auto" w:fill="auto"/>
                  <w:vAlign w:val="center"/>
                </w:tcPr>
                <w:p w14:paraId="143B4B66">
                  <w:pPr>
                    <w:jc w:val="center"/>
                    <w:rPr>
                      <w:color w:val="0D0D0D" w:themeColor="text1" w:themeTint="F2"/>
                      <w:szCs w:val="21"/>
                      <w:u w:val="single"/>
                      <w14:textFill>
                        <w14:solidFill>
                          <w14:schemeClr w14:val="tx1">
                            <w14:lumMod w14:val="95000"/>
                            <w14:lumOff w14:val="5000"/>
                          </w14:schemeClr>
                        </w14:solidFill>
                      </w14:textFill>
                    </w:rPr>
                  </w:pPr>
                </w:p>
              </w:tc>
              <w:tc>
                <w:tcPr>
                  <w:tcW w:w="522" w:type="pct"/>
                  <w:shd w:val="clear" w:color="auto" w:fill="auto"/>
                  <w:vAlign w:val="center"/>
                </w:tcPr>
                <w:p w14:paraId="39F11E75">
                  <w:pPr>
                    <w:jc w:val="center"/>
                    <w:rPr>
                      <w:color w:val="0D0D0D" w:themeColor="text1" w:themeTint="F2"/>
                      <w:szCs w:val="21"/>
                      <w:u w:val="single"/>
                      <w14:textFill>
                        <w14:solidFill>
                          <w14:schemeClr w14:val="tx1">
                            <w14:lumMod w14:val="95000"/>
                            <w14:lumOff w14:val="5000"/>
                          </w14:schemeClr>
                        </w14:solidFill>
                      </w14:textFill>
                    </w:rPr>
                  </w:pPr>
                </w:p>
              </w:tc>
              <w:tc>
                <w:tcPr>
                  <w:tcW w:w="651" w:type="pct"/>
                  <w:shd w:val="clear" w:color="auto" w:fill="auto"/>
                  <w:vAlign w:val="center"/>
                </w:tcPr>
                <w:p w14:paraId="722A4797">
                  <w:pPr>
                    <w:jc w:val="center"/>
                    <w:rPr>
                      <w:color w:val="0D0D0D" w:themeColor="text1" w:themeTint="F2"/>
                      <w:szCs w:val="21"/>
                      <w:u w:val="single"/>
                      <w14:textFill>
                        <w14:solidFill>
                          <w14:schemeClr w14:val="tx1">
                            <w14:lumMod w14:val="95000"/>
                            <w14:lumOff w14:val="5000"/>
                          </w14:schemeClr>
                        </w14:solidFill>
                      </w14:textFill>
                    </w:rPr>
                  </w:pPr>
                </w:p>
              </w:tc>
            </w:tr>
            <w:tr w14:paraId="42A38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2" w:type="pct"/>
                  <w:shd w:val="clear" w:color="auto" w:fill="auto"/>
                  <w:vAlign w:val="center"/>
                </w:tcPr>
                <w:p w14:paraId="13582F10">
                  <w:pPr>
                    <w:jc w:val="center"/>
                    <w:rPr>
                      <w:color w:val="0D0D0D" w:themeColor="text1" w:themeTint="F2"/>
                      <w:szCs w:val="21"/>
                      <w:u w:val="single"/>
                      <w14:textFill>
                        <w14:solidFill>
                          <w14:schemeClr w14:val="tx1">
                            <w14:lumMod w14:val="95000"/>
                            <w14:lumOff w14:val="5000"/>
                          </w14:schemeClr>
                        </w14:solidFill>
                      </w14:textFill>
                    </w:rPr>
                  </w:pPr>
                </w:p>
              </w:tc>
              <w:tc>
                <w:tcPr>
                  <w:tcW w:w="1882" w:type="pct"/>
                  <w:shd w:val="clear" w:color="auto" w:fill="auto"/>
                  <w:vAlign w:val="center"/>
                </w:tcPr>
                <w:p w14:paraId="3912434B">
                  <w:pPr>
                    <w:jc w:val="center"/>
                    <w:rPr>
                      <w:color w:val="0D0D0D" w:themeColor="text1" w:themeTint="F2"/>
                      <w:szCs w:val="21"/>
                      <w:u w:val="single"/>
                      <w14:textFill>
                        <w14:solidFill>
                          <w14:schemeClr w14:val="tx1">
                            <w14:lumMod w14:val="95000"/>
                            <w14:lumOff w14:val="5000"/>
                          </w14:schemeClr>
                        </w14:solidFill>
                      </w14:textFill>
                    </w:rPr>
                  </w:pPr>
                </w:p>
              </w:tc>
              <w:tc>
                <w:tcPr>
                  <w:tcW w:w="712" w:type="pct"/>
                  <w:shd w:val="clear" w:color="auto" w:fill="auto"/>
                  <w:vAlign w:val="center"/>
                </w:tcPr>
                <w:p w14:paraId="0CAC5CDB">
                  <w:pPr>
                    <w:jc w:val="center"/>
                    <w:rPr>
                      <w:color w:val="0D0D0D" w:themeColor="text1" w:themeTint="F2"/>
                      <w:szCs w:val="21"/>
                      <w:u w:val="single"/>
                      <w14:textFill>
                        <w14:solidFill>
                          <w14:schemeClr w14:val="tx1">
                            <w14:lumMod w14:val="95000"/>
                            <w14:lumOff w14:val="5000"/>
                          </w14:schemeClr>
                        </w14:solidFill>
                      </w14:textFill>
                    </w:rPr>
                  </w:pPr>
                </w:p>
              </w:tc>
              <w:tc>
                <w:tcPr>
                  <w:tcW w:w="712" w:type="pct"/>
                  <w:shd w:val="clear" w:color="auto" w:fill="auto"/>
                  <w:vAlign w:val="center"/>
                </w:tcPr>
                <w:p w14:paraId="4B72F169">
                  <w:pPr>
                    <w:jc w:val="center"/>
                    <w:rPr>
                      <w:color w:val="0D0D0D" w:themeColor="text1" w:themeTint="F2"/>
                      <w:szCs w:val="21"/>
                      <w:u w:val="single"/>
                      <w14:textFill>
                        <w14:solidFill>
                          <w14:schemeClr w14:val="tx1">
                            <w14:lumMod w14:val="95000"/>
                            <w14:lumOff w14:val="5000"/>
                          </w14:schemeClr>
                        </w14:solidFill>
                      </w14:textFill>
                    </w:rPr>
                  </w:pPr>
                </w:p>
              </w:tc>
              <w:tc>
                <w:tcPr>
                  <w:tcW w:w="522" w:type="pct"/>
                  <w:shd w:val="clear" w:color="auto" w:fill="auto"/>
                  <w:vAlign w:val="center"/>
                </w:tcPr>
                <w:p w14:paraId="13A4174C">
                  <w:pPr>
                    <w:jc w:val="center"/>
                    <w:rPr>
                      <w:color w:val="0D0D0D" w:themeColor="text1" w:themeTint="F2"/>
                      <w:szCs w:val="21"/>
                      <w:u w:val="single"/>
                      <w14:textFill>
                        <w14:solidFill>
                          <w14:schemeClr w14:val="tx1">
                            <w14:lumMod w14:val="95000"/>
                            <w14:lumOff w14:val="5000"/>
                          </w14:schemeClr>
                        </w14:solidFill>
                      </w14:textFill>
                    </w:rPr>
                  </w:pPr>
                </w:p>
              </w:tc>
              <w:tc>
                <w:tcPr>
                  <w:tcW w:w="651" w:type="pct"/>
                  <w:shd w:val="clear" w:color="auto" w:fill="auto"/>
                  <w:vAlign w:val="center"/>
                </w:tcPr>
                <w:p w14:paraId="191E8365">
                  <w:pPr>
                    <w:jc w:val="center"/>
                    <w:rPr>
                      <w:color w:val="0D0D0D" w:themeColor="text1" w:themeTint="F2"/>
                      <w:szCs w:val="21"/>
                      <w:u w:val="single"/>
                      <w14:textFill>
                        <w14:solidFill>
                          <w14:schemeClr w14:val="tx1">
                            <w14:lumMod w14:val="95000"/>
                            <w14:lumOff w14:val="5000"/>
                          </w14:schemeClr>
                        </w14:solidFill>
                      </w14:textFill>
                    </w:rPr>
                  </w:pPr>
                </w:p>
              </w:tc>
            </w:tr>
            <w:tr w14:paraId="39EC6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2" w:type="pct"/>
                  <w:shd w:val="clear" w:color="auto" w:fill="auto"/>
                  <w:vAlign w:val="center"/>
                </w:tcPr>
                <w:p w14:paraId="16E9EAE5">
                  <w:pPr>
                    <w:jc w:val="center"/>
                    <w:rPr>
                      <w:color w:val="0D0D0D" w:themeColor="text1" w:themeTint="F2"/>
                      <w:szCs w:val="21"/>
                      <w:u w:val="single"/>
                      <w14:textFill>
                        <w14:solidFill>
                          <w14:schemeClr w14:val="tx1">
                            <w14:lumMod w14:val="95000"/>
                            <w14:lumOff w14:val="5000"/>
                          </w14:schemeClr>
                        </w14:solidFill>
                      </w14:textFill>
                    </w:rPr>
                  </w:pPr>
                </w:p>
              </w:tc>
              <w:tc>
                <w:tcPr>
                  <w:tcW w:w="1882" w:type="pct"/>
                  <w:shd w:val="clear" w:color="auto" w:fill="auto"/>
                  <w:vAlign w:val="center"/>
                </w:tcPr>
                <w:p w14:paraId="26E504DF">
                  <w:pPr>
                    <w:jc w:val="center"/>
                    <w:rPr>
                      <w:color w:val="0D0D0D" w:themeColor="text1" w:themeTint="F2"/>
                      <w:szCs w:val="21"/>
                      <w:u w:val="single"/>
                      <w14:textFill>
                        <w14:solidFill>
                          <w14:schemeClr w14:val="tx1">
                            <w14:lumMod w14:val="95000"/>
                            <w14:lumOff w14:val="5000"/>
                          </w14:schemeClr>
                        </w14:solidFill>
                      </w14:textFill>
                    </w:rPr>
                  </w:pPr>
                </w:p>
              </w:tc>
              <w:tc>
                <w:tcPr>
                  <w:tcW w:w="712" w:type="pct"/>
                  <w:shd w:val="clear" w:color="auto" w:fill="auto"/>
                  <w:vAlign w:val="center"/>
                </w:tcPr>
                <w:p w14:paraId="3AF8A2E6">
                  <w:pPr>
                    <w:jc w:val="center"/>
                    <w:rPr>
                      <w:color w:val="0D0D0D" w:themeColor="text1" w:themeTint="F2"/>
                      <w:szCs w:val="21"/>
                      <w:u w:val="single"/>
                      <w14:textFill>
                        <w14:solidFill>
                          <w14:schemeClr w14:val="tx1">
                            <w14:lumMod w14:val="95000"/>
                            <w14:lumOff w14:val="5000"/>
                          </w14:schemeClr>
                        </w14:solidFill>
                      </w14:textFill>
                    </w:rPr>
                  </w:pPr>
                </w:p>
              </w:tc>
              <w:tc>
                <w:tcPr>
                  <w:tcW w:w="712" w:type="pct"/>
                  <w:shd w:val="clear" w:color="auto" w:fill="auto"/>
                  <w:vAlign w:val="center"/>
                </w:tcPr>
                <w:p w14:paraId="6F8E1AC2">
                  <w:pPr>
                    <w:jc w:val="center"/>
                    <w:rPr>
                      <w:color w:val="0D0D0D" w:themeColor="text1" w:themeTint="F2"/>
                      <w:szCs w:val="21"/>
                      <w:u w:val="single"/>
                      <w14:textFill>
                        <w14:solidFill>
                          <w14:schemeClr w14:val="tx1">
                            <w14:lumMod w14:val="95000"/>
                            <w14:lumOff w14:val="5000"/>
                          </w14:schemeClr>
                        </w14:solidFill>
                      </w14:textFill>
                    </w:rPr>
                  </w:pPr>
                </w:p>
              </w:tc>
              <w:tc>
                <w:tcPr>
                  <w:tcW w:w="522" w:type="pct"/>
                  <w:shd w:val="clear" w:color="auto" w:fill="auto"/>
                  <w:vAlign w:val="center"/>
                </w:tcPr>
                <w:p w14:paraId="39A57013">
                  <w:pPr>
                    <w:jc w:val="center"/>
                    <w:rPr>
                      <w:color w:val="0D0D0D" w:themeColor="text1" w:themeTint="F2"/>
                      <w:szCs w:val="21"/>
                      <w:u w:val="single"/>
                      <w14:textFill>
                        <w14:solidFill>
                          <w14:schemeClr w14:val="tx1">
                            <w14:lumMod w14:val="95000"/>
                            <w14:lumOff w14:val="5000"/>
                          </w14:schemeClr>
                        </w14:solidFill>
                      </w14:textFill>
                    </w:rPr>
                  </w:pPr>
                </w:p>
              </w:tc>
              <w:tc>
                <w:tcPr>
                  <w:tcW w:w="651" w:type="pct"/>
                  <w:shd w:val="clear" w:color="auto" w:fill="auto"/>
                  <w:vAlign w:val="center"/>
                </w:tcPr>
                <w:p w14:paraId="1AC95C73">
                  <w:pPr>
                    <w:jc w:val="center"/>
                    <w:rPr>
                      <w:color w:val="0D0D0D" w:themeColor="text1" w:themeTint="F2"/>
                      <w:szCs w:val="21"/>
                      <w:u w:val="single"/>
                      <w14:textFill>
                        <w14:solidFill>
                          <w14:schemeClr w14:val="tx1">
                            <w14:lumMod w14:val="95000"/>
                            <w14:lumOff w14:val="5000"/>
                          </w14:schemeClr>
                        </w14:solidFill>
                      </w14:textFill>
                    </w:rPr>
                  </w:pPr>
                </w:p>
              </w:tc>
            </w:tr>
            <w:tr w14:paraId="0994C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2" w:type="pct"/>
                  <w:shd w:val="clear" w:color="auto" w:fill="auto"/>
                  <w:vAlign w:val="center"/>
                </w:tcPr>
                <w:p w14:paraId="3E809B3D">
                  <w:pPr>
                    <w:jc w:val="center"/>
                    <w:rPr>
                      <w:color w:val="0D0D0D" w:themeColor="text1" w:themeTint="F2"/>
                      <w:szCs w:val="21"/>
                      <w:u w:val="single"/>
                      <w14:textFill>
                        <w14:solidFill>
                          <w14:schemeClr w14:val="tx1">
                            <w14:lumMod w14:val="95000"/>
                            <w14:lumOff w14:val="5000"/>
                          </w14:schemeClr>
                        </w14:solidFill>
                      </w14:textFill>
                    </w:rPr>
                  </w:pPr>
                </w:p>
              </w:tc>
              <w:tc>
                <w:tcPr>
                  <w:tcW w:w="1882" w:type="pct"/>
                  <w:shd w:val="clear" w:color="auto" w:fill="auto"/>
                  <w:vAlign w:val="center"/>
                </w:tcPr>
                <w:p w14:paraId="66D04847">
                  <w:pPr>
                    <w:jc w:val="center"/>
                    <w:rPr>
                      <w:color w:val="0D0D0D" w:themeColor="text1" w:themeTint="F2"/>
                      <w:szCs w:val="21"/>
                      <w:u w:val="single"/>
                      <w14:textFill>
                        <w14:solidFill>
                          <w14:schemeClr w14:val="tx1">
                            <w14:lumMod w14:val="95000"/>
                            <w14:lumOff w14:val="5000"/>
                          </w14:schemeClr>
                        </w14:solidFill>
                      </w14:textFill>
                    </w:rPr>
                  </w:pPr>
                </w:p>
              </w:tc>
              <w:tc>
                <w:tcPr>
                  <w:tcW w:w="712" w:type="pct"/>
                  <w:shd w:val="clear" w:color="auto" w:fill="auto"/>
                  <w:vAlign w:val="center"/>
                </w:tcPr>
                <w:p w14:paraId="5F71B2D1">
                  <w:pPr>
                    <w:jc w:val="center"/>
                    <w:rPr>
                      <w:color w:val="0D0D0D" w:themeColor="text1" w:themeTint="F2"/>
                      <w:szCs w:val="21"/>
                      <w:u w:val="single"/>
                      <w14:textFill>
                        <w14:solidFill>
                          <w14:schemeClr w14:val="tx1">
                            <w14:lumMod w14:val="95000"/>
                            <w14:lumOff w14:val="5000"/>
                          </w14:schemeClr>
                        </w14:solidFill>
                      </w14:textFill>
                    </w:rPr>
                  </w:pPr>
                </w:p>
              </w:tc>
              <w:tc>
                <w:tcPr>
                  <w:tcW w:w="712" w:type="pct"/>
                  <w:shd w:val="clear" w:color="auto" w:fill="auto"/>
                  <w:vAlign w:val="center"/>
                </w:tcPr>
                <w:p w14:paraId="27E5F2C4">
                  <w:pPr>
                    <w:jc w:val="center"/>
                    <w:rPr>
                      <w:color w:val="0D0D0D" w:themeColor="text1" w:themeTint="F2"/>
                      <w:szCs w:val="21"/>
                      <w:u w:val="single"/>
                      <w14:textFill>
                        <w14:solidFill>
                          <w14:schemeClr w14:val="tx1">
                            <w14:lumMod w14:val="95000"/>
                            <w14:lumOff w14:val="5000"/>
                          </w14:schemeClr>
                        </w14:solidFill>
                      </w14:textFill>
                    </w:rPr>
                  </w:pPr>
                </w:p>
              </w:tc>
              <w:tc>
                <w:tcPr>
                  <w:tcW w:w="522" w:type="pct"/>
                  <w:shd w:val="clear" w:color="auto" w:fill="auto"/>
                  <w:vAlign w:val="center"/>
                </w:tcPr>
                <w:p w14:paraId="3B9EFFD4">
                  <w:pPr>
                    <w:jc w:val="center"/>
                    <w:rPr>
                      <w:color w:val="0D0D0D" w:themeColor="text1" w:themeTint="F2"/>
                      <w:szCs w:val="21"/>
                      <w:u w:val="single"/>
                      <w14:textFill>
                        <w14:solidFill>
                          <w14:schemeClr w14:val="tx1">
                            <w14:lumMod w14:val="95000"/>
                            <w14:lumOff w14:val="5000"/>
                          </w14:schemeClr>
                        </w14:solidFill>
                      </w14:textFill>
                    </w:rPr>
                  </w:pPr>
                </w:p>
              </w:tc>
              <w:tc>
                <w:tcPr>
                  <w:tcW w:w="651" w:type="pct"/>
                  <w:shd w:val="clear" w:color="auto" w:fill="auto"/>
                  <w:vAlign w:val="center"/>
                </w:tcPr>
                <w:p w14:paraId="5DC92B73">
                  <w:pPr>
                    <w:jc w:val="center"/>
                    <w:rPr>
                      <w:color w:val="0D0D0D" w:themeColor="text1" w:themeTint="F2"/>
                      <w:szCs w:val="21"/>
                      <w:u w:val="single"/>
                      <w14:textFill>
                        <w14:solidFill>
                          <w14:schemeClr w14:val="tx1">
                            <w14:lumMod w14:val="95000"/>
                            <w14:lumOff w14:val="5000"/>
                          </w14:schemeClr>
                        </w14:solidFill>
                      </w14:textFill>
                    </w:rPr>
                  </w:pPr>
                </w:p>
              </w:tc>
            </w:tr>
            <w:tr w14:paraId="2ED09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2" w:type="pct"/>
                  <w:shd w:val="clear" w:color="auto" w:fill="auto"/>
                  <w:vAlign w:val="center"/>
                </w:tcPr>
                <w:p w14:paraId="2B9F4384">
                  <w:pPr>
                    <w:jc w:val="center"/>
                    <w:rPr>
                      <w:color w:val="0D0D0D" w:themeColor="text1" w:themeTint="F2"/>
                      <w:szCs w:val="21"/>
                      <w:u w:val="single"/>
                      <w14:textFill>
                        <w14:solidFill>
                          <w14:schemeClr w14:val="tx1">
                            <w14:lumMod w14:val="95000"/>
                            <w14:lumOff w14:val="5000"/>
                          </w14:schemeClr>
                        </w14:solidFill>
                      </w14:textFill>
                    </w:rPr>
                  </w:pPr>
                </w:p>
              </w:tc>
              <w:tc>
                <w:tcPr>
                  <w:tcW w:w="1882" w:type="pct"/>
                  <w:shd w:val="clear" w:color="auto" w:fill="auto"/>
                  <w:vAlign w:val="center"/>
                </w:tcPr>
                <w:p w14:paraId="17EDF041">
                  <w:pPr>
                    <w:jc w:val="center"/>
                    <w:rPr>
                      <w:color w:val="0D0D0D" w:themeColor="text1" w:themeTint="F2"/>
                      <w:szCs w:val="21"/>
                      <w:u w:val="single"/>
                      <w14:textFill>
                        <w14:solidFill>
                          <w14:schemeClr w14:val="tx1">
                            <w14:lumMod w14:val="95000"/>
                            <w14:lumOff w14:val="5000"/>
                          </w14:schemeClr>
                        </w14:solidFill>
                      </w14:textFill>
                    </w:rPr>
                  </w:pPr>
                </w:p>
              </w:tc>
              <w:tc>
                <w:tcPr>
                  <w:tcW w:w="712" w:type="pct"/>
                  <w:shd w:val="clear" w:color="auto" w:fill="auto"/>
                  <w:vAlign w:val="center"/>
                </w:tcPr>
                <w:p w14:paraId="1E26A42A">
                  <w:pPr>
                    <w:jc w:val="center"/>
                    <w:rPr>
                      <w:color w:val="0D0D0D" w:themeColor="text1" w:themeTint="F2"/>
                      <w:szCs w:val="21"/>
                      <w:u w:val="single"/>
                      <w14:textFill>
                        <w14:solidFill>
                          <w14:schemeClr w14:val="tx1">
                            <w14:lumMod w14:val="95000"/>
                            <w14:lumOff w14:val="5000"/>
                          </w14:schemeClr>
                        </w14:solidFill>
                      </w14:textFill>
                    </w:rPr>
                  </w:pPr>
                </w:p>
              </w:tc>
              <w:tc>
                <w:tcPr>
                  <w:tcW w:w="712" w:type="pct"/>
                  <w:shd w:val="clear" w:color="auto" w:fill="auto"/>
                  <w:vAlign w:val="center"/>
                </w:tcPr>
                <w:p w14:paraId="4B749BB9">
                  <w:pPr>
                    <w:jc w:val="center"/>
                    <w:rPr>
                      <w:color w:val="0D0D0D" w:themeColor="text1" w:themeTint="F2"/>
                      <w:szCs w:val="21"/>
                      <w:u w:val="single"/>
                      <w14:textFill>
                        <w14:solidFill>
                          <w14:schemeClr w14:val="tx1">
                            <w14:lumMod w14:val="95000"/>
                            <w14:lumOff w14:val="5000"/>
                          </w14:schemeClr>
                        </w14:solidFill>
                      </w14:textFill>
                    </w:rPr>
                  </w:pPr>
                </w:p>
              </w:tc>
              <w:tc>
                <w:tcPr>
                  <w:tcW w:w="522" w:type="pct"/>
                  <w:shd w:val="clear" w:color="auto" w:fill="auto"/>
                  <w:vAlign w:val="center"/>
                </w:tcPr>
                <w:p w14:paraId="5386F873">
                  <w:pPr>
                    <w:jc w:val="center"/>
                    <w:rPr>
                      <w:color w:val="0D0D0D" w:themeColor="text1" w:themeTint="F2"/>
                      <w:szCs w:val="21"/>
                      <w:u w:val="single"/>
                      <w14:textFill>
                        <w14:solidFill>
                          <w14:schemeClr w14:val="tx1">
                            <w14:lumMod w14:val="95000"/>
                            <w14:lumOff w14:val="5000"/>
                          </w14:schemeClr>
                        </w14:solidFill>
                      </w14:textFill>
                    </w:rPr>
                  </w:pPr>
                </w:p>
              </w:tc>
              <w:tc>
                <w:tcPr>
                  <w:tcW w:w="651" w:type="pct"/>
                  <w:shd w:val="clear" w:color="auto" w:fill="auto"/>
                  <w:vAlign w:val="center"/>
                </w:tcPr>
                <w:p w14:paraId="7BF6315C">
                  <w:pPr>
                    <w:jc w:val="center"/>
                    <w:rPr>
                      <w:color w:val="0D0D0D" w:themeColor="text1" w:themeTint="F2"/>
                      <w:szCs w:val="21"/>
                      <w:u w:val="single"/>
                      <w14:textFill>
                        <w14:solidFill>
                          <w14:schemeClr w14:val="tx1">
                            <w14:lumMod w14:val="95000"/>
                            <w14:lumOff w14:val="5000"/>
                          </w14:schemeClr>
                        </w14:solidFill>
                      </w14:textFill>
                    </w:rPr>
                  </w:pPr>
                </w:p>
              </w:tc>
            </w:tr>
            <w:tr w14:paraId="5A6DA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2" w:type="pct"/>
                  <w:shd w:val="clear" w:color="auto" w:fill="auto"/>
                  <w:vAlign w:val="center"/>
                </w:tcPr>
                <w:p w14:paraId="126EB277">
                  <w:pPr>
                    <w:jc w:val="center"/>
                    <w:rPr>
                      <w:color w:val="0D0D0D" w:themeColor="text1" w:themeTint="F2"/>
                      <w:szCs w:val="21"/>
                      <w:u w:val="single"/>
                      <w14:textFill>
                        <w14:solidFill>
                          <w14:schemeClr w14:val="tx1">
                            <w14:lumMod w14:val="95000"/>
                            <w14:lumOff w14:val="5000"/>
                          </w14:schemeClr>
                        </w14:solidFill>
                      </w14:textFill>
                    </w:rPr>
                  </w:pPr>
                </w:p>
              </w:tc>
              <w:tc>
                <w:tcPr>
                  <w:tcW w:w="1882" w:type="pct"/>
                  <w:shd w:val="clear" w:color="auto" w:fill="auto"/>
                  <w:vAlign w:val="center"/>
                </w:tcPr>
                <w:p w14:paraId="3BC139D3">
                  <w:pPr>
                    <w:jc w:val="center"/>
                    <w:rPr>
                      <w:color w:val="0D0D0D" w:themeColor="text1" w:themeTint="F2"/>
                      <w:szCs w:val="21"/>
                      <w:u w:val="single"/>
                      <w14:textFill>
                        <w14:solidFill>
                          <w14:schemeClr w14:val="tx1">
                            <w14:lumMod w14:val="95000"/>
                            <w14:lumOff w14:val="5000"/>
                          </w14:schemeClr>
                        </w14:solidFill>
                      </w14:textFill>
                    </w:rPr>
                  </w:pPr>
                </w:p>
              </w:tc>
              <w:tc>
                <w:tcPr>
                  <w:tcW w:w="712" w:type="pct"/>
                  <w:shd w:val="clear" w:color="auto" w:fill="auto"/>
                  <w:vAlign w:val="center"/>
                </w:tcPr>
                <w:p w14:paraId="7ED42F23">
                  <w:pPr>
                    <w:jc w:val="center"/>
                    <w:rPr>
                      <w:color w:val="0D0D0D" w:themeColor="text1" w:themeTint="F2"/>
                      <w:szCs w:val="21"/>
                      <w:u w:val="single"/>
                      <w14:textFill>
                        <w14:solidFill>
                          <w14:schemeClr w14:val="tx1">
                            <w14:lumMod w14:val="95000"/>
                            <w14:lumOff w14:val="5000"/>
                          </w14:schemeClr>
                        </w14:solidFill>
                      </w14:textFill>
                    </w:rPr>
                  </w:pPr>
                </w:p>
              </w:tc>
              <w:tc>
                <w:tcPr>
                  <w:tcW w:w="712" w:type="pct"/>
                  <w:shd w:val="clear" w:color="auto" w:fill="auto"/>
                  <w:vAlign w:val="center"/>
                </w:tcPr>
                <w:p w14:paraId="2D21499A">
                  <w:pPr>
                    <w:jc w:val="center"/>
                    <w:rPr>
                      <w:color w:val="0D0D0D" w:themeColor="text1" w:themeTint="F2"/>
                      <w:szCs w:val="21"/>
                      <w:u w:val="single"/>
                      <w14:textFill>
                        <w14:solidFill>
                          <w14:schemeClr w14:val="tx1">
                            <w14:lumMod w14:val="95000"/>
                            <w14:lumOff w14:val="5000"/>
                          </w14:schemeClr>
                        </w14:solidFill>
                      </w14:textFill>
                    </w:rPr>
                  </w:pPr>
                </w:p>
              </w:tc>
              <w:tc>
                <w:tcPr>
                  <w:tcW w:w="522" w:type="pct"/>
                  <w:shd w:val="clear" w:color="auto" w:fill="auto"/>
                  <w:vAlign w:val="center"/>
                </w:tcPr>
                <w:p w14:paraId="71116465">
                  <w:pPr>
                    <w:jc w:val="center"/>
                    <w:rPr>
                      <w:color w:val="0D0D0D" w:themeColor="text1" w:themeTint="F2"/>
                      <w:szCs w:val="21"/>
                      <w:u w:val="single"/>
                      <w14:textFill>
                        <w14:solidFill>
                          <w14:schemeClr w14:val="tx1">
                            <w14:lumMod w14:val="95000"/>
                            <w14:lumOff w14:val="5000"/>
                          </w14:schemeClr>
                        </w14:solidFill>
                      </w14:textFill>
                    </w:rPr>
                  </w:pPr>
                </w:p>
              </w:tc>
              <w:tc>
                <w:tcPr>
                  <w:tcW w:w="651" w:type="pct"/>
                  <w:shd w:val="clear" w:color="auto" w:fill="auto"/>
                  <w:vAlign w:val="center"/>
                </w:tcPr>
                <w:p w14:paraId="43457386">
                  <w:pPr>
                    <w:jc w:val="center"/>
                    <w:rPr>
                      <w:color w:val="0D0D0D" w:themeColor="text1" w:themeTint="F2"/>
                      <w:szCs w:val="21"/>
                      <w:u w:val="single"/>
                      <w14:textFill>
                        <w14:solidFill>
                          <w14:schemeClr w14:val="tx1">
                            <w14:lumMod w14:val="95000"/>
                            <w14:lumOff w14:val="5000"/>
                          </w14:schemeClr>
                        </w14:solidFill>
                      </w14:textFill>
                    </w:rPr>
                  </w:pPr>
                </w:p>
              </w:tc>
            </w:tr>
            <w:tr w14:paraId="37797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2" w:type="pct"/>
                  <w:shd w:val="clear" w:color="auto" w:fill="auto"/>
                  <w:vAlign w:val="center"/>
                </w:tcPr>
                <w:p w14:paraId="3BA61A56">
                  <w:pPr>
                    <w:jc w:val="center"/>
                    <w:rPr>
                      <w:color w:val="0D0D0D" w:themeColor="text1" w:themeTint="F2"/>
                      <w:szCs w:val="21"/>
                      <w:u w:val="single"/>
                      <w14:textFill>
                        <w14:solidFill>
                          <w14:schemeClr w14:val="tx1">
                            <w14:lumMod w14:val="95000"/>
                            <w14:lumOff w14:val="5000"/>
                          </w14:schemeClr>
                        </w14:solidFill>
                      </w14:textFill>
                    </w:rPr>
                  </w:pPr>
                </w:p>
              </w:tc>
              <w:tc>
                <w:tcPr>
                  <w:tcW w:w="1882" w:type="pct"/>
                  <w:shd w:val="clear" w:color="auto" w:fill="auto"/>
                  <w:vAlign w:val="center"/>
                </w:tcPr>
                <w:p w14:paraId="6E4D30BA">
                  <w:pPr>
                    <w:jc w:val="center"/>
                    <w:rPr>
                      <w:color w:val="0D0D0D" w:themeColor="text1" w:themeTint="F2"/>
                      <w:szCs w:val="21"/>
                      <w:u w:val="single"/>
                      <w14:textFill>
                        <w14:solidFill>
                          <w14:schemeClr w14:val="tx1">
                            <w14:lumMod w14:val="95000"/>
                            <w14:lumOff w14:val="5000"/>
                          </w14:schemeClr>
                        </w14:solidFill>
                      </w14:textFill>
                    </w:rPr>
                  </w:pPr>
                </w:p>
              </w:tc>
              <w:tc>
                <w:tcPr>
                  <w:tcW w:w="712" w:type="pct"/>
                  <w:shd w:val="clear" w:color="auto" w:fill="auto"/>
                  <w:vAlign w:val="center"/>
                </w:tcPr>
                <w:p w14:paraId="22534775">
                  <w:pPr>
                    <w:jc w:val="center"/>
                    <w:rPr>
                      <w:color w:val="0D0D0D" w:themeColor="text1" w:themeTint="F2"/>
                      <w:szCs w:val="21"/>
                      <w:u w:val="single"/>
                      <w14:textFill>
                        <w14:solidFill>
                          <w14:schemeClr w14:val="tx1">
                            <w14:lumMod w14:val="95000"/>
                            <w14:lumOff w14:val="5000"/>
                          </w14:schemeClr>
                        </w14:solidFill>
                      </w14:textFill>
                    </w:rPr>
                  </w:pPr>
                </w:p>
              </w:tc>
              <w:tc>
                <w:tcPr>
                  <w:tcW w:w="712" w:type="pct"/>
                  <w:shd w:val="clear" w:color="auto" w:fill="auto"/>
                  <w:vAlign w:val="center"/>
                </w:tcPr>
                <w:p w14:paraId="6FE91EF4">
                  <w:pPr>
                    <w:jc w:val="center"/>
                    <w:rPr>
                      <w:color w:val="0D0D0D" w:themeColor="text1" w:themeTint="F2"/>
                      <w:szCs w:val="21"/>
                      <w:u w:val="single"/>
                      <w14:textFill>
                        <w14:solidFill>
                          <w14:schemeClr w14:val="tx1">
                            <w14:lumMod w14:val="95000"/>
                            <w14:lumOff w14:val="5000"/>
                          </w14:schemeClr>
                        </w14:solidFill>
                      </w14:textFill>
                    </w:rPr>
                  </w:pPr>
                </w:p>
              </w:tc>
              <w:tc>
                <w:tcPr>
                  <w:tcW w:w="522" w:type="pct"/>
                  <w:shd w:val="clear" w:color="auto" w:fill="auto"/>
                  <w:vAlign w:val="center"/>
                </w:tcPr>
                <w:p w14:paraId="5D557378">
                  <w:pPr>
                    <w:jc w:val="center"/>
                    <w:rPr>
                      <w:color w:val="0D0D0D" w:themeColor="text1" w:themeTint="F2"/>
                      <w:szCs w:val="21"/>
                      <w:u w:val="single"/>
                      <w14:textFill>
                        <w14:solidFill>
                          <w14:schemeClr w14:val="tx1">
                            <w14:lumMod w14:val="95000"/>
                            <w14:lumOff w14:val="5000"/>
                          </w14:schemeClr>
                        </w14:solidFill>
                      </w14:textFill>
                    </w:rPr>
                  </w:pPr>
                </w:p>
              </w:tc>
              <w:tc>
                <w:tcPr>
                  <w:tcW w:w="651" w:type="pct"/>
                  <w:shd w:val="clear" w:color="auto" w:fill="auto"/>
                  <w:vAlign w:val="center"/>
                </w:tcPr>
                <w:p w14:paraId="323BB41C">
                  <w:pPr>
                    <w:jc w:val="center"/>
                    <w:rPr>
                      <w:color w:val="0D0D0D" w:themeColor="text1" w:themeTint="F2"/>
                      <w:szCs w:val="21"/>
                      <w:u w:val="single"/>
                      <w14:textFill>
                        <w14:solidFill>
                          <w14:schemeClr w14:val="tx1">
                            <w14:lumMod w14:val="95000"/>
                            <w14:lumOff w14:val="5000"/>
                          </w14:schemeClr>
                        </w14:solidFill>
                      </w14:textFill>
                    </w:rPr>
                  </w:pPr>
                </w:p>
              </w:tc>
            </w:tr>
          </w:tbl>
          <w:p w14:paraId="578F0045">
            <w:pPr>
              <w:spacing w:line="360" w:lineRule="auto"/>
              <w:ind w:firstLine="480" w:firstLineChars="200"/>
              <w:rPr>
                <w:color w:val="0D0D0D" w:themeColor="text1" w:themeTint="F2"/>
                <w:sz w:val="24"/>
                <w:u w:val="single"/>
                <w14:textFill>
                  <w14:solidFill>
                    <w14:schemeClr w14:val="tx1">
                      <w14:lumMod w14:val="95000"/>
                      <w14:lumOff w14:val="5000"/>
                    </w14:schemeClr>
                  </w14:solidFill>
                </w14:textFill>
              </w:rPr>
            </w:pPr>
            <w:r>
              <w:rPr>
                <w:rFonts w:hint="eastAsia"/>
                <w:color w:val="0D0D0D" w:themeColor="text1" w:themeTint="F2"/>
                <w:sz w:val="24"/>
                <w:u w:val="single"/>
                <w14:textFill>
                  <w14:solidFill>
                    <w14:schemeClr w14:val="tx1">
                      <w14:lumMod w14:val="95000"/>
                      <w14:lumOff w14:val="5000"/>
                    </w14:schemeClr>
                  </w14:solidFill>
                </w14:textFill>
              </w:rPr>
              <w:t>由上表可知，</w:t>
            </w:r>
            <w:r>
              <w:rPr>
                <w:color w:val="0D0D0D" w:themeColor="text1" w:themeTint="F2"/>
                <w:sz w:val="24"/>
                <w:u w:val="single"/>
                <w14:textFill>
                  <w14:solidFill>
                    <w14:schemeClr w14:val="tx1">
                      <w14:lumMod w14:val="95000"/>
                      <w14:lumOff w14:val="5000"/>
                    </w14:schemeClr>
                  </w14:solidFill>
                </w14:textFill>
              </w:rPr>
              <w:t>202</w:t>
            </w:r>
            <w:r>
              <w:rPr>
                <w:rFonts w:hint="eastAsia"/>
                <w:color w:val="0D0D0D" w:themeColor="text1" w:themeTint="F2"/>
                <w:sz w:val="24"/>
                <w:u w:val="single"/>
                <w14:textFill>
                  <w14:solidFill>
                    <w14:schemeClr w14:val="tx1">
                      <w14:lumMod w14:val="95000"/>
                      <w14:lumOff w14:val="5000"/>
                    </w14:schemeClr>
                  </w14:solidFill>
                </w14:textFill>
              </w:rPr>
              <w:t>4年钦州市大气基本污染物</w:t>
            </w:r>
            <w:r>
              <w:rPr>
                <w:color w:val="0D0D0D" w:themeColor="text1" w:themeTint="F2"/>
                <w:sz w:val="24"/>
                <w:u w:val="single"/>
                <w14:textFill>
                  <w14:solidFill>
                    <w14:schemeClr w14:val="tx1">
                      <w14:lumMod w14:val="95000"/>
                      <w14:lumOff w14:val="5000"/>
                    </w14:schemeClr>
                  </w14:solidFill>
                </w14:textFill>
              </w:rPr>
              <w:t>SO</w:t>
            </w:r>
            <w:r>
              <w:rPr>
                <w:color w:val="0D0D0D" w:themeColor="text1" w:themeTint="F2"/>
                <w:sz w:val="24"/>
                <w:u w:val="single"/>
                <w:vertAlign w:val="subscript"/>
                <w14:textFill>
                  <w14:solidFill>
                    <w14:schemeClr w14:val="tx1">
                      <w14:lumMod w14:val="95000"/>
                      <w14:lumOff w14:val="5000"/>
                    </w14:schemeClr>
                  </w14:solidFill>
                </w14:textFill>
              </w:rPr>
              <w:t>2</w:t>
            </w:r>
            <w:r>
              <w:rPr>
                <w:rFonts w:hint="eastAsia"/>
                <w:color w:val="0D0D0D" w:themeColor="text1" w:themeTint="F2"/>
                <w:sz w:val="24"/>
                <w:u w:val="single"/>
                <w14:textFill>
                  <w14:solidFill>
                    <w14:schemeClr w14:val="tx1">
                      <w14:lumMod w14:val="95000"/>
                      <w14:lumOff w14:val="5000"/>
                    </w14:schemeClr>
                  </w14:solidFill>
                </w14:textFill>
              </w:rPr>
              <w:t>、</w:t>
            </w:r>
            <w:r>
              <w:rPr>
                <w:color w:val="0D0D0D" w:themeColor="text1" w:themeTint="F2"/>
                <w:sz w:val="24"/>
                <w:u w:val="single"/>
                <w14:textFill>
                  <w14:solidFill>
                    <w14:schemeClr w14:val="tx1">
                      <w14:lumMod w14:val="95000"/>
                      <w14:lumOff w14:val="5000"/>
                    </w14:schemeClr>
                  </w14:solidFill>
                </w14:textFill>
              </w:rPr>
              <w:t>NO</w:t>
            </w:r>
            <w:r>
              <w:rPr>
                <w:color w:val="0D0D0D" w:themeColor="text1" w:themeTint="F2"/>
                <w:sz w:val="24"/>
                <w:u w:val="single"/>
                <w:vertAlign w:val="subscript"/>
                <w14:textFill>
                  <w14:solidFill>
                    <w14:schemeClr w14:val="tx1">
                      <w14:lumMod w14:val="95000"/>
                      <w14:lumOff w14:val="5000"/>
                    </w14:schemeClr>
                  </w14:solidFill>
                </w14:textFill>
              </w:rPr>
              <w:t>2</w:t>
            </w:r>
            <w:r>
              <w:rPr>
                <w:rFonts w:hint="eastAsia"/>
                <w:color w:val="0D0D0D" w:themeColor="text1" w:themeTint="F2"/>
                <w:sz w:val="24"/>
                <w:u w:val="single"/>
                <w14:textFill>
                  <w14:solidFill>
                    <w14:schemeClr w14:val="tx1">
                      <w14:lumMod w14:val="95000"/>
                      <w14:lumOff w14:val="5000"/>
                    </w14:schemeClr>
                  </w14:solidFill>
                </w14:textFill>
              </w:rPr>
              <w:t>、</w:t>
            </w:r>
            <w:r>
              <w:rPr>
                <w:color w:val="0D0D0D" w:themeColor="text1" w:themeTint="F2"/>
                <w:sz w:val="24"/>
                <w:u w:val="single"/>
                <w14:textFill>
                  <w14:solidFill>
                    <w14:schemeClr w14:val="tx1">
                      <w14:lumMod w14:val="95000"/>
                      <w14:lumOff w14:val="5000"/>
                    </w14:schemeClr>
                  </w14:solidFill>
                </w14:textFill>
              </w:rPr>
              <w:t>PM</w:t>
            </w:r>
            <w:r>
              <w:rPr>
                <w:color w:val="0D0D0D" w:themeColor="text1" w:themeTint="F2"/>
                <w:sz w:val="24"/>
                <w:u w:val="single"/>
                <w:vertAlign w:val="subscript"/>
                <w14:textFill>
                  <w14:solidFill>
                    <w14:schemeClr w14:val="tx1">
                      <w14:lumMod w14:val="95000"/>
                      <w14:lumOff w14:val="5000"/>
                    </w14:schemeClr>
                  </w14:solidFill>
                </w14:textFill>
              </w:rPr>
              <w:t>10</w:t>
            </w:r>
            <w:r>
              <w:rPr>
                <w:rFonts w:hint="eastAsia"/>
                <w:color w:val="0D0D0D" w:themeColor="text1" w:themeTint="F2"/>
                <w:sz w:val="24"/>
                <w:u w:val="single"/>
                <w14:textFill>
                  <w14:solidFill>
                    <w14:schemeClr w14:val="tx1">
                      <w14:lumMod w14:val="95000"/>
                      <w14:lumOff w14:val="5000"/>
                    </w14:schemeClr>
                  </w14:solidFill>
                </w14:textFill>
              </w:rPr>
              <w:t>、</w:t>
            </w:r>
            <w:r>
              <w:rPr>
                <w:color w:val="0D0D0D" w:themeColor="text1" w:themeTint="F2"/>
                <w:sz w:val="24"/>
                <w:u w:val="single"/>
                <w14:textFill>
                  <w14:solidFill>
                    <w14:schemeClr w14:val="tx1">
                      <w14:lumMod w14:val="95000"/>
                      <w14:lumOff w14:val="5000"/>
                    </w14:schemeClr>
                  </w14:solidFill>
                </w14:textFill>
              </w:rPr>
              <w:t>PM</w:t>
            </w:r>
            <w:r>
              <w:rPr>
                <w:color w:val="0D0D0D" w:themeColor="text1" w:themeTint="F2"/>
                <w:sz w:val="24"/>
                <w:u w:val="single"/>
                <w:vertAlign w:val="subscript"/>
                <w14:textFill>
                  <w14:solidFill>
                    <w14:schemeClr w14:val="tx1">
                      <w14:lumMod w14:val="95000"/>
                      <w14:lumOff w14:val="5000"/>
                    </w14:schemeClr>
                  </w14:solidFill>
                </w14:textFill>
              </w:rPr>
              <w:t>2.5</w:t>
            </w:r>
            <w:r>
              <w:rPr>
                <w:rFonts w:hint="eastAsia"/>
                <w:color w:val="0D0D0D" w:themeColor="text1" w:themeTint="F2"/>
                <w:sz w:val="24"/>
                <w:u w:val="single"/>
                <w14:textFill>
                  <w14:solidFill>
                    <w14:schemeClr w14:val="tx1">
                      <w14:lumMod w14:val="95000"/>
                      <w14:lumOff w14:val="5000"/>
                    </w14:schemeClr>
                  </w14:solidFill>
                </w14:textFill>
              </w:rPr>
              <w:t>、</w:t>
            </w:r>
            <w:r>
              <w:rPr>
                <w:color w:val="0D0D0D" w:themeColor="text1" w:themeTint="F2"/>
                <w:sz w:val="24"/>
                <w:u w:val="single"/>
                <w14:textFill>
                  <w14:solidFill>
                    <w14:schemeClr w14:val="tx1">
                      <w14:lumMod w14:val="95000"/>
                      <w14:lumOff w14:val="5000"/>
                    </w14:schemeClr>
                  </w14:solidFill>
                </w14:textFill>
              </w:rPr>
              <w:t>CO</w:t>
            </w:r>
            <w:r>
              <w:rPr>
                <w:rFonts w:hint="eastAsia"/>
                <w:color w:val="0D0D0D" w:themeColor="text1" w:themeTint="F2"/>
                <w:sz w:val="24"/>
                <w:u w:val="single"/>
                <w14:textFill>
                  <w14:solidFill>
                    <w14:schemeClr w14:val="tx1">
                      <w14:lumMod w14:val="95000"/>
                      <w14:lumOff w14:val="5000"/>
                    </w14:schemeClr>
                  </w14:solidFill>
                </w14:textFill>
              </w:rPr>
              <w:t>、</w:t>
            </w:r>
            <w:r>
              <w:rPr>
                <w:color w:val="0D0D0D" w:themeColor="text1" w:themeTint="F2"/>
                <w:sz w:val="24"/>
                <w:u w:val="single"/>
                <w14:textFill>
                  <w14:solidFill>
                    <w14:schemeClr w14:val="tx1">
                      <w14:lumMod w14:val="95000"/>
                      <w14:lumOff w14:val="5000"/>
                    </w14:schemeClr>
                  </w14:solidFill>
                </w14:textFill>
              </w:rPr>
              <w:t>O</w:t>
            </w:r>
            <w:r>
              <w:rPr>
                <w:color w:val="0D0D0D" w:themeColor="text1" w:themeTint="F2"/>
                <w:sz w:val="24"/>
                <w:u w:val="single"/>
                <w:vertAlign w:val="subscript"/>
                <w14:textFill>
                  <w14:solidFill>
                    <w14:schemeClr w14:val="tx1">
                      <w14:lumMod w14:val="95000"/>
                      <w14:lumOff w14:val="5000"/>
                    </w14:schemeClr>
                  </w14:solidFill>
                </w14:textFill>
              </w:rPr>
              <w:t>3</w:t>
            </w:r>
            <w:r>
              <w:rPr>
                <w:rFonts w:hint="eastAsia"/>
                <w:color w:val="0D0D0D" w:themeColor="text1" w:themeTint="F2"/>
                <w:sz w:val="24"/>
                <w:u w:val="single"/>
                <w14:textFill>
                  <w14:solidFill>
                    <w14:schemeClr w14:val="tx1">
                      <w14:lumMod w14:val="95000"/>
                      <w14:lumOff w14:val="5000"/>
                    </w14:schemeClr>
                  </w14:solidFill>
                </w14:textFill>
              </w:rPr>
              <w:t>的年评价指标均满足《环境空气质量标准》（</w:t>
            </w:r>
            <w:r>
              <w:rPr>
                <w:color w:val="0D0D0D" w:themeColor="text1" w:themeTint="F2"/>
                <w:sz w:val="24"/>
                <w:u w:val="single"/>
                <w14:textFill>
                  <w14:solidFill>
                    <w14:schemeClr w14:val="tx1">
                      <w14:lumMod w14:val="95000"/>
                      <w14:lumOff w14:val="5000"/>
                    </w14:schemeClr>
                  </w14:solidFill>
                </w14:textFill>
              </w:rPr>
              <w:t>GB3095-2012</w:t>
            </w:r>
            <w:r>
              <w:rPr>
                <w:rFonts w:hint="eastAsia"/>
                <w:color w:val="0D0D0D" w:themeColor="text1" w:themeTint="F2"/>
                <w:sz w:val="24"/>
                <w:u w:val="single"/>
                <w14:textFill>
                  <w14:solidFill>
                    <w14:schemeClr w14:val="tx1">
                      <w14:lumMod w14:val="95000"/>
                      <w14:lumOff w14:val="5000"/>
                    </w14:schemeClr>
                  </w14:solidFill>
                </w14:textFill>
              </w:rPr>
              <w:t>）及其修改单二级标准。因此，项目所在区域</w:t>
            </w:r>
            <w:r>
              <w:rPr>
                <w:color w:val="0D0D0D" w:themeColor="text1" w:themeTint="F2"/>
                <w:sz w:val="24"/>
                <w:u w:val="single"/>
                <w14:textFill>
                  <w14:solidFill>
                    <w14:schemeClr w14:val="tx1">
                      <w14:lumMod w14:val="95000"/>
                      <w14:lumOff w14:val="5000"/>
                    </w14:schemeClr>
                  </w14:solidFill>
                </w14:textFill>
              </w:rPr>
              <w:t>属于达标区</w:t>
            </w:r>
            <w:r>
              <w:rPr>
                <w:rFonts w:hint="eastAsia"/>
                <w:color w:val="0D0D0D" w:themeColor="text1" w:themeTint="F2"/>
                <w:sz w:val="24"/>
                <w:u w:val="single"/>
                <w14:textFill>
                  <w14:solidFill>
                    <w14:schemeClr w14:val="tx1">
                      <w14:lumMod w14:val="95000"/>
                      <w14:lumOff w14:val="5000"/>
                    </w14:schemeClr>
                  </w14:solidFill>
                </w14:textFill>
              </w:rPr>
              <w:t>，</w:t>
            </w:r>
            <w:r>
              <w:rPr>
                <w:color w:val="0D0D0D" w:themeColor="text1" w:themeTint="F2"/>
                <w:sz w:val="24"/>
                <w:u w:val="single"/>
                <w14:textFill>
                  <w14:solidFill>
                    <w14:schemeClr w14:val="tx1">
                      <w14:lumMod w14:val="95000"/>
                      <w14:lumOff w14:val="5000"/>
                    </w14:schemeClr>
                  </w14:solidFill>
                </w14:textFill>
              </w:rPr>
              <w:t>区域环境空气质量较好。</w:t>
            </w:r>
          </w:p>
          <w:p w14:paraId="290576EA">
            <w:pPr>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（2）其他污染物现状调查</w:t>
            </w:r>
          </w:p>
          <w:p w14:paraId="35107C79">
            <w:pPr>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根据《建设项目环境影响报告表编制技术指南》（污染影响类）（试行）中的区域大气环境质量现状要求，“排放国家、地方环境空气质量标准中有标准限值要求的特征污染物时，引用建设项目周边5千米范围内近3年的现有监测数据，无相关数据的选择当季主导风向下风向1个点位补充不少于3天的监测数据。”</w:t>
            </w:r>
          </w:p>
          <w:p w14:paraId="00E3404A">
            <w:pPr>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u w:val="single"/>
                <w14:textFill>
                  <w14:solidFill>
                    <w14:schemeClr w14:val="tx1">
                      <w14:lumMod w14:val="95000"/>
                      <w14:lumOff w14:val="5000"/>
                    </w14:schemeClr>
                  </w14:solidFill>
                </w14:textFill>
              </w:rPr>
              <w:t>项目大气污染物特征因子为颗粒物、挥发性有机废气（以非甲烷总烃表征）和苯系物（以二甲苯表征）。</w:t>
            </w:r>
            <w:r>
              <w:rPr>
                <w:rFonts w:hint="eastAsia"/>
                <w:color w:val="0D0D0D" w:themeColor="text1" w:themeTint="F2"/>
                <w:sz w:val="24"/>
                <w14:textFill>
                  <w14:solidFill>
                    <w14:schemeClr w14:val="tx1">
                      <w14:lumMod w14:val="95000"/>
                      <w14:lumOff w14:val="5000"/>
                    </w14:schemeClr>
                  </w14:solidFill>
                </w14:textFill>
              </w:rPr>
              <w:t>本次评价引用广西骅桥新材料有限公司《台湾见龙钦州高端聚苯乙烯新材料项目检测报告》中的G2监测点现状</w:t>
            </w:r>
            <w:r>
              <w:rPr>
                <w:color w:val="0D0D0D" w:themeColor="text1" w:themeTint="F2"/>
                <w:sz w:val="24"/>
                <w14:textFill>
                  <w14:solidFill>
                    <w14:schemeClr w14:val="tx1">
                      <w14:lumMod w14:val="95000"/>
                      <w14:lumOff w14:val="5000"/>
                    </w14:schemeClr>
                  </w14:solidFill>
                </w14:textFill>
              </w:rPr>
              <w:t>监测数据进行说明，监测时间为202</w:t>
            </w:r>
            <w:r>
              <w:rPr>
                <w:rFonts w:hint="eastAsia"/>
                <w:color w:val="0D0D0D" w:themeColor="text1" w:themeTint="F2"/>
                <w:sz w:val="24"/>
                <w14:textFill>
                  <w14:solidFill>
                    <w14:schemeClr w14:val="tx1">
                      <w14:lumMod w14:val="95000"/>
                      <w14:lumOff w14:val="5000"/>
                    </w14:schemeClr>
                  </w14:solidFill>
                </w14:textFill>
              </w:rPr>
              <w:t>5</w:t>
            </w:r>
            <w:r>
              <w:rPr>
                <w:color w:val="0D0D0D" w:themeColor="text1" w:themeTint="F2"/>
                <w:sz w:val="24"/>
                <w14:textFill>
                  <w14:solidFill>
                    <w14:schemeClr w14:val="tx1">
                      <w14:lumMod w14:val="95000"/>
                      <w14:lumOff w14:val="5000"/>
                    </w14:schemeClr>
                  </w14:solidFill>
                </w14:textFill>
              </w:rPr>
              <w:t>年</w:t>
            </w:r>
            <w:r>
              <w:rPr>
                <w:rFonts w:hint="eastAsia"/>
                <w:color w:val="0D0D0D" w:themeColor="text1" w:themeTint="F2"/>
                <w:sz w:val="24"/>
                <w14:textFill>
                  <w14:solidFill>
                    <w14:schemeClr w14:val="tx1">
                      <w14:lumMod w14:val="95000"/>
                      <w14:lumOff w14:val="5000"/>
                    </w14:schemeClr>
                  </w14:solidFill>
                </w14:textFill>
              </w:rPr>
              <w:t>2</w:t>
            </w:r>
            <w:r>
              <w:rPr>
                <w:color w:val="0D0D0D" w:themeColor="text1" w:themeTint="F2"/>
                <w:sz w:val="24"/>
                <w14:textFill>
                  <w14:solidFill>
                    <w14:schemeClr w14:val="tx1">
                      <w14:lumMod w14:val="95000"/>
                      <w14:lumOff w14:val="5000"/>
                    </w14:schemeClr>
                  </w14:solidFill>
                </w14:textFill>
              </w:rPr>
              <w:t>月</w:t>
            </w:r>
            <w:r>
              <w:rPr>
                <w:rFonts w:hint="eastAsia"/>
                <w:color w:val="0D0D0D" w:themeColor="text1" w:themeTint="F2"/>
                <w:sz w:val="24"/>
                <w14:textFill>
                  <w14:solidFill>
                    <w14:schemeClr w14:val="tx1">
                      <w14:lumMod w14:val="95000"/>
                      <w14:lumOff w14:val="5000"/>
                    </w14:schemeClr>
                  </w14:solidFill>
                </w14:textFill>
              </w:rPr>
              <w:t>17</w:t>
            </w:r>
            <w:r>
              <w:rPr>
                <w:color w:val="0D0D0D" w:themeColor="text1" w:themeTint="F2"/>
                <w:sz w:val="24"/>
                <w14:textFill>
                  <w14:solidFill>
                    <w14:schemeClr w14:val="tx1">
                      <w14:lumMod w14:val="95000"/>
                      <w14:lumOff w14:val="5000"/>
                    </w14:schemeClr>
                  </w14:solidFill>
                </w14:textFill>
              </w:rPr>
              <w:t>日～</w:t>
            </w:r>
            <w:r>
              <w:rPr>
                <w:rFonts w:hint="eastAsia"/>
                <w:color w:val="0D0D0D" w:themeColor="text1" w:themeTint="F2"/>
                <w:sz w:val="24"/>
                <w14:textFill>
                  <w14:solidFill>
                    <w14:schemeClr w14:val="tx1">
                      <w14:lumMod w14:val="95000"/>
                      <w14:lumOff w14:val="5000"/>
                    </w14:schemeClr>
                  </w14:solidFill>
                </w14:textFill>
              </w:rPr>
              <w:t>2025年2</w:t>
            </w:r>
            <w:r>
              <w:rPr>
                <w:color w:val="0D0D0D" w:themeColor="text1" w:themeTint="F2"/>
                <w:sz w:val="24"/>
                <w14:textFill>
                  <w14:solidFill>
                    <w14:schemeClr w14:val="tx1">
                      <w14:lumMod w14:val="95000"/>
                      <w14:lumOff w14:val="5000"/>
                    </w14:schemeClr>
                  </w14:solidFill>
                </w14:textFill>
              </w:rPr>
              <w:t>月</w:t>
            </w:r>
            <w:r>
              <w:rPr>
                <w:rFonts w:hint="eastAsia"/>
                <w:color w:val="0D0D0D" w:themeColor="text1" w:themeTint="F2"/>
                <w:sz w:val="24"/>
                <w14:textFill>
                  <w14:solidFill>
                    <w14:schemeClr w14:val="tx1">
                      <w14:lumMod w14:val="95000"/>
                      <w14:lumOff w14:val="5000"/>
                    </w14:schemeClr>
                  </w14:solidFill>
                </w14:textFill>
              </w:rPr>
              <w:t>23</w:t>
            </w:r>
            <w:r>
              <w:rPr>
                <w:color w:val="0D0D0D" w:themeColor="text1" w:themeTint="F2"/>
                <w:sz w:val="24"/>
                <w14:textFill>
                  <w14:solidFill>
                    <w14:schemeClr w14:val="tx1">
                      <w14:lumMod w14:val="95000"/>
                      <w14:lumOff w14:val="5000"/>
                    </w14:schemeClr>
                  </w14:solidFill>
                </w14:textFill>
              </w:rPr>
              <w:t>日，所引用的监测点位于本项目西北面（</w:t>
            </w:r>
            <w:r>
              <w:rPr>
                <w:rFonts w:hint="eastAsia"/>
                <w:color w:val="0D0D0D" w:themeColor="text1" w:themeTint="F2"/>
                <w:sz w:val="24"/>
                <w14:textFill>
                  <w14:solidFill>
                    <w14:schemeClr w14:val="tx1">
                      <w14:lumMod w14:val="95000"/>
                      <w14:lumOff w14:val="5000"/>
                    </w14:schemeClr>
                  </w14:solidFill>
                </w14:textFill>
              </w:rPr>
              <w:t>上</w:t>
            </w:r>
            <w:r>
              <w:rPr>
                <w:color w:val="0D0D0D" w:themeColor="text1" w:themeTint="F2"/>
                <w:sz w:val="24"/>
                <w14:textFill>
                  <w14:solidFill>
                    <w14:schemeClr w14:val="tx1">
                      <w14:lumMod w14:val="95000"/>
                      <w14:lumOff w14:val="5000"/>
                    </w14:schemeClr>
                  </w14:solidFill>
                </w14:textFill>
              </w:rPr>
              <w:t>风向）约1km处，位于本项目</w:t>
            </w:r>
            <w:r>
              <w:rPr>
                <w:rFonts w:hint="eastAsia"/>
                <w:color w:val="0D0D0D" w:themeColor="text1" w:themeTint="F2"/>
                <w:sz w:val="24"/>
                <w14:textFill>
                  <w14:solidFill>
                    <w14:schemeClr w14:val="tx1">
                      <w14:lumMod w14:val="95000"/>
                      <w14:lumOff w14:val="5000"/>
                    </w14:schemeClr>
                  </w14:solidFill>
                </w14:textFill>
              </w:rPr>
              <w:t>周边5km范围内</w:t>
            </w:r>
            <w:r>
              <w:rPr>
                <w:color w:val="0D0D0D" w:themeColor="text1" w:themeTint="F2"/>
                <w:sz w:val="24"/>
                <w14:textFill>
                  <w14:solidFill>
                    <w14:schemeClr w14:val="tx1">
                      <w14:lumMod w14:val="95000"/>
                      <w14:lumOff w14:val="5000"/>
                    </w14:schemeClr>
                  </w14:solidFill>
                </w14:textFill>
              </w:rPr>
              <w:t>，监测数据有效，因此所引用的点位符合评价要求。</w:t>
            </w:r>
          </w:p>
          <w:p w14:paraId="29260830">
            <w:pPr>
              <w:pStyle w:val="48"/>
              <w:spacing w:line="360" w:lineRule="auto"/>
              <w:ind w:firstLine="480"/>
              <w:jc w:val="both"/>
              <w:rPr>
                <w:rFonts w:ascii="Times New Roman" w:hAnsi="Times New Roman"/>
                <w:color w:val="0D0D0D" w:themeColor="text1" w:themeTint="F2"/>
                <w:szCs w:val="24"/>
                <w:lang w:eastAsia="zh-CN"/>
                <w14:textFill>
                  <w14:solidFill>
                    <w14:schemeClr w14:val="tx1">
                      <w14:lumMod w14:val="95000"/>
                      <w14:lumOff w14:val="5000"/>
                    </w14:schemeClr>
                  </w14:solidFill>
                </w14:textFill>
              </w:rPr>
            </w:pPr>
            <w:r>
              <w:rPr>
                <w:rFonts w:hint="eastAsia" w:ascii="Times New Roman" w:hAnsi="Times New Roman"/>
                <w:color w:val="0D0D0D" w:themeColor="text1" w:themeTint="F2"/>
                <w:szCs w:val="24"/>
                <w:lang w:eastAsia="zh-CN"/>
                <w14:textFill>
                  <w14:solidFill>
                    <w14:schemeClr w14:val="tx1">
                      <w14:lumMod w14:val="95000"/>
                      <w14:lumOff w14:val="5000"/>
                    </w14:schemeClr>
                  </w14:solidFill>
                </w14:textFill>
              </w:rPr>
              <w:t>项目引用监测点位信息详见表3</w:t>
            </w:r>
            <w:r>
              <w:rPr>
                <w:rFonts w:ascii="Times New Roman" w:hAnsi="Times New Roman"/>
                <w:color w:val="0D0D0D" w:themeColor="text1" w:themeTint="F2"/>
                <w:szCs w:val="24"/>
                <w:lang w:eastAsia="zh-CN"/>
                <w14:textFill>
                  <w14:solidFill>
                    <w14:schemeClr w14:val="tx1">
                      <w14:lumMod w14:val="95000"/>
                      <w14:lumOff w14:val="5000"/>
                    </w14:schemeClr>
                  </w14:solidFill>
                </w14:textFill>
              </w:rPr>
              <w:t>-2</w:t>
            </w:r>
            <w:r>
              <w:rPr>
                <w:rFonts w:hint="eastAsia" w:ascii="Times New Roman" w:hAnsi="Times New Roman"/>
                <w:color w:val="0D0D0D" w:themeColor="text1" w:themeTint="F2"/>
                <w:szCs w:val="24"/>
                <w:lang w:eastAsia="zh-CN"/>
                <w14:textFill>
                  <w14:solidFill>
                    <w14:schemeClr w14:val="tx1">
                      <w14:lumMod w14:val="95000"/>
                      <w14:lumOff w14:val="5000"/>
                    </w14:schemeClr>
                  </w14:solidFill>
                </w14:textFill>
              </w:rPr>
              <w:t>和附图5。</w:t>
            </w:r>
          </w:p>
          <w:p w14:paraId="3314E0D9">
            <w:pPr>
              <w:pStyle w:val="48"/>
              <w:spacing w:line="240" w:lineRule="auto"/>
              <w:ind w:firstLine="0" w:firstLineChars="0"/>
              <w:jc w:val="center"/>
              <w:rPr>
                <w:rFonts w:ascii="Times New Roman" w:hAnsi="Times New Roman"/>
                <w:b/>
                <w:bCs/>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b/>
                <w:bCs/>
                <w:color w:val="0D0D0D" w:themeColor="text1" w:themeTint="F2"/>
                <w:sz w:val="21"/>
                <w:szCs w:val="21"/>
                <w:lang w:eastAsia="zh-CN"/>
                <w14:textFill>
                  <w14:solidFill>
                    <w14:schemeClr w14:val="tx1">
                      <w14:lumMod w14:val="95000"/>
                      <w14:lumOff w14:val="5000"/>
                    </w14:schemeClr>
                  </w14:solidFill>
                </w14:textFill>
              </w:rPr>
              <w:t>表3</w:t>
            </w:r>
            <w:r>
              <w:rPr>
                <w:rFonts w:ascii="Times New Roman" w:hAnsi="Times New Roman"/>
                <w:b/>
                <w:bCs/>
                <w:color w:val="0D0D0D" w:themeColor="text1" w:themeTint="F2"/>
                <w:sz w:val="21"/>
                <w:szCs w:val="21"/>
                <w:lang w:eastAsia="zh-CN"/>
                <w14:textFill>
                  <w14:solidFill>
                    <w14:schemeClr w14:val="tx1">
                      <w14:lumMod w14:val="95000"/>
                      <w14:lumOff w14:val="5000"/>
                    </w14:schemeClr>
                  </w14:solidFill>
                </w14:textFill>
              </w:rPr>
              <w:t xml:space="preserve">-2  </w:t>
            </w:r>
            <w:r>
              <w:rPr>
                <w:rFonts w:hint="eastAsia" w:ascii="Times New Roman" w:hAnsi="Times New Roman"/>
                <w:b/>
                <w:bCs/>
                <w:color w:val="0D0D0D" w:themeColor="text1" w:themeTint="F2"/>
                <w:sz w:val="21"/>
                <w:szCs w:val="21"/>
                <w:lang w:eastAsia="zh-CN"/>
                <w14:textFill>
                  <w14:solidFill>
                    <w14:schemeClr w14:val="tx1">
                      <w14:lumMod w14:val="95000"/>
                      <w14:lumOff w14:val="5000"/>
                    </w14:schemeClr>
                  </w14:solidFill>
                </w14:textFill>
              </w:rPr>
              <w:t>引用点位基本信息表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5"/>
              <w:gridCol w:w="1820"/>
              <w:gridCol w:w="1238"/>
              <w:gridCol w:w="1862"/>
              <w:gridCol w:w="855"/>
              <w:gridCol w:w="1059"/>
            </w:tblGrid>
            <w:tr w14:paraId="21B2E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22" w:type="pct"/>
                  <w:vAlign w:val="center"/>
                </w:tcPr>
                <w:p w14:paraId="4302A7C8">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1086" w:type="pct"/>
                  <w:vAlign w:val="center"/>
                </w:tcPr>
                <w:p w14:paraId="57EB75AA">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739" w:type="pct"/>
                  <w:vAlign w:val="center"/>
                </w:tcPr>
                <w:p w14:paraId="7F0DE05B">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1111" w:type="pct"/>
                  <w:vAlign w:val="center"/>
                </w:tcPr>
                <w:p w14:paraId="52650EF3">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510" w:type="pct"/>
                  <w:vAlign w:val="center"/>
                </w:tcPr>
                <w:p w14:paraId="09FB5EEA">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632" w:type="pct"/>
                  <w:vAlign w:val="center"/>
                </w:tcPr>
                <w:p w14:paraId="0B74FA4C">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r>
            <w:tr w14:paraId="66184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22" w:type="pct"/>
                  <w:vAlign w:val="center"/>
                </w:tcPr>
                <w:p w14:paraId="684B7B29">
                  <w:pPr>
                    <w:pStyle w:val="48"/>
                    <w:spacing w:line="240" w:lineRule="auto"/>
                    <w:ind w:firstLine="0" w:firstLineChars="0"/>
                    <w:jc w:val="both"/>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1086" w:type="pct"/>
                  <w:vAlign w:val="center"/>
                </w:tcPr>
                <w:p w14:paraId="32C0CACF">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739" w:type="pct"/>
                  <w:vAlign w:val="center"/>
                </w:tcPr>
                <w:p w14:paraId="293124CB">
                  <w:pPr>
                    <w:pStyle w:val="48"/>
                    <w:spacing w:line="240" w:lineRule="auto"/>
                    <w:ind w:firstLine="0" w:firstLineChars="0"/>
                    <w:jc w:val="both"/>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1111" w:type="pct"/>
                  <w:vAlign w:val="center"/>
                </w:tcPr>
                <w:p w14:paraId="5D5D3F0F">
                  <w:pPr>
                    <w:pStyle w:val="48"/>
                    <w:spacing w:line="240" w:lineRule="auto"/>
                    <w:ind w:firstLine="0" w:firstLineChars="0"/>
                    <w:jc w:val="both"/>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510" w:type="pct"/>
                  <w:vAlign w:val="center"/>
                </w:tcPr>
                <w:p w14:paraId="5D490EF2">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632" w:type="pct"/>
                  <w:vAlign w:val="center"/>
                </w:tcPr>
                <w:p w14:paraId="56CF345A">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r>
          </w:tbl>
          <w:p w14:paraId="02F6F138">
            <w:pPr>
              <w:pStyle w:val="48"/>
              <w:spacing w:line="240" w:lineRule="auto"/>
              <w:ind w:firstLine="0" w:firstLineChars="0"/>
              <w:jc w:val="center"/>
              <w:rPr>
                <w:rFonts w:ascii="Times New Roman" w:hAnsi="Times New Roman"/>
                <w:b/>
                <w:bCs/>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b/>
                <w:bCs/>
                <w:color w:val="0D0D0D" w:themeColor="text1" w:themeTint="F2"/>
                <w:sz w:val="21"/>
                <w:szCs w:val="21"/>
                <w:lang w:eastAsia="zh-CN"/>
                <w14:textFill>
                  <w14:solidFill>
                    <w14:schemeClr w14:val="tx1">
                      <w14:lumMod w14:val="95000"/>
                      <w14:lumOff w14:val="5000"/>
                    </w14:schemeClr>
                  </w14:solidFill>
                </w14:textFill>
              </w:rPr>
              <w:t>表3</w:t>
            </w:r>
            <w:r>
              <w:rPr>
                <w:rFonts w:ascii="Times New Roman" w:hAnsi="Times New Roman"/>
                <w:b/>
                <w:bCs/>
                <w:color w:val="0D0D0D" w:themeColor="text1" w:themeTint="F2"/>
                <w:sz w:val="21"/>
                <w:szCs w:val="21"/>
                <w:lang w:eastAsia="zh-CN"/>
                <w14:textFill>
                  <w14:solidFill>
                    <w14:schemeClr w14:val="tx1">
                      <w14:lumMod w14:val="95000"/>
                      <w14:lumOff w14:val="5000"/>
                    </w14:schemeClr>
                  </w14:solidFill>
                </w14:textFill>
              </w:rPr>
              <w:t xml:space="preserve">-3  </w:t>
            </w:r>
            <w:r>
              <w:rPr>
                <w:rFonts w:hint="eastAsia" w:ascii="Times New Roman" w:hAnsi="Times New Roman"/>
                <w:b/>
                <w:bCs/>
                <w:color w:val="0D0D0D" w:themeColor="text1" w:themeTint="F2"/>
                <w:sz w:val="21"/>
                <w:szCs w:val="21"/>
                <w:lang w:eastAsia="zh-CN"/>
                <w14:textFill>
                  <w14:solidFill>
                    <w14:schemeClr w14:val="tx1">
                      <w14:lumMod w14:val="95000"/>
                      <w14:lumOff w14:val="5000"/>
                    </w14:schemeClr>
                  </w14:solidFill>
                </w14:textFill>
              </w:rPr>
              <w:t>引用监测数据结果表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8"/>
              <w:gridCol w:w="1388"/>
              <w:gridCol w:w="546"/>
              <w:gridCol w:w="1275"/>
              <w:gridCol w:w="1312"/>
              <w:gridCol w:w="1170"/>
              <w:gridCol w:w="932"/>
              <w:gridCol w:w="598"/>
            </w:tblGrid>
            <w:tr w14:paraId="5A1BC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691" w:type="pct"/>
                  <w:vAlign w:val="center"/>
                </w:tcPr>
                <w:p w14:paraId="5690B1EE">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828" w:type="pct"/>
                  <w:vAlign w:val="center"/>
                </w:tcPr>
                <w:p w14:paraId="0806E756">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326" w:type="pct"/>
                  <w:vAlign w:val="center"/>
                </w:tcPr>
                <w:p w14:paraId="7D77CF7B">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761" w:type="pct"/>
                  <w:vAlign w:val="center"/>
                </w:tcPr>
                <w:p w14:paraId="785F9226">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783" w:type="pct"/>
                  <w:vAlign w:val="center"/>
                </w:tcPr>
                <w:p w14:paraId="0576AE60">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698" w:type="pct"/>
                  <w:vAlign w:val="center"/>
                </w:tcPr>
                <w:p w14:paraId="350C4203">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556" w:type="pct"/>
                  <w:vAlign w:val="center"/>
                </w:tcPr>
                <w:p w14:paraId="324D3C37">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358" w:type="pct"/>
                  <w:vAlign w:val="center"/>
                </w:tcPr>
                <w:p w14:paraId="580BDCA0">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r>
            <w:tr w14:paraId="7232B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1" w:type="pct"/>
                  <w:vMerge w:val="restart"/>
                  <w:vAlign w:val="center"/>
                </w:tcPr>
                <w:p w14:paraId="77A2C140">
                  <w:pPr>
                    <w:pStyle w:val="48"/>
                    <w:spacing w:line="240" w:lineRule="auto"/>
                    <w:ind w:firstLine="0" w:firstLineChars="0"/>
                    <w:jc w:val="both"/>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828" w:type="pct"/>
                  <w:vAlign w:val="center"/>
                </w:tcPr>
                <w:p w14:paraId="39DCAB3D">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326" w:type="pct"/>
                  <w:vAlign w:val="center"/>
                </w:tcPr>
                <w:p w14:paraId="61A207B8">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761" w:type="pct"/>
                  <w:vAlign w:val="center"/>
                </w:tcPr>
                <w:p w14:paraId="200EFF67">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783" w:type="pct"/>
                  <w:vAlign w:val="center"/>
                </w:tcPr>
                <w:p w14:paraId="7A68D8EC">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698" w:type="pct"/>
                  <w:vAlign w:val="center"/>
                </w:tcPr>
                <w:p w14:paraId="2356D304">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556" w:type="pct"/>
                  <w:vAlign w:val="center"/>
                </w:tcPr>
                <w:p w14:paraId="54EA0EE7">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358" w:type="pct"/>
                  <w:vAlign w:val="center"/>
                </w:tcPr>
                <w:p w14:paraId="324A9494">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r>
            <w:tr w14:paraId="41484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1" w:type="pct"/>
                  <w:vMerge w:val="continue"/>
                  <w:vAlign w:val="center"/>
                </w:tcPr>
                <w:p w14:paraId="36A2EA5B">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828" w:type="pct"/>
                  <w:vAlign w:val="center"/>
                </w:tcPr>
                <w:p w14:paraId="2305711D">
                  <w:pPr>
                    <w:pStyle w:val="48"/>
                    <w:spacing w:line="240" w:lineRule="auto"/>
                    <w:ind w:firstLine="0" w:firstLineChars="0"/>
                    <w:jc w:val="both"/>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326" w:type="pct"/>
                  <w:vAlign w:val="center"/>
                </w:tcPr>
                <w:p w14:paraId="22D12706">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761" w:type="pct"/>
                  <w:vAlign w:val="center"/>
                </w:tcPr>
                <w:p w14:paraId="4CD2E194">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783" w:type="pct"/>
                  <w:vAlign w:val="center"/>
                </w:tcPr>
                <w:p w14:paraId="5124C0C8">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698" w:type="pct"/>
                  <w:vAlign w:val="center"/>
                </w:tcPr>
                <w:p w14:paraId="0A04A694">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556" w:type="pct"/>
                  <w:vAlign w:val="center"/>
                </w:tcPr>
                <w:p w14:paraId="6F774126">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358" w:type="pct"/>
                  <w:vAlign w:val="center"/>
                </w:tcPr>
                <w:p w14:paraId="4D0B3049">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r>
            <w:tr w14:paraId="12B56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1" w:type="pct"/>
                  <w:vMerge w:val="continue"/>
                  <w:vAlign w:val="center"/>
                </w:tcPr>
                <w:p w14:paraId="312C6E22">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828" w:type="pct"/>
                  <w:vAlign w:val="center"/>
                </w:tcPr>
                <w:p w14:paraId="1089DD8E">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326" w:type="pct"/>
                  <w:vAlign w:val="center"/>
                </w:tcPr>
                <w:p w14:paraId="140543D7">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761" w:type="pct"/>
                  <w:vAlign w:val="center"/>
                </w:tcPr>
                <w:p w14:paraId="29084BE0">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783" w:type="pct"/>
                  <w:vAlign w:val="center"/>
                </w:tcPr>
                <w:p w14:paraId="3E538FC4">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698" w:type="pct"/>
                  <w:vAlign w:val="center"/>
                </w:tcPr>
                <w:p w14:paraId="26BF1F4E">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556" w:type="pct"/>
                  <w:vAlign w:val="center"/>
                </w:tcPr>
                <w:p w14:paraId="0D20C9A8">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c>
                <w:tcPr>
                  <w:tcW w:w="358" w:type="pct"/>
                  <w:vAlign w:val="center"/>
                </w:tcPr>
                <w:p w14:paraId="3DE4EF19">
                  <w:pPr>
                    <w:pStyle w:val="48"/>
                    <w:spacing w:line="240" w:lineRule="auto"/>
                    <w:ind w:firstLine="0" w:firstLineChars="0"/>
                    <w:jc w:val="center"/>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r>
            <w:tr w14:paraId="5D5AF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8"/>
                  <w:vAlign w:val="center"/>
                </w:tcPr>
                <w:p w14:paraId="631CA7B7">
                  <w:pPr>
                    <w:pStyle w:val="48"/>
                    <w:spacing w:line="240" w:lineRule="auto"/>
                    <w:ind w:firstLine="0" w:firstLineChars="0"/>
                    <w:jc w:val="both"/>
                    <w:rPr>
                      <w:rFonts w:ascii="Times New Roman" w:hAnsi="Times New Roman"/>
                      <w:color w:val="0D0D0D" w:themeColor="text1" w:themeTint="F2"/>
                      <w:sz w:val="21"/>
                      <w:szCs w:val="21"/>
                      <w:u w:val="single"/>
                      <w:lang w:eastAsia="zh-CN"/>
                      <w14:textFill>
                        <w14:solidFill>
                          <w14:schemeClr w14:val="tx1">
                            <w14:lumMod w14:val="95000"/>
                            <w14:lumOff w14:val="5000"/>
                          </w14:schemeClr>
                        </w14:solidFill>
                      </w14:textFill>
                    </w:rPr>
                  </w:pPr>
                </w:p>
              </w:tc>
            </w:tr>
          </w:tbl>
          <w:p w14:paraId="1DCBB83F">
            <w:pPr>
              <w:pStyle w:val="48"/>
              <w:spacing w:line="360" w:lineRule="auto"/>
              <w:ind w:firstLine="480"/>
              <w:jc w:val="both"/>
              <w:rPr>
                <w:rFonts w:ascii="Times New Roman" w:hAnsi="Times New Roman"/>
                <w:color w:val="0D0D0D" w:themeColor="text1" w:themeTint="F2"/>
                <w:szCs w:val="24"/>
                <w:u w:val="single"/>
                <w:lang w:eastAsia="zh-CN"/>
                <w14:textFill>
                  <w14:solidFill>
                    <w14:schemeClr w14:val="tx1">
                      <w14:lumMod w14:val="95000"/>
                      <w14:lumOff w14:val="5000"/>
                    </w14:schemeClr>
                  </w14:solidFill>
                </w14:textFill>
              </w:rPr>
            </w:pPr>
            <w:r>
              <w:rPr>
                <w:rFonts w:hint="eastAsia" w:ascii="Times New Roman" w:hAnsi="Times New Roman"/>
                <w:color w:val="0D0D0D" w:themeColor="text1" w:themeTint="F2"/>
                <w:szCs w:val="24"/>
                <w:u w:val="single"/>
                <w:lang w:eastAsia="zh-CN"/>
                <w14:textFill>
                  <w14:solidFill>
                    <w14:schemeClr w14:val="tx1">
                      <w14:lumMod w14:val="95000"/>
                      <w14:lumOff w14:val="5000"/>
                    </w14:schemeClr>
                  </w14:solidFill>
                </w14:textFill>
              </w:rPr>
              <w:t>由上表可知，引用监测点位监测期间TSP满足《环境空气质量标准》（GB3095-2012）及其修改单二级标准；非甲烷总烃</w:t>
            </w:r>
            <w:r>
              <w:rPr>
                <w:rFonts w:ascii="Times New Roman" w:hAnsi="Times New Roman"/>
                <w:color w:val="0D0D0D" w:themeColor="text1" w:themeTint="F2"/>
                <w:szCs w:val="24"/>
                <w:u w:val="single"/>
                <w:lang w:eastAsia="zh-CN"/>
                <w14:textFill>
                  <w14:solidFill>
                    <w14:schemeClr w14:val="tx1">
                      <w14:lumMod w14:val="95000"/>
                      <w14:lumOff w14:val="5000"/>
                    </w14:schemeClr>
                  </w14:solidFill>
                </w14:textFill>
              </w:rPr>
              <w:t>满足</w:t>
            </w:r>
            <w:r>
              <w:rPr>
                <w:rFonts w:hint="eastAsia" w:ascii="Times New Roman" w:hAnsi="Times New Roman"/>
                <w:color w:val="0D0D0D" w:themeColor="text1" w:themeTint="F2"/>
                <w:szCs w:val="24"/>
                <w:u w:val="single"/>
                <w:lang w:eastAsia="zh-CN"/>
                <w14:textFill>
                  <w14:solidFill>
                    <w14:schemeClr w14:val="tx1">
                      <w14:lumMod w14:val="95000"/>
                      <w14:lumOff w14:val="5000"/>
                    </w14:schemeClr>
                  </w14:solidFill>
                </w14:textFill>
              </w:rPr>
              <w:t>《大气污染物综合排放标准详解》一次性浓度值要求，二甲苯满足《环境影响评价技术导则  大气环境》（HJ2.2-2018）中附录D其他污染物空气质量浓度参考限值</w:t>
            </w:r>
            <w:r>
              <w:rPr>
                <w:rFonts w:ascii="Times New Roman" w:hAnsi="Times New Roman"/>
                <w:color w:val="0D0D0D" w:themeColor="text1" w:themeTint="F2"/>
                <w:szCs w:val="24"/>
                <w:u w:val="single"/>
                <w:lang w:eastAsia="zh-CN"/>
                <w14:textFill>
                  <w14:solidFill>
                    <w14:schemeClr w14:val="tx1">
                      <w14:lumMod w14:val="95000"/>
                      <w14:lumOff w14:val="5000"/>
                    </w14:schemeClr>
                  </w14:solidFill>
                </w14:textFill>
              </w:rPr>
              <w:t>。</w:t>
            </w:r>
          </w:p>
          <w:p w14:paraId="5A361501">
            <w:pPr>
              <w:spacing w:line="360" w:lineRule="auto"/>
              <w:ind w:firstLine="482" w:firstLineChars="200"/>
              <w:rPr>
                <w:b/>
                <w:bCs/>
                <w:color w:val="0D0D0D" w:themeColor="text1" w:themeTint="F2"/>
                <w:sz w:val="24"/>
                <w14:textFill>
                  <w14:solidFill>
                    <w14:schemeClr w14:val="tx1">
                      <w14:lumMod w14:val="95000"/>
                      <w14:lumOff w14:val="5000"/>
                    </w14:schemeClr>
                  </w14:solidFill>
                </w14:textFill>
              </w:rPr>
            </w:pPr>
            <w:r>
              <w:rPr>
                <w:b/>
                <w:bCs/>
                <w:color w:val="0D0D0D" w:themeColor="text1" w:themeTint="F2"/>
                <w:sz w:val="24"/>
                <w14:textFill>
                  <w14:solidFill>
                    <w14:schemeClr w14:val="tx1">
                      <w14:lumMod w14:val="95000"/>
                      <w14:lumOff w14:val="5000"/>
                    </w14:schemeClr>
                  </w14:solidFill>
                </w14:textFill>
              </w:rPr>
              <w:t>2、</w:t>
            </w:r>
            <w:r>
              <w:rPr>
                <w:rFonts w:hint="eastAsia"/>
                <w:b/>
                <w:bCs/>
                <w:color w:val="0D0D0D" w:themeColor="text1" w:themeTint="F2"/>
                <w:sz w:val="24"/>
                <w14:textFill>
                  <w14:solidFill>
                    <w14:schemeClr w14:val="tx1">
                      <w14:lumMod w14:val="95000"/>
                      <w14:lumOff w14:val="5000"/>
                    </w14:schemeClr>
                  </w14:solidFill>
                </w14:textFill>
              </w:rPr>
              <w:t>海</w:t>
            </w:r>
            <w:r>
              <w:rPr>
                <w:b/>
                <w:bCs/>
                <w:color w:val="0D0D0D" w:themeColor="text1" w:themeTint="F2"/>
                <w:sz w:val="24"/>
                <w14:textFill>
                  <w14:solidFill>
                    <w14:schemeClr w14:val="tx1">
                      <w14:lumMod w14:val="95000"/>
                      <w14:lumOff w14:val="5000"/>
                    </w14:schemeClr>
                  </w14:solidFill>
                </w14:textFill>
              </w:rPr>
              <w:t>水环境质量现状</w:t>
            </w:r>
          </w:p>
          <w:p w14:paraId="67D0B38F">
            <w:pPr>
              <w:adjustRightInd w:val="0"/>
              <w:snapToGrid w:val="0"/>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项目运营期生活污水经三级化粪池处理后排入园区市政污水管网，由钦州胜科水务有限公司污水处理厂进一步处理，最终排入钦州港金鼓江排污混合区（GX056DⅣ）深海排放，根据《广西壮族自治区近岸海域环境功能区划调整方案》（桂环发〔2023〕9号），钦州港金鼓江排污混合区（GX056DⅣ）主导功能为港口、工业、生活排污用海，属四类环境功能区，水质保护目标为海水水质标准第四类。周围设0.5公里水质过渡带，水质保护目标为海水水质标准第三类。</w:t>
            </w:r>
          </w:p>
          <w:p w14:paraId="116D5BF9">
            <w:pPr>
              <w:adjustRightInd w:val="0"/>
              <w:snapToGrid w:val="0"/>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为了解钦州港金鼓江排污混合区（GX056DⅣ）海域水环境质量现状，本次评价引用国家海洋环境监测中心的海水水质监测信息公开系统中GXN14010站点2024年10月的监测数据进行评价。</w:t>
            </w:r>
          </w:p>
          <w:p w14:paraId="37693D0D">
            <w:pPr>
              <w:adjustRightInd w:val="0"/>
              <w:snapToGrid w:val="0"/>
              <w:ind w:firstLine="422" w:firstLineChars="200"/>
              <w:jc w:val="center"/>
              <w:rPr>
                <w:b/>
                <w:bCs/>
                <w:color w:val="0D0D0D" w:themeColor="text1" w:themeTint="F2"/>
                <w:szCs w:val="21"/>
                <w14:textFill>
                  <w14:solidFill>
                    <w14:schemeClr w14:val="tx1">
                      <w14:lumMod w14:val="95000"/>
                      <w14:lumOff w14:val="5000"/>
                    </w14:schemeClr>
                  </w14:solidFill>
                </w14:textFill>
              </w:rPr>
            </w:pPr>
            <w:r>
              <w:rPr>
                <w:rFonts w:hint="eastAsia"/>
                <w:b/>
                <w:bCs/>
                <w:color w:val="0D0D0D" w:themeColor="text1" w:themeTint="F2"/>
                <w:szCs w:val="21"/>
                <w14:textFill>
                  <w14:solidFill>
                    <w14:schemeClr w14:val="tx1">
                      <w14:lumMod w14:val="95000"/>
                      <w14:lumOff w14:val="5000"/>
                    </w14:schemeClr>
                  </w14:solidFill>
                </w14:textFill>
              </w:rPr>
              <w:t>表3</w:t>
            </w:r>
            <w:r>
              <w:rPr>
                <w:b/>
                <w:bCs/>
                <w:color w:val="0D0D0D" w:themeColor="text1" w:themeTint="F2"/>
                <w:szCs w:val="21"/>
                <w14:textFill>
                  <w14:solidFill>
                    <w14:schemeClr w14:val="tx1">
                      <w14:lumMod w14:val="95000"/>
                      <w14:lumOff w14:val="5000"/>
                    </w14:schemeClr>
                  </w14:solidFill>
                </w14:textFill>
              </w:rPr>
              <w:t>-</w:t>
            </w:r>
            <w:r>
              <w:rPr>
                <w:rFonts w:hint="eastAsia"/>
                <w:b/>
                <w:bCs/>
                <w:color w:val="0D0D0D" w:themeColor="text1" w:themeTint="F2"/>
                <w:szCs w:val="21"/>
                <w14:textFill>
                  <w14:solidFill>
                    <w14:schemeClr w14:val="tx1">
                      <w14:lumMod w14:val="95000"/>
                      <w14:lumOff w14:val="5000"/>
                    </w14:schemeClr>
                  </w14:solidFill>
                </w14:textFill>
              </w:rPr>
              <w:t>4  引用海水质量监测结果</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30"/>
              <w:gridCol w:w="1434"/>
              <w:gridCol w:w="1525"/>
              <w:gridCol w:w="1790"/>
            </w:tblGrid>
            <w:tr w14:paraId="6C66A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66" w:type="pct"/>
                  <w:vAlign w:val="center"/>
                </w:tcPr>
                <w:p w14:paraId="3CB3DE42">
                  <w:pPr>
                    <w:jc w:val="center"/>
                    <w:rPr>
                      <w:color w:val="0D0D0D" w:themeColor="text1" w:themeTint="F2"/>
                      <w:szCs w:val="21"/>
                      <w14:textFill>
                        <w14:solidFill>
                          <w14:schemeClr w14:val="tx1">
                            <w14:lumMod w14:val="95000"/>
                            <w14:lumOff w14:val="5000"/>
                          </w14:schemeClr>
                        </w14:solidFill>
                      </w14:textFill>
                    </w:rPr>
                  </w:pPr>
                </w:p>
              </w:tc>
              <w:tc>
                <w:tcPr>
                  <w:tcW w:w="856" w:type="pct"/>
                  <w:vAlign w:val="center"/>
                </w:tcPr>
                <w:p w14:paraId="5B626E4E">
                  <w:pPr>
                    <w:jc w:val="center"/>
                    <w:rPr>
                      <w:color w:val="0D0D0D" w:themeColor="text1" w:themeTint="F2"/>
                      <w:szCs w:val="21"/>
                      <w14:textFill>
                        <w14:solidFill>
                          <w14:schemeClr w14:val="tx1">
                            <w14:lumMod w14:val="95000"/>
                            <w14:lumOff w14:val="5000"/>
                          </w14:schemeClr>
                        </w14:solidFill>
                      </w14:textFill>
                    </w:rPr>
                  </w:pPr>
                </w:p>
              </w:tc>
              <w:tc>
                <w:tcPr>
                  <w:tcW w:w="910" w:type="pct"/>
                  <w:vAlign w:val="center"/>
                </w:tcPr>
                <w:p w14:paraId="6A2E887D">
                  <w:pPr>
                    <w:jc w:val="center"/>
                    <w:rPr>
                      <w:color w:val="0D0D0D" w:themeColor="text1" w:themeTint="F2"/>
                      <w:szCs w:val="21"/>
                      <w14:textFill>
                        <w14:solidFill>
                          <w14:schemeClr w14:val="tx1">
                            <w14:lumMod w14:val="95000"/>
                            <w14:lumOff w14:val="5000"/>
                          </w14:schemeClr>
                        </w14:solidFill>
                      </w14:textFill>
                    </w:rPr>
                  </w:pPr>
                </w:p>
              </w:tc>
              <w:tc>
                <w:tcPr>
                  <w:tcW w:w="1068" w:type="pct"/>
                  <w:vAlign w:val="center"/>
                </w:tcPr>
                <w:p w14:paraId="163721AB">
                  <w:pPr>
                    <w:jc w:val="center"/>
                    <w:rPr>
                      <w:color w:val="0D0D0D" w:themeColor="text1" w:themeTint="F2"/>
                      <w:szCs w:val="21"/>
                      <w14:textFill>
                        <w14:solidFill>
                          <w14:schemeClr w14:val="tx1">
                            <w14:lumMod w14:val="95000"/>
                            <w14:lumOff w14:val="5000"/>
                          </w14:schemeClr>
                        </w14:solidFill>
                      </w14:textFill>
                    </w:rPr>
                  </w:pPr>
                </w:p>
              </w:tc>
            </w:tr>
            <w:tr w14:paraId="652BF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66" w:type="pct"/>
                  <w:vAlign w:val="center"/>
                </w:tcPr>
                <w:p w14:paraId="39BA7065">
                  <w:pPr>
                    <w:jc w:val="center"/>
                    <w:rPr>
                      <w:color w:val="0D0D0D" w:themeColor="text1" w:themeTint="F2"/>
                      <w:szCs w:val="21"/>
                      <w14:textFill>
                        <w14:solidFill>
                          <w14:schemeClr w14:val="tx1">
                            <w14:lumMod w14:val="95000"/>
                            <w14:lumOff w14:val="5000"/>
                          </w14:schemeClr>
                        </w14:solidFill>
                      </w14:textFill>
                    </w:rPr>
                  </w:pPr>
                </w:p>
              </w:tc>
              <w:tc>
                <w:tcPr>
                  <w:tcW w:w="856" w:type="pct"/>
                  <w:vAlign w:val="center"/>
                </w:tcPr>
                <w:p w14:paraId="4076AD6E">
                  <w:pPr>
                    <w:jc w:val="center"/>
                    <w:rPr>
                      <w:color w:val="0D0D0D" w:themeColor="text1" w:themeTint="F2"/>
                      <w:szCs w:val="21"/>
                      <w14:textFill>
                        <w14:solidFill>
                          <w14:schemeClr w14:val="tx1">
                            <w14:lumMod w14:val="95000"/>
                            <w14:lumOff w14:val="5000"/>
                          </w14:schemeClr>
                        </w14:solidFill>
                      </w14:textFill>
                    </w:rPr>
                  </w:pPr>
                </w:p>
              </w:tc>
              <w:tc>
                <w:tcPr>
                  <w:tcW w:w="910" w:type="pct"/>
                  <w:vAlign w:val="center"/>
                </w:tcPr>
                <w:p w14:paraId="23E82D87">
                  <w:pPr>
                    <w:jc w:val="center"/>
                    <w:rPr>
                      <w:color w:val="0D0D0D" w:themeColor="text1" w:themeTint="F2"/>
                      <w:szCs w:val="21"/>
                      <w14:textFill>
                        <w14:solidFill>
                          <w14:schemeClr w14:val="tx1">
                            <w14:lumMod w14:val="95000"/>
                            <w14:lumOff w14:val="5000"/>
                          </w14:schemeClr>
                        </w14:solidFill>
                      </w14:textFill>
                    </w:rPr>
                  </w:pPr>
                </w:p>
              </w:tc>
              <w:tc>
                <w:tcPr>
                  <w:tcW w:w="1068" w:type="pct"/>
                  <w:vAlign w:val="center"/>
                </w:tcPr>
                <w:p w14:paraId="1D276258">
                  <w:pPr>
                    <w:jc w:val="center"/>
                    <w:rPr>
                      <w:color w:val="0D0D0D" w:themeColor="text1" w:themeTint="F2"/>
                      <w:szCs w:val="21"/>
                      <w14:textFill>
                        <w14:solidFill>
                          <w14:schemeClr w14:val="tx1">
                            <w14:lumMod w14:val="95000"/>
                            <w14:lumOff w14:val="5000"/>
                          </w14:schemeClr>
                        </w14:solidFill>
                      </w14:textFill>
                    </w:rPr>
                  </w:pPr>
                </w:p>
              </w:tc>
            </w:tr>
            <w:tr w14:paraId="723D5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66" w:type="pct"/>
                  <w:vAlign w:val="center"/>
                </w:tcPr>
                <w:p w14:paraId="6328B1C9">
                  <w:pPr>
                    <w:jc w:val="center"/>
                    <w:rPr>
                      <w:color w:val="0D0D0D" w:themeColor="text1" w:themeTint="F2"/>
                      <w:szCs w:val="21"/>
                      <w14:textFill>
                        <w14:solidFill>
                          <w14:schemeClr w14:val="tx1">
                            <w14:lumMod w14:val="95000"/>
                            <w14:lumOff w14:val="5000"/>
                          </w14:schemeClr>
                        </w14:solidFill>
                      </w14:textFill>
                    </w:rPr>
                  </w:pPr>
                </w:p>
              </w:tc>
              <w:tc>
                <w:tcPr>
                  <w:tcW w:w="856" w:type="pct"/>
                  <w:vAlign w:val="center"/>
                </w:tcPr>
                <w:p w14:paraId="2B396362">
                  <w:pPr>
                    <w:jc w:val="center"/>
                    <w:rPr>
                      <w:color w:val="0D0D0D" w:themeColor="text1" w:themeTint="F2"/>
                      <w:szCs w:val="21"/>
                      <w14:textFill>
                        <w14:solidFill>
                          <w14:schemeClr w14:val="tx1">
                            <w14:lumMod w14:val="95000"/>
                            <w14:lumOff w14:val="5000"/>
                          </w14:schemeClr>
                        </w14:solidFill>
                      </w14:textFill>
                    </w:rPr>
                  </w:pPr>
                </w:p>
              </w:tc>
              <w:tc>
                <w:tcPr>
                  <w:tcW w:w="910" w:type="pct"/>
                  <w:vAlign w:val="center"/>
                </w:tcPr>
                <w:p w14:paraId="53A667A3">
                  <w:pPr>
                    <w:jc w:val="center"/>
                    <w:rPr>
                      <w:color w:val="0D0D0D" w:themeColor="text1" w:themeTint="F2"/>
                      <w:szCs w:val="21"/>
                      <w14:textFill>
                        <w14:solidFill>
                          <w14:schemeClr w14:val="tx1">
                            <w14:lumMod w14:val="95000"/>
                            <w14:lumOff w14:val="5000"/>
                          </w14:schemeClr>
                        </w14:solidFill>
                      </w14:textFill>
                    </w:rPr>
                  </w:pPr>
                </w:p>
              </w:tc>
              <w:tc>
                <w:tcPr>
                  <w:tcW w:w="1068" w:type="pct"/>
                  <w:vAlign w:val="center"/>
                </w:tcPr>
                <w:p w14:paraId="31E2CB88">
                  <w:pPr>
                    <w:jc w:val="center"/>
                    <w:rPr>
                      <w:color w:val="0D0D0D" w:themeColor="text1" w:themeTint="F2"/>
                      <w:szCs w:val="21"/>
                      <w14:textFill>
                        <w14:solidFill>
                          <w14:schemeClr w14:val="tx1">
                            <w14:lumMod w14:val="95000"/>
                            <w14:lumOff w14:val="5000"/>
                          </w14:schemeClr>
                        </w14:solidFill>
                      </w14:textFill>
                    </w:rPr>
                  </w:pPr>
                </w:p>
              </w:tc>
            </w:tr>
            <w:tr w14:paraId="64A49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66" w:type="pct"/>
                  <w:vAlign w:val="center"/>
                </w:tcPr>
                <w:p w14:paraId="359A2AD1">
                  <w:pPr>
                    <w:jc w:val="center"/>
                    <w:rPr>
                      <w:color w:val="0D0D0D" w:themeColor="text1" w:themeTint="F2"/>
                      <w:szCs w:val="21"/>
                      <w14:textFill>
                        <w14:solidFill>
                          <w14:schemeClr w14:val="tx1">
                            <w14:lumMod w14:val="95000"/>
                            <w14:lumOff w14:val="5000"/>
                          </w14:schemeClr>
                        </w14:solidFill>
                      </w14:textFill>
                    </w:rPr>
                  </w:pPr>
                </w:p>
              </w:tc>
              <w:tc>
                <w:tcPr>
                  <w:tcW w:w="856" w:type="pct"/>
                  <w:vAlign w:val="center"/>
                </w:tcPr>
                <w:p w14:paraId="76695795">
                  <w:pPr>
                    <w:jc w:val="center"/>
                    <w:rPr>
                      <w:color w:val="0D0D0D" w:themeColor="text1" w:themeTint="F2"/>
                      <w:szCs w:val="21"/>
                      <w14:textFill>
                        <w14:solidFill>
                          <w14:schemeClr w14:val="tx1">
                            <w14:lumMod w14:val="95000"/>
                            <w14:lumOff w14:val="5000"/>
                          </w14:schemeClr>
                        </w14:solidFill>
                      </w14:textFill>
                    </w:rPr>
                  </w:pPr>
                </w:p>
              </w:tc>
              <w:tc>
                <w:tcPr>
                  <w:tcW w:w="910" w:type="pct"/>
                  <w:vAlign w:val="center"/>
                </w:tcPr>
                <w:p w14:paraId="4251F028">
                  <w:pPr>
                    <w:jc w:val="center"/>
                    <w:rPr>
                      <w:color w:val="0D0D0D" w:themeColor="text1" w:themeTint="F2"/>
                      <w:szCs w:val="21"/>
                      <w14:textFill>
                        <w14:solidFill>
                          <w14:schemeClr w14:val="tx1">
                            <w14:lumMod w14:val="95000"/>
                            <w14:lumOff w14:val="5000"/>
                          </w14:schemeClr>
                        </w14:solidFill>
                      </w14:textFill>
                    </w:rPr>
                  </w:pPr>
                </w:p>
              </w:tc>
              <w:tc>
                <w:tcPr>
                  <w:tcW w:w="1068" w:type="pct"/>
                  <w:vAlign w:val="center"/>
                </w:tcPr>
                <w:p w14:paraId="5C770047">
                  <w:pPr>
                    <w:jc w:val="center"/>
                    <w:rPr>
                      <w:color w:val="0D0D0D" w:themeColor="text1" w:themeTint="F2"/>
                      <w:szCs w:val="21"/>
                      <w14:textFill>
                        <w14:solidFill>
                          <w14:schemeClr w14:val="tx1">
                            <w14:lumMod w14:val="95000"/>
                            <w14:lumOff w14:val="5000"/>
                          </w14:schemeClr>
                        </w14:solidFill>
                      </w14:textFill>
                    </w:rPr>
                  </w:pPr>
                </w:p>
              </w:tc>
            </w:tr>
            <w:tr w14:paraId="26CD3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66" w:type="pct"/>
                  <w:vAlign w:val="center"/>
                </w:tcPr>
                <w:p w14:paraId="1925C78F">
                  <w:pPr>
                    <w:jc w:val="center"/>
                    <w:rPr>
                      <w:color w:val="0D0D0D" w:themeColor="text1" w:themeTint="F2"/>
                      <w:szCs w:val="21"/>
                      <w14:textFill>
                        <w14:solidFill>
                          <w14:schemeClr w14:val="tx1">
                            <w14:lumMod w14:val="95000"/>
                            <w14:lumOff w14:val="5000"/>
                          </w14:schemeClr>
                        </w14:solidFill>
                      </w14:textFill>
                    </w:rPr>
                  </w:pPr>
                </w:p>
              </w:tc>
              <w:tc>
                <w:tcPr>
                  <w:tcW w:w="856" w:type="pct"/>
                  <w:vAlign w:val="center"/>
                </w:tcPr>
                <w:p w14:paraId="59658167">
                  <w:pPr>
                    <w:jc w:val="center"/>
                    <w:rPr>
                      <w:color w:val="0D0D0D" w:themeColor="text1" w:themeTint="F2"/>
                      <w:szCs w:val="21"/>
                      <w14:textFill>
                        <w14:solidFill>
                          <w14:schemeClr w14:val="tx1">
                            <w14:lumMod w14:val="95000"/>
                            <w14:lumOff w14:val="5000"/>
                          </w14:schemeClr>
                        </w14:solidFill>
                      </w14:textFill>
                    </w:rPr>
                  </w:pPr>
                </w:p>
              </w:tc>
              <w:tc>
                <w:tcPr>
                  <w:tcW w:w="910" w:type="pct"/>
                  <w:vAlign w:val="center"/>
                </w:tcPr>
                <w:p w14:paraId="26223F0F">
                  <w:pPr>
                    <w:jc w:val="center"/>
                    <w:rPr>
                      <w:color w:val="0D0D0D" w:themeColor="text1" w:themeTint="F2"/>
                      <w:szCs w:val="21"/>
                      <w14:textFill>
                        <w14:solidFill>
                          <w14:schemeClr w14:val="tx1">
                            <w14:lumMod w14:val="95000"/>
                            <w14:lumOff w14:val="5000"/>
                          </w14:schemeClr>
                        </w14:solidFill>
                      </w14:textFill>
                    </w:rPr>
                  </w:pPr>
                </w:p>
              </w:tc>
              <w:tc>
                <w:tcPr>
                  <w:tcW w:w="1068" w:type="pct"/>
                  <w:vAlign w:val="center"/>
                </w:tcPr>
                <w:p w14:paraId="0AD9F8D8">
                  <w:pPr>
                    <w:jc w:val="center"/>
                    <w:rPr>
                      <w:color w:val="0D0D0D" w:themeColor="text1" w:themeTint="F2"/>
                      <w:szCs w:val="21"/>
                      <w14:textFill>
                        <w14:solidFill>
                          <w14:schemeClr w14:val="tx1">
                            <w14:lumMod w14:val="95000"/>
                            <w14:lumOff w14:val="5000"/>
                          </w14:schemeClr>
                        </w14:solidFill>
                      </w14:textFill>
                    </w:rPr>
                  </w:pPr>
                </w:p>
              </w:tc>
            </w:tr>
            <w:tr w14:paraId="790994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66" w:type="pct"/>
                  <w:vAlign w:val="center"/>
                </w:tcPr>
                <w:p w14:paraId="2AD08FB8">
                  <w:pPr>
                    <w:jc w:val="center"/>
                    <w:rPr>
                      <w:color w:val="0D0D0D" w:themeColor="text1" w:themeTint="F2"/>
                      <w:szCs w:val="21"/>
                      <w14:textFill>
                        <w14:solidFill>
                          <w14:schemeClr w14:val="tx1">
                            <w14:lumMod w14:val="95000"/>
                            <w14:lumOff w14:val="5000"/>
                          </w14:schemeClr>
                        </w14:solidFill>
                      </w14:textFill>
                    </w:rPr>
                  </w:pPr>
                </w:p>
              </w:tc>
              <w:tc>
                <w:tcPr>
                  <w:tcW w:w="856" w:type="pct"/>
                  <w:vAlign w:val="center"/>
                </w:tcPr>
                <w:p w14:paraId="1E265A24">
                  <w:pPr>
                    <w:jc w:val="center"/>
                    <w:rPr>
                      <w:color w:val="0D0D0D" w:themeColor="text1" w:themeTint="F2"/>
                      <w:szCs w:val="21"/>
                      <w14:textFill>
                        <w14:solidFill>
                          <w14:schemeClr w14:val="tx1">
                            <w14:lumMod w14:val="95000"/>
                            <w14:lumOff w14:val="5000"/>
                          </w14:schemeClr>
                        </w14:solidFill>
                      </w14:textFill>
                    </w:rPr>
                  </w:pPr>
                </w:p>
              </w:tc>
              <w:tc>
                <w:tcPr>
                  <w:tcW w:w="910" w:type="pct"/>
                  <w:vAlign w:val="center"/>
                </w:tcPr>
                <w:p w14:paraId="405CD7D1">
                  <w:pPr>
                    <w:jc w:val="center"/>
                    <w:rPr>
                      <w:color w:val="0D0D0D" w:themeColor="text1" w:themeTint="F2"/>
                      <w:szCs w:val="21"/>
                      <w14:textFill>
                        <w14:solidFill>
                          <w14:schemeClr w14:val="tx1">
                            <w14:lumMod w14:val="95000"/>
                            <w14:lumOff w14:val="5000"/>
                          </w14:schemeClr>
                        </w14:solidFill>
                      </w14:textFill>
                    </w:rPr>
                  </w:pPr>
                </w:p>
              </w:tc>
              <w:tc>
                <w:tcPr>
                  <w:tcW w:w="1068" w:type="pct"/>
                  <w:vAlign w:val="center"/>
                </w:tcPr>
                <w:p w14:paraId="44D0445E">
                  <w:pPr>
                    <w:jc w:val="center"/>
                    <w:rPr>
                      <w:color w:val="0D0D0D" w:themeColor="text1" w:themeTint="F2"/>
                      <w:szCs w:val="21"/>
                      <w14:textFill>
                        <w14:solidFill>
                          <w14:schemeClr w14:val="tx1">
                            <w14:lumMod w14:val="95000"/>
                            <w14:lumOff w14:val="5000"/>
                          </w14:schemeClr>
                        </w14:solidFill>
                      </w14:textFill>
                    </w:rPr>
                  </w:pPr>
                </w:p>
              </w:tc>
            </w:tr>
            <w:tr w14:paraId="3E903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166" w:type="pct"/>
                  <w:vAlign w:val="center"/>
                </w:tcPr>
                <w:p w14:paraId="7F89B6F0">
                  <w:pPr>
                    <w:jc w:val="center"/>
                    <w:rPr>
                      <w:color w:val="0D0D0D" w:themeColor="text1" w:themeTint="F2"/>
                      <w:szCs w:val="21"/>
                      <w14:textFill>
                        <w14:solidFill>
                          <w14:schemeClr w14:val="tx1">
                            <w14:lumMod w14:val="95000"/>
                            <w14:lumOff w14:val="5000"/>
                          </w14:schemeClr>
                        </w14:solidFill>
                      </w14:textFill>
                    </w:rPr>
                  </w:pPr>
                </w:p>
              </w:tc>
              <w:tc>
                <w:tcPr>
                  <w:tcW w:w="856" w:type="pct"/>
                  <w:vAlign w:val="center"/>
                </w:tcPr>
                <w:p w14:paraId="613C04E7">
                  <w:pPr>
                    <w:jc w:val="center"/>
                    <w:rPr>
                      <w:color w:val="0D0D0D" w:themeColor="text1" w:themeTint="F2"/>
                      <w:szCs w:val="21"/>
                      <w14:textFill>
                        <w14:solidFill>
                          <w14:schemeClr w14:val="tx1">
                            <w14:lumMod w14:val="95000"/>
                            <w14:lumOff w14:val="5000"/>
                          </w14:schemeClr>
                        </w14:solidFill>
                      </w14:textFill>
                    </w:rPr>
                  </w:pPr>
                </w:p>
              </w:tc>
              <w:tc>
                <w:tcPr>
                  <w:tcW w:w="910" w:type="pct"/>
                  <w:vAlign w:val="center"/>
                </w:tcPr>
                <w:p w14:paraId="56950B87">
                  <w:pPr>
                    <w:jc w:val="center"/>
                    <w:rPr>
                      <w:color w:val="0D0D0D" w:themeColor="text1" w:themeTint="F2"/>
                      <w:szCs w:val="21"/>
                      <w14:textFill>
                        <w14:solidFill>
                          <w14:schemeClr w14:val="tx1">
                            <w14:lumMod w14:val="95000"/>
                            <w14:lumOff w14:val="5000"/>
                          </w14:schemeClr>
                        </w14:solidFill>
                      </w14:textFill>
                    </w:rPr>
                  </w:pPr>
                </w:p>
              </w:tc>
              <w:tc>
                <w:tcPr>
                  <w:tcW w:w="1068" w:type="pct"/>
                  <w:vAlign w:val="center"/>
                </w:tcPr>
                <w:p w14:paraId="2EE80C51">
                  <w:pPr>
                    <w:jc w:val="center"/>
                    <w:rPr>
                      <w:color w:val="0D0D0D" w:themeColor="text1" w:themeTint="F2"/>
                      <w:szCs w:val="21"/>
                      <w14:textFill>
                        <w14:solidFill>
                          <w14:schemeClr w14:val="tx1">
                            <w14:lumMod w14:val="95000"/>
                            <w14:lumOff w14:val="5000"/>
                          </w14:schemeClr>
                        </w14:solidFill>
                      </w14:textFill>
                    </w:rPr>
                  </w:pPr>
                </w:p>
              </w:tc>
            </w:tr>
          </w:tbl>
          <w:p w14:paraId="7A67CAE4">
            <w:pPr>
              <w:adjustRightInd w:val="0"/>
              <w:snapToGrid w:val="0"/>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由上表可知，钦州港金鼓江排污混合区（GX056DⅣ）GXN14010站点各监测因子均可满足《海水水质标准》（GB3097-1997）第四类标准。</w:t>
            </w:r>
          </w:p>
          <w:p w14:paraId="6C26E9C1">
            <w:pPr>
              <w:adjustRightInd w:val="0"/>
              <w:snapToGrid w:val="0"/>
              <w:spacing w:line="360" w:lineRule="auto"/>
              <w:ind w:firstLine="482" w:firstLineChars="200"/>
              <w:rPr>
                <w:b/>
                <w:bCs/>
                <w:color w:val="0D0D0D" w:themeColor="text1" w:themeTint="F2"/>
                <w:sz w:val="24"/>
                <w14:textFill>
                  <w14:solidFill>
                    <w14:schemeClr w14:val="tx1">
                      <w14:lumMod w14:val="95000"/>
                      <w14:lumOff w14:val="5000"/>
                    </w14:schemeClr>
                  </w14:solidFill>
                </w14:textFill>
              </w:rPr>
            </w:pPr>
            <w:r>
              <w:rPr>
                <w:rFonts w:hint="eastAsia"/>
                <w:b/>
                <w:bCs/>
                <w:color w:val="0D0D0D" w:themeColor="text1" w:themeTint="F2"/>
                <w:sz w:val="24"/>
                <w14:textFill>
                  <w14:solidFill>
                    <w14:schemeClr w14:val="tx1">
                      <w14:lumMod w14:val="95000"/>
                      <w14:lumOff w14:val="5000"/>
                    </w14:schemeClr>
                  </w14:solidFill>
                </w14:textFill>
              </w:rPr>
              <w:t>3、地表水环境质量现状</w:t>
            </w:r>
          </w:p>
          <w:p w14:paraId="4C8559E1">
            <w:pPr>
              <w:adjustRightInd w:val="0"/>
              <w:snapToGrid w:val="0"/>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color w:val="0D0D0D" w:themeColor="text1" w:themeTint="F2"/>
                <w:sz w:val="24"/>
                <w14:textFill>
                  <w14:solidFill>
                    <w14:schemeClr w14:val="tx1">
                      <w14:lumMod w14:val="95000"/>
                      <w14:lumOff w14:val="5000"/>
                    </w14:schemeClr>
                  </w14:solidFill>
                </w14:textFill>
              </w:rPr>
              <w:t>根据</w:t>
            </w:r>
            <w:r>
              <w:rPr>
                <w:rFonts w:hint="eastAsia"/>
                <w:color w:val="0D0D0D" w:themeColor="text1" w:themeTint="F2"/>
                <w:sz w:val="24"/>
                <w14:textFill>
                  <w14:solidFill>
                    <w14:schemeClr w14:val="tx1">
                      <w14:lumMod w14:val="95000"/>
                      <w14:lumOff w14:val="5000"/>
                    </w14:schemeClr>
                  </w14:solidFill>
                </w14:textFill>
              </w:rPr>
              <w:t>钦州市生态环境局网站发布的</w:t>
            </w:r>
            <w:r>
              <w:rPr>
                <w:color w:val="0D0D0D" w:themeColor="text1" w:themeTint="F2"/>
                <w:sz w:val="24"/>
                <w14:textFill>
                  <w14:solidFill>
                    <w14:schemeClr w14:val="tx1">
                      <w14:lumMod w14:val="95000"/>
                      <w14:lumOff w14:val="5000"/>
                    </w14:schemeClr>
                  </w14:solidFill>
                </w14:textFill>
              </w:rPr>
              <w:t>《</w:t>
            </w:r>
            <w:r>
              <w:rPr>
                <w:rFonts w:hint="eastAsia"/>
                <w:color w:val="0D0D0D" w:themeColor="text1" w:themeTint="F2"/>
                <w:sz w:val="24"/>
                <w14:textFill>
                  <w14:solidFill>
                    <w14:schemeClr w14:val="tx1">
                      <w14:lumMod w14:val="95000"/>
                      <w14:lumOff w14:val="5000"/>
                    </w14:schemeClr>
                  </w14:solidFill>
                </w14:textFill>
              </w:rPr>
              <w:t>2023年钦州市环境质量状况年报</w:t>
            </w:r>
            <w:r>
              <w:rPr>
                <w:color w:val="0D0D0D" w:themeColor="text1" w:themeTint="F2"/>
                <w:sz w:val="24"/>
                <w14:textFill>
                  <w14:solidFill>
                    <w14:schemeClr w14:val="tx1">
                      <w14:lumMod w14:val="95000"/>
                      <w14:lumOff w14:val="5000"/>
                    </w14:schemeClr>
                  </w14:solidFill>
                </w14:textFill>
              </w:rPr>
              <w:t>》，</w:t>
            </w:r>
            <w:r>
              <w:rPr>
                <w:rFonts w:hint="eastAsia"/>
                <w:color w:val="0D0D0D" w:themeColor="text1" w:themeTint="F2"/>
                <w:sz w:val="24"/>
                <w14:textFill>
                  <w14:solidFill>
                    <w14:schemeClr w14:val="tx1">
                      <w14:lumMod w14:val="95000"/>
                      <w14:lumOff w14:val="5000"/>
                    </w14:schemeClr>
                  </w14:solidFill>
                </w14:textFill>
              </w:rPr>
              <w:t>2023年，钦州市主要河流水质继续保持良好及以上水平，其中钦江干流水质保持为优；大风江干流保持为良好；茅岭江干流水质有所下降，由优下降为良好。2023年，钦州市7个国控考核地表水断面水质优良比例为85.7%，其中Ⅱ类断面4个，占比57.1%；Ⅲ类断面2个，占比28.6%；Ⅳ类断面1个，占比14.3%。7个国控考核断面中，有6个断面达到“十四五”国家考核目标，达标率为85.7%，与去年持平。</w:t>
            </w:r>
          </w:p>
          <w:p w14:paraId="5115C34B">
            <w:pPr>
              <w:snapToGrid w:val="0"/>
              <w:spacing w:line="360" w:lineRule="auto"/>
              <w:ind w:firstLine="482" w:firstLineChars="200"/>
              <w:textAlignment w:val="baseline"/>
              <w:rPr>
                <w:b/>
                <w:color w:val="0D0D0D" w:themeColor="text1" w:themeTint="F2"/>
                <w:sz w:val="24"/>
                <w14:textFill>
                  <w14:solidFill>
                    <w14:schemeClr w14:val="tx1">
                      <w14:lumMod w14:val="95000"/>
                      <w14:lumOff w14:val="5000"/>
                    </w14:schemeClr>
                  </w14:solidFill>
                </w14:textFill>
              </w:rPr>
            </w:pPr>
            <w:r>
              <w:rPr>
                <w:rFonts w:hint="eastAsia"/>
                <w:b/>
                <w:color w:val="0D0D0D" w:themeColor="text1" w:themeTint="F2"/>
                <w:sz w:val="24"/>
                <w14:textFill>
                  <w14:solidFill>
                    <w14:schemeClr w14:val="tx1">
                      <w14:lumMod w14:val="95000"/>
                      <w14:lumOff w14:val="5000"/>
                    </w14:schemeClr>
                  </w14:solidFill>
                </w14:textFill>
              </w:rPr>
              <w:t>4</w:t>
            </w:r>
            <w:r>
              <w:rPr>
                <w:b/>
                <w:color w:val="0D0D0D" w:themeColor="text1" w:themeTint="F2"/>
                <w:sz w:val="24"/>
                <w14:textFill>
                  <w14:solidFill>
                    <w14:schemeClr w14:val="tx1">
                      <w14:lumMod w14:val="95000"/>
                      <w14:lumOff w14:val="5000"/>
                    </w14:schemeClr>
                  </w14:solidFill>
                </w14:textFill>
              </w:rPr>
              <w:t>、声环境质量现状</w:t>
            </w:r>
          </w:p>
          <w:p w14:paraId="4D0CEC2A">
            <w:pPr>
              <w:adjustRightInd w:val="0"/>
              <w:snapToGrid w:val="0"/>
              <w:spacing w:line="360" w:lineRule="auto"/>
              <w:ind w:firstLine="480" w:firstLineChars="200"/>
              <w:rPr>
                <w:bCs/>
                <w:color w:val="0D0D0D" w:themeColor="text1" w:themeTint="F2"/>
                <w:sz w:val="24"/>
                <w14:textFill>
                  <w14:solidFill>
                    <w14:schemeClr w14:val="tx1">
                      <w14:lumMod w14:val="95000"/>
                      <w14:lumOff w14:val="5000"/>
                    </w14:schemeClr>
                  </w14:solidFill>
                </w14:textFill>
              </w:rPr>
            </w:pPr>
            <w:r>
              <w:rPr>
                <w:rFonts w:hint="eastAsia"/>
                <w:bCs/>
                <w:color w:val="0D0D0D" w:themeColor="text1" w:themeTint="F2"/>
                <w:sz w:val="24"/>
                <w14:textFill>
                  <w14:solidFill>
                    <w14:schemeClr w14:val="tx1">
                      <w14:lumMod w14:val="95000"/>
                      <w14:lumOff w14:val="5000"/>
                    </w14:schemeClr>
                  </w14:solidFill>
                </w14:textFill>
              </w:rPr>
              <w:t>项目位于钦州港临海大道西侧、营盘街南侧、孚宝公司东侧，根据《钦州市城市声环境功能区划方案（2018-2023年）》（钦政办规〔2018〕7号）和《广西钦州石化产业园总体发展规划（2020-2035）环境影响报告书》（桂环函〔2021〕388号），项目所在区域属于3类声环境功能区，区域声环境</w:t>
            </w:r>
            <w:r>
              <w:rPr>
                <w:bCs/>
                <w:color w:val="0D0D0D" w:themeColor="text1" w:themeTint="F2"/>
                <w:sz w:val="24"/>
                <w14:textFill>
                  <w14:solidFill>
                    <w14:schemeClr w14:val="tx1">
                      <w14:lumMod w14:val="95000"/>
                      <w14:lumOff w14:val="5000"/>
                    </w14:schemeClr>
                  </w14:solidFill>
                </w14:textFill>
              </w:rPr>
              <w:t>执行</w:t>
            </w:r>
            <w:r>
              <w:rPr>
                <w:rFonts w:hint="eastAsia"/>
                <w:bCs/>
                <w:color w:val="0D0D0D" w:themeColor="text1" w:themeTint="F2"/>
                <w:sz w:val="24"/>
                <w14:textFill>
                  <w14:solidFill>
                    <w14:schemeClr w14:val="tx1">
                      <w14:lumMod w14:val="95000"/>
                      <w14:lumOff w14:val="5000"/>
                    </w14:schemeClr>
                  </w14:solidFill>
                </w14:textFill>
              </w:rPr>
              <w:t>3</w:t>
            </w:r>
            <w:r>
              <w:rPr>
                <w:bCs/>
                <w:color w:val="0D0D0D" w:themeColor="text1" w:themeTint="F2"/>
                <w:sz w:val="24"/>
                <w14:textFill>
                  <w14:solidFill>
                    <w14:schemeClr w14:val="tx1">
                      <w14:lumMod w14:val="95000"/>
                      <w14:lumOff w14:val="5000"/>
                    </w14:schemeClr>
                  </w14:solidFill>
                </w14:textFill>
              </w:rPr>
              <w:t>类声环境功能区要求</w:t>
            </w:r>
            <w:r>
              <w:rPr>
                <w:rFonts w:hint="eastAsia"/>
                <w:bCs/>
                <w:color w:val="0D0D0D" w:themeColor="text1" w:themeTint="F2"/>
                <w:sz w:val="24"/>
                <w14:textFill>
                  <w14:solidFill>
                    <w14:schemeClr w14:val="tx1">
                      <w14:lumMod w14:val="95000"/>
                      <w14:lumOff w14:val="5000"/>
                    </w14:schemeClr>
                  </w14:solidFill>
                </w14:textFill>
              </w:rPr>
              <w:t>，厂区东面和南面为临海大道，35m范围内执行《声环境质量标准》（GB3096-2008）4a类标准。</w:t>
            </w:r>
          </w:p>
          <w:p w14:paraId="65B4F75D">
            <w:pPr>
              <w:adjustRightInd w:val="0"/>
              <w:snapToGrid w:val="0"/>
              <w:spacing w:line="360" w:lineRule="auto"/>
              <w:ind w:firstLine="480" w:firstLineChars="200"/>
              <w:rPr>
                <w:bCs/>
                <w:color w:val="0D0D0D" w:themeColor="text1" w:themeTint="F2"/>
                <w:sz w:val="24"/>
                <w14:textFill>
                  <w14:solidFill>
                    <w14:schemeClr w14:val="tx1">
                      <w14:lumMod w14:val="95000"/>
                      <w14:lumOff w14:val="5000"/>
                    </w14:schemeClr>
                  </w14:solidFill>
                </w14:textFill>
              </w:rPr>
            </w:pPr>
            <w:r>
              <w:rPr>
                <w:rFonts w:hint="eastAsia"/>
                <w:bCs/>
                <w:color w:val="0D0D0D" w:themeColor="text1" w:themeTint="F2"/>
                <w:sz w:val="24"/>
                <w14:textFill>
                  <w14:solidFill>
                    <w14:schemeClr w14:val="tx1">
                      <w14:lumMod w14:val="95000"/>
                      <w14:lumOff w14:val="5000"/>
                    </w14:schemeClr>
                  </w14:solidFill>
                </w14:textFill>
              </w:rPr>
              <w:t>根据《建设项目环境影响报告表编制技术指南（污染影响类）（试行）》（环办环评〔2020〕33号），“厂界外周边50米范围内存在声环境保护目标的建设项目，应监测保护目标声环境质量现状并评价达标情况。各点位应监测昼夜间噪声，监测时间不少于1天，项目夜间不生产则仅监测昼间噪声。”项目50m范围内不存在声环境保护目标，因此，本次评价不开展声环境质量现状监测。</w:t>
            </w:r>
          </w:p>
          <w:p w14:paraId="6A8284C6">
            <w:pPr>
              <w:adjustRightInd w:val="0"/>
              <w:snapToGrid w:val="0"/>
              <w:spacing w:line="360" w:lineRule="auto"/>
              <w:ind w:firstLine="482" w:firstLineChars="200"/>
              <w:rPr>
                <w:b/>
                <w:bCs/>
                <w:color w:val="0D0D0D" w:themeColor="text1" w:themeTint="F2"/>
                <w:sz w:val="24"/>
                <w14:textFill>
                  <w14:solidFill>
                    <w14:schemeClr w14:val="tx1">
                      <w14:lumMod w14:val="95000"/>
                      <w14:lumOff w14:val="5000"/>
                    </w14:schemeClr>
                  </w14:solidFill>
                </w14:textFill>
              </w:rPr>
            </w:pPr>
            <w:r>
              <w:rPr>
                <w:rFonts w:hint="eastAsia"/>
                <w:b/>
                <w:bCs/>
                <w:color w:val="0D0D0D" w:themeColor="text1" w:themeTint="F2"/>
                <w:sz w:val="24"/>
                <w14:textFill>
                  <w14:solidFill>
                    <w14:schemeClr w14:val="tx1">
                      <w14:lumMod w14:val="95000"/>
                      <w14:lumOff w14:val="5000"/>
                    </w14:schemeClr>
                  </w14:solidFill>
                </w14:textFill>
              </w:rPr>
              <w:t>5、</w:t>
            </w:r>
            <w:r>
              <w:rPr>
                <w:b/>
                <w:bCs/>
                <w:color w:val="0D0D0D" w:themeColor="text1" w:themeTint="F2"/>
                <w:sz w:val="24"/>
                <w14:textFill>
                  <w14:solidFill>
                    <w14:schemeClr w14:val="tx1">
                      <w14:lumMod w14:val="95000"/>
                      <w14:lumOff w14:val="5000"/>
                    </w14:schemeClr>
                  </w14:solidFill>
                </w14:textFill>
              </w:rPr>
              <w:t>生态环境质量</w:t>
            </w:r>
          </w:p>
          <w:p w14:paraId="03F3A963">
            <w:pPr>
              <w:adjustRightInd w:val="0"/>
              <w:snapToGrid w:val="0"/>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项目位于钦州港临海大道西侧、营盘街南侧、孚宝公司东侧，位于工业园区内，经现场勘查，项目周边生态植被种类简单，主要为人工种植的绿化植物。因长期受人类活动频繁影响，评价区域未见有大型野生动物，现较为常见的主要有鼠类、蛙类、鸟类、昆虫类等一些小型野生动物。项目区域的生态环境质量总体一般。</w:t>
            </w:r>
          </w:p>
          <w:p w14:paraId="2722C2F2">
            <w:pPr>
              <w:pStyle w:val="8"/>
              <w:spacing w:before="0" w:after="0" w:line="360" w:lineRule="auto"/>
              <w:ind w:right="0" w:firstLine="482" w:firstLineChars="200"/>
              <w:rPr>
                <w:b/>
                <w:bCs/>
                <w:color w:val="0D0D0D" w:themeColor="text1" w:themeTint="F2"/>
                <w:sz w:val="24"/>
                <w:szCs w:val="24"/>
                <w14:textFill>
                  <w14:solidFill>
                    <w14:schemeClr w14:val="tx1">
                      <w14:lumMod w14:val="95000"/>
                      <w14:lumOff w14:val="5000"/>
                    </w14:schemeClr>
                  </w14:solidFill>
                </w14:textFill>
              </w:rPr>
            </w:pPr>
            <w:r>
              <w:rPr>
                <w:rFonts w:hint="eastAsia"/>
                <w:b/>
                <w:bCs/>
                <w:color w:val="0D0D0D" w:themeColor="text1" w:themeTint="F2"/>
                <w:sz w:val="24"/>
                <w:szCs w:val="24"/>
                <w14:textFill>
                  <w14:solidFill>
                    <w14:schemeClr w14:val="tx1">
                      <w14:lumMod w14:val="95000"/>
                      <w14:lumOff w14:val="5000"/>
                    </w14:schemeClr>
                  </w14:solidFill>
                </w14:textFill>
              </w:rPr>
              <w:t>6、</w:t>
            </w:r>
            <w:r>
              <w:rPr>
                <w:b/>
                <w:bCs/>
                <w:color w:val="0D0D0D" w:themeColor="text1" w:themeTint="F2"/>
                <w:sz w:val="24"/>
                <w:szCs w:val="24"/>
                <w14:textFill>
                  <w14:solidFill>
                    <w14:schemeClr w14:val="tx1">
                      <w14:lumMod w14:val="95000"/>
                      <w14:lumOff w14:val="5000"/>
                    </w14:schemeClr>
                  </w14:solidFill>
                </w14:textFill>
              </w:rPr>
              <w:t>地下水、土壤环境</w:t>
            </w:r>
          </w:p>
          <w:p w14:paraId="6878D5B7">
            <w:pPr>
              <w:pStyle w:val="8"/>
              <w:spacing w:before="0" w:after="0" w:line="360" w:lineRule="auto"/>
              <w:ind w:right="0" w:firstLine="480" w:firstLineChars="200"/>
              <w:rPr>
                <w:bCs/>
                <w:color w:val="0D0D0D" w:themeColor="text1" w:themeTint="F2"/>
                <w:sz w:val="24"/>
                <w:szCs w:val="24"/>
                <w14:textFill>
                  <w14:solidFill>
                    <w14:schemeClr w14:val="tx1">
                      <w14:lumMod w14:val="95000"/>
                      <w14:lumOff w14:val="5000"/>
                    </w14:schemeClr>
                  </w14:solidFill>
                </w14:textFill>
              </w:rPr>
            </w:pPr>
            <w:r>
              <w:rPr>
                <w:rFonts w:hint="eastAsia"/>
                <w:bCs/>
                <w:color w:val="0D0D0D" w:themeColor="text1" w:themeTint="F2"/>
                <w:sz w:val="24"/>
                <w:szCs w:val="24"/>
                <w14:textFill>
                  <w14:solidFill>
                    <w14:schemeClr w14:val="tx1">
                      <w14:lumMod w14:val="95000"/>
                      <w14:lumOff w14:val="5000"/>
                    </w14:schemeClr>
                  </w14:solidFill>
                </w14:textFill>
              </w:rPr>
              <w:t>根据《环境影响评价技术导则  地下水环境》（HJ610-2016）附录A，项目属于I金属制品中的51、表面处理及热处理加工，项目环评类别为报告表，属于Ⅳ类项目，Ⅳ类建设项目不开展地下水环境影响评价。</w:t>
            </w:r>
          </w:p>
          <w:p w14:paraId="41356F7E">
            <w:pPr>
              <w:pStyle w:val="8"/>
              <w:spacing w:before="0" w:after="0" w:line="360" w:lineRule="auto"/>
              <w:ind w:right="0" w:firstLine="480" w:firstLineChars="200"/>
              <w:rPr>
                <w:bCs/>
                <w:color w:val="0D0D0D" w:themeColor="text1" w:themeTint="F2"/>
                <w:sz w:val="24"/>
                <w:szCs w:val="24"/>
                <w14:textFill>
                  <w14:solidFill>
                    <w14:schemeClr w14:val="tx1">
                      <w14:lumMod w14:val="95000"/>
                      <w14:lumOff w14:val="5000"/>
                    </w14:schemeClr>
                  </w14:solidFill>
                </w14:textFill>
              </w:rPr>
            </w:pPr>
            <w:r>
              <w:rPr>
                <w:rFonts w:hint="eastAsia"/>
                <w:bCs/>
                <w:color w:val="0D0D0D" w:themeColor="text1" w:themeTint="F2"/>
                <w:sz w:val="24"/>
                <w:szCs w:val="24"/>
                <w14:textFill>
                  <w14:solidFill>
                    <w14:schemeClr w14:val="tx1">
                      <w14:lumMod w14:val="95000"/>
                      <w14:lumOff w14:val="5000"/>
                    </w14:schemeClr>
                  </w14:solidFill>
                </w14:textFill>
              </w:rPr>
              <w:t>根据《环境影响评价技术导则  土壤环境（试行）》（HJ964-2018）附录A，项目属于其他行业，土壤环境评价项目类别为Ⅳ类。Ⅳ类建设项目可不开展土壤环境影响评价</w:t>
            </w:r>
            <w:r>
              <w:rPr>
                <w:bCs/>
                <w:color w:val="0D0D0D" w:themeColor="text1" w:themeTint="F2"/>
                <w:sz w:val="24"/>
                <w:szCs w:val="24"/>
                <w14:textFill>
                  <w14:solidFill>
                    <w14:schemeClr w14:val="tx1">
                      <w14:lumMod w14:val="95000"/>
                      <w14:lumOff w14:val="5000"/>
                    </w14:schemeClr>
                  </w14:solidFill>
                </w14:textFill>
              </w:rPr>
              <w:t>。</w:t>
            </w:r>
          </w:p>
        </w:tc>
      </w:tr>
      <w:tr w14:paraId="5DEB80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13" w:hRule="atLeast"/>
          <w:jc w:val="center"/>
        </w:trPr>
        <w:tc>
          <w:tcPr>
            <w:tcW w:w="241" w:type="pct"/>
            <w:vAlign w:val="center"/>
          </w:tcPr>
          <w:p w14:paraId="2379A185">
            <w:pPr>
              <w:adjustRightInd w:val="0"/>
              <w:snapToGrid w:val="0"/>
              <w:jc w:val="center"/>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环境保护目标</w:t>
            </w:r>
          </w:p>
        </w:tc>
        <w:tc>
          <w:tcPr>
            <w:tcW w:w="4759" w:type="pct"/>
          </w:tcPr>
          <w:p w14:paraId="1376215A">
            <w:pPr>
              <w:adjustRightInd w:val="0"/>
              <w:snapToGrid w:val="0"/>
              <w:spacing w:line="360" w:lineRule="auto"/>
              <w:ind w:firstLine="482" w:firstLineChars="200"/>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1、大气环境保护目标</w:t>
            </w:r>
          </w:p>
          <w:p w14:paraId="35EA3783">
            <w:pPr>
              <w:adjustRightInd w:val="0"/>
              <w:snapToGrid w:val="0"/>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保护项目区域的环境空气质量，达到《环境空气质量标准》（GB3095-1996）及其修改单二级标准，经调查，</w:t>
            </w:r>
            <w:r>
              <w:rPr>
                <w:color w:val="0D0D0D" w:themeColor="text1" w:themeTint="F2"/>
                <w:sz w:val="24"/>
                <w14:textFill>
                  <w14:solidFill>
                    <w14:schemeClr w14:val="tx1">
                      <w14:lumMod w14:val="95000"/>
                      <w14:lumOff w14:val="5000"/>
                    </w14:schemeClr>
                  </w14:solidFill>
                </w14:textFill>
              </w:rPr>
              <w:t>项目厂界外500</w:t>
            </w:r>
            <w:r>
              <w:rPr>
                <w:rFonts w:hint="eastAsia"/>
                <w:color w:val="0D0D0D" w:themeColor="text1" w:themeTint="F2"/>
                <w:sz w:val="24"/>
                <w14:textFill>
                  <w14:solidFill>
                    <w14:schemeClr w14:val="tx1">
                      <w14:lumMod w14:val="95000"/>
                      <w14:lumOff w14:val="5000"/>
                    </w14:schemeClr>
                  </w14:solidFill>
                </w14:textFill>
              </w:rPr>
              <w:t>m</w:t>
            </w:r>
            <w:r>
              <w:rPr>
                <w:color w:val="0D0D0D" w:themeColor="text1" w:themeTint="F2"/>
                <w:sz w:val="24"/>
                <w14:textFill>
                  <w14:solidFill>
                    <w14:schemeClr w14:val="tx1">
                      <w14:lumMod w14:val="95000"/>
                      <w14:lumOff w14:val="5000"/>
                    </w14:schemeClr>
                  </w14:solidFill>
                </w14:textFill>
              </w:rPr>
              <w:t>范围内</w:t>
            </w:r>
            <w:r>
              <w:rPr>
                <w:rFonts w:hint="eastAsia"/>
                <w:color w:val="0D0D0D" w:themeColor="text1" w:themeTint="F2"/>
                <w:sz w:val="24"/>
                <w14:textFill>
                  <w14:solidFill>
                    <w14:schemeClr w14:val="tx1">
                      <w14:lumMod w14:val="95000"/>
                      <w14:lumOff w14:val="5000"/>
                    </w14:schemeClr>
                  </w14:solidFill>
                </w14:textFill>
              </w:rPr>
              <w:t>不存在大气环境保护目标。</w:t>
            </w:r>
          </w:p>
          <w:p w14:paraId="48C741D7">
            <w:pPr>
              <w:adjustRightInd w:val="0"/>
              <w:snapToGrid w:val="0"/>
              <w:spacing w:line="360" w:lineRule="auto"/>
              <w:ind w:firstLine="482" w:firstLineChars="200"/>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2、</w:t>
            </w:r>
            <w:r>
              <w:rPr>
                <w:rFonts w:cs="宋体"/>
                <w:b/>
                <w:bCs/>
                <w:color w:val="0D0D0D" w:themeColor="text1" w:themeTint="F2"/>
                <w:kern w:val="0"/>
                <w:sz w:val="24"/>
                <w14:textFill>
                  <w14:solidFill>
                    <w14:schemeClr w14:val="tx1">
                      <w14:lumMod w14:val="95000"/>
                      <w14:lumOff w14:val="5000"/>
                    </w14:schemeClr>
                  </w14:solidFill>
                </w14:textFill>
              </w:rPr>
              <w:t>声环境</w:t>
            </w:r>
            <w:r>
              <w:rPr>
                <w:rFonts w:hint="eastAsia" w:cs="宋体"/>
                <w:b/>
                <w:bCs/>
                <w:color w:val="0D0D0D" w:themeColor="text1" w:themeTint="F2"/>
                <w:kern w:val="0"/>
                <w:sz w:val="24"/>
                <w14:textFill>
                  <w14:solidFill>
                    <w14:schemeClr w14:val="tx1">
                      <w14:lumMod w14:val="95000"/>
                      <w14:lumOff w14:val="5000"/>
                    </w14:schemeClr>
                  </w14:solidFill>
                </w14:textFill>
              </w:rPr>
              <w:t>保护目标</w:t>
            </w:r>
          </w:p>
          <w:p w14:paraId="1F35A0DC">
            <w:pPr>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保护项目区域的</w:t>
            </w:r>
            <w:r>
              <w:rPr>
                <w:rFonts w:hint="eastAsia" w:cs="宋体"/>
                <w:color w:val="0D0D0D" w:themeColor="text1" w:themeTint="F2"/>
                <w:kern w:val="0"/>
                <w:sz w:val="24"/>
                <w14:textFill>
                  <w14:solidFill>
                    <w14:schemeClr w14:val="tx1">
                      <w14:lumMod w14:val="95000"/>
                      <w14:lumOff w14:val="5000"/>
                    </w14:schemeClr>
                  </w14:solidFill>
                </w14:textFill>
              </w:rPr>
              <w:t>声环境质量，达到《声环境质量标准》（GB3096-2008）中的3类和4a类标准，经调查，项目厂界外50m范围内无声环境保护目标。</w:t>
            </w:r>
          </w:p>
          <w:p w14:paraId="6768E3E6">
            <w:pPr>
              <w:adjustRightInd w:val="0"/>
              <w:snapToGrid w:val="0"/>
              <w:spacing w:line="360" w:lineRule="auto"/>
              <w:ind w:firstLine="482" w:firstLineChars="200"/>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3、</w:t>
            </w:r>
            <w:r>
              <w:rPr>
                <w:rFonts w:cs="宋体"/>
                <w:b/>
                <w:bCs/>
                <w:color w:val="0D0D0D" w:themeColor="text1" w:themeTint="F2"/>
                <w:kern w:val="0"/>
                <w:sz w:val="24"/>
                <w14:textFill>
                  <w14:solidFill>
                    <w14:schemeClr w14:val="tx1">
                      <w14:lumMod w14:val="95000"/>
                      <w14:lumOff w14:val="5000"/>
                    </w14:schemeClr>
                  </w14:solidFill>
                </w14:textFill>
              </w:rPr>
              <w:t>水环境</w:t>
            </w:r>
            <w:r>
              <w:rPr>
                <w:rFonts w:hint="eastAsia" w:cs="宋体"/>
                <w:b/>
                <w:bCs/>
                <w:color w:val="0D0D0D" w:themeColor="text1" w:themeTint="F2"/>
                <w:kern w:val="0"/>
                <w:sz w:val="24"/>
                <w14:textFill>
                  <w14:solidFill>
                    <w14:schemeClr w14:val="tx1">
                      <w14:lumMod w14:val="95000"/>
                      <w14:lumOff w14:val="5000"/>
                    </w14:schemeClr>
                  </w14:solidFill>
                </w14:textFill>
              </w:rPr>
              <w:t>保护目标</w:t>
            </w:r>
          </w:p>
          <w:p w14:paraId="4BE57FF7">
            <w:pPr>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（1）地表水</w:t>
            </w:r>
          </w:p>
          <w:p w14:paraId="29C5556E">
            <w:pPr>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保护项目周边地表水环境质量，经调查，周边地表水体不存在饮用水水源保护区等水环境保护目标。</w:t>
            </w:r>
          </w:p>
          <w:p w14:paraId="2FB04249">
            <w:pPr>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（2）地下水</w:t>
            </w:r>
          </w:p>
          <w:p w14:paraId="3DFBCF70">
            <w:pPr>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保护项目区域的地下水环境质量，使其符合《地下水质量标准》（GB/T14848-2017）Ⅲ类标准，经调查，</w:t>
            </w:r>
            <w:r>
              <w:rPr>
                <w:rFonts w:cs="宋体"/>
                <w:color w:val="0D0D0D" w:themeColor="text1" w:themeTint="F2"/>
                <w:kern w:val="0"/>
                <w:sz w:val="24"/>
                <w14:textFill>
                  <w14:solidFill>
                    <w14:schemeClr w14:val="tx1">
                      <w14:lumMod w14:val="95000"/>
                      <w14:lumOff w14:val="5000"/>
                    </w14:schemeClr>
                  </w14:solidFill>
                </w14:textFill>
              </w:rPr>
              <w:t>项目厂界外500</w:t>
            </w:r>
            <w:r>
              <w:rPr>
                <w:rFonts w:hint="eastAsia" w:cs="宋体"/>
                <w:color w:val="0D0D0D" w:themeColor="text1" w:themeTint="F2"/>
                <w:kern w:val="0"/>
                <w:sz w:val="24"/>
                <w14:textFill>
                  <w14:solidFill>
                    <w14:schemeClr w14:val="tx1">
                      <w14:lumMod w14:val="95000"/>
                      <w14:lumOff w14:val="5000"/>
                    </w14:schemeClr>
                  </w14:solidFill>
                </w14:textFill>
              </w:rPr>
              <w:t>m</w:t>
            </w:r>
            <w:r>
              <w:rPr>
                <w:rFonts w:cs="宋体"/>
                <w:color w:val="0D0D0D" w:themeColor="text1" w:themeTint="F2"/>
                <w:kern w:val="0"/>
                <w:sz w:val="24"/>
                <w14:textFill>
                  <w14:solidFill>
                    <w14:schemeClr w14:val="tx1">
                      <w14:lumMod w14:val="95000"/>
                      <w14:lumOff w14:val="5000"/>
                    </w14:schemeClr>
                  </w14:solidFill>
                </w14:textFill>
              </w:rPr>
              <w:t>范围内</w:t>
            </w:r>
            <w:r>
              <w:rPr>
                <w:rFonts w:hint="eastAsia" w:cs="宋体"/>
                <w:color w:val="0D0D0D" w:themeColor="text1" w:themeTint="F2"/>
                <w:kern w:val="0"/>
                <w:sz w:val="24"/>
                <w14:textFill>
                  <w14:solidFill>
                    <w14:schemeClr w14:val="tx1">
                      <w14:lumMod w14:val="95000"/>
                      <w14:lumOff w14:val="5000"/>
                    </w14:schemeClr>
                  </w14:solidFill>
                </w14:textFill>
              </w:rPr>
              <w:t>不存在</w:t>
            </w:r>
            <w:r>
              <w:rPr>
                <w:rFonts w:cs="宋体"/>
                <w:color w:val="0D0D0D" w:themeColor="text1" w:themeTint="F2"/>
                <w:kern w:val="0"/>
                <w:sz w:val="24"/>
                <w14:textFill>
                  <w14:solidFill>
                    <w14:schemeClr w14:val="tx1">
                      <w14:lumMod w14:val="95000"/>
                      <w14:lumOff w14:val="5000"/>
                    </w14:schemeClr>
                  </w14:solidFill>
                </w14:textFill>
              </w:rPr>
              <w:t>地下水集中式饮用水水源和热水、矿泉水、温泉等特殊地下水资源</w:t>
            </w:r>
            <w:r>
              <w:rPr>
                <w:rFonts w:hint="eastAsia" w:cs="宋体"/>
                <w:color w:val="0D0D0D" w:themeColor="text1" w:themeTint="F2"/>
                <w:kern w:val="0"/>
                <w:sz w:val="24"/>
                <w14:textFill>
                  <w14:solidFill>
                    <w14:schemeClr w14:val="tx1">
                      <w14:lumMod w14:val="95000"/>
                      <w14:lumOff w14:val="5000"/>
                    </w14:schemeClr>
                  </w14:solidFill>
                </w14:textFill>
              </w:rPr>
              <w:t>。</w:t>
            </w:r>
          </w:p>
          <w:p w14:paraId="18D4F2F3">
            <w:pPr>
              <w:adjustRightInd w:val="0"/>
              <w:snapToGrid w:val="0"/>
              <w:spacing w:line="360" w:lineRule="auto"/>
              <w:ind w:firstLine="482" w:firstLineChars="200"/>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4、土壤环境保护目标</w:t>
            </w:r>
          </w:p>
          <w:p w14:paraId="7098B083">
            <w:pPr>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确保项目周边土壤环境满足《土壤环境质量  建设用地土壤污染风险管控标准（试行）》（GB36600-2018）表1筛选值要求。</w:t>
            </w:r>
          </w:p>
          <w:p w14:paraId="0051D036">
            <w:pPr>
              <w:adjustRightInd w:val="0"/>
              <w:snapToGrid w:val="0"/>
              <w:spacing w:line="360" w:lineRule="auto"/>
              <w:ind w:firstLine="482" w:firstLineChars="200"/>
              <w:rPr>
                <w:rFonts w:cs="宋体"/>
                <w:b/>
                <w:bCs/>
                <w:color w:val="0D0D0D" w:themeColor="text1" w:themeTint="F2"/>
                <w:kern w:val="0"/>
                <w:sz w:val="24"/>
                <w14:textFill>
                  <w14:solidFill>
                    <w14:schemeClr w14:val="tx1">
                      <w14:lumMod w14:val="95000"/>
                      <w14:lumOff w14:val="5000"/>
                    </w14:schemeClr>
                  </w14:solidFill>
                </w14:textFill>
              </w:rPr>
            </w:pPr>
            <w:r>
              <w:rPr>
                <w:rFonts w:hint="eastAsia" w:cs="宋体"/>
                <w:b/>
                <w:bCs/>
                <w:color w:val="0D0D0D" w:themeColor="text1" w:themeTint="F2"/>
                <w:kern w:val="0"/>
                <w:sz w:val="24"/>
                <w14:textFill>
                  <w14:solidFill>
                    <w14:schemeClr w14:val="tx1">
                      <w14:lumMod w14:val="95000"/>
                      <w14:lumOff w14:val="5000"/>
                    </w14:schemeClr>
                  </w14:solidFill>
                </w14:textFill>
              </w:rPr>
              <w:t>5、生态环境保护目标</w:t>
            </w:r>
          </w:p>
          <w:p w14:paraId="5DAD56E5">
            <w:pPr>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项目周边</w:t>
            </w:r>
            <w:r>
              <w:rPr>
                <w:rFonts w:cs="宋体"/>
                <w:color w:val="0D0D0D" w:themeColor="text1" w:themeTint="F2"/>
                <w:kern w:val="0"/>
                <w:sz w:val="24"/>
                <w14:textFill>
                  <w14:solidFill>
                    <w14:schemeClr w14:val="tx1">
                      <w14:lumMod w14:val="95000"/>
                      <w14:lumOff w14:val="5000"/>
                    </w14:schemeClr>
                  </w14:solidFill>
                </w14:textFill>
              </w:rPr>
              <w:t>不涉及文物保护单位、自然保护区、风景名胜区、森林公园等法定环境敏感区和特殊生态功能区。</w:t>
            </w:r>
          </w:p>
        </w:tc>
      </w:tr>
      <w:tr w14:paraId="23FE7E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36" w:hRule="atLeast"/>
          <w:jc w:val="center"/>
        </w:trPr>
        <w:tc>
          <w:tcPr>
            <w:tcW w:w="241" w:type="pct"/>
            <w:tcMar>
              <w:left w:w="28" w:type="dxa"/>
              <w:right w:w="28" w:type="dxa"/>
            </w:tcMar>
            <w:vAlign w:val="center"/>
          </w:tcPr>
          <w:p w14:paraId="2EB2AF3A">
            <w:pPr>
              <w:adjustRightInd w:val="0"/>
              <w:snapToGrid w:val="0"/>
              <w:jc w:val="center"/>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污染物排放控制标准</w:t>
            </w:r>
          </w:p>
        </w:tc>
        <w:tc>
          <w:tcPr>
            <w:tcW w:w="4759" w:type="pct"/>
          </w:tcPr>
          <w:p w14:paraId="17F91EE3">
            <w:pPr>
              <w:adjustRightInd w:val="0"/>
              <w:snapToGrid w:val="0"/>
              <w:spacing w:line="360" w:lineRule="auto"/>
              <w:ind w:firstLine="482" w:firstLineChars="200"/>
              <w:rPr>
                <w:rFonts w:cs="宋体"/>
                <w:b/>
                <w:color w:val="0D0D0D" w:themeColor="text1" w:themeTint="F2"/>
                <w:kern w:val="0"/>
                <w:sz w:val="24"/>
                <w14:textFill>
                  <w14:solidFill>
                    <w14:schemeClr w14:val="tx1">
                      <w14:lumMod w14:val="95000"/>
                      <w14:lumOff w14:val="5000"/>
                    </w14:schemeClr>
                  </w14:solidFill>
                </w14:textFill>
              </w:rPr>
            </w:pPr>
            <w:r>
              <w:rPr>
                <w:rFonts w:hint="eastAsia" w:cs="宋体"/>
                <w:b/>
                <w:color w:val="0D0D0D" w:themeColor="text1" w:themeTint="F2"/>
                <w:kern w:val="0"/>
                <w:sz w:val="24"/>
                <w14:textFill>
                  <w14:solidFill>
                    <w14:schemeClr w14:val="tx1">
                      <w14:lumMod w14:val="95000"/>
                      <w14:lumOff w14:val="5000"/>
                    </w14:schemeClr>
                  </w14:solidFill>
                </w14:textFill>
              </w:rPr>
              <w:t>1、大气污染物</w:t>
            </w:r>
          </w:p>
          <w:p w14:paraId="4B22A3A3">
            <w:pPr>
              <w:adjustRightInd w:val="0"/>
              <w:snapToGrid w:val="0"/>
              <w:spacing w:line="360" w:lineRule="auto"/>
              <w:ind w:firstLine="480" w:firstLineChars="200"/>
              <w:rPr>
                <w:rFonts w:cs="宋体"/>
                <w:bCs/>
                <w:color w:val="0D0D0D" w:themeColor="text1" w:themeTint="F2"/>
                <w:kern w:val="0"/>
                <w:sz w:val="24"/>
                <w14:textFill>
                  <w14:solidFill>
                    <w14:schemeClr w14:val="tx1">
                      <w14:lumMod w14:val="95000"/>
                      <w14:lumOff w14:val="5000"/>
                    </w14:schemeClr>
                  </w14:solidFill>
                </w14:textFill>
              </w:rPr>
            </w:pPr>
            <w:r>
              <w:rPr>
                <w:rFonts w:cs="宋体"/>
                <w:bCs/>
                <w:color w:val="0D0D0D" w:themeColor="text1" w:themeTint="F2"/>
                <w:kern w:val="0"/>
                <w:sz w:val="24"/>
                <w14:textFill>
                  <w14:solidFill>
                    <w14:schemeClr w14:val="tx1">
                      <w14:lumMod w14:val="95000"/>
                      <w14:lumOff w14:val="5000"/>
                    </w14:schemeClr>
                  </w14:solidFill>
                </w14:textFill>
              </w:rPr>
              <w:t>项目施工期</w:t>
            </w:r>
            <w:r>
              <w:rPr>
                <w:rFonts w:hint="eastAsia" w:cs="宋体"/>
                <w:bCs/>
                <w:color w:val="0D0D0D" w:themeColor="text1" w:themeTint="F2"/>
                <w:kern w:val="0"/>
                <w:sz w:val="24"/>
                <w14:textFill>
                  <w14:solidFill>
                    <w14:schemeClr w14:val="tx1">
                      <w14:lumMod w14:val="95000"/>
                      <w14:lumOff w14:val="5000"/>
                    </w14:schemeClr>
                  </w14:solidFill>
                </w14:textFill>
              </w:rPr>
              <w:t>扬尘</w:t>
            </w:r>
            <w:r>
              <w:rPr>
                <w:rFonts w:cs="宋体"/>
                <w:bCs/>
                <w:color w:val="0D0D0D" w:themeColor="text1" w:themeTint="F2"/>
                <w:kern w:val="0"/>
                <w:sz w:val="24"/>
                <w14:textFill>
                  <w14:solidFill>
                    <w14:schemeClr w14:val="tx1">
                      <w14:lumMod w14:val="95000"/>
                      <w14:lumOff w14:val="5000"/>
                    </w14:schemeClr>
                  </w14:solidFill>
                </w14:textFill>
              </w:rPr>
              <w:t>执行《大气污染物综合排放标准》（GB16297-1996）表2无组织排放监控浓度限值</w:t>
            </w:r>
            <w:r>
              <w:rPr>
                <w:rFonts w:hint="eastAsia" w:cs="宋体"/>
                <w:bCs/>
                <w:color w:val="0D0D0D" w:themeColor="text1" w:themeTint="F2"/>
                <w:kern w:val="0"/>
                <w:sz w:val="24"/>
                <w14:textFill>
                  <w14:solidFill>
                    <w14:schemeClr w14:val="tx1">
                      <w14:lumMod w14:val="95000"/>
                      <w14:lumOff w14:val="5000"/>
                    </w14:schemeClr>
                  </w14:solidFill>
                </w14:textFill>
              </w:rPr>
              <w:t>。</w:t>
            </w:r>
          </w:p>
          <w:p w14:paraId="57D6E67D">
            <w:pPr>
              <w:adjustRightInd w:val="0"/>
              <w:snapToGrid w:val="0"/>
              <w:spacing w:line="360" w:lineRule="auto"/>
              <w:ind w:firstLine="480" w:firstLineChars="200"/>
              <w:rPr>
                <w:rFonts w:cs="宋体"/>
                <w:bCs/>
                <w:color w:val="0D0D0D" w:themeColor="text1" w:themeTint="F2"/>
                <w:kern w:val="0"/>
                <w:sz w:val="24"/>
                <w:u w:val="single"/>
                <w14:textFill>
                  <w14:solidFill>
                    <w14:schemeClr w14:val="tx1">
                      <w14:lumMod w14:val="95000"/>
                      <w14:lumOff w14:val="5000"/>
                    </w14:schemeClr>
                  </w14:solidFill>
                </w14:textFill>
              </w:rPr>
            </w:pPr>
            <w:r>
              <w:rPr>
                <w:rFonts w:hint="eastAsia" w:cs="宋体"/>
                <w:bCs/>
                <w:color w:val="0D0D0D" w:themeColor="text1" w:themeTint="F2"/>
                <w:kern w:val="0"/>
                <w:sz w:val="24"/>
                <w:u w:val="single"/>
                <w14:textFill>
                  <w14:solidFill>
                    <w14:schemeClr w14:val="tx1">
                      <w14:lumMod w14:val="95000"/>
                      <w14:lumOff w14:val="5000"/>
                    </w14:schemeClr>
                  </w14:solidFill>
                </w14:textFill>
              </w:rPr>
              <w:t>运营期抛丸粉尘有组织排放执行</w:t>
            </w:r>
            <w:r>
              <w:rPr>
                <w:rFonts w:cs="宋体"/>
                <w:bCs/>
                <w:color w:val="0D0D0D" w:themeColor="text1" w:themeTint="F2"/>
                <w:kern w:val="0"/>
                <w:sz w:val="24"/>
                <w:u w:val="single"/>
                <w14:textFill>
                  <w14:solidFill>
                    <w14:schemeClr w14:val="tx1">
                      <w14:lumMod w14:val="95000"/>
                      <w14:lumOff w14:val="5000"/>
                    </w14:schemeClr>
                  </w14:solidFill>
                </w14:textFill>
              </w:rPr>
              <w:t>《大气污染物综合排放标准》（GB16297-1996）表2</w:t>
            </w:r>
            <w:r>
              <w:rPr>
                <w:rFonts w:hint="eastAsia" w:cs="宋体"/>
                <w:bCs/>
                <w:color w:val="0D0D0D" w:themeColor="text1" w:themeTint="F2"/>
                <w:kern w:val="0"/>
                <w:sz w:val="24"/>
                <w:u w:val="single"/>
                <w14:textFill>
                  <w14:solidFill>
                    <w14:schemeClr w14:val="tx1">
                      <w14:lumMod w14:val="95000"/>
                      <w14:lumOff w14:val="5000"/>
                    </w14:schemeClr>
                  </w14:solidFill>
                </w14:textFill>
              </w:rPr>
              <w:t>二级标准</w:t>
            </w:r>
            <w:r>
              <w:rPr>
                <w:rFonts w:cs="宋体"/>
                <w:bCs/>
                <w:color w:val="0D0D0D" w:themeColor="text1" w:themeTint="F2"/>
                <w:kern w:val="0"/>
                <w:sz w:val="24"/>
                <w:u w:val="single"/>
                <w14:textFill>
                  <w14:solidFill>
                    <w14:schemeClr w14:val="tx1">
                      <w14:lumMod w14:val="95000"/>
                      <w14:lumOff w14:val="5000"/>
                    </w14:schemeClr>
                  </w14:solidFill>
                </w14:textFill>
              </w:rPr>
              <w:t>限值</w:t>
            </w:r>
            <w:r>
              <w:rPr>
                <w:rFonts w:hint="eastAsia" w:cs="宋体"/>
                <w:bCs/>
                <w:color w:val="0D0D0D" w:themeColor="text1" w:themeTint="F2"/>
                <w:kern w:val="0"/>
                <w:sz w:val="24"/>
                <w:u w:val="single"/>
                <w14:textFill>
                  <w14:solidFill>
                    <w14:schemeClr w14:val="tx1">
                      <w14:lumMod w14:val="95000"/>
                      <w14:lumOff w14:val="5000"/>
                    </w14:schemeClr>
                  </w14:solidFill>
                </w14:textFill>
              </w:rPr>
              <w:t>，无组织排放执行</w:t>
            </w:r>
            <w:r>
              <w:rPr>
                <w:rFonts w:cs="宋体"/>
                <w:bCs/>
                <w:color w:val="0D0D0D" w:themeColor="text1" w:themeTint="F2"/>
                <w:kern w:val="0"/>
                <w:sz w:val="24"/>
                <w:u w:val="single"/>
                <w14:textFill>
                  <w14:solidFill>
                    <w14:schemeClr w14:val="tx1">
                      <w14:lumMod w14:val="95000"/>
                      <w14:lumOff w14:val="5000"/>
                    </w14:schemeClr>
                  </w14:solidFill>
                </w14:textFill>
              </w:rPr>
              <w:t>《大气污染物综合排放标准》（GB16297-1996）表2无组织排放监控浓度限值</w:t>
            </w:r>
            <w:r>
              <w:rPr>
                <w:rFonts w:hint="eastAsia" w:cs="宋体"/>
                <w:bCs/>
                <w:color w:val="0D0D0D" w:themeColor="text1" w:themeTint="F2"/>
                <w:kern w:val="0"/>
                <w:sz w:val="24"/>
                <w:u w:val="single"/>
                <w14:textFill>
                  <w14:solidFill>
                    <w14:schemeClr w14:val="tx1">
                      <w14:lumMod w14:val="95000"/>
                      <w14:lumOff w14:val="5000"/>
                    </w14:schemeClr>
                  </w14:solidFill>
                </w14:textFill>
              </w:rPr>
              <w:t>；喷漆工序产生的颗粒物、二甲苯、非甲烷总烃以及危废暂存间废气中的二甲苯、非甲烷总烃有组织排放执行</w:t>
            </w:r>
            <w:r>
              <w:rPr>
                <w:rFonts w:cs="宋体"/>
                <w:bCs/>
                <w:color w:val="0D0D0D" w:themeColor="text1" w:themeTint="F2"/>
                <w:kern w:val="0"/>
                <w:sz w:val="24"/>
                <w:u w:val="single"/>
                <w14:textFill>
                  <w14:solidFill>
                    <w14:schemeClr w14:val="tx1">
                      <w14:lumMod w14:val="95000"/>
                      <w14:lumOff w14:val="5000"/>
                    </w14:schemeClr>
                  </w14:solidFill>
                </w14:textFill>
              </w:rPr>
              <w:t>《大气污染物综合排放标准》（GB16297-1996）表2</w:t>
            </w:r>
            <w:r>
              <w:rPr>
                <w:rFonts w:hint="eastAsia" w:cs="宋体"/>
                <w:bCs/>
                <w:color w:val="0D0D0D" w:themeColor="text1" w:themeTint="F2"/>
                <w:kern w:val="0"/>
                <w:sz w:val="24"/>
                <w:u w:val="single"/>
                <w14:textFill>
                  <w14:solidFill>
                    <w14:schemeClr w14:val="tx1">
                      <w14:lumMod w14:val="95000"/>
                      <w14:lumOff w14:val="5000"/>
                    </w14:schemeClr>
                  </w14:solidFill>
                </w14:textFill>
              </w:rPr>
              <w:t>二级标准</w:t>
            </w:r>
            <w:r>
              <w:rPr>
                <w:rFonts w:cs="宋体"/>
                <w:bCs/>
                <w:color w:val="0D0D0D" w:themeColor="text1" w:themeTint="F2"/>
                <w:kern w:val="0"/>
                <w:sz w:val="24"/>
                <w:u w:val="single"/>
                <w14:textFill>
                  <w14:solidFill>
                    <w14:schemeClr w14:val="tx1">
                      <w14:lumMod w14:val="95000"/>
                      <w14:lumOff w14:val="5000"/>
                    </w14:schemeClr>
                  </w14:solidFill>
                </w14:textFill>
              </w:rPr>
              <w:t>限值</w:t>
            </w:r>
            <w:r>
              <w:rPr>
                <w:rFonts w:hint="eastAsia" w:cs="宋体"/>
                <w:bCs/>
                <w:color w:val="0D0D0D" w:themeColor="text1" w:themeTint="F2"/>
                <w:kern w:val="0"/>
                <w:sz w:val="24"/>
                <w:u w:val="single"/>
                <w14:textFill>
                  <w14:solidFill>
                    <w14:schemeClr w14:val="tx1">
                      <w14:lumMod w14:val="95000"/>
                      <w14:lumOff w14:val="5000"/>
                    </w14:schemeClr>
                  </w14:solidFill>
                </w14:textFill>
              </w:rPr>
              <w:t>，无组织排放执行《大气污染物综合排放标准》（GB16297-1996）表2新污染源大气污染物无组织排放监控浓度限值；同时厂区内VOCs无组织排放监控点浓度执行《挥发性有机物无组织排放控制标准》（GB37822-2019）中表A.1监控点浓度。食堂油烟执行《饮食业油烟排放标准（试行）》（GB18483-2001）小型标准要求。</w:t>
            </w:r>
          </w:p>
          <w:p w14:paraId="4D8968B8">
            <w:pPr>
              <w:adjustRightInd w:val="0"/>
              <w:snapToGrid w:val="0"/>
              <w:jc w:val="center"/>
              <w:rPr>
                <w:rFonts w:cs="宋体"/>
                <w:b/>
                <w:bCs/>
                <w:color w:val="0D0D0D" w:themeColor="text1" w:themeTint="F2"/>
                <w:kern w:val="0"/>
                <w:szCs w:val="21"/>
                <w14:textFill>
                  <w14:solidFill>
                    <w14:schemeClr w14:val="tx1">
                      <w14:lumMod w14:val="95000"/>
                      <w14:lumOff w14:val="5000"/>
                    </w14:schemeClr>
                  </w14:solidFill>
                </w14:textFill>
              </w:rPr>
            </w:pPr>
            <w:r>
              <w:rPr>
                <w:rFonts w:cs="宋体"/>
                <w:b/>
                <w:bCs/>
                <w:color w:val="0D0D0D" w:themeColor="text1" w:themeTint="F2"/>
                <w:kern w:val="0"/>
                <w:szCs w:val="21"/>
                <w14:textFill>
                  <w14:solidFill>
                    <w14:schemeClr w14:val="tx1">
                      <w14:lumMod w14:val="95000"/>
                      <w14:lumOff w14:val="5000"/>
                    </w14:schemeClr>
                  </w14:solidFill>
                </w14:textFill>
              </w:rPr>
              <w:t>表</w:t>
            </w:r>
            <w:r>
              <w:rPr>
                <w:rFonts w:hint="eastAsia" w:cs="宋体"/>
                <w:b/>
                <w:bCs/>
                <w:color w:val="0D0D0D" w:themeColor="text1" w:themeTint="F2"/>
                <w:kern w:val="0"/>
                <w:szCs w:val="21"/>
                <w14:textFill>
                  <w14:solidFill>
                    <w14:schemeClr w14:val="tx1">
                      <w14:lumMod w14:val="95000"/>
                      <w14:lumOff w14:val="5000"/>
                    </w14:schemeClr>
                  </w14:solidFill>
                </w14:textFill>
              </w:rPr>
              <w:t>3</w:t>
            </w:r>
            <w:r>
              <w:rPr>
                <w:rFonts w:cs="宋体"/>
                <w:b/>
                <w:bCs/>
                <w:color w:val="0D0D0D" w:themeColor="text1" w:themeTint="F2"/>
                <w:kern w:val="0"/>
                <w:szCs w:val="21"/>
                <w14:textFill>
                  <w14:solidFill>
                    <w14:schemeClr w14:val="tx1">
                      <w14:lumMod w14:val="95000"/>
                      <w14:lumOff w14:val="5000"/>
                    </w14:schemeClr>
                  </w14:solidFill>
                </w14:textFill>
              </w:rPr>
              <w:t>-</w:t>
            </w:r>
            <w:r>
              <w:rPr>
                <w:rFonts w:hint="eastAsia" w:cs="宋体"/>
                <w:b/>
                <w:bCs/>
                <w:color w:val="0D0D0D" w:themeColor="text1" w:themeTint="F2"/>
                <w:kern w:val="0"/>
                <w:szCs w:val="21"/>
                <w14:textFill>
                  <w14:solidFill>
                    <w14:schemeClr w14:val="tx1">
                      <w14:lumMod w14:val="95000"/>
                      <w14:lumOff w14:val="5000"/>
                    </w14:schemeClr>
                  </w14:solidFill>
                </w14:textFill>
              </w:rPr>
              <w:t>5</w:t>
            </w:r>
            <w:r>
              <w:rPr>
                <w:rFonts w:cs="宋体"/>
                <w:b/>
                <w:bCs/>
                <w:color w:val="0D0D0D" w:themeColor="text1" w:themeTint="F2"/>
                <w:kern w:val="0"/>
                <w:szCs w:val="21"/>
                <w14:textFill>
                  <w14:solidFill>
                    <w14:schemeClr w14:val="tx1">
                      <w14:lumMod w14:val="95000"/>
                      <w14:lumOff w14:val="5000"/>
                    </w14:schemeClr>
                  </w14:solidFill>
                </w14:textFill>
              </w:rPr>
              <w:t xml:space="preserve">  </w:t>
            </w:r>
            <w:r>
              <w:rPr>
                <w:rFonts w:hint="eastAsia" w:cs="宋体"/>
                <w:b/>
                <w:bCs/>
                <w:color w:val="0D0D0D" w:themeColor="text1" w:themeTint="F2"/>
                <w:kern w:val="0"/>
                <w:szCs w:val="21"/>
                <w14:textFill>
                  <w14:solidFill>
                    <w14:schemeClr w14:val="tx1">
                      <w14:lumMod w14:val="95000"/>
                      <w14:lumOff w14:val="5000"/>
                    </w14:schemeClr>
                  </w14:solidFill>
                </w14:textFill>
              </w:rPr>
              <w:t>《大气污染物综合排放标准》（摘录）</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5"/>
              <w:gridCol w:w="1977"/>
              <w:gridCol w:w="1592"/>
              <w:gridCol w:w="627"/>
              <w:gridCol w:w="1379"/>
              <w:gridCol w:w="1499"/>
            </w:tblGrid>
            <w:tr w14:paraId="260D1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779" w:type="pct"/>
                  <w:vMerge w:val="restart"/>
                  <w:vAlign w:val="center"/>
                </w:tcPr>
                <w:p w14:paraId="6FCEF6F5">
                  <w:pPr>
                    <w:tabs>
                      <w:tab w:val="left" w:pos="1021"/>
                    </w:tabs>
                    <w:jc w:val="center"/>
                    <w:rPr>
                      <w:color w:val="0D0D0D" w:themeColor="text1" w:themeTint="F2"/>
                      <w:kern w:val="0"/>
                      <w:position w:val="-24"/>
                      <w:szCs w:val="21"/>
                      <w:u w:val="single"/>
                      <w14:textFill>
                        <w14:solidFill>
                          <w14:schemeClr w14:val="tx1">
                            <w14:lumMod w14:val="95000"/>
                            <w14:lumOff w14:val="5000"/>
                          </w14:schemeClr>
                        </w14:solidFill>
                      </w14:textFill>
                    </w:rPr>
                  </w:pPr>
                  <w:r>
                    <w:rPr>
                      <w:color w:val="0D0D0D" w:themeColor="text1" w:themeTint="F2"/>
                      <w:kern w:val="0"/>
                      <w:position w:val="-24"/>
                      <w:szCs w:val="21"/>
                      <w:u w:val="single"/>
                      <w14:textFill>
                        <w14:solidFill>
                          <w14:schemeClr w14:val="tx1">
                            <w14:lumMod w14:val="95000"/>
                            <w14:lumOff w14:val="5000"/>
                          </w14:schemeClr>
                        </w14:solidFill>
                      </w14:textFill>
                    </w:rPr>
                    <w:t>污染物</w:t>
                  </w:r>
                </w:p>
              </w:tc>
              <w:tc>
                <w:tcPr>
                  <w:tcW w:w="1180" w:type="pct"/>
                  <w:vMerge w:val="restart"/>
                  <w:vAlign w:val="center"/>
                </w:tcPr>
                <w:p w14:paraId="71E50ADD">
                  <w:pPr>
                    <w:tabs>
                      <w:tab w:val="left" w:pos="1021"/>
                    </w:tabs>
                    <w:jc w:val="center"/>
                    <w:rPr>
                      <w:color w:val="0D0D0D" w:themeColor="text1" w:themeTint="F2"/>
                      <w:kern w:val="0"/>
                      <w:position w:val="-24"/>
                      <w:szCs w:val="21"/>
                      <w:u w:val="single"/>
                      <w14:textFill>
                        <w14:solidFill>
                          <w14:schemeClr w14:val="tx1">
                            <w14:lumMod w14:val="95000"/>
                            <w14:lumOff w14:val="5000"/>
                          </w14:schemeClr>
                        </w14:solidFill>
                      </w14:textFill>
                    </w:rPr>
                  </w:pPr>
                  <w:r>
                    <w:rPr>
                      <w:color w:val="0D0D0D" w:themeColor="text1" w:themeTint="F2"/>
                      <w:kern w:val="0"/>
                      <w:position w:val="-24"/>
                      <w:szCs w:val="21"/>
                      <w:u w:val="single"/>
                      <w14:textFill>
                        <w14:solidFill>
                          <w14:schemeClr w14:val="tx1">
                            <w14:lumMod w14:val="95000"/>
                            <w14:lumOff w14:val="5000"/>
                          </w14:schemeClr>
                        </w14:solidFill>
                      </w14:textFill>
                    </w:rPr>
                    <w:t>最高允许排放浓度</w:t>
                  </w:r>
                  <w:r>
                    <w:rPr>
                      <w:rFonts w:hint="eastAsia"/>
                      <w:color w:val="0D0D0D" w:themeColor="text1" w:themeTint="F2"/>
                      <w:kern w:val="0"/>
                      <w:position w:val="-24"/>
                      <w:szCs w:val="21"/>
                      <w:u w:val="single"/>
                      <w14:textFill>
                        <w14:solidFill>
                          <w14:schemeClr w14:val="tx1">
                            <w14:lumMod w14:val="95000"/>
                            <w14:lumOff w14:val="5000"/>
                          </w14:schemeClr>
                        </w14:solidFill>
                      </w14:textFill>
                    </w:rPr>
                    <w:t>（</w:t>
                  </w:r>
                  <w:r>
                    <w:rPr>
                      <w:color w:val="0D0D0D" w:themeColor="text1" w:themeTint="F2"/>
                      <w:kern w:val="0"/>
                      <w:position w:val="-24"/>
                      <w:szCs w:val="21"/>
                      <w:u w:val="single"/>
                      <w14:textFill>
                        <w14:solidFill>
                          <w14:schemeClr w14:val="tx1">
                            <w14:lumMod w14:val="95000"/>
                            <w14:lumOff w14:val="5000"/>
                          </w14:schemeClr>
                        </w14:solidFill>
                      </w14:textFill>
                    </w:rPr>
                    <w:t>mg/m</w:t>
                  </w:r>
                  <w:r>
                    <w:rPr>
                      <w:color w:val="0D0D0D" w:themeColor="text1" w:themeTint="F2"/>
                      <w:kern w:val="0"/>
                      <w:position w:val="-24"/>
                      <w:szCs w:val="21"/>
                      <w:u w:val="single"/>
                      <w:vertAlign w:val="superscript"/>
                      <w14:textFill>
                        <w14:solidFill>
                          <w14:schemeClr w14:val="tx1">
                            <w14:lumMod w14:val="95000"/>
                            <w14:lumOff w14:val="5000"/>
                          </w14:schemeClr>
                        </w14:solidFill>
                      </w14:textFill>
                    </w:rPr>
                    <w:t>3</w:t>
                  </w:r>
                  <w:r>
                    <w:rPr>
                      <w:rFonts w:hint="eastAsia"/>
                      <w:color w:val="0D0D0D" w:themeColor="text1" w:themeTint="F2"/>
                      <w:kern w:val="0"/>
                      <w:position w:val="-24"/>
                      <w:szCs w:val="21"/>
                      <w:u w:val="single"/>
                      <w14:textFill>
                        <w14:solidFill>
                          <w14:schemeClr w14:val="tx1">
                            <w14:lumMod w14:val="95000"/>
                            <w14:lumOff w14:val="5000"/>
                          </w14:schemeClr>
                        </w14:solidFill>
                      </w14:textFill>
                    </w:rPr>
                    <w:t>）</w:t>
                  </w:r>
                </w:p>
              </w:tc>
              <w:tc>
                <w:tcPr>
                  <w:tcW w:w="1324" w:type="pct"/>
                  <w:gridSpan w:val="2"/>
                  <w:vAlign w:val="center"/>
                </w:tcPr>
                <w:p w14:paraId="7ADEB5D8">
                  <w:pPr>
                    <w:tabs>
                      <w:tab w:val="left" w:pos="1021"/>
                    </w:tabs>
                    <w:jc w:val="center"/>
                    <w:rPr>
                      <w:color w:val="0D0D0D" w:themeColor="text1" w:themeTint="F2"/>
                      <w:kern w:val="0"/>
                      <w:position w:val="-24"/>
                      <w:szCs w:val="21"/>
                      <w:u w:val="single"/>
                      <w14:textFill>
                        <w14:solidFill>
                          <w14:schemeClr w14:val="tx1">
                            <w14:lumMod w14:val="95000"/>
                            <w14:lumOff w14:val="5000"/>
                          </w14:schemeClr>
                        </w14:solidFill>
                      </w14:textFill>
                    </w:rPr>
                  </w:pPr>
                  <w:r>
                    <w:rPr>
                      <w:color w:val="0D0D0D" w:themeColor="text1" w:themeTint="F2"/>
                      <w:kern w:val="0"/>
                      <w:position w:val="-24"/>
                      <w:szCs w:val="21"/>
                      <w:u w:val="single"/>
                      <w14:textFill>
                        <w14:solidFill>
                          <w14:schemeClr w14:val="tx1">
                            <w14:lumMod w14:val="95000"/>
                            <w14:lumOff w14:val="5000"/>
                          </w14:schemeClr>
                        </w14:solidFill>
                      </w14:textFill>
                    </w:rPr>
                    <w:t>最高允许排放速率</w:t>
                  </w:r>
                  <w:r>
                    <w:rPr>
                      <w:rFonts w:hint="eastAsia"/>
                      <w:color w:val="0D0D0D" w:themeColor="text1" w:themeTint="F2"/>
                      <w:kern w:val="0"/>
                      <w:position w:val="-24"/>
                      <w:szCs w:val="21"/>
                      <w:u w:val="single"/>
                      <w14:textFill>
                        <w14:solidFill>
                          <w14:schemeClr w14:val="tx1">
                            <w14:lumMod w14:val="95000"/>
                            <w14:lumOff w14:val="5000"/>
                          </w14:schemeClr>
                        </w14:solidFill>
                      </w14:textFill>
                    </w:rPr>
                    <w:t>（</w:t>
                  </w:r>
                  <w:r>
                    <w:rPr>
                      <w:color w:val="0D0D0D" w:themeColor="text1" w:themeTint="F2"/>
                      <w:kern w:val="0"/>
                      <w:position w:val="-24"/>
                      <w:szCs w:val="21"/>
                      <w:u w:val="single"/>
                      <w14:textFill>
                        <w14:solidFill>
                          <w14:schemeClr w14:val="tx1">
                            <w14:lumMod w14:val="95000"/>
                            <w14:lumOff w14:val="5000"/>
                          </w14:schemeClr>
                        </w14:solidFill>
                      </w14:textFill>
                    </w:rPr>
                    <w:t>kg/h</w:t>
                  </w:r>
                  <w:r>
                    <w:rPr>
                      <w:rFonts w:hint="eastAsia"/>
                      <w:color w:val="0D0D0D" w:themeColor="text1" w:themeTint="F2"/>
                      <w:kern w:val="0"/>
                      <w:position w:val="-24"/>
                      <w:szCs w:val="21"/>
                      <w:u w:val="single"/>
                      <w14:textFill>
                        <w14:solidFill>
                          <w14:schemeClr w14:val="tx1">
                            <w14:lumMod w14:val="95000"/>
                            <w14:lumOff w14:val="5000"/>
                          </w14:schemeClr>
                        </w14:solidFill>
                      </w14:textFill>
                    </w:rPr>
                    <w:t>）</w:t>
                  </w:r>
                </w:p>
              </w:tc>
              <w:tc>
                <w:tcPr>
                  <w:tcW w:w="1718" w:type="pct"/>
                  <w:gridSpan w:val="2"/>
                  <w:vAlign w:val="center"/>
                </w:tcPr>
                <w:p w14:paraId="4CF31F85">
                  <w:pPr>
                    <w:tabs>
                      <w:tab w:val="left" w:pos="1021"/>
                    </w:tabs>
                    <w:jc w:val="center"/>
                    <w:rPr>
                      <w:color w:val="0D0D0D" w:themeColor="text1" w:themeTint="F2"/>
                      <w:kern w:val="0"/>
                      <w:position w:val="-24"/>
                      <w:szCs w:val="21"/>
                      <w:u w:val="single"/>
                      <w14:textFill>
                        <w14:solidFill>
                          <w14:schemeClr w14:val="tx1">
                            <w14:lumMod w14:val="95000"/>
                            <w14:lumOff w14:val="5000"/>
                          </w14:schemeClr>
                        </w14:solidFill>
                      </w14:textFill>
                    </w:rPr>
                  </w:pPr>
                  <w:r>
                    <w:rPr>
                      <w:color w:val="0D0D0D" w:themeColor="text1" w:themeTint="F2"/>
                      <w:kern w:val="0"/>
                      <w:position w:val="-24"/>
                      <w:szCs w:val="21"/>
                      <w:u w:val="single"/>
                      <w14:textFill>
                        <w14:solidFill>
                          <w14:schemeClr w14:val="tx1">
                            <w14:lumMod w14:val="95000"/>
                            <w14:lumOff w14:val="5000"/>
                          </w14:schemeClr>
                        </w14:solidFill>
                      </w14:textFill>
                    </w:rPr>
                    <w:t>无组织排放监控浓度限值</w:t>
                  </w:r>
                </w:p>
              </w:tc>
            </w:tr>
            <w:tr w14:paraId="66CCB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779" w:type="pct"/>
                  <w:vMerge w:val="continue"/>
                  <w:vAlign w:val="center"/>
                </w:tcPr>
                <w:p w14:paraId="5FE47302">
                  <w:pPr>
                    <w:tabs>
                      <w:tab w:val="left" w:pos="1021"/>
                    </w:tabs>
                    <w:jc w:val="center"/>
                    <w:rPr>
                      <w:color w:val="0D0D0D" w:themeColor="text1" w:themeTint="F2"/>
                      <w:kern w:val="0"/>
                      <w:position w:val="-24"/>
                      <w:szCs w:val="21"/>
                      <w:u w:val="single"/>
                      <w14:textFill>
                        <w14:solidFill>
                          <w14:schemeClr w14:val="tx1">
                            <w14:lumMod w14:val="95000"/>
                            <w14:lumOff w14:val="5000"/>
                          </w14:schemeClr>
                        </w14:solidFill>
                      </w14:textFill>
                    </w:rPr>
                  </w:pPr>
                </w:p>
              </w:tc>
              <w:tc>
                <w:tcPr>
                  <w:tcW w:w="1180" w:type="pct"/>
                  <w:vMerge w:val="continue"/>
                  <w:vAlign w:val="center"/>
                </w:tcPr>
                <w:p w14:paraId="5A1D0372">
                  <w:pPr>
                    <w:tabs>
                      <w:tab w:val="left" w:pos="1021"/>
                    </w:tabs>
                    <w:jc w:val="center"/>
                    <w:rPr>
                      <w:color w:val="0D0D0D" w:themeColor="text1" w:themeTint="F2"/>
                      <w:kern w:val="0"/>
                      <w:position w:val="-24"/>
                      <w:szCs w:val="21"/>
                      <w:u w:val="single"/>
                      <w14:textFill>
                        <w14:solidFill>
                          <w14:schemeClr w14:val="tx1">
                            <w14:lumMod w14:val="95000"/>
                            <w14:lumOff w14:val="5000"/>
                          </w14:schemeClr>
                        </w14:solidFill>
                      </w14:textFill>
                    </w:rPr>
                  </w:pPr>
                </w:p>
              </w:tc>
              <w:tc>
                <w:tcPr>
                  <w:tcW w:w="950" w:type="pct"/>
                  <w:vAlign w:val="center"/>
                </w:tcPr>
                <w:p w14:paraId="2619FF96">
                  <w:pPr>
                    <w:tabs>
                      <w:tab w:val="left" w:pos="1021"/>
                    </w:tabs>
                    <w:jc w:val="center"/>
                    <w:rPr>
                      <w:color w:val="0D0D0D" w:themeColor="text1" w:themeTint="F2"/>
                      <w:kern w:val="0"/>
                      <w:position w:val="-24"/>
                      <w:szCs w:val="21"/>
                      <w:u w:val="single"/>
                      <w14:textFill>
                        <w14:solidFill>
                          <w14:schemeClr w14:val="tx1">
                            <w14:lumMod w14:val="95000"/>
                            <w14:lumOff w14:val="5000"/>
                          </w14:schemeClr>
                        </w14:solidFill>
                      </w14:textFill>
                    </w:rPr>
                  </w:pPr>
                  <w:r>
                    <w:rPr>
                      <w:color w:val="0D0D0D" w:themeColor="text1" w:themeTint="F2"/>
                      <w:kern w:val="0"/>
                      <w:position w:val="-24"/>
                      <w:szCs w:val="21"/>
                      <w:u w:val="single"/>
                      <w14:textFill>
                        <w14:solidFill>
                          <w14:schemeClr w14:val="tx1">
                            <w14:lumMod w14:val="95000"/>
                            <w14:lumOff w14:val="5000"/>
                          </w14:schemeClr>
                        </w14:solidFill>
                      </w14:textFill>
                    </w:rPr>
                    <w:t>排气筒高度</w:t>
                  </w:r>
                  <w:r>
                    <w:rPr>
                      <w:rFonts w:hint="eastAsia"/>
                      <w:color w:val="0D0D0D" w:themeColor="text1" w:themeTint="F2"/>
                      <w:kern w:val="0"/>
                      <w:position w:val="-24"/>
                      <w:szCs w:val="21"/>
                      <w:u w:val="single"/>
                      <w14:textFill>
                        <w14:solidFill>
                          <w14:schemeClr w14:val="tx1">
                            <w14:lumMod w14:val="95000"/>
                            <w14:lumOff w14:val="5000"/>
                          </w14:schemeClr>
                        </w14:solidFill>
                      </w14:textFill>
                    </w:rPr>
                    <w:t>（</w:t>
                  </w:r>
                  <w:r>
                    <w:rPr>
                      <w:color w:val="0D0D0D" w:themeColor="text1" w:themeTint="F2"/>
                      <w:kern w:val="0"/>
                      <w:position w:val="-24"/>
                      <w:szCs w:val="21"/>
                      <w:u w:val="single"/>
                      <w14:textFill>
                        <w14:solidFill>
                          <w14:schemeClr w14:val="tx1">
                            <w14:lumMod w14:val="95000"/>
                            <w14:lumOff w14:val="5000"/>
                          </w14:schemeClr>
                        </w14:solidFill>
                      </w14:textFill>
                    </w:rPr>
                    <w:t>m</w:t>
                  </w:r>
                  <w:r>
                    <w:rPr>
                      <w:rFonts w:hint="eastAsia"/>
                      <w:color w:val="0D0D0D" w:themeColor="text1" w:themeTint="F2"/>
                      <w:kern w:val="0"/>
                      <w:position w:val="-24"/>
                      <w:szCs w:val="21"/>
                      <w:u w:val="single"/>
                      <w14:textFill>
                        <w14:solidFill>
                          <w14:schemeClr w14:val="tx1">
                            <w14:lumMod w14:val="95000"/>
                            <w14:lumOff w14:val="5000"/>
                          </w14:schemeClr>
                        </w14:solidFill>
                      </w14:textFill>
                    </w:rPr>
                    <w:t>）</w:t>
                  </w:r>
                </w:p>
              </w:tc>
              <w:tc>
                <w:tcPr>
                  <w:tcW w:w="374" w:type="pct"/>
                  <w:vAlign w:val="center"/>
                </w:tcPr>
                <w:p w14:paraId="4E6EE8CB">
                  <w:pPr>
                    <w:tabs>
                      <w:tab w:val="left" w:pos="1021"/>
                    </w:tabs>
                    <w:jc w:val="center"/>
                    <w:rPr>
                      <w:color w:val="0D0D0D" w:themeColor="text1" w:themeTint="F2"/>
                      <w:kern w:val="0"/>
                      <w:position w:val="-24"/>
                      <w:szCs w:val="21"/>
                      <w:u w:val="single"/>
                      <w14:textFill>
                        <w14:solidFill>
                          <w14:schemeClr w14:val="tx1">
                            <w14:lumMod w14:val="95000"/>
                            <w14:lumOff w14:val="5000"/>
                          </w14:schemeClr>
                        </w14:solidFill>
                      </w14:textFill>
                    </w:rPr>
                  </w:pPr>
                  <w:r>
                    <w:rPr>
                      <w:color w:val="0D0D0D" w:themeColor="text1" w:themeTint="F2"/>
                      <w:kern w:val="0"/>
                      <w:position w:val="-24"/>
                      <w:szCs w:val="21"/>
                      <w:u w:val="single"/>
                      <w14:textFill>
                        <w14:solidFill>
                          <w14:schemeClr w14:val="tx1">
                            <w14:lumMod w14:val="95000"/>
                            <w14:lumOff w14:val="5000"/>
                          </w14:schemeClr>
                        </w14:solidFill>
                      </w14:textFill>
                    </w:rPr>
                    <w:t>二级</w:t>
                  </w:r>
                </w:p>
              </w:tc>
              <w:tc>
                <w:tcPr>
                  <w:tcW w:w="823" w:type="pct"/>
                  <w:vAlign w:val="center"/>
                </w:tcPr>
                <w:p w14:paraId="0FE5A2A5">
                  <w:pPr>
                    <w:tabs>
                      <w:tab w:val="left" w:pos="1021"/>
                    </w:tabs>
                    <w:jc w:val="center"/>
                    <w:rPr>
                      <w:color w:val="0D0D0D" w:themeColor="text1" w:themeTint="F2"/>
                      <w:kern w:val="0"/>
                      <w:position w:val="-24"/>
                      <w:szCs w:val="21"/>
                      <w:u w:val="single"/>
                      <w14:textFill>
                        <w14:solidFill>
                          <w14:schemeClr w14:val="tx1">
                            <w14:lumMod w14:val="95000"/>
                            <w14:lumOff w14:val="5000"/>
                          </w14:schemeClr>
                        </w14:solidFill>
                      </w14:textFill>
                    </w:rPr>
                  </w:pPr>
                  <w:r>
                    <w:rPr>
                      <w:color w:val="0D0D0D" w:themeColor="text1" w:themeTint="F2"/>
                      <w:kern w:val="0"/>
                      <w:position w:val="-24"/>
                      <w:szCs w:val="21"/>
                      <w:u w:val="single"/>
                      <w14:textFill>
                        <w14:solidFill>
                          <w14:schemeClr w14:val="tx1">
                            <w14:lumMod w14:val="95000"/>
                            <w14:lumOff w14:val="5000"/>
                          </w14:schemeClr>
                        </w14:solidFill>
                      </w14:textFill>
                    </w:rPr>
                    <w:t>监控点</w:t>
                  </w:r>
                </w:p>
              </w:tc>
              <w:tc>
                <w:tcPr>
                  <w:tcW w:w="895" w:type="pct"/>
                  <w:vAlign w:val="center"/>
                </w:tcPr>
                <w:p w14:paraId="779D40D2">
                  <w:pPr>
                    <w:tabs>
                      <w:tab w:val="left" w:pos="1021"/>
                    </w:tabs>
                    <w:jc w:val="center"/>
                    <w:rPr>
                      <w:color w:val="0D0D0D" w:themeColor="text1" w:themeTint="F2"/>
                      <w:kern w:val="0"/>
                      <w:position w:val="-24"/>
                      <w:szCs w:val="21"/>
                      <w:u w:val="single"/>
                      <w14:textFill>
                        <w14:solidFill>
                          <w14:schemeClr w14:val="tx1">
                            <w14:lumMod w14:val="95000"/>
                            <w14:lumOff w14:val="5000"/>
                          </w14:schemeClr>
                        </w14:solidFill>
                      </w14:textFill>
                    </w:rPr>
                  </w:pPr>
                  <w:r>
                    <w:rPr>
                      <w:color w:val="0D0D0D" w:themeColor="text1" w:themeTint="F2"/>
                      <w:kern w:val="0"/>
                      <w:position w:val="-24"/>
                      <w:szCs w:val="21"/>
                      <w:u w:val="single"/>
                      <w14:textFill>
                        <w14:solidFill>
                          <w14:schemeClr w14:val="tx1">
                            <w14:lumMod w14:val="95000"/>
                            <w14:lumOff w14:val="5000"/>
                          </w14:schemeClr>
                        </w14:solidFill>
                      </w14:textFill>
                    </w:rPr>
                    <w:t>浓度</w:t>
                  </w:r>
                  <w:r>
                    <w:rPr>
                      <w:rFonts w:hint="eastAsia"/>
                      <w:color w:val="0D0D0D" w:themeColor="text1" w:themeTint="F2"/>
                      <w:kern w:val="0"/>
                      <w:position w:val="-24"/>
                      <w:szCs w:val="21"/>
                      <w:u w:val="single"/>
                      <w14:textFill>
                        <w14:solidFill>
                          <w14:schemeClr w14:val="tx1">
                            <w14:lumMod w14:val="95000"/>
                            <w14:lumOff w14:val="5000"/>
                          </w14:schemeClr>
                        </w14:solidFill>
                      </w14:textFill>
                    </w:rPr>
                    <w:t>（</w:t>
                  </w:r>
                  <w:r>
                    <w:rPr>
                      <w:color w:val="0D0D0D" w:themeColor="text1" w:themeTint="F2"/>
                      <w:kern w:val="0"/>
                      <w:position w:val="-24"/>
                      <w:szCs w:val="21"/>
                      <w:u w:val="single"/>
                      <w14:textFill>
                        <w14:solidFill>
                          <w14:schemeClr w14:val="tx1">
                            <w14:lumMod w14:val="95000"/>
                            <w14:lumOff w14:val="5000"/>
                          </w14:schemeClr>
                        </w14:solidFill>
                      </w14:textFill>
                    </w:rPr>
                    <w:t>mg/m</w:t>
                  </w:r>
                  <w:r>
                    <w:rPr>
                      <w:color w:val="0D0D0D" w:themeColor="text1" w:themeTint="F2"/>
                      <w:kern w:val="0"/>
                      <w:position w:val="-24"/>
                      <w:szCs w:val="21"/>
                      <w:u w:val="single"/>
                      <w:vertAlign w:val="superscript"/>
                      <w14:textFill>
                        <w14:solidFill>
                          <w14:schemeClr w14:val="tx1">
                            <w14:lumMod w14:val="95000"/>
                            <w14:lumOff w14:val="5000"/>
                          </w14:schemeClr>
                        </w14:solidFill>
                      </w14:textFill>
                    </w:rPr>
                    <w:t>3</w:t>
                  </w:r>
                  <w:r>
                    <w:rPr>
                      <w:rFonts w:hint="eastAsia"/>
                      <w:color w:val="0D0D0D" w:themeColor="text1" w:themeTint="F2"/>
                      <w:kern w:val="0"/>
                      <w:position w:val="-24"/>
                      <w:szCs w:val="21"/>
                      <w:u w:val="single"/>
                      <w14:textFill>
                        <w14:solidFill>
                          <w14:schemeClr w14:val="tx1">
                            <w14:lumMod w14:val="95000"/>
                            <w14:lumOff w14:val="5000"/>
                          </w14:schemeClr>
                        </w14:solidFill>
                      </w14:textFill>
                    </w:rPr>
                    <w:t>）</w:t>
                  </w:r>
                </w:p>
              </w:tc>
            </w:tr>
            <w:tr w14:paraId="3BA75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9" w:type="pct"/>
                  <w:vAlign w:val="center"/>
                </w:tcPr>
                <w:p w14:paraId="55AC38A8">
                  <w:pPr>
                    <w:tabs>
                      <w:tab w:val="left" w:pos="1021"/>
                    </w:tabs>
                    <w:jc w:val="center"/>
                    <w:rPr>
                      <w:color w:val="0D0D0D" w:themeColor="text1" w:themeTint="F2"/>
                      <w:kern w:val="0"/>
                      <w:position w:val="-24"/>
                      <w:szCs w:val="21"/>
                      <w:u w:val="single"/>
                      <w14:textFill>
                        <w14:solidFill>
                          <w14:schemeClr w14:val="tx1">
                            <w14:lumMod w14:val="95000"/>
                            <w14:lumOff w14:val="5000"/>
                          </w14:schemeClr>
                        </w14:solidFill>
                      </w14:textFill>
                    </w:rPr>
                  </w:pPr>
                  <w:r>
                    <w:rPr>
                      <w:color w:val="0D0D0D" w:themeColor="text1" w:themeTint="F2"/>
                      <w:kern w:val="0"/>
                      <w:position w:val="-24"/>
                      <w:szCs w:val="21"/>
                      <w:u w:val="single"/>
                      <w14:textFill>
                        <w14:solidFill>
                          <w14:schemeClr w14:val="tx1">
                            <w14:lumMod w14:val="95000"/>
                            <w14:lumOff w14:val="5000"/>
                          </w14:schemeClr>
                        </w14:solidFill>
                      </w14:textFill>
                    </w:rPr>
                    <w:t>颗粒物</w:t>
                  </w:r>
                </w:p>
              </w:tc>
              <w:tc>
                <w:tcPr>
                  <w:tcW w:w="1180" w:type="pct"/>
                  <w:vAlign w:val="center"/>
                </w:tcPr>
                <w:p w14:paraId="4B066696">
                  <w:pPr>
                    <w:tabs>
                      <w:tab w:val="left" w:pos="1021"/>
                    </w:tabs>
                    <w:jc w:val="center"/>
                    <w:rPr>
                      <w:color w:val="0D0D0D" w:themeColor="text1" w:themeTint="F2"/>
                      <w:kern w:val="0"/>
                      <w:position w:val="-24"/>
                      <w:szCs w:val="21"/>
                      <w:u w:val="single"/>
                      <w14:textFill>
                        <w14:solidFill>
                          <w14:schemeClr w14:val="tx1">
                            <w14:lumMod w14:val="95000"/>
                            <w14:lumOff w14:val="5000"/>
                          </w14:schemeClr>
                        </w14:solidFill>
                      </w14:textFill>
                    </w:rPr>
                  </w:pPr>
                  <w:r>
                    <w:rPr>
                      <w:color w:val="0D0D0D" w:themeColor="text1" w:themeTint="F2"/>
                      <w:kern w:val="0"/>
                      <w:position w:val="-24"/>
                      <w:szCs w:val="21"/>
                      <w:u w:val="single"/>
                      <w14:textFill>
                        <w14:solidFill>
                          <w14:schemeClr w14:val="tx1">
                            <w14:lumMod w14:val="95000"/>
                            <w14:lumOff w14:val="5000"/>
                          </w14:schemeClr>
                        </w14:solidFill>
                      </w14:textFill>
                    </w:rPr>
                    <w:t>120</w:t>
                  </w:r>
                </w:p>
              </w:tc>
              <w:tc>
                <w:tcPr>
                  <w:tcW w:w="950" w:type="pct"/>
                  <w:vAlign w:val="center"/>
                </w:tcPr>
                <w:p w14:paraId="4F9A755D">
                  <w:pPr>
                    <w:tabs>
                      <w:tab w:val="left" w:pos="1021"/>
                    </w:tabs>
                    <w:jc w:val="center"/>
                    <w:rPr>
                      <w:color w:val="0D0D0D" w:themeColor="text1" w:themeTint="F2"/>
                      <w:kern w:val="0"/>
                      <w:position w:val="-24"/>
                      <w:szCs w:val="21"/>
                      <w:u w:val="single"/>
                      <w14:textFill>
                        <w14:solidFill>
                          <w14:schemeClr w14:val="tx1">
                            <w14:lumMod w14:val="95000"/>
                            <w14:lumOff w14:val="5000"/>
                          </w14:schemeClr>
                        </w14:solidFill>
                      </w14:textFill>
                    </w:rPr>
                  </w:pPr>
                  <w:r>
                    <w:rPr>
                      <w:rFonts w:hint="eastAsia"/>
                      <w:color w:val="0D0D0D" w:themeColor="text1" w:themeTint="F2"/>
                      <w:kern w:val="0"/>
                      <w:position w:val="-24"/>
                      <w:szCs w:val="21"/>
                      <w:u w:val="single"/>
                      <w14:textFill>
                        <w14:solidFill>
                          <w14:schemeClr w14:val="tx1">
                            <w14:lumMod w14:val="95000"/>
                            <w14:lumOff w14:val="5000"/>
                          </w14:schemeClr>
                        </w14:solidFill>
                      </w14:textFill>
                    </w:rPr>
                    <w:t>20</w:t>
                  </w:r>
                </w:p>
              </w:tc>
              <w:tc>
                <w:tcPr>
                  <w:tcW w:w="374" w:type="pct"/>
                  <w:vAlign w:val="center"/>
                </w:tcPr>
                <w:p w14:paraId="739547B3">
                  <w:pPr>
                    <w:tabs>
                      <w:tab w:val="left" w:pos="1021"/>
                    </w:tabs>
                    <w:jc w:val="center"/>
                    <w:rPr>
                      <w:color w:val="0D0D0D" w:themeColor="text1" w:themeTint="F2"/>
                      <w:kern w:val="0"/>
                      <w:position w:val="-24"/>
                      <w:szCs w:val="21"/>
                      <w:u w:val="single"/>
                      <w14:textFill>
                        <w14:solidFill>
                          <w14:schemeClr w14:val="tx1">
                            <w14:lumMod w14:val="95000"/>
                            <w14:lumOff w14:val="5000"/>
                          </w14:schemeClr>
                        </w14:solidFill>
                      </w14:textFill>
                    </w:rPr>
                  </w:pPr>
                  <w:r>
                    <w:rPr>
                      <w:rFonts w:hint="eastAsia"/>
                      <w:color w:val="0D0D0D" w:themeColor="text1" w:themeTint="F2"/>
                      <w:kern w:val="0"/>
                      <w:position w:val="-24"/>
                      <w:szCs w:val="21"/>
                      <w:u w:val="single"/>
                      <w14:textFill>
                        <w14:solidFill>
                          <w14:schemeClr w14:val="tx1">
                            <w14:lumMod w14:val="95000"/>
                            <w14:lumOff w14:val="5000"/>
                          </w14:schemeClr>
                        </w14:solidFill>
                      </w14:textFill>
                    </w:rPr>
                    <w:t>5.9</w:t>
                  </w:r>
                </w:p>
              </w:tc>
              <w:tc>
                <w:tcPr>
                  <w:tcW w:w="823" w:type="pct"/>
                  <w:vMerge w:val="restart"/>
                  <w:vAlign w:val="center"/>
                </w:tcPr>
                <w:p w14:paraId="40EC92D7">
                  <w:pPr>
                    <w:tabs>
                      <w:tab w:val="left" w:pos="1021"/>
                    </w:tabs>
                    <w:jc w:val="center"/>
                    <w:rPr>
                      <w:color w:val="0D0D0D" w:themeColor="text1" w:themeTint="F2"/>
                      <w:kern w:val="0"/>
                      <w:position w:val="-24"/>
                      <w:szCs w:val="21"/>
                      <w:u w:val="single"/>
                      <w14:textFill>
                        <w14:solidFill>
                          <w14:schemeClr w14:val="tx1">
                            <w14:lumMod w14:val="95000"/>
                            <w14:lumOff w14:val="5000"/>
                          </w14:schemeClr>
                        </w14:solidFill>
                      </w14:textFill>
                    </w:rPr>
                  </w:pPr>
                  <w:r>
                    <w:rPr>
                      <w:color w:val="0D0D0D" w:themeColor="text1" w:themeTint="F2"/>
                      <w:kern w:val="0"/>
                      <w:position w:val="-24"/>
                      <w:szCs w:val="21"/>
                      <w:u w:val="single"/>
                      <w14:textFill>
                        <w14:solidFill>
                          <w14:schemeClr w14:val="tx1">
                            <w14:lumMod w14:val="95000"/>
                            <w14:lumOff w14:val="5000"/>
                          </w14:schemeClr>
                        </w14:solidFill>
                      </w14:textFill>
                    </w:rPr>
                    <w:t>周界外浓度最高点</w:t>
                  </w:r>
                </w:p>
              </w:tc>
              <w:tc>
                <w:tcPr>
                  <w:tcW w:w="895" w:type="pct"/>
                  <w:vAlign w:val="center"/>
                </w:tcPr>
                <w:p w14:paraId="4ECA22D6">
                  <w:pPr>
                    <w:tabs>
                      <w:tab w:val="left" w:pos="1021"/>
                    </w:tabs>
                    <w:jc w:val="center"/>
                    <w:rPr>
                      <w:color w:val="0D0D0D" w:themeColor="text1" w:themeTint="F2"/>
                      <w:kern w:val="0"/>
                      <w:position w:val="-24"/>
                      <w:szCs w:val="21"/>
                      <w:u w:val="single"/>
                      <w14:textFill>
                        <w14:solidFill>
                          <w14:schemeClr w14:val="tx1">
                            <w14:lumMod w14:val="95000"/>
                            <w14:lumOff w14:val="5000"/>
                          </w14:schemeClr>
                        </w14:solidFill>
                      </w14:textFill>
                    </w:rPr>
                  </w:pPr>
                  <w:r>
                    <w:rPr>
                      <w:color w:val="0D0D0D" w:themeColor="text1" w:themeTint="F2"/>
                      <w:kern w:val="0"/>
                      <w:position w:val="-24"/>
                      <w:szCs w:val="21"/>
                      <w:u w:val="single"/>
                      <w14:textFill>
                        <w14:solidFill>
                          <w14:schemeClr w14:val="tx1">
                            <w14:lumMod w14:val="95000"/>
                            <w14:lumOff w14:val="5000"/>
                          </w14:schemeClr>
                        </w14:solidFill>
                      </w14:textFill>
                    </w:rPr>
                    <w:t>1.0</w:t>
                  </w:r>
                </w:p>
              </w:tc>
            </w:tr>
            <w:tr w14:paraId="493F1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9" w:type="pct"/>
                  <w:vAlign w:val="center"/>
                </w:tcPr>
                <w:p w14:paraId="1E0235D3">
                  <w:pPr>
                    <w:tabs>
                      <w:tab w:val="left" w:pos="1021"/>
                    </w:tabs>
                    <w:jc w:val="center"/>
                    <w:rPr>
                      <w:color w:val="0D0D0D" w:themeColor="text1" w:themeTint="F2"/>
                      <w:kern w:val="0"/>
                      <w:position w:val="-24"/>
                      <w:szCs w:val="21"/>
                      <w:u w:val="single"/>
                      <w14:textFill>
                        <w14:solidFill>
                          <w14:schemeClr w14:val="tx1">
                            <w14:lumMod w14:val="95000"/>
                            <w14:lumOff w14:val="5000"/>
                          </w14:schemeClr>
                        </w14:solidFill>
                      </w14:textFill>
                    </w:rPr>
                  </w:pPr>
                  <w:r>
                    <w:rPr>
                      <w:rFonts w:hint="eastAsia"/>
                      <w:color w:val="0D0D0D" w:themeColor="text1" w:themeTint="F2"/>
                      <w:kern w:val="0"/>
                      <w:position w:val="-24"/>
                      <w:szCs w:val="21"/>
                      <w:u w:val="single"/>
                      <w14:textFill>
                        <w14:solidFill>
                          <w14:schemeClr w14:val="tx1">
                            <w14:lumMod w14:val="95000"/>
                            <w14:lumOff w14:val="5000"/>
                          </w14:schemeClr>
                        </w14:solidFill>
                      </w14:textFill>
                    </w:rPr>
                    <w:t>二甲苯</w:t>
                  </w:r>
                </w:p>
              </w:tc>
              <w:tc>
                <w:tcPr>
                  <w:tcW w:w="1180" w:type="pct"/>
                  <w:vAlign w:val="center"/>
                </w:tcPr>
                <w:p w14:paraId="55D7A9FB">
                  <w:pPr>
                    <w:tabs>
                      <w:tab w:val="left" w:pos="1021"/>
                    </w:tabs>
                    <w:jc w:val="center"/>
                    <w:rPr>
                      <w:color w:val="0D0D0D" w:themeColor="text1" w:themeTint="F2"/>
                      <w:kern w:val="0"/>
                      <w:position w:val="-24"/>
                      <w:szCs w:val="21"/>
                      <w:u w:val="single"/>
                      <w14:textFill>
                        <w14:solidFill>
                          <w14:schemeClr w14:val="tx1">
                            <w14:lumMod w14:val="95000"/>
                            <w14:lumOff w14:val="5000"/>
                          </w14:schemeClr>
                        </w14:solidFill>
                      </w14:textFill>
                    </w:rPr>
                  </w:pPr>
                  <w:r>
                    <w:rPr>
                      <w:rFonts w:hint="eastAsia"/>
                      <w:color w:val="0D0D0D" w:themeColor="text1" w:themeTint="F2"/>
                      <w:kern w:val="0"/>
                      <w:position w:val="-24"/>
                      <w:szCs w:val="21"/>
                      <w:u w:val="single"/>
                      <w14:textFill>
                        <w14:solidFill>
                          <w14:schemeClr w14:val="tx1">
                            <w14:lumMod w14:val="95000"/>
                            <w14:lumOff w14:val="5000"/>
                          </w14:schemeClr>
                        </w14:solidFill>
                      </w14:textFill>
                    </w:rPr>
                    <w:t>70</w:t>
                  </w:r>
                </w:p>
              </w:tc>
              <w:tc>
                <w:tcPr>
                  <w:tcW w:w="950" w:type="pct"/>
                  <w:vAlign w:val="center"/>
                </w:tcPr>
                <w:p w14:paraId="4DA0E337">
                  <w:pPr>
                    <w:tabs>
                      <w:tab w:val="left" w:pos="1021"/>
                    </w:tabs>
                    <w:jc w:val="center"/>
                    <w:rPr>
                      <w:color w:val="0D0D0D" w:themeColor="text1" w:themeTint="F2"/>
                      <w:kern w:val="0"/>
                      <w:position w:val="-24"/>
                      <w:szCs w:val="21"/>
                      <w:u w:val="single"/>
                      <w14:textFill>
                        <w14:solidFill>
                          <w14:schemeClr w14:val="tx1">
                            <w14:lumMod w14:val="95000"/>
                            <w14:lumOff w14:val="5000"/>
                          </w14:schemeClr>
                        </w14:solidFill>
                      </w14:textFill>
                    </w:rPr>
                  </w:pPr>
                  <w:r>
                    <w:rPr>
                      <w:rFonts w:hint="eastAsia"/>
                      <w:color w:val="0D0D0D" w:themeColor="text1" w:themeTint="F2"/>
                      <w:position w:val="-24"/>
                      <w:szCs w:val="21"/>
                      <w:u w:val="single"/>
                      <w14:textFill>
                        <w14:solidFill>
                          <w14:schemeClr w14:val="tx1">
                            <w14:lumMod w14:val="95000"/>
                            <w14:lumOff w14:val="5000"/>
                          </w14:schemeClr>
                        </w14:solidFill>
                      </w14:textFill>
                    </w:rPr>
                    <w:t>20</w:t>
                  </w:r>
                </w:p>
              </w:tc>
              <w:tc>
                <w:tcPr>
                  <w:tcW w:w="374" w:type="pct"/>
                  <w:vAlign w:val="center"/>
                </w:tcPr>
                <w:p w14:paraId="30399770">
                  <w:pPr>
                    <w:tabs>
                      <w:tab w:val="left" w:pos="1021"/>
                    </w:tabs>
                    <w:jc w:val="center"/>
                    <w:rPr>
                      <w:color w:val="0D0D0D" w:themeColor="text1" w:themeTint="F2"/>
                      <w:kern w:val="0"/>
                      <w:position w:val="-24"/>
                      <w:szCs w:val="21"/>
                      <w:u w:val="single"/>
                      <w14:textFill>
                        <w14:solidFill>
                          <w14:schemeClr w14:val="tx1">
                            <w14:lumMod w14:val="95000"/>
                            <w14:lumOff w14:val="5000"/>
                          </w14:schemeClr>
                        </w14:solidFill>
                      </w14:textFill>
                    </w:rPr>
                  </w:pPr>
                  <w:r>
                    <w:rPr>
                      <w:rFonts w:hint="eastAsia"/>
                      <w:color w:val="0D0D0D" w:themeColor="text1" w:themeTint="F2"/>
                      <w:position w:val="-24"/>
                      <w:szCs w:val="21"/>
                      <w:u w:val="single"/>
                      <w14:textFill>
                        <w14:solidFill>
                          <w14:schemeClr w14:val="tx1">
                            <w14:lumMod w14:val="95000"/>
                            <w14:lumOff w14:val="5000"/>
                          </w14:schemeClr>
                        </w14:solidFill>
                      </w14:textFill>
                    </w:rPr>
                    <w:t>1.7</w:t>
                  </w:r>
                </w:p>
              </w:tc>
              <w:tc>
                <w:tcPr>
                  <w:tcW w:w="823" w:type="pct"/>
                  <w:vMerge w:val="continue"/>
                  <w:vAlign w:val="center"/>
                </w:tcPr>
                <w:p w14:paraId="2C737117">
                  <w:pPr>
                    <w:tabs>
                      <w:tab w:val="left" w:pos="1021"/>
                    </w:tabs>
                    <w:jc w:val="center"/>
                    <w:rPr>
                      <w:color w:val="0D0D0D" w:themeColor="text1" w:themeTint="F2"/>
                      <w:kern w:val="0"/>
                      <w:position w:val="-24"/>
                      <w:szCs w:val="21"/>
                      <w:u w:val="single"/>
                      <w14:textFill>
                        <w14:solidFill>
                          <w14:schemeClr w14:val="tx1">
                            <w14:lumMod w14:val="95000"/>
                            <w14:lumOff w14:val="5000"/>
                          </w14:schemeClr>
                        </w14:solidFill>
                      </w14:textFill>
                    </w:rPr>
                  </w:pPr>
                </w:p>
              </w:tc>
              <w:tc>
                <w:tcPr>
                  <w:tcW w:w="895" w:type="pct"/>
                  <w:vAlign w:val="center"/>
                </w:tcPr>
                <w:p w14:paraId="63C64B2E">
                  <w:pPr>
                    <w:tabs>
                      <w:tab w:val="left" w:pos="1021"/>
                    </w:tabs>
                    <w:jc w:val="center"/>
                    <w:rPr>
                      <w:color w:val="0D0D0D" w:themeColor="text1" w:themeTint="F2"/>
                      <w:kern w:val="0"/>
                      <w:position w:val="-24"/>
                      <w:szCs w:val="21"/>
                      <w:u w:val="single"/>
                      <w14:textFill>
                        <w14:solidFill>
                          <w14:schemeClr w14:val="tx1">
                            <w14:lumMod w14:val="95000"/>
                            <w14:lumOff w14:val="5000"/>
                          </w14:schemeClr>
                        </w14:solidFill>
                      </w14:textFill>
                    </w:rPr>
                  </w:pPr>
                  <w:r>
                    <w:rPr>
                      <w:rFonts w:hint="eastAsia"/>
                      <w:color w:val="0D0D0D" w:themeColor="text1" w:themeTint="F2"/>
                      <w:kern w:val="0"/>
                      <w:position w:val="-24"/>
                      <w:szCs w:val="21"/>
                      <w:u w:val="single"/>
                      <w14:textFill>
                        <w14:solidFill>
                          <w14:schemeClr w14:val="tx1">
                            <w14:lumMod w14:val="95000"/>
                            <w14:lumOff w14:val="5000"/>
                          </w14:schemeClr>
                        </w14:solidFill>
                      </w14:textFill>
                    </w:rPr>
                    <w:t>1.2</w:t>
                  </w:r>
                </w:p>
              </w:tc>
            </w:tr>
            <w:tr w14:paraId="3BD79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79" w:type="pct"/>
                  <w:vAlign w:val="center"/>
                </w:tcPr>
                <w:p w14:paraId="15492595">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非甲烷总烃</w:t>
                  </w:r>
                </w:p>
              </w:tc>
              <w:tc>
                <w:tcPr>
                  <w:tcW w:w="1180" w:type="pct"/>
                  <w:vAlign w:val="center"/>
                </w:tcPr>
                <w:p w14:paraId="323373A9">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w:t>
                  </w:r>
                  <w:r>
                    <w:rPr>
                      <w:color w:val="0D0D0D" w:themeColor="text1" w:themeTint="F2"/>
                      <w:szCs w:val="21"/>
                      <w:u w:val="single"/>
                      <w14:textFill>
                        <w14:solidFill>
                          <w14:schemeClr w14:val="tx1">
                            <w14:lumMod w14:val="95000"/>
                            <w14:lumOff w14:val="5000"/>
                          </w14:schemeClr>
                        </w14:solidFill>
                      </w14:textFill>
                    </w:rPr>
                    <w:t>20</w:t>
                  </w:r>
                </w:p>
              </w:tc>
              <w:tc>
                <w:tcPr>
                  <w:tcW w:w="950" w:type="pct"/>
                  <w:vAlign w:val="center"/>
                </w:tcPr>
                <w:p w14:paraId="7AE8EC83">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20</w:t>
                  </w:r>
                </w:p>
              </w:tc>
              <w:tc>
                <w:tcPr>
                  <w:tcW w:w="374" w:type="pct"/>
                  <w:vAlign w:val="center"/>
                </w:tcPr>
                <w:p w14:paraId="54C660CA">
                  <w:pPr>
                    <w:jc w:val="center"/>
                    <w:rPr>
                      <w:snapToGrid w:val="0"/>
                      <w:color w:val="0D0D0D" w:themeColor="text1" w:themeTint="F2"/>
                      <w:szCs w:val="21"/>
                      <w:u w:val="single"/>
                      <w14:textFill>
                        <w14:solidFill>
                          <w14:schemeClr w14:val="tx1">
                            <w14:lumMod w14:val="95000"/>
                            <w14:lumOff w14:val="5000"/>
                          </w14:schemeClr>
                        </w14:solidFill>
                      </w14:textFill>
                    </w:rPr>
                  </w:pPr>
                  <w:r>
                    <w:rPr>
                      <w:rFonts w:hint="eastAsia"/>
                      <w:snapToGrid w:val="0"/>
                      <w:color w:val="0D0D0D" w:themeColor="text1" w:themeTint="F2"/>
                      <w:szCs w:val="21"/>
                      <w:u w:val="single"/>
                      <w14:textFill>
                        <w14:solidFill>
                          <w14:schemeClr w14:val="tx1">
                            <w14:lumMod w14:val="95000"/>
                            <w14:lumOff w14:val="5000"/>
                          </w14:schemeClr>
                        </w14:solidFill>
                      </w14:textFill>
                    </w:rPr>
                    <w:t>17</w:t>
                  </w:r>
                </w:p>
              </w:tc>
              <w:tc>
                <w:tcPr>
                  <w:tcW w:w="823" w:type="pct"/>
                  <w:vMerge w:val="continue"/>
                  <w:vAlign w:val="center"/>
                </w:tcPr>
                <w:p w14:paraId="597C0152">
                  <w:pPr>
                    <w:jc w:val="center"/>
                    <w:rPr>
                      <w:color w:val="0D0D0D" w:themeColor="text1" w:themeTint="F2"/>
                      <w:szCs w:val="21"/>
                      <w:u w:val="single"/>
                      <w14:textFill>
                        <w14:solidFill>
                          <w14:schemeClr w14:val="tx1">
                            <w14:lumMod w14:val="95000"/>
                            <w14:lumOff w14:val="5000"/>
                          </w14:schemeClr>
                        </w14:solidFill>
                      </w14:textFill>
                    </w:rPr>
                  </w:pPr>
                </w:p>
              </w:tc>
              <w:tc>
                <w:tcPr>
                  <w:tcW w:w="895" w:type="pct"/>
                  <w:vAlign w:val="center"/>
                </w:tcPr>
                <w:p w14:paraId="054B7BC3">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kern w:val="0"/>
                      <w:position w:val="-24"/>
                      <w:szCs w:val="21"/>
                      <w:u w:val="single"/>
                      <w14:textFill>
                        <w14:solidFill>
                          <w14:schemeClr w14:val="tx1">
                            <w14:lumMod w14:val="95000"/>
                            <w14:lumOff w14:val="5000"/>
                          </w14:schemeClr>
                        </w14:solidFill>
                      </w14:textFill>
                    </w:rPr>
                    <w:t>4.0</w:t>
                  </w:r>
                </w:p>
              </w:tc>
            </w:tr>
          </w:tbl>
          <w:p w14:paraId="7A5C0B1B">
            <w:pPr>
              <w:adjustRightInd w:val="0"/>
              <w:snapToGrid w:val="0"/>
              <w:jc w:val="center"/>
              <w:rPr>
                <w:rFonts w:cs="宋体"/>
                <w:b/>
                <w:bCs/>
                <w:color w:val="0D0D0D" w:themeColor="text1" w:themeTint="F2"/>
                <w:kern w:val="0"/>
                <w:szCs w:val="21"/>
                <w14:textFill>
                  <w14:solidFill>
                    <w14:schemeClr w14:val="tx1">
                      <w14:lumMod w14:val="95000"/>
                      <w14:lumOff w14:val="5000"/>
                    </w14:schemeClr>
                  </w14:solidFill>
                </w14:textFill>
              </w:rPr>
            </w:pPr>
            <w:r>
              <w:rPr>
                <w:rFonts w:cs="宋体"/>
                <w:b/>
                <w:bCs/>
                <w:color w:val="0D0D0D" w:themeColor="text1" w:themeTint="F2"/>
                <w:kern w:val="0"/>
                <w:szCs w:val="21"/>
                <w14:textFill>
                  <w14:solidFill>
                    <w14:schemeClr w14:val="tx1">
                      <w14:lumMod w14:val="95000"/>
                      <w14:lumOff w14:val="5000"/>
                    </w14:schemeClr>
                  </w14:solidFill>
                </w14:textFill>
              </w:rPr>
              <w:t>表</w:t>
            </w:r>
            <w:r>
              <w:rPr>
                <w:rFonts w:hint="eastAsia" w:cs="宋体"/>
                <w:b/>
                <w:bCs/>
                <w:color w:val="0D0D0D" w:themeColor="text1" w:themeTint="F2"/>
                <w:kern w:val="0"/>
                <w:szCs w:val="21"/>
                <w14:textFill>
                  <w14:solidFill>
                    <w14:schemeClr w14:val="tx1">
                      <w14:lumMod w14:val="95000"/>
                      <w14:lumOff w14:val="5000"/>
                    </w14:schemeClr>
                  </w14:solidFill>
                </w14:textFill>
              </w:rPr>
              <w:t>3</w:t>
            </w:r>
            <w:r>
              <w:rPr>
                <w:rFonts w:cs="宋体"/>
                <w:b/>
                <w:bCs/>
                <w:color w:val="0D0D0D" w:themeColor="text1" w:themeTint="F2"/>
                <w:kern w:val="0"/>
                <w:szCs w:val="21"/>
                <w14:textFill>
                  <w14:solidFill>
                    <w14:schemeClr w14:val="tx1">
                      <w14:lumMod w14:val="95000"/>
                      <w14:lumOff w14:val="5000"/>
                    </w14:schemeClr>
                  </w14:solidFill>
                </w14:textFill>
              </w:rPr>
              <w:t>-</w:t>
            </w:r>
            <w:r>
              <w:rPr>
                <w:rFonts w:hint="eastAsia" w:cs="宋体"/>
                <w:b/>
                <w:bCs/>
                <w:color w:val="0D0D0D" w:themeColor="text1" w:themeTint="F2"/>
                <w:kern w:val="0"/>
                <w:szCs w:val="21"/>
                <w14:textFill>
                  <w14:solidFill>
                    <w14:schemeClr w14:val="tx1">
                      <w14:lumMod w14:val="95000"/>
                      <w14:lumOff w14:val="5000"/>
                    </w14:schemeClr>
                  </w14:solidFill>
                </w14:textFill>
              </w:rPr>
              <w:t>6</w:t>
            </w:r>
            <w:r>
              <w:rPr>
                <w:rFonts w:cs="宋体"/>
                <w:b/>
                <w:bCs/>
                <w:color w:val="0D0D0D" w:themeColor="text1" w:themeTint="F2"/>
                <w:kern w:val="0"/>
                <w:szCs w:val="21"/>
                <w14:textFill>
                  <w14:solidFill>
                    <w14:schemeClr w14:val="tx1">
                      <w14:lumMod w14:val="95000"/>
                      <w14:lumOff w14:val="5000"/>
                    </w14:schemeClr>
                  </w14:solidFill>
                </w14:textFill>
              </w:rPr>
              <w:t xml:space="preserve">  </w:t>
            </w:r>
            <w:r>
              <w:rPr>
                <w:rFonts w:hint="eastAsia" w:cs="宋体"/>
                <w:b/>
                <w:bCs/>
                <w:color w:val="0D0D0D" w:themeColor="text1" w:themeTint="F2"/>
                <w:kern w:val="0"/>
                <w:szCs w:val="21"/>
                <w14:textFill>
                  <w14:solidFill>
                    <w14:schemeClr w14:val="tx1">
                      <w14:lumMod w14:val="95000"/>
                      <w14:lumOff w14:val="5000"/>
                    </w14:schemeClr>
                  </w14:solidFill>
                </w14:textFill>
              </w:rPr>
              <w:t>《挥发性有机物无组织排放控制标准》（摘录）</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8"/>
              <w:gridCol w:w="702"/>
              <w:gridCol w:w="1166"/>
              <w:gridCol w:w="2789"/>
              <w:gridCol w:w="2324"/>
            </w:tblGrid>
            <w:tr w14:paraId="679E3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4" w:type="pct"/>
                  <w:vAlign w:val="center"/>
                </w:tcPr>
                <w:p w14:paraId="5DBAE1DF">
                  <w:pPr>
                    <w:tabs>
                      <w:tab w:val="left" w:pos="1021"/>
                    </w:tabs>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污染物</w:t>
                  </w:r>
                </w:p>
              </w:tc>
              <w:tc>
                <w:tcPr>
                  <w:tcW w:w="419" w:type="pct"/>
                  <w:vAlign w:val="center"/>
                </w:tcPr>
                <w:p w14:paraId="6CA324E9">
                  <w:pPr>
                    <w:tabs>
                      <w:tab w:val="left" w:pos="1021"/>
                    </w:tabs>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排放</w:t>
                  </w:r>
                </w:p>
                <w:p w14:paraId="65780093">
                  <w:pPr>
                    <w:tabs>
                      <w:tab w:val="left" w:pos="1021"/>
                    </w:tabs>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限值</w:t>
                  </w:r>
                </w:p>
              </w:tc>
              <w:tc>
                <w:tcPr>
                  <w:tcW w:w="696" w:type="pct"/>
                  <w:vAlign w:val="center"/>
                </w:tcPr>
                <w:p w14:paraId="47BAFC11">
                  <w:pPr>
                    <w:tabs>
                      <w:tab w:val="left" w:pos="1021"/>
                    </w:tabs>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特别排放限值</w:t>
                  </w:r>
                </w:p>
              </w:tc>
              <w:tc>
                <w:tcPr>
                  <w:tcW w:w="1664" w:type="pct"/>
                  <w:vAlign w:val="center"/>
                </w:tcPr>
                <w:p w14:paraId="6B64EAE5">
                  <w:pPr>
                    <w:tabs>
                      <w:tab w:val="left" w:pos="1021"/>
                    </w:tabs>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限值含义</w:t>
                  </w:r>
                </w:p>
              </w:tc>
              <w:tc>
                <w:tcPr>
                  <w:tcW w:w="1387" w:type="pct"/>
                  <w:vAlign w:val="center"/>
                </w:tcPr>
                <w:p w14:paraId="1994416A">
                  <w:pPr>
                    <w:tabs>
                      <w:tab w:val="left" w:pos="1021"/>
                    </w:tabs>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无组织排放监控位置</w:t>
                  </w:r>
                </w:p>
              </w:tc>
            </w:tr>
            <w:tr w14:paraId="34B9D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4" w:type="pct"/>
                  <w:vMerge w:val="restart"/>
                  <w:vAlign w:val="center"/>
                </w:tcPr>
                <w:p w14:paraId="3C363249">
                  <w:pPr>
                    <w:tabs>
                      <w:tab w:val="left" w:pos="1021"/>
                    </w:tabs>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非甲烷总烃</w:t>
                  </w:r>
                </w:p>
              </w:tc>
              <w:tc>
                <w:tcPr>
                  <w:tcW w:w="419" w:type="pct"/>
                  <w:vAlign w:val="center"/>
                </w:tcPr>
                <w:p w14:paraId="0633FDCE">
                  <w:pPr>
                    <w:tabs>
                      <w:tab w:val="left" w:pos="1021"/>
                    </w:tabs>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1</w:t>
                  </w:r>
                  <w:r>
                    <w:rPr>
                      <w:color w:val="0D0D0D" w:themeColor="text1" w:themeTint="F2"/>
                      <w:kern w:val="0"/>
                      <w:position w:val="-24"/>
                      <w:szCs w:val="21"/>
                      <w14:textFill>
                        <w14:solidFill>
                          <w14:schemeClr w14:val="tx1">
                            <w14:lumMod w14:val="95000"/>
                            <w14:lumOff w14:val="5000"/>
                          </w14:schemeClr>
                        </w14:solidFill>
                      </w14:textFill>
                    </w:rPr>
                    <w:t>0</w:t>
                  </w:r>
                </w:p>
              </w:tc>
              <w:tc>
                <w:tcPr>
                  <w:tcW w:w="696" w:type="pct"/>
                  <w:vAlign w:val="center"/>
                </w:tcPr>
                <w:p w14:paraId="139C6ECD">
                  <w:pPr>
                    <w:tabs>
                      <w:tab w:val="left" w:pos="1021"/>
                    </w:tabs>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6</w:t>
                  </w:r>
                </w:p>
              </w:tc>
              <w:tc>
                <w:tcPr>
                  <w:tcW w:w="1664" w:type="pct"/>
                  <w:vAlign w:val="center"/>
                </w:tcPr>
                <w:p w14:paraId="73537354">
                  <w:pPr>
                    <w:tabs>
                      <w:tab w:val="left" w:pos="1021"/>
                    </w:tabs>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监控点处1</w:t>
                  </w:r>
                  <w:r>
                    <w:rPr>
                      <w:color w:val="0D0D0D" w:themeColor="text1" w:themeTint="F2"/>
                      <w:kern w:val="0"/>
                      <w:position w:val="-24"/>
                      <w:szCs w:val="21"/>
                      <w14:textFill>
                        <w14:solidFill>
                          <w14:schemeClr w14:val="tx1">
                            <w14:lumMod w14:val="95000"/>
                            <w14:lumOff w14:val="5000"/>
                          </w14:schemeClr>
                        </w14:solidFill>
                      </w14:textFill>
                    </w:rPr>
                    <w:t>h</w:t>
                  </w:r>
                  <w:r>
                    <w:rPr>
                      <w:rFonts w:hint="eastAsia"/>
                      <w:color w:val="0D0D0D" w:themeColor="text1" w:themeTint="F2"/>
                      <w:kern w:val="0"/>
                      <w:position w:val="-24"/>
                      <w:szCs w:val="21"/>
                      <w14:textFill>
                        <w14:solidFill>
                          <w14:schemeClr w14:val="tx1">
                            <w14:lumMod w14:val="95000"/>
                            <w14:lumOff w14:val="5000"/>
                          </w14:schemeClr>
                        </w14:solidFill>
                      </w14:textFill>
                    </w:rPr>
                    <w:t>平均浓度值</w:t>
                  </w:r>
                </w:p>
              </w:tc>
              <w:tc>
                <w:tcPr>
                  <w:tcW w:w="1387" w:type="pct"/>
                  <w:vMerge w:val="restart"/>
                  <w:vAlign w:val="center"/>
                </w:tcPr>
                <w:p w14:paraId="637C5AF2">
                  <w:pPr>
                    <w:tabs>
                      <w:tab w:val="left" w:pos="1021"/>
                    </w:tabs>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在厂房外设置监控点</w:t>
                  </w:r>
                </w:p>
              </w:tc>
            </w:tr>
            <w:tr w14:paraId="54F52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4" w:type="pct"/>
                  <w:vMerge w:val="continue"/>
                  <w:vAlign w:val="center"/>
                </w:tcPr>
                <w:p w14:paraId="57CB6C21">
                  <w:pPr>
                    <w:tabs>
                      <w:tab w:val="left" w:pos="1021"/>
                    </w:tabs>
                    <w:jc w:val="center"/>
                    <w:rPr>
                      <w:color w:val="0D0D0D" w:themeColor="text1" w:themeTint="F2"/>
                      <w:kern w:val="0"/>
                      <w:position w:val="-24"/>
                      <w:szCs w:val="21"/>
                      <w14:textFill>
                        <w14:solidFill>
                          <w14:schemeClr w14:val="tx1">
                            <w14:lumMod w14:val="95000"/>
                            <w14:lumOff w14:val="5000"/>
                          </w14:schemeClr>
                        </w14:solidFill>
                      </w14:textFill>
                    </w:rPr>
                  </w:pPr>
                </w:p>
              </w:tc>
              <w:tc>
                <w:tcPr>
                  <w:tcW w:w="419" w:type="pct"/>
                  <w:vAlign w:val="center"/>
                </w:tcPr>
                <w:p w14:paraId="32000C79">
                  <w:pPr>
                    <w:tabs>
                      <w:tab w:val="left" w:pos="1021"/>
                    </w:tabs>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3</w:t>
                  </w:r>
                  <w:r>
                    <w:rPr>
                      <w:color w:val="0D0D0D" w:themeColor="text1" w:themeTint="F2"/>
                      <w:kern w:val="0"/>
                      <w:position w:val="-24"/>
                      <w:szCs w:val="21"/>
                      <w14:textFill>
                        <w14:solidFill>
                          <w14:schemeClr w14:val="tx1">
                            <w14:lumMod w14:val="95000"/>
                            <w14:lumOff w14:val="5000"/>
                          </w14:schemeClr>
                        </w14:solidFill>
                      </w14:textFill>
                    </w:rPr>
                    <w:t>0</w:t>
                  </w:r>
                </w:p>
              </w:tc>
              <w:tc>
                <w:tcPr>
                  <w:tcW w:w="696" w:type="pct"/>
                  <w:vAlign w:val="center"/>
                </w:tcPr>
                <w:p w14:paraId="46EB59AB">
                  <w:pPr>
                    <w:tabs>
                      <w:tab w:val="left" w:pos="1021"/>
                    </w:tabs>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2</w:t>
                  </w:r>
                  <w:r>
                    <w:rPr>
                      <w:color w:val="0D0D0D" w:themeColor="text1" w:themeTint="F2"/>
                      <w:kern w:val="0"/>
                      <w:position w:val="-24"/>
                      <w:szCs w:val="21"/>
                      <w14:textFill>
                        <w14:solidFill>
                          <w14:schemeClr w14:val="tx1">
                            <w14:lumMod w14:val="95000"/>
                            <w14:lumOff w14:val="5000"/>
                          </w14:schemeClr>
                        </w14:solidFill>
                      </w14:textFill>
                    </w:rPr>
                    <w:t>0</w:t>
                  </w:r>
                </w:p>
              </w:tc>
              <w:tc>
                <w:tcPr>
                  <w:tcW w:w="1664" w:type="pct"/>
                  <w:vAlign w:val="center"/>
                </w:tcPr>
                <w:p w14:paraId="4DDBDB8C">
                  <w:pPr>
                    <w:tabs>
                      <w:tab w:val="left" w:pos="1021"/>
                    </w:tabs>
                    <w:jc w:val="center"/>
                    <w:rPr>
                      <w:color w:val="0D0D0D" w:themeColor="text1" w:themeTint="F2"/>
                      <w:kern w:val="0"/>
                      <w:position w:val="-24"/>
                      <w:szCs w:val="21"/>
                      <w14:textFill>
                        <w14:solidFill>
                          <w14:schemeClr w14:val="tx1">
                            <w14:lumMod w14:val="95000"/>
                            <w14:lumOff w14:val="5000"/>
                          </w14:schemeClr>
                        </w14:solidFill>
                      </w14:textFill>
                    </w:rPr>
                  </w:pPr>
                  <w:r>
                    <w:rPr>
                      <w:rFonts w:hint="eastAsia"/>
                      <w:color w:val="0D0D0D" w:themeColor="text1" w:themeTint="F2"/>
                      <w:kern w:val="0"/>
                      <w:position w:val="-24"/>
                      <w:szCs w:val="21"/>
                      <w14:textFill>
                        <w14:solidFill>
                          <w14:schemeClr w14:val="tx1">
                            <w14:lumMod w14:val="95000"/>
                            <w14:lumOff w14:val="5000"/>
                          </w14:schemeClr>
                        </w14:solidFill>
                      </w14:textFill>
                    </w:rPr>
                    <w:t>监控点处任意一次浓度值</w:t>
                  </w:r>
                </w:p>
              </w:tc>
              <w:tc>
                <w:tcPr>
                  <w:tcW w:w="1387" w:type="pct"/>
                  <w:vMerge w:val="continue"/>
                  <w:vAlign w:val="center"/>
                </w:tcPr>
                <w:p w14:paraId="06826F51">
                  <w:pPr>
                    <w:tabs>
                      <w:tab w:val="left" w:pos="1021"/>
                    </w:tabs>
                    <w:jc w:val="center"/>
                    <w:rPr>
                      <w:color w:val="0D0D0D" w:themeColor="text1" w:themeTint="F2"/>
                      <w:kern w:val="0"/>
                      <w:position w:val="-24"/>
                      <w:szCs w:val="21"/>
                      <w14:textFill>
                        <w14:solidFill>
                          <w14:schemeClr w14:val="tx1">
                            <w14:lumMod w14:val="95000"/>
                            <w14:lumOff w14:val="5000"/>
                          </w14:schemeClr>
                        </w14:solidFill>
                      </w14:textFill>
                    </w:rPr>
                  </w:pPr>
                </w:p>
              </w:tc>
            </w:tr>
          </w:tbl>
          <w:p w14:paraId="507E6D98">
            <w:pPr>
              <w:adjustRightInd w:val="0"/>
              <w:snapToGrid w:val="0"/>
              <w:jc w:val="center"/>
              <w:rPr>
                <w:rFonts w:cs="宋体"/>
                <w:b/>
                <w:bCs/>
                <w:color w:val="0D0D0D" w:themeColor="text1" w:themeTint="F2"/>
                <w:kern w:val="0"/>
                <w:szCs w:val="21"/>
                <w14:textFill>
                  <w14:solidFill>
                    <w14:schemeClr w14:val="tx1">
                      <w14:lumMod w14:val="95000"/>
                      <w14:lumOff w14:val="5000"/>
                    </w14:schemeClr>
                  </w14:solidFill>
                </w14:textFill>
              </w:rPr>
            </w:pPr>
            <w:r>
              <w:rPr>
                <w:rFonts w:cs="宋体"/>
                <w:b/>
                <w:bCs/>
                <w:color w:val="0D0D0D" w:themeColor="text1" w:themeTint="F2"/>
                <w:kern w:val="0"/>
                <w:szCs w:val="21"/>
                <w14:textFill>
                  <w14:solidFill>
                    <w14:schemeClr w14:val="tx1">
                      <w14:lumMod w14:val="95000"/>
                      <w14:lumOff w14:val="5000"/>
                    </w14:schemeClr>
                  </w14:solidFill>
                </w14:textFill>
              </w:rPr>
              <w:t>表</w:t>
            </w:r>
            <w:r>
              <w:rPr>
                <w:rFonts w:hint="eastAsia" w:cs="宋体"/>
                <w:b/>
                <w:bCs/>
                <w:color w:val="0D0D0D" w:themeColor="text1" w:themeTint="F2"/>
                <w:kern w:val="0"/>
                <w:szCs w:val="21"/>
                <w14:textFill>
                  <w14:solidFill>
                    <w14:schemeClr w14:val="tx1">
                      <w14:lumMod w14:val="95000"/>
                      <w14:lumOff w14:val="5000"/>
                    </w14:schemeClr>
                  </w14:solidFill>
                </w14:textFill>
              </w:rPr>
              <w:t>3</w:t>
            </w:r>
            <w:r>
              <w:rPr>
                <w:rFonts w:cs="宋体"/>
                <w:b/>
                <w:bCs/>
                <w:color w:val="0D0D0D" w:themeColor="text1" w:themeTint="F2"/>
                <w:kern w:val="0"/>
                <w:szCs w:val="21"/>
                <w14:textFill>
                  <w14:solidFill>
                    <w14:schemeClr w14:val="tx1">
                      <w14:lumMod w14:val="95000"/>
                      <w14:lumOff w14:val="5000"/>
                    </w14:schemeClr>
                  </w14:solidFill>
                </w14:textFill>
              </w:rPr>
              <w:t>-</w:t>
            </w:r>
            <w:r>
              <w:rPr>
                <w:rFonts w:hint="eastAsia" w:cs="宋体"/>
                <w:b/>
                <w:bCs/>
                <w:color w:val="0D0D0D" w:themeColor="text1" w:themeTint="F2"/>
                <w:kern w:val="0"/>
                <w:szCs w:val="21"/>
                <w14:textFill>
                  <w14:solidFill>
                    <w14:schemeClr w14:val="tx1">
                      <w14:lumMod w14:val="95000"/>
                      <w14:lumOff w14:val="5000"/>
                    </w14:schemeClr>
                  </w14:solidFill>
                </w14:textFill>
              </w:rPr>
              <w:t>7</w:t>
            </w:r>
            <w:r>
              <w:rPr>
                <w:rFonts w:cs="宋体"/>
                <w:b/>
                <w:bCs/>
                <w:color w:val="0D0D0D" w:themeColor="text1" w:themeTint="F2"/>
                <w:kern w:val="0"/>
                <w:szCs w:val="21"/>
                <w14:textFill>
                  <w14:solidFill>
                    <w14:schemeClr w14:val="tx1">
                      <w14:lumMod w14:val="95000"/>
                      <w14:lumOff w14:val="5000"/>
                    </w14:schemeClr>
                  </w14:solidFill>
                </w14:textFill>
              </w:rPr>
              <w:t xml:space="preserve">  </w:t>
            </w:r>
            <w:r>
              <w:rPr>
                <w:rFonts w:hint="eastAsia" w:cs="宋体"/>
                <w:b/>
                <w:bCs/>
                <w:color w:val="0D0D0D" w:themeColor="text1" w:themeTint="F2"/>
                <w:kern w:val="0"/>
                <w:szCs w:val="21"/>
                <w14:textFill>
                  <w14:solidFill>
                    <w14:schemeClr w14:val="tx1">
                      <w14:lumMod w14:val="95000"/>
                      <w14:lumOff w14:val="5000"/>
                    </w14:schemeClr>
                  </w14:solidFill>
                </w14:textFill>
              </w:rPr>
              <w:t>《饮食业油烟排放标准（试行）》（摘录）</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5037"/>
              <w:gridCol w:w="1114"/>
              <w:gridCol w:w="1114"/>
              <w:gridCol w:w="1114"/>
            </w:tblGrid>
            <w:tr w14:paraId="70664C2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006" w:type="pct"/>
                  <w:shd w:val="clear" w:color="auto" w:fill="auto"/>
                  <w:vAlign w:val="center"/>
                </w:tcPr>
                <w:p w14:paraId="58F7A12B">
                  <w:pPr>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规模</w:t>
                  </w:r>
                </w:p>
              </w:tc>
              <w:tc>
                <w:tcPr>
                  <w:tcW w:w="665" w:type="pct"/>
                  <w:tcBorders>
                    <w:top w:val="single" w:color="auto" w:sz="4" w:space="0"/>
                    <w:bottom w:val="single" w:color="auto" w:sz="6" w:space="0"/>
                  </w:tcBorders>
                  <w:shd w:val="clear" w:color="auto" w:fill="auto"/>
                  <w:vAlign w:val="center"/>
                </w:tcPr>
                <w:p w14:paraId="2EEEC4DD">
                  <w:pPr>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小型</w:t>
                  </w:r>
                </w:p>
              </w:tc>
              <w:tc>
                <w:tcPr>
                  <w:tcW w:w="665" w:type="pct"/>
                  <w:vAlign w:val="center"/>
                </w:tcPr>
                <w:p w14:paraId="19032EC0">
                  <w:pPr>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中型</w:t>
                  </w:r>
                </w:p>
              </w:tc>
              <w:tc>
                <w:tcPr>
                  <w:tcW w:w="665" w:type="pct"/>
                  <w:vAlign w:val="center"/>
                </w:tcPr>
                <w:p w14:paraId="2A2534C6">
                  <w:pPr>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大型</w:t>
                  </w:r>
                </w:p>
              </w:tc>
            </w:tr>
            <w:tr w14:paraId="5D71543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006" w:type="pct"/>
                  <w:vAlign w:val="center"/>
                </w:tcPr>
                <w:p w14:paraId="1F850F53">
                  <w:pPr>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最高允许排放浓度（mg/m</w:t>
                  </w:r>
                  <w:r>
                    <w:rPr>
                      <w:color w:val="0D0D0D" w:themeColor="text1" w:themeTint="F2"/>
                      <w:vertAlign w:val="superscript"/>
                      <w14:textFill>
                        <w14:solidFill>
                          <w14:schemeClr w14:val="tx1">
                            <w14:lumMod w14:val="95000"/>
                            <w14:lumOff w14:val="5000"/>
                          </w14:schemeClr>
                        </w14:solidFill>
                      </w14:textFill>
                    </w:rPr>
                    <w:t>3</w:t>
                  </w:r>
                  <w:r>
                    <w:rPr>
                      <w:color w:val="0D0D0D" w:themeColor="text1" w:themeTint="F2"/>
                      <w14:textFill>
                        <w14:solidFill>
                          <w14:schemeClr w14:val="tx1">
                            <w14:lumMod w14:val="95000"/>
                            <w14:lumOff w14:val="5000"/>
                          </w14:schemeClr>
                        </w14:solidFill>
                      </w14:textFill>
                    </w:rPr>
                    <w:t>）</w:t>
                  </w:r>
                </w:p>
              </w:tc>
              <w:tc>
                <w:tcPr>
                  <w:tcW w:w="1994" w:type="pct"/>
                  <w:gridSpan w:val="3"/>
                  <w:tcBorders>
                    <w:top w:val="single" w:color="auto" w:sz="6" w:space="0"/>
                    <w:bottom w:val="single" w:color="auto" w:sz="6" w:space="0"/>
                  </w:tcBorders>
                  <w:shd w:val="clear" w:color="auto" w:fill="auto"/>
                  <w:vAlign w:val="center"/>
                </w:tcPr>
                <w:p w14:paraId="4EA9A6D0">
                  <w:pPr>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2.0</w:t>
                  </w:r>
                </w:p>
              </w:tc>
            </w:tr>
            <w:tr w14:paraId="0BECAF5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006" w:type="pct"/>
                  <w:shd w:val="clear" w:color="auto" w:fill="auto"/>
                  <w:vAlign w:val="center"/>
                </w:tcPr>
                <w:p w14:paraId="5FB906AA">
                  <w:pPr>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净化设施最低去除效率</w:t>
                  </w:r>
                </w:p>
              </w:tc>
              <w:tc>
                <w:tcPr>
                  <w:tcW w:w="665" w:type="pct"/>
                  <w:tcBorders>
                    <w:top w:val="single" w:color="auto" w:sz="6" w:space="0"/>
                    <w:bottom w:val="single" w:color="auto" w:sz="4" w:space="0"/>
                  </w:tcBorders>
                  <w:shd w:val="clear" w:color="auto" w:fill="auto"/>
                  <w:vAlign w:val="center"/>
                </w:tcPr>
                <w:p w14:paraId="5841A08B">
                  <w:pPr>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60</w:t>
                  </w:r>
                </w:p>
              </w:tc>
              <w:tc>
                <w:tcPr>
                  <w:tcW w:w="665" w:type="pct"/>
                  <w:vAlign w:val="center"/>
                </w:tcPr>
                <w:p w14:paraId="68B8C6D7">
                  <w:pPr>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75</w:t>
                  </w:r>
                </w:p>
              </w:tc>
              <w:tc>
                <w:tcPr>
                  <w:tcW w:w="665" w:type="pct"/>
                  <w:vAlign w:val="center"/>
                </w:tcPr>
                <w:p w14:paraId="13B117DA">
                  <w:pPr>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85</w:t>
                  </w:r>
                </w:p>
              </w:tc>
            </w:tr>
          </w:tbl>
          <w:p w14:paraId="05D41049">
            <w:pPr>
              <w:spacing w:line="360" w:lineRule="auto"/>
              <w:ind w:firstLine="482" w:firstLineChars="200"/>
              <w:rPr>
                <w:b/>
                <w:bCs/>
                <w:color w:val="0D0D0D" w:themeColor="text1" w:themeTint="F2"/>
                <w:sz w:val="24"/>
                <w14:textFill>
                  <w14:solidFill>
                    <w14:schemeClr w14:val="tx1">
                      <w14:lumMod w14:val="95000"/>
                      <w14:lumOff w14:val="5000"/>
                    </w14:schemeClr>
                  </w14:solidFill>
                </w14:textFill>
              </w:rPr>
            </w:pPr>
            <w:r>
              <w:rPr>
                <w:rFonts w:hint="eastAsia"/>
                <w:b/>
                <w:bCs/>
                <w:color w:val="0D0D0D" w:themeColor="text1" w:themeTint="F2"/>
                <w:sz w:val="24"/>
                <w14:textFill>
                  <w14:solidFill>
                    <w14:schemeClr w14:val="tx1">
                      <w14:lumMod w14:val="95000"/>
                      <w14:lumOff w14:val="5000"/>
                    </w14:schemeClr>
                  </w14:solidFill>
                </w14:textFill>
              </w:rPr>
              <w:t>2、废水</w:t>
            </w:r>
          </w:p>
          <w:p w14:paraId="338164B6">
            <w:pPr>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color w:val="0D0D0D" w:themeColor="text1" w:themeTint="F2"/>
                <w:sz w:val="24"/>
                <w14:textFill>
                  <w14:solidFill>
                    <w14:schemeClr w14:val="tx1">
                      <w14:lumMod w14:val="95000"/>
                      <w14:lumOff w14:val="5000"/>
                    </w14:schemeClr>
                  </w14:solidFill>
                </w14:textFill>
              </w:rPr>
              <w:t>项目生活污水</w:t>
            </w:r>
            <w:r>
              <w:rPr>
                <w:rFonts w:hint="eastAsia"/>
                <w:color w:val="0D0D0D" w:themeColor="text1" w:themeTint="F2"/>
                <w:sz w:val="24"/>
                <w14:textFill>
                  <w14:solidFill>
                    <w14:schemeClr w14:val="tx1">
                      <w14:lumMod w14:val="95000"/>
                      <w14:lumOff w14:val="5000"/>
                    </w14:schemeClr>
                  </w14:solidFill>
                </w14:textFill>
              </w:rPr>
              <w:t>经三级化粪池处理后排入园区市政污水管网，由钦州胜科水务有限公司污水处理厂进一步处理。外排废水须满足《污水综合排放标准》（GB8978-1996）三级标准和钦州胜科水务有限公司污水处理厂纳管标准较严值，废水排放标准详见表3-8。</w:t>
            </w:r>
          </w:p>
          <w:p w14:paraId="713F492F">
            <w:pPr>
              <w:adjustRightInd w:val="0"/>
              <w:snapToGrid w:val="0"/>
              <w:jc w:val="center"/>
              <w:rPr>
                <w:rFonts w:cs="宋体"/>
                <w:b/>
                <w:bCs/>
                <w:color w:val="0D0D0D" w:themeColor="text1" w:themeTint="F2"/>
                <w:kern w:val="0"/>
                <w:szCs w:val="21"/>
                <w14:textFill>
                  <w14:solidFill>
                    <w14:schemeClr w14:val="tx1">
                      <w14:lumMod w14:val="95000"/>
                      <w14:lumOff w14:val="5000"/>
                    </w14:schemeClr>
                  </w14:solidFill>
                </w14:textFill>
              </w:rPr>
            </w:pPr>
            <w:r>
              <w:rPr>
                <w:rFonts w:cs="宋体"/>
                <w:b/>
                <w:bCs/>
                <w:color w:val="0D0D0D" w:themeColor="text1" w:themeTint="F2"/>
                <w:kern w:val="0"/>
                <w:szCs w:val="21"/>
                <w14:textFill>
                  <w14:solidFill>
                    <w14:schemeClr w14:val="tx1">
                      <w14:lumMod w14:val="95000"/>
                      <w14:lumOff w14:val="5000"/>
                    </w14:schemeClr>
                  </w14:solidFill>
                </w14:textFill>
              </w:rPr>
              <w:t>表</w:t>
            </w:r>
            <w:r>
              <w:rPr>
                <w:rFonts w:hint="eastAsia" w:cs="宋体"/>
                <w:b/>
                <w:bCs/>
                <w:color w:val="0D0D0D" w:themeColor="text1" w:themeTint="F2"/>
                <w:kern w:val="0"/>
                <w:szCs w:val="21"/>
                <w14:textFill>
                  <w14:solidFill>
                    <w14:schemeClr w14:val="tx1">
                      <w14:lumMod w14:val="95000"/>
                      <w14:lumOff w14:val="5000"/>
                    </w14:schemeClr>
                  </w14:solidFill>
                </w14:textFill>
              </w:rPr>
              <w:t>3</w:t>
            </w:r>
            <w:r>
              <w:rPr>
                <w:rFonts w:cs="宋体"/>
                <w:b/>
                <w:bCs/>
                <w:color w:val="0D0D0D" w:themeColor="text1" w:themeTint="F2"/>
                <w:kern w:val="0"/>
                <w:szCs w:val="21"/>
                <w14:textFill>
                  <w14:solidFill>
                    <w14:schemeClr w14:val="tx1">
                      <w14:lumMod w14:val="95000"/>
                      <w14:lumOff w14:val="5000"/>
                    </w14:schemeClr>
                  </w14:solidFill>
                </w14:textFill>
              </w:rPr>
              <w:t>-</w:t>
            </w:r>
            <w:r>
              <w:rPr>
                <w:rFonts w:hint="eastAsia" w:cs="宋体"/>
                <w:b/>
                <w:bCs/>
                <w:color w:val="0D0D0D" w:themeColor="text1" w:themeTint="F2"/>
                <w:kern w:val="0"/>
                <w:szCs w:val="21"/>
                <w14:textFill>
                  <w14:solidFill>
                    <w14:schemeClr w14:val="tx1">
                      <w14:lumMod w14:val="95000"/>
                      <w14:lumOff w14:val="5000"/>
                    </w14:schemeClr>
                  </w14:solidFill>
                </w14:textFill>
              </w:rPr>
              <w:t>8</w:t>
            </w:r>
            <w:r>
              <w:rPr>
                <w:rFonts w:cs="宋体"/>
                <w:b/>
                <w:bCs/>
                <w:color w:val="0D0D0D" w:themeColor="text1" w:themeTint="F2"/>
                <w:kern w:val="0"/>
                <w:szCs w:val="21"/>
                <w14:textFill>
                  <w14:solidFill>
                    <w14:schemeClr w14:val="tx1">
                      <w14:lumMod w14:val="95000"/>
                      <w14:lumOff w14:val="5000"/>
                    </w14:schemeClr>
                  </w14:solidFill>
                </w14:textFill>
              </w:rPr>
              <w:t xml:space="preserve">  </w:t>
            </w:r>
            <w:r>
              <w:rPr>
                <w:rFonts w:hint="eastAsia" w:cs="宋体"/>
                <w:b/>
                <w:bCs/>
                <w:color w:val="0D0D0D" w:themeColor="text1" w:themeTint="F2"/>
                <w:kern w:val="0"/>
                <w:szCs w:val="21"/>
                <w14:textFill>
                  <w14:solidFill>
                    <w14:schemeClr w14:val="tx1">
                      <w14:lumMod w14:val="95000"/>
                      <w14:lumOff w14:val="5000"/>
                    </w14:schemeClr>
                  </w14:solidFill>
                </w14:textFill>
              </w:rPr>
              <w:t>废水排放执行标准</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5"/>
              <w:gridCol w:w="1104"/>
              <w:gridCol w:w="3301"/>
              <w:gridCol w:w="2204"/>
              <w:gridCol w:w="1105"/>
            </w:tblGrid>
            <w:tr w14:paraId="4B982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7" w:type="pct"/>
                  <w:vAlign w:val="center"/>
                </w:tcPr>
                <w:p w14:paraId="7F27A4D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序号</w:t>
                  </w:r>
                </w:p>
              </w:tc>
              <w:tc>
                <w:tcPr>
                  <w:tcW w:w="659" w:type="pct"/>
                  <w:vAlign w:val="center"/>
                </w:tcPr>
                <w:p w14:paraId="2EEC4CBC">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污染物</w:t>
                  </w:r>
                </w:p>
              </w:tc>
              <w:tc>
                <w:tcPr>
                  <w:tcW w:w="1970" w:type="pct"/>
                  <w:vAlign w:val="center"/>
                </w:tcPr>
                <w:p w14:paraId="3A48A6C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《污水综合排放标准》三级标准</w:t>
                  </w:r>
                </w:p>
              </w:tc>
              <w:tc>
                <w:tcPr>
                  <w:tcW w:w="1315" w:type="pct"/>
                  <w:vAlign w:val="center"/>
                </w:tcPr>
                <w:p w14:paraId="1033225F">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污水处理厂纳管标准</w:t>
                  </w:r>
                </w:p>
              </w:tc>
              <w:tc>
                <w:tcPr>
                  <w:tcW w:w="659" w:type="pct"/>
                  <w:vAlign w:val="center"/>
                </w:tcPr>
                <w:p w14:paraId="14BA569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执行标准</w:t>
                  </w:r>
                </w:p>
              </w:tc>
            </w:tr>
            <w:tr w14:paraId="4FD6C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7" w:type="pct"/>
                  <w:vAlign w:val="center"/>
                </w:tcPr>
                <w:p w14:paraId="27B0EB27">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w:t>
                  </w:r>
                </w:p>
              </w:tc>
              <w:tc>
                <w:tcPr>
                  <w:tcW w:w="659" w:type="pct"/>
                  <w:vAlign w:val="center"/>
                </w:tcPr>
                <w:p w14:paraId="4939F79B">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pH</w:t>
                  </w:r>
                </w:p>
              </w:tc>
              <w:tc>
                <w:tcPr>
                  <w:tcW w:w="1970" w:type="pct"/>
                  <w:vAlign w:val="center"/>
                </w:tcPr>
                <w:p w14:paraId="4FDCD73D">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6~9</w:t>
                  </w:r>
                </w:p>
              </w:tc>
              <w:tc>
                <w:tcPr>
                  <w:tcW w:w="1315" w:type="pct"/>
                  <w:vAlign w:val="center"/>
                </w:tcPr>
                <w:p w14:paraId="663A288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6~9</w:t>
                  </w:r>
                </w:p>
              </w:tc>
              <w:tc>
                <w:tcPr>
                  <w:tcW w:w="659" w:type="pct"/>
                  <w:vAlign w:val="center"/>
                </w:tcPr>
                <w:p w14:paraId="6030EBE6">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6~9</w:t>
                  </w:r>
                </w:p>
              </w:tc>
            </w:tr>
            <w:tr w14:paraId="16A957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7" w:type="pct"/>
                  <w:vAlign w:val="center"/>
                </w:tcPr>
                <w:p w14:paraId="7E8C929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w:t>
                  </w:r>
                </w:p>
              </w:tc>
              <w:tc>
                <w:tcPr>
                  <w:tcW w:w="659" w:type="pct"/>
                  <w:vAlign w:val="center"/>
                </w:tcPr>
                <w:p w14:paraId="71DFDD1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SS</w:t>
                  </w:r>
                </w:p>
              </w:tc>
              <w:tc>
                <w:tcPr>
                  <w:tcW w:w="1970" w:type="pct"/>
                  <w:vAlign w:val="center"/>
                </w:tcPr>
                <w:p w14:paraId="343133C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400</w:t>
                  </w:r>
                </w:p>
              </w:tc>
              <w:tc>
                <w:tcPr>
                  <w:tcW w:w="1315" w:type="pct"/>
                  <w:vAlign w:val="center"/>
                </w:tcPr>
                <w:p w14:paraId="5E9C990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250</w:t>
                  </w:r>
                </w:p>
              </w:tc>
              <w:tc>
                <w:tcPr>
                  <w:tcW w:w="659" w:type="pct"/>
                  <w:vAlign w:val="center"/>
                </w:tcPr>
                <w:p w14:paraId="38A7C12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250</w:t>
                  </w:r>
                </w:p>
              </w:tc>
            </w:tr>
            <w:tr w14:paraId="0F0EB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7" w:type="pct"/>
                  <w:vAlign w:val="center"/>
                </w:tcPr>
                <w:p w14:paraId="799CDF06">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w:t>
                  </w:r>
                </w:p>
              </w:tc>
              <w:tc>
                <w:tcPr>
                  <w:tcW w:w="659" w:type="pct"/>
                  <w:vAlign w:val="center"/>
                </w:tcPr>
                <w:p w14:paraId="1224E14B">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COD</w:t>
                  </w:r>
                </w:p>
              </w:tc>
              <w:tc>
                <w:tcPr>
                  <w:tcW w:w="1970" w:type="pct"/>
                  <w:vAlign w:val="center"/>
                </w:tcPr>
                <w:p w14:paraId="2BE3B451">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500</w:t>
                  </w:r>
                </w:p>
              </w:tc>
              <w:tc>
                <w:tcPr>
                  <w:tcW w:w="1315" w:type="pct"/>
                  <w:vAlign w:val="center"/>
                </w:tcPr>
                <w:p w14:paraId="5989587F">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1000</w:t>
                  </w:r>
                </w:p>
              </w:tc>
              <w:tc>
                <w:tcPr>
                  <w:tcW w:w="659" w:type="pct"/>
                  <w:vAlign w:val="center"/>
                </w:tcPr>
                <w:p w14:paraId="0514EE83">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500</w:t>
                  </w:r>
                </w:p>
              </w:tc>
            </w:tr>
            <w:tr w14:paraId="11B14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7" w:type="pct"/>
                  <w:vAlign w:val="center"/>
                </w:tcPr>
                <w:p w14:paraId="43049A3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w:t>
                  </w:r>
                </w:p>
              </w:tc>
              <w:tc>
                <w:tcPr>
                  <w:tcW w:w="659" w:type="pct"/>
                  <w:vAlign w:val="center"/>
                </w:tcPr>
                <w:p w14:paraId="229CA50B">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BOD</w:t>
                  </w:r>
                  <w:r>
                    <w:rPr>
                      <w:rFonts w:hint="eastAsia"/>
                      <w:color w:val="0D0D0D" w:themeColor="text1" w:themeTint="F2"/>
                      <w:szCs w:val="21"/>
                      <w:vertAlign w:val="subscript"/>
                      <w14:textFill>
                        <w14:solidFill>
                          <w14:schemeClr w14:val="tx1">
                            <w14:lumMod w14:val="95000"/>
                            <w14:lumOff w14:val="5000"/>
                          </w14:schemeClr>
                        </w14:solidFill>
                      </w14:textFill>
                    </w:rPr>
                    <w:t>5</w:t>
                  </w:r>
                </w:p>
              </w:tc>
              <w:tc>
                <w:tcPr>
                  <w:tcW w:w="1970" w:type="pct"/>
                  <w:vAlign w:val="center"/>
                </w:tcPr>
                <w:p w14:paraId="6E745CE7">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300</w:t>
                  </w:r>
                </w:p>
              </w:tc>
              <w:tc>
                <w:tcPr>
                  <w:tcW w:w="1315" w:type="pct"/>
                  <w:vAlign w:val="center"/>
                </w:tcPr>
                <w:p w14:paraId="011CF5D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c>
                <w:tcPr>
                  <w:tcW w:w="659" w:type="pct"/>
                  <w:vAlign w:val="center"/>
                </w:tcPr>
                <w:p w14:paraId="4F0F1BFB">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300</w:t>
                  </w:r>
                </w:p>
              </w:tc>
            </w:tr>
            <w:tr w14:paraId="626603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7" w:type="pct"/>
                  <w:vAlign w:val="center"/>
                </w:tcPr>
                <w:p w14:paraId="596ACAB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w:t>
                  </w:r>
                </w:p>
              </w:tc>
              <w:tc>
                <w:tcPr>
                  <w:tcW w:w="659" w:type="pct"/>
                  <w:vAlign w:val="center"/>
                </w:tcPr>
                <w:p w14:paraId="70EFDA3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NH</w:t>
                  </w:r>
                  <w:r>
                    <w:rPr>
                      <w:rFonts w:hint="eastAsia"/>
                      <w:color w:val="0D0D0D" w:themeColor="text1" w:themeTint="F2"/>
                      <w:szCs w:val="21"/>
                      <w:vertAlign w:val="subscript"/>
                      <w14:textFill>
                        <w14:solidFill>
                          <w14:schemeClr w14:val="tx1">
                            <w14:lumMod w14:val="95000"/>
                            <w14:lumOff w14:val="5000"/>
                          </w14:schemeClr>
                        </w14:solidFill>
                      </w14:textFill>
                    </w:rPr>
                    <w:t>3</w:t>
                  </w:r>
                  <w:r>
                    <w:rPr>
                      <w:rFonts w:hint="eastAsia"/>
                      <w:color w:val="0D0D0D" w:themeColor="text1" w:themeTint="F2"/>
                      <w:szCs w:val="21"/>
                      <w14:textFill>
                        <w14:solidFill>
                          <w14:schemeClr w14:val="tx1">
                            <w14:lumMod w14:val="95000"/>
                            <w14:lumOff w14:val="5000"/>
                          </w14:schemeClr>
                        </w14:solidFill>
                      </w14:textFill>
                    </w:rPr>
                    <w:t>-N</w:t>
                  </w:r>
                </w:p>
              </w:tc>
              <w:tc>
                <w:tcPr>
                  <w:tcW w:w="1970" w:type="pct"/>
                  <w:vAlign w:val="center"/>
                </w:tcPr>
                <w:p w14:paraId="3C938D55">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c>
                <w:tcPr>
                  <w:tcW w:w="1315" w:type="pct"/>
                  <w:vAlign w:val="center"/>
                </w:tcPr>
                <w:p w14:paraId="03A1BA71">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50</w:t>
                  </w:r>
                </w:p>
              </w:tc>
              <w:tc>
                <w:tcPr>
                  <w:tcW w:w="659" w:type="pct"/>
                  <w:vAlign w:val="center"/>
                </w:tcPr>
                <w:p w14:paraId="6E7A3C3E">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50</w:t>
                  </w:r>
                </w:p>
              </w:tc>
            </w:tr>
            <w:tr w14:paraId="7E60F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7" w:type="pct"/>
                  <w:vAlign w:val="center"/>
                </w:tcPr>
                <w:p w14:paraId="7E9D10AE">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w:t>
                  </w:r>
                </w:p>
              </w:tc>
              <w:tc>
                <w:tcPr>
                  <w:tcW w:w="659" w:type="pct"/>
                  <w:vAlign w:val="center"/>
                </w:tcPr>
                <w:p w14:paraId="6A95DEFD">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TN</w:t>
                  </w:r>
                </w:p>
              </w:tc>
              <w:tc>
                <w:tcPr>
                  <w:tcW w:w="1970" w:type="pct"/>
                  <w:vAlign w:val="center"/>
                </w:tcPr>
                <w:p w14:paraId="129892D0">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c>
                <w:tcPr>
                  <w:tcW w:w="1315" w:type="pct"/>
                  <w:vAlign w:val="center"/>
                </w:tcPr>
                <w:p w14:paraId="0244F58E">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60</w:t>
                  </w:r>
                </w:p>
              </w:tc>
              <w:tc>
                <w:tcPr>
                  <w:tcW w:w="659" w:type="pct"/>
                  <w:vAlign w:val="center"/>
                </w:tcPr>
                <w:p w14:paraId="2A8D00B5">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60</w:t>
                  </w:r>
                </w:p>
              </w:tc>
            </w:tr>
            <w:tr w14:paraId="7EFC7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7" w:type="pct"/>
                  <w:vAlign w:val="center"/>
                </w:tcPr>
                <w:p w14:paraId="699C01A9">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w:t>
                  </w:r>
                </w:p>
              </w:tc>
              <w:tc>
                <w:tcPr>
                  <w:tcW w:w="659" w:type="pct"/>
                  <w:vAlign w:val="center"/>
                </w:tcPr>
                <w:p w14:paraId="20F88CEF">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TP</w:t>
                  </w:r>
                </w:p>
              </w:tc>
              <w:tc>
                <w:tcPr>
                  <w:tcW w:w="1970" w:type="pct"/>
                  <w:vAlign w:val="center"/>
                </w:tcPr>
                <w:p w14:paraId="7A436CCF">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c>
                <w:tcPr>
                  <w:tcW w:w="1315" w:type="pct"/>
                  <w:vAlign w:val="center"/>
                </w:tcPr>
                <w:p w14:paraId="07B2460D">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w:t>
                  </w:r>
                </w:p>
              </w:tc>
              <w:tc>
                <w:tcPr>
                  <w:tcW w:w="659" w:type="pct"/>
                  <w:vAlign w:val="center"/>
                </w:tcPr>
                <w:p w14:paraId="5D361625">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w:t>
                  </w:r>
                </w:p>
              </w:tc>
            </w:tr>
            <w:tr w14:paraId="1A53F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7" w:type="pct"/>
                  <w:vAlign w:val="center"/>
                </w:tcPr>
                <w:p w14:paraId="3667D113">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8</w:t>
                  </w:r>
                </w:p>
              </w:tc>
              <w:tc>
                <w:tcPr>
                  <w:tcW w:w="659" w:type="pct"/>
                  <w:vAlign w:val="center"/>
                </w:tcPr>
                <w:p w14:paraId="47CC9DF1">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动植物油</w:t>
                  </w:r>
                </w:p>
              </w:tc>
              <w:tc>
                <w:tcPr>
                  <w:tcW w:w="1970" w:type="pct"/>
                  <w:vAlign w:val="center"/>
                </w:tcPr>
                <w:p w14:paraId="0FD410CD">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100</w:t>
                  </w:r>
                </w:p>
              </w:tc>
              <w:tc>
                <w:tcPr>
                  <w:tcW w:w="1315" w:type="pct"/>
                  <w:vAlign w:val="center"/>
                </w:tcPr>
                <w:p w14:paraId="559551AD">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w:t>
                  </w:r>
                </w:p>
              </w:tc>
              <w:tc>
                <w:tcPr>
                  <w:tcW w:w="659" w:type="pct"/>
                  <w:vAlign w:val="center"/>
                </w:tcPr>
                <w:p w14:paraId="5C6B4571">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10</w:t>
                  </w:r>
                </w:p>
              </w:tc>
            </w:tr>
          </w:tbl>
          <w:p w14:paraId="7F408164">
            <w:pPr>
              <w:spacing w:line="360" w:lineRule="auto"/>
              <w:ind w:firstLine="482" w:firstLineChars="200"/>
              <w:rPr>
                <w:b/>
                <w:bCs/>
                <w:color w:val="0D0D0D" w:themeColor="text1" w:themeTint="F2"/>
                <w:sz w:val="24"/>
                <w14:textFill>
                  <w14:solidFill>
                    <w14:schemeClr w14:val="tx1">
                      <w14:lumMod w14:val="95000"/>
                      <w14:lumOff w14:val="5000"/>
                    </w14:schemeClr>
                  </w14:solidFill>
                </w14:textFill>
              </w:rPr>
            </w:pPr>
            <w:r>
              <w:rPr>
                <w:rFonts w:hint="eastAsia"/>
                <w:b/>
                <w:bCs/>
                <w:color w:val="0D0D0D" w:themeColor="text1" w:themeTint="F2"/>
                <w:sz w:val="24"/>
                <w14:textFill>
                  <w14:solidFill>
                    <w14:schemeClr w14:val="tx1">
                      <w14:lumMod w14:val="95000"/>
                      <w14:lumOff w14:val="5000"/>
                    </w14:schemeClr>
                  </w14:solidFill>
                </w14:textFill>
              </w:rPr>
              <w:t>3、</w:t>
            </w:r>
            <w:r>
              <w:rPr>
                <w:b/>
                <w:bCs/>
                <w:color w:val="0D0D0D" w:themeColor="text1" w:themeTint="F2"/>
                <w:sz w:val="24"/>
                <w14:textFill>
                  <w14:solidFill>
                    <w14:schemeClr w14:val="tx1">
                      <w14:lumMod w14:val="95000"/>
                      <w14:lumOff w14:val="5000"/>
                    </w14:schemeClr>
                  </w14:solidFill>
                </w14:textFill>
              </w:rPr>
              <w:t>噪声</w:t>
            </w:r>
          </w:p>
          <w:p w14:paraId="68B0CE37">
            <w:pPr>
              <w:adjustRightInd w:val="0"/>
              <w:snapToGrid w:val="0"/>
              <w:spacing w:line="360" w:lineRule="auto"/>
              <w:ind w:firstLine="480" w:firstLineChars="200"/>
              <w:rPr>
                <w:rFonts w:cs="宋体"/>
                <w:bCs/>
                <w:color w:val="0D0D0D" w:themeColor="text1" w:themeTint="F2"/>
                <w:kern w:val="0"/>
                <w:sz w:val="24"/>
                <w14:textFill>
                  <w14:solidFill>
                    <w14:schemeClr w14:val="tx1">
                      <w14:lumMod w14:val="95000"/>
                      <w14:lumOff w14:val="5000"/>
                    </w14:schemeClr>
                  </w14:solidFill>
                </w14:textFill>
              </w:rPr>
            </w:pPr>
            <w:r>
              <w:rPr>
                <w:rFonts w:cs="宋体"/>
                <w:bCs/>
                <w:color w:val="0D0D0D" w:themeColor="text1" w:themeTint="F2"/>
                <w:kern w:val="0"/>
                <w:sz w:val="24"/>
                <w14:textFill>
                  <w14:solidFill>
                    <w14:schemeClr w14:val="tx1">
                      <w14:lumMod w14:val="95000"/>
                      <w14:lumOff w14:val="5000"/>
                    </w14:schemeClr>
                  </w14:solidFill>
                </w14:textFill>
              </w:rPr>
              <w:t>项目施工期噪声执行《建筑施工场界环境噪声排放标准》</w:t>
            </w:r>
            <w:r>
              <w:rPr>
                <w:rFonts w:hint="eastAsia" w:cs="宋体"/>
                <w:bCs/>
                <w:color w:val="0D0D0D" w:themeColor="text1" w:themeTint="F2"/>
                <w:kern w:val="0"/>
                <w:sz w:val="24"/>
                <w14:textFill>
                  <w14:solidFill>
                    <w14:schemeClr w14:val="tx1">
                      <w14:lumMod w14:val="95000"/>
                      <w14:lumOff w14:val="5000"/>
                    </w14:schemeClr>
                  </w14:solidFill>
                </w14:textFill>
              </w:rPr>
              <w:t>（</w:t>
            </w:r>
            <w:r>
              <w:rPr>
                <w:rFonts w:cs="宋体"/>
                <w:bCs/>
                <w:color w:val="0D0D0D" w:themeColor="text1" w:themeTint="F2"/>
                <w:kern w:val="0"/>
                <w:sz w:val="24"/>
                <w14:textFill>
                  <w14:solidFill>
                    <w14:schemeClr w14:val="tx1">
                      <w14:lumMod w14:val="95000"/>
                      <w14:lumOff w14:val="5000"/>
                    </w14:schemeClr>
                  </w14:solidFill>
                </w14:textFill>
              </w:rPr>
              <w:t>GB12523-2011</w:t>
            </w:r>
            <w:r>
              <w:rPr>
                <w:rFonts w:hint="eastAsia" w:cs="宋体"/>
                <w:bCs/>
                <w:color w:val="0D0D0D" w:themeColor="text1" w:themeTint="F2"/>
                <w:kern w:val="0"/>
                <w:sz w:val="24"/>
                <w14:textFill>
                  <w14:solidFill>
                    <w14:schemeClr w14:val="tx1">
                      <w14:lumMod w14:val="95000"/>
                      <w14:lumOff w14:val="5000"/>
                    </w14:schemeClr>
                  </w14:solidFill>
                </w14:textFill>
              </w:rPr>
              <w:t>）</w:t>
            </w:r>
            <w:r>
              <w:rPr>
                <w:rFonts w:cs="宋体"/>
                <w:bCs/>
                <w:color w:val="0D0D0D" w:themeColor="text1" w:themeTint="F2"/>
                <w:kern w:val="0"/>
                <w:sz w:val="24"/>
                <w14:textFill>
                  <w14:solidFill>
                    <w14:schemeClr w14:val="tx1">
                      <w14:lumMod w14:val="95000"/>
                      <w14:lumOff w14:val="5000"/>
                    </w14:schemeClr>
                  </w14:solidFill>
                </w14:textFill>
              </w:rPr>
              <w:t>相关标准限值</w:t>
            </w:r>
            <w:r>
              <w:rPr>
                <w:rFonts w:hint="eastAsia" w:cs="宋体"/>
                <w:bCs/>
                <w:color w:val="0D0D0D" w:themeColor="text1" w:themeTint="F2"/>
                <w:kern w:val="0"/>
                <w:sz w:val="24"/>
                <w14:textFill>
                  <w14:solidFill>
                    <w14:schemeClr w14:val="tx1">
                      <w14:lumMod w14:val="95000"/>
                      <w14:lumOff w14:val="5000"/>
                    </w14:schemeClr>
                  </w14:solidFill>
                </w14:textFill>
              </w:rPr>
              <w:t>，详见表3</w:t>
            </w:r>
            <w:r>
              <w:rPr>
                <w:rFonts w:cs="宋体"/>
                <w:bCs/>
                <w:color w:val="0D0D0D" w:themeColor="text1" w:themeTint="F2"/>
                <w:kern w:val="0"/>
                <w:sz w:val="24"/>
                <w14:textFill>
                  <w14:solidFill>
                    <w14:schemeClr w14:val="tx1">
                      <w14:lumMod w14:val="95000"/>
                      <w14:lumOff w14:val="5000"/>
                    </w14:schemeClr>
                  </w14:solidFill>
                </w14:textFill>
              </w:rPr>
              <w:t>-</w:t>
            </w:r>
            <w:r>
              <w:rPr>
                <w:rFonts w:hint="eastAsia" w:cs="宋体"/>
                <w:bCs/>
                <w:color w:val="0D0D0D" w:themeColor="text1" w:themeTint="F2"/>
                <w:kern w:val="0"/>
                <w:sz w:val="24"/>
                <w14:textFill>
                  <w14:solidFill>
                    <w14:schemeClr w14:val="tx1">
                      <w14:lumMod w14:val="95000"/>
                      <w14:lumOff w14:val="5000"/>
                    </w14:schemeClr>
                  </w14:solidFill>
                </w14:textFill>
              </w:rPr>
              <w:t>9。</w:t>
            </w:r>
          </w:p>
          <w:p w14:paraId="61E3FB9B">
            <w:pPr>
              <w:adjustRightInd w:val="0"/>
              <w:snapToGrid w:val="0"/>
              <w:spacing w:line="360" w:lineRule="auto"/>
              <w:ind w:firstLine="480" w:firstLineChars="200"/>
              <w:rPr>
                <w:rFonts w:cs="宋体"/>
                <w:bCs/>
                <w:color w:val="0D0D0D" w:themeColor="text1" w:themeTint="F2"/>
                <w:kern w:val="0"/>
                <w:sz w:val="24"/>
                <w14:textFill>
                  <w14:solidFill>
                    <w14:schemeClr w14:val="tx1">
                      <w14:lumMod w14:val="95000"/>
                      <w14:lumOff w14:val="5000"/>
                    </w14:schemeClr>
                  </w14:solidFill>
                </w14:textFill>
              </w:rPr>
            </w:pPr>
            <w:r>
              <w:rPr>
                <w:rFonts w:cs="宋体"/>
                <w:bCs/>
                <w:color w:val="0D0D0D" w:themeColor="text1" w:themeTint="F2"/>
                <w:kern w:val="0"/>
                <w:sz w:val="24"/>
                <w14:textFill>
                  <w14:solidFill>
                    <w14:schemeClr w14:val="tx1">
                      <w14:lumMod w14:val="95000"/>
                      <w14:lumOff w14:val="5000"/>
                    </w14:schemeClr>
                  </w14:solidFill>
                </w14:textFill>
              </w:rPr>
              <w:t>运营期</w:t>
            </w:r>
            <w:r>
              <w:rPr>
                <w:rFonts w:hint="eastAsia" w:cs="宋体"/>
                <w:bCs/>
                <w:color w:val="0D0D0D" w:themeColor="text1" w:themeTint="F2"/>
                <w:kern w:val="0"/>
                <w:sz w:val="24"/>
                <w14:textFill>
                  <w14:solidFill>
                    <w14:schemeClr w14:val="tx1">
                      <w14:lumMod w14:val="95000"/>
                      <w14:lumOff w14:val="5000"/>
                    </w14:schemeClr>
                  </w14:solidFill>
                </w14:textFill>
              </w:rPr>
              <w:t>西侧厂界和北侧</w:t>
            </w:r>
            <w:r>
              <w:rPr>
                <w:rFonts w:cs="宋体"/>
                <w:bCs/>
                <w:color w:val="0D0D0D" w:themeColor="text1" w:themeTint="F2"/>
                <w:kern w:val="0"/>
                <w:sz w:val="24"/>
                <w14:textFill>
                  <w14:solidFill>
                    <w14:schemeClr w14:val="tx1">
                      <w14:lumMod w14:val="95000"/>
                      <w14:lumOff w14:val="5000"/>
                    </w14:schemeClr>
                  </w14:solidFill>
                </w14:textFill>
              </w:rPr>
              <w:t>厂界执行《工业企业厂界环境噪声排放标准》（GB12348-2008）</w:t>
            </w:r>
            <w:r>
              <w:rPr>
                <w:rFonts w:hint="eastAsia" w:cs="宋体"/>
                <w:bCs/>
                <w:color w:val="0D0D0D" w:themeColor="text1" w:themeTint="F2"/>
                <w:kern w:val="0"/>
                <w:sz w:val="24"/>
                <w14:textFill>
                  <w14:solidFill>
                    <w14:schemeClr w14:val="tx1">
                      <w14:lumMod w14:val="95000"/>
                      <w14:lumOff w14:val="5000"/>
                    </w14:schemeClr>
                  </w14:solidFill>
                </w14:textFill>
              </w:rPr>
              <w:t>3</w:t>
            </w:r>
            <w:r>
              <w:rPr>
                <w:rFonts w:cs="宋体"/>
                <w:bCs/>
                <w:color w:val="0D0D0D" w:themeColor="text1" w:themeTint="F2"/>
                <w:kern w:val="0"/>
                <w:sz w:val="24"/>
                <w14:textFill>
                  <w14:solidFill>
                    <w14:schemeClr w14:val="tx1">
                      <w14:lumMod w14:val="95000"/>
                      <w14:lumOff w14:val="5000"/>
                    </w14:schemeClr>
                  </w14:solidFill>
                </w14:textFill>
              </w:rPr>
              <w:t>类标准</w:t>
            </w:r>
            <w:r>
              <w:rPr>
                <w:rFonts w:hint="eastAsia" w:cs="宋体"/>
                <w:bCs/>
                <w:color w:val="0D0D0D" w:themeColor="text1" w:themeTint="F2"/>
                <w:kern w:val="0"/>
                <w:sz w:val="24"/>
                <w14:textFill>
                  <w14:solidFill>
                    <w14:schemeClr w14:val="tx1">
                      <w14:lumMod w14:val="95000"/>
                      <w14:lumOff w14:val="5000"/>
                    </w14:schemeClr>
                  </w14:solidFill>
                </w14:textFill>
              </w:rPr>
              <w:t>，东侧厂界和南侧厂界临海大道35m范围内执行4类标准，详见表3</w:t>
            </w:r>
            <w:r>
              <w:rPr>
                <w:rFonts w:cs="宋体"/>
                <w:bCs/>
                <w:color w:val="0D0D0D" w:themeColor="text1" w:themeTint="F2"/>
                <w:kern w:val="0"/>
                <w:sz w:val="24"/>
                <w14:textFill>
                  <w14:solidFill>
                    <w14:schemeClr w14:val="tx1">
                      <w14:lumMod w14:val="95000"/>
                      <w14:lumOff w14:val="5000"/>
                    </w14:schemeClr>
                  </w14:solidFill>
                </w14:textFill>
              </w:rPr>
              <w:t>-</w:t>
            </w:r>
            <w:r>
              <w:rPr>
                <w:rFonts w:hint="eastAsia" w:cs="宋体"/>
                <w:bCs/>
                <w:color w:val="0D0D0D" w:themeColor="text1" w:themeTint="F2"/>
                <w:kern w:val="0"/>
                <w:sz w:val="24"/>
                <w14:textFill>
                  <w14:solidFill>
                    <w14:schemeClr w14:val="tx1">
                      <w14:lumMod w14:val="95000"/>
                      <w14:lumOff w14:val="5000"/>
                    </w14:schemeClr>
                  </w14:solidFill>
                </w14:textFill>
              </w:rPr>
              <w:t>10</w:t>
            </w:r>
            <w:r>
              <w:rPr>
                <w:rFonts w:cs="宋体"/>
                <w:bCs/>
                <w:color w:val="0D0D0D" w:themeColor="text1" w:themeTint="F2"/>
                <w:kern w:val="0"/>
                <w:sz w:val="24"/>
                <w14:textFill>
                  <w14:solidFill>
                    <w14:schemeClr w14:val="tx1">
                      <w14:lumMod w14:val="95000"/>
                      <w14:lumOff w14:val="5000"/>
                    </w14:schemeClr>
                  </w14:solidFill>
                </w14:textFill>
              </w:rPr>
              <w:t>。</w:t>
            </w:r>
          </w:p>
          <w:p w14:paraId="02384B2B">
            <w:pPr>
              <w:adjustRightInd w:val="0"/>
              <w:snapToGrid w:val="0"/>
              <w:jc w:val="center"/>
              <w:rPr>
                <w:rFonts w:cs="宋体"/>
                <w:b/>
                <w:bCs/>
                <w:color w:val="0D0D0D" w:themeColor="text1" w:themeTint="F2"/>
                <w:kern w:val="0"/>
                <w:szCs w:val="21"/>
                <w14:textFill>
                  <w14:solidFill>
                    <w14:schemeClr w14:val="tx1">
                      <w14:lumMod w14:val="95000"/>
                      <w14:lumOff w14:val="5000"/>
                    </w14:schemeClr>
                  </w14:solidFill>
                </w14:textFill>
              </w:rPr>
            </w:pPr>
            <w:r>
              <w:rPr>
                <w:rFonts w:cs="宋体"/>
                <w:b/>
                <w:bCs/>
                <w:color w:val="0D0D0D" w:themeColor="text1" w:themeTint="F2"/>
                <w:kern w:val="0"/>
                <w:szCs w:val="21"/>
                <w14:textFill>
                  <w14:solidFill>
                    <w14:schemeClr w14:val="tx1">
                      <w14:lumMod w14:val="95000"/>
                      <w14:lumOff w14:val="5000"/>
                    </w14:schemeClr>
                  </w14:solidFill>
                </w14:textFill>
              </w:rPr>
              <w:t>表</w:t>
            </w:r>
            <w:r>
              <w:rPr>
                <w:rFonts w:hint="eastAsia" w:cs="宋体"/>
                <w:b/>
                <w:bCs/>
                <w:color w:val="0D0D0D" w:themeColor="text1" w:themeTint="F2"/>
                <w:kern w:val="0"/>
                <w:szCs w:val="21"/>
                <w14:textFill>
                  <w14:solidFill>
                    <w14:schemeClr w14:val="tx1">
                      <w14:lumMod w14:val="95000"/>
                      <w14:lumOff w14:val="5000"/>
                    </w14:schemeClr>
                  </w14:solidFill>
                </w14:textFill>
              </w:rPr>
              <w:t>3</w:t>
            </w:r>
            <w:r>
              <w:rPr>
                <w:rFonts w:cs="宋体"/>
                <w:b/>
                <w:bCs/>
                <w:color w:val="0D0D0D" w:themeColor="text1" w:themeTint="F2"/>
                <w:kern w:val="0"/>
                <w:szCs w:val="21"/>
                <w14:textFill>
                  <w14:solidFill>
                    <w14:schemeClr w14:val="tx1">
                      <w14:lumMod w14:val="95000"/>
                      <w14:lumOff w14:val="5000"/>
                    </w14:schemeClr>
                  </w14:solidFill>
                </w14:textFill>
              </w:rPr>
              <w:t>-</w:t>
            </w:r>
            <w:r>
              <w:rPr>
                <w:rFonts w:hint="eastAsia" w:cs="宋体"/>
                <w:b/>
                <w:bCs/>
                <w:color w:val="0D0D0D" w:themeColor="text1" w:themeTint="F2"/>
                <w:kern w:val="0"/>
                <w:szCs w:val="21"/>
                <w14:textFill>
                  <w14:solidFill>
                    <w14:schemeClr w14:val="tx1">
                      <w14:lumMod w14:val="95000"/>
                      <w14:lumOff w14:val="5000"/>
                    </w14:schemeClr>
                  </w14:solidFill>
                </w14:textFill>
              </w:rPr>
              <w:t>9</w:t>
            </w:r>
            <w:r>
              <w:rPr>
                <w:rFonts w:cs="宋体"/>
                <w:b/>
                <w:bCs/>
                <w:color w:val="0D0D0D" w:themeColor="text1" w:themeTint="F2"/>
                <w:kern w:val="0"/>
                <w:szCs w:val="21"/>
                <w14:textFill>
                  <w14:solidFill>
                    <w14:schemeClr w14:val="tx1">
                      <w14:lumMod w14:val="95000"/>
                      <w14:lumOff w14:val="5000"/>
                    </w14:schemeClr>
                  </w14:solidFill>
                </w14:textFill>
              </w:rPr>
              <w:t xml:space="preserve">  《建筑施工场界环境噪声排放标准》</w:t>
            </w:r>
            <w:r>
              <w:rPr>
                <w:rFonts w:hint="eastAsia" w:cs="宋体"/>
                <w:b/>
                <w:bCs/>
                <w:color w:val="0D0D0D" w:themeColor="text1" w:themeTint="F2"/>
                <w:kern w:val="0"/>
                <w:szCs w:val="21"/>
                <w14:textFill>
                  <w14:solidFill>
                    <w14:schemeClr w14:val="tx1">
                      <w14:lumMod w14:val="95000"/>
                      <w14:lumOff w14:val="5000"/>
                    </w14:schemeClr>
                  </w14:solidFill>
                </w14:textFill>
              </w:rPr>
              <w:t>（摘录）</w:t>
            </w:r>
            <w:r>
              <w:rPr>
                <w:rFonts w:cs="宋体"/>
                <w:b/>
                <w:bCs/>
                <w:color w:val="0D0D0D" w:themeColor="text1" w:themeTint="F2"/>
                <w:kern w:val="0"/>
                <w:szCs w:val="21"/>
                <w14:textFill>
                  <w14:solidFill>
                    <w14:schemeClr w14:val="tx1">
                      <w14:lumMod w14:val="95000"/>
                      <w14:lumOff w14:val="5000"/>
                    </w14:schemeClr>
                  </w14:solidFill>
                </w14:textFill>
              </w:rPr>
              <w:t xml:space="preserve">  单位：dB</w:t>
            </w:r>
            <w:r>
              <w:rPr>
                <w:rFonts w:hint="eastAsia" w:cs="宋体"/>
                <w:b/>
                <w:bCs/>
                <w:color w:val="0D0D0D" w:themeColor="text1" w:themeTint="F2"/>
                <w:kern w:val="0"/>
                <w:szCs w:val="21"/>
                <w14:textFill>
                  <w14:solidFill>
                    <w14:schemeClr w14:val="tx1">
                      <w14:lumMod w14:val="95000"/>
                      <w14:lumOff w14:val="5000"/>
                    </w14:schemeClr>
                  </w14:solidFill>
                </w14:textFill>
              </w:rPr>
              <w:t>(</w:t>
            </w:r>
            <w:r>
              <w:rPr>
                <w:rFonts w:cs="宋体"/>
                <w:b/>
                <w:bCs/>
                <w:color w:val="0D0D0D" w:themeColor="text1" w:themeTint="F2"/>
                <w:kern w:val="0"/>
                <w:szCs w:val="21"/>
                <w14:textFill>
                  <w14:solidFill>
                    <w14:schemeClr w14:val="tx1">
                      <w14:lumMod w14:val="95000"/>
                      <w14:lumOff w14:val="5000"/>
                    </w14:schemeClr>
                  </w14:solidFill>
                </w14:textFill>
              </w:rPr>
              <w:t>A)</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89"/>
              <w:gridCol w:w="4190"/>
            </w:tblGrid>
            <w:tr w14:paraId="56F3D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0" w:type="pct"/>
                  <w:vAlign w:val="center"/>
                </w:tcPr>
                <w:p w14:paraId="44A86CA4">
                  <w:pPr>
                    <w:adjustRightInd w:val="0"/>
                    <w:snapToGrid w:val="0"/>
                    <w:jc w:val="center"/>
                    <w:rPr>
                      <w:rFonts w:cs="宋体"/>
                      <w:bCs/>
                      <w:color w:val="0D0D0D" w:themeColor="text1" w:themeTint="F2"/>
                      <w:kern w:val="0"/>
                      <w:szCs w:val="21"/>
                      <w14:textFill>
                        <w14:solidFill>
                          <w14:schemeClr w14:val="tx1">
                            <w14:lumMod w14:val="95000"/>
                            <w14:lumOff w14:val="5000"/>
                          </w14:schemeClr>
                        </w14:solidFill>
                      </w14:textFill>
                    </w:rPr>
                  </w:pPr>
                  <w:r>
                    <w:rPr>
                      <w:rFonts w:cs="宋体"/>
                      <w:bCs/>
                      <w:color w:val="0D0D0D" w:themeColor="text1" w:themeTint="F2"/>
                      <w:kern w:val="0"/>
                      <w:szCs w:val="21"/>
                      <w14:textFill>
                        <w14:solidFill>
                          <w14:schemeClr w14:val="tx1">
                            <w14:lumMod w14:val="95000"/>
                            <w14:lumOff w14:val="5000"/>
                          </w14:schemeClr>
                        </w14:solidFill>
                      </w14:textFill>
                    </w:rPr>
                    <w:t>昼间</w:t>
                  </w:r>
                </w:p>
              </w:tc>
              <w:tc>
                <w:tcPr>
                  <w:tcW w:w="2500" w:type="pct"/>
                  <w:vAlign w:val="center"/>
                </w:tcPr>
                <w:p w14:paraId="0C5C9604">
                  <w:pPr>
                    <w:adjustRightInd w:val="0"/>
                    <w:snapToGrid w:val="0"/>
                    <w:jc w:val="center"/>
                    <w:rPr>
                      <w:rFonts w:cs="宋体"/>
                      <w:bCs/>
                      <w:color w:val="0D0D0D" w:themeColor="text1" w:themeTint="F2"/>
                      <w:kern w:val="0"/>
                      <w:szCs w:val="21"/>
                      <w14:textFill>
                        <w14:solidFill>
                          <w14:schemeClr w14:val="tx1">
                            <w14:lumMod w14:val="95000"/>
                            <w14:lumOff w14:val="5000"/>
                          </w14:schemeClr>
                        </w14:solidFill>
                      </w14:textFill>
                    </w:rPr>
                  </w:pPr>
                  <w:r>
                    <w:rPr>
                      <w:rFonts w:cs="宋体"/>
                      <w:bCs/>
                      <w:color w:val="0D0D0D" w:themeColor="text1" w:themeTint="F2"/>
                      <w:kern w:val="0"/>
                      <w:szCs w:val="21"/>
                      <w14:textFill>
                        <w14:solidFill>
                          <w14:schemeClr w14:val="tx1">
                            <w14:lumMod w14:val="95000"/>
                            <w14:lumOff w14:val="5000"/>
                          </w14:schemeClr>
                        </w14:solidFill>
                      </w14:textFill>
                    </w:rPr>
                    <w:t>夜间</w:t>
                  </w:r>
                </w:p>
              </w:tc>
            </w:tr>
            <w:tr w14:paraId="2ACEF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0" w:type="pct"/>
                  <w:vAlign w:val="center"/>
                </w:tcPr>
                <w:p w14:paraId="63B3E780">
                  <w:pPr>
                    <w:adjustRightInd w:val="0"/>
                    <w:snapToGrid w:val="0"/>
                    <w:jc w:val="center"/>
                    <w:rPr>
                      <w:rFonts w:cs="宋体"/>
                      <w:bCs/>
                      <w:color w:val="0D0D0D" w:themeColor="text1" w:themeTint="F2"/>
                      <w:kern w:val="0"/>
                      <w:szCs w:val="21"/>
                      <w14:textFill>
                        <w14:solidFill>
                          <w14:schemeClr w14:val="tx1">
                            <w14:lumMod w14:val="95000"/>
                            <w14:lumOff w14:val="5000"/>
                          </w14:schemeClr>
                        </w14:solidFill>
                      </w14:textFill>
                    </w:rPr>
                  </w:pPr>
                  <w:r>
                    <w:rPr>
                      <w:rFonts w:cs="宋体"/>
                      <w:bCs/>
                      <w:color w:val="0D0D0D" w:themeColor="text1" w:themeTint="F2"/>
                      <w:kern w:val="0"/>
                      <w:szCs w:val="21"/>
                      <w14:textFill>
                        <w14:solidFill>
                          <w14:schemeClr w14:val="tx1">
                            <w14:lumMod w14:val="95000"/>
                            <w14:lumOff w14:val="5000"/>
                          </w14:schemeClr>
                        </w14:solidFill>
                      </w14:textFill>
                    </w:rPr>
                    <w:t>70</w:t>
                  </w:r>
                </w:p>
              </w:tc>
              <w:tc>
                <w:tcPr>
                  <w:tcW w:w="2500" w:type="pct"/>
                  <w:vAlign w:val="center"/>
                </w:tcPr>
                <w:p w14:paraId="07C4FA9C">
                  <w:pPr>
                    <w:adjustRightInd w:val="0"/>
                    <w:snapToGrid w:val="0"/>
                    <w:jc w:val="center"/>
                    <w:rPr>
                      <w:rFonts w:cs="宋体"/>
                      <w:bCs/>
                      <w:color w:val="0D0D0D" w:themeColor="text1" w:themeTint="F2"/>
                      <w:kern w:val="0"/>
                      <w:szCs w:val="21"/>
                      <w14:textFill>
                        <w14:solidFill>
                          <w14:schemeClr w14:val="tx1">
                            <w14:lumMod w14:val="95000"/>
                            <w14:lumOff w14:val="5000"/>
                          </w14:schemeClr>
                        </w14:solidFill>
                      </w14:textFill>
                    </w:rPr>
                  </w:pPr>
                  <w:r>
                    <w:rPr>
                      <w:rFonts w:hint="eastAsia" w:cs="宋体"/>
                      <w:bCs/>
                      <w:color w:val="0D0D0D" w:themeColor="text1" w:themeTint="F2"/>
                      <w:kern w:val="0"/>
                      <w:szCs w:val="21"/>
                      <w14:textFill>
                        <w14:solidFill>
                          <w14:schemeClr w14:val="tx1">
                            <w14:lumMod w14:val="95000"/>
                            <w14:lumOff w14:val="5000"/>
                          </w14:schemeClr>
                        </w14:solidFill>
                      </w14:textFill>
                    </w:rPr>
                    <w:t>55</w:t>
                  </w:r>
                </w:p>
              </w:tc>
            </w:tr>
          </w:tbl>
          <w:p w14:paraId="60B5F693">
            <w:pPr>
              <w:adjustRightInd w:val="0"/>
              <w:snapToGrid w:val="0"/>
              <w:jc w:val="center"/>
              <w:rPr>
                <w:rFonts w:cs="宋体"/>
                <w:b/>
                <w:bCs/>
                <w:color w:val="0D0D0D" w:themeColor="text1" w:themeTint="F2"/>
                <w:kern w:val="0"/>
                <w:szCs w:val="21"/>
                <w14:textFill>
                  <w14:solidFill>
                    <w14:schemeClr w14:val="tx1">
                      <w14:lumMod w14:val="95000"/>
                      <w14:lumOff w14:val="5000"/>
                    </w14:schemeClr>
                  </w14:solidFill>
                </w14:textFill>
              </w:rPr>
            </w:pPr>
            <w:r>
              <w:rPr>
                <w:rFonts w:cs="宋体"/>
                <w:b/>
                <w:bCs/>
                <w:color w:val="0D0D0D" w:themeColor="text1" w:themeTint="F2"/>
                <w:kern w:val="0"/>
                <w:szCs w:val="21"/>
                <w14:textFill>
                  <w14:solidFill>
                    <w14:schemeClr w14:val="tx1">
                      <w14:lumMod w14:val="95000"/>
                      <w14:lumOff w14:val="5000"/>
                    </w14:schemeClr>
                  </w14:solidFill>
                </w14:textFill>
              </w:rPr>
              <w:t>表</w:t>
            </w:r>
            <w:r>
              <w:rPr>
                <w:rFonts w:hint="eastAsia" w:cs="宋体"/>
                <w:b/>
                <w:bCs/>
                <w:color w:val="0D0D0D" w:themeColor="text1" w:themeTint="F2"/>
                <w:kern w:val="0"/>
                <w:szCs w:val="21"/>
                <w14:textFill>
                  <w14:solidFill>
                    <w14:schemeClr w14:val="tx1">
                      <w14:lumMod w14:val="95000"/>
                      <w14:lumOff w14:val="5000"/>
                    </w14:schemeClr>
                  </w14:solidFill>
                </w14:textFill>
              </w:rPr>
              <w:t>3</w:t>
            </w:r>
            <w:r>
              <w:rPr>
                <w:rFonts w:cs="宋体"/>
                <w:b/>
                <w:bCs/>
                <w:color w:val="0D0D0D" w:themeColor="text1" w:themeTint="F2"/>
                <w:kern w:val="0"/>
                <w:szCs w:val="21"/>
                <w14:textFill>
                  <w14:solidFill>
                    <w14:schemeClr w14:val="tx1">
                      <w14:lumMod w14:val="95000"/>
                      <w14:lumOff w14:val="5000"/>
                    </w14:schemeClr>
                  </w14:solidFill>
                </w14:textFill>
              </w:rPr>
              <w:t>-</w:t>
            </w:r>
            <w:r>
              <w:rPr>
                <w:rFonts w:hint="eastAsia" w:cs="宋体"/>
                <w:b/>
                <w:bCs/>
                <w:color w:val="0D0D0D" w:themeColor="text1" w:themeTint="F2"/>
                <w:kern w:val="0"/>
                <w:szCs w:val="21"/>
                <w14:textFill>
                  <w14:solidFill>
                    <w14:schemeClr w14:val="tx1">
                      <w14:lumMod w14:val="95000"/>
                      <w14:lumOff w14:val="5000"/>
                    </w14:schemeClr>
                  </w14:solidFill>
                </w14:textFill>
              </w:rPr>
              <w:t>10</w:t>
            </w:r>
            <w:r>
              <w:rPr>
                <w:rFonts w:cs="宋体"/>
                <w:b/>
                <w:bCs/>
                <w:color w:val="0D0D0D" w:themeColor="text1" w:themeTint="F2"/>
                <w:kern w:val="0"/>
                <w:szCs w:val="21"/>
                <w14:textFill>
                  <w14:solidFill>
                    <w14:schemeClr w14:val="tx1">
                      <w14:lumMod w14:val="95000"/>
                      <w14:lumOff w14:val="5000"/>
                    </w14:schemeClr>
                  </w14:solidFill>
                </w14:textFill>
              </w:rPr>
              <w:t xml:space="preserve">  《工业企业厂界环境噪声排放标准》</w:t>
            </w:r>
            <w:r>
              <w:rPr>
                <w:rFonts w:hint="eastAsia" w:cs="宋体"/>
                <w:b/>
                <w:bCs/>
                <w:color w:val="0D0D0D" w:themeColor="text1" w:themeTint="F2"/>
                <w:kern w:val="0"/>
                <w:szCs w:val="21"/>
                <w14:textFill>
                  <w14:solidFill>
                    <w14:schemeClr w14:val="tx1">
                      <w14:lumMod w14:val="95000"/>
                      <w14:lumOff w14:val="5000"/>
                    </w14:schemeClr>
                  </w14:solidFill>
                </w14:textFill>
              </w:rPr>
              <w:t>（摘录）</w:t>
            </w:r>
            <w:r>
              <w:rPr>
                <w:rFonts w:cs="宋体"/>
                <w:b/>
                <w:bCs/>
                <w:color w:val="0D0D0D" w:themeColor="text1" w:themeTint="F2"/>
                <w:kern w:val="0"/>
                <w:szCs w:val="21"/>
                <w14:textFill>
                  <w14:solidFill>
                    <w14:schemeClr w14:val="tx1">
                      <w14:lumMod w14:val="95000"/>
                      <w14:lumOff w14:val="5000"/>
                    </w14:schemeClr>
                  </w14:solidFill>
                </w14:textFill>
              </w:rPr>
              <w:t xml:space="preserve">  单位：dB</w:t>
            </w:r>
            <w:r>
              <w:rPr>
                <w:rFonts w:hint="eastAsia" w:cs="宋体"/>
                <w:b/>
                <w:bCs/>
                <w:color w:val="0D0D0D" w:themeColor="text1" w:themeTint="F2"/>
                <w:kern w:val="0"/>
                <w:szCs w:val="21"/>
                <w14:textFill>
                  <w14:solidFill>
                    <w14:schemeClr w14:val="tx1">
                      <w14:lumMod w14:val="95000"/>
                      <w14:lumOff w14:val="5000"/>
                    </w14:schemeClr>
                  </w14:solidFill>
                </w14:textFill>
              </w:rPr>
              <w:t>(</w:t>
            </w:r>
            <w:r>
              <w:rPr>
                <w:rFonts w:cs="宋体"/>
                <w:b/>
                <w:bCs/>
                <w:color w:val="0D0D0D" w:themeColor="text1" w:themeTint="F2"/>
                <w:kern w:val="0"/>
                <w:szCs w:val="21"/>
                <w14:textFill>
                  <w14:solidFill>
                    <w14:schemeClr w14:val="tx1">
                      <w14:lumMod w14:val="95000"/>
                      <w14:lumOff w14:val="5000"/>
                    </w14:schemeClr>
                  </w14:solidFill>
                </w14:textFill>
              </w:rPr>
              <w:t>A)</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93"/>
              <w:gridCol w:w="2794"/>
              <w:gridCol w:w="2792"/>
            </w:tblGrid>
            <w:tr w14:paraId="56D54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7" w:type="pct"/>
                  <w:vAlign w:val="center"/>
                </w:tcPr>
                <w:p w14:paraId="3FC157F8">
                  <w:pPr>
                    <w:adjustRightInd w:val="0"/>
                    <w:snapToGrid w:val="0"/>
                    <w:jc w:val="center"/>
                    <w:rPr>
                      <w:rFonts w:cs="宋体"/>
                      <w:bCs/>
                      <w:color w:val="0D0D0D" w:themeColor="text1" w:themeTint="F2"/>
                      <w:kern w:val="0"/>
                      <w:szCs w:val="21"/>
                      <w14:textFill>
                        <w14:solidFill>
                          <w14:schemeClr w14:val="tx1">
                            <w14:lumMod w14:val="95000"/>
                            <w14:lumOff w14:val="5000"/>
                          </w14:schemeClr>
                        </w14:solidFill>
                      </w14:textFill>
                    </w:rPr>
                  </w:pPr>
                  <w:r>
                    <w:rPr>
                      <w:rFonts w:cs="宋体"/>
                      <w:bCs/>
                      <w:color w:val="0D0D0D" w:themeColor="text1" w:themeTint="F2"/>
                      <w:kern w:val="0"/>
                      <w:szCs w:val="21"/>
                      <w14:textFill>
                        <w14:solidFill>
                          <w14:schemeClr w14:val="tx1">
                            <w14:lumMod w14:val="95000"/>
                            <w14:lumOff w14:val="5000"/>
                          </w14:schemeClr>
                        </w14:solidFill>
                      </w14:textFill>
                    </w:rPr>
                    <w:t>类别</w:t>
                  </w:r>
                </w:p>
              </w:tc>
              <w:tc>
                <w:tcPr>
                  <w:tcW w:w="1667" w:type="pct"/>
                  <w:vAlign w:val="center"/>
                </w:tcPr>
                <w:p w14:paraId="77589484">
                  <w:pPr>
                    <w:adjustRightInd w:val="0"/>
                    <w:snapToGrid w:val="0"/>
                    <w:jc w:val="center"/>
                    <w:rPr>
                      <w:rFonts w:cs="宋体"/>
                      <w:bCs/>
                      <w:color w:val="0D0D0D" w:themeColor="text1" w:themeTint="F2"/>
                      <w:kern w:val="0"/>
                      <w:szCs w:val="21"/>
                      <w14:textFill>
                        <w14:solidFill>
                          <w14:schemeClr w14:val="tx1">
                            <w14:lumMod w14:val="95000"/>
                            <w14:lumOff w14:val="5000"/>
                          </w14:schemeClr>
                        </w14:solidFill>
                      </w14:textFill>
                    </w:rPr>
                  </w:pPr>
                  <w:r>
                    <w:rPr>
                      <w:rFonts w:cs="宋体"/>
                      <w:bCs/>
                      <w:color w:val="0D0D0D" w:themeColor="text1" w:themeTint="F2"/>
                      <w:kern w:val="0"/>
                      <w:szCs w:val="21"/>
                      <w14:textFill>
                        <w14:solidFill>
                          <w14:schemeClr w14:val="tx1">
                            <w14:lumMod w14:val="95000"/>
                            <w14:lumOff w14:val="5000"/>
                          </w14:schemeClr>
                        </w14:solidFill>
                      </w14:textFill>
                    </w:rPr>
                    <w:t>昼间</w:t>
                  </w:r>
                </w:p>
              </w:tc>
              <w:tc>
                <w:tcPr>
                  <w:tcW w:w="1667" w:type="pct"/>
                  <w:vAlign w:val="center"/>
                </w:tcPr>
                <w:p w14:paraId="1C467A7A">
                  <w:pPr>
                    <w:adjustRightInd w:val="0"/>
                    <w:snapToGrid w:val="0"/>
                    <w:jc w:val="center"/>
                    <w:rPr>
                      <w:rFonts w:cs="宋体"/>
                      <w:bCs/>
                      <w:color w:val="0D0D0D" w:themeColor="text1" w:themeTint="F2"/>
                      <w:kern w:val="0"/>
                      <w:szCs w:val="21"/>
                      <w14:textFill>
                        <w14:solidFill>
                          <w14:schemeClr w14:val="tx1">
                            <w14:lumMod w14:val="95000"/>
                            <w14:lumOff w14:val="5000"/>
                          </w14:schemeClr>
                        </w14:solidFill>
                      </w14:textFill>
                    </w:rPr>
                  </w:pPr>
                  <w:r>
                    <w:rPr>
                      <w:rFonts w:cs="宋体"/>
                      <w:bCs/>
                      <w:color w:val="0D0D0D" w:themeColor="text1" w:themeTint="F2"/>
                      <w:kern w:val="0"/>
                      <w:szCs w:val="21"/>
                      <w14:textFill>
                        <w14:solidFill>
                          <w14:schemeClr w14:val="tx1">
                            <w14:lumMod w14:val="95000"/>
                            <w14:lumOff w14:val="5000"/>
                          </w14:schemeClr>
                        </w14:solidFill>
                      </w14:textFill>
                    </w:rPr>
                    <w:t>夜间</w:t>
                  </w:r>
                </w:p>
              </w:tc>
            </w:tr>
            <w:tr w14:paraId="0D243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7" w:type="pct"/>
                  <w:vAlign w:val="center"/>
                </w:tcPr>
                <w:p w14:paraId="4FA361F4">
                  <w:pPr>
                    <w:adjustRightInd w:val="0"/>
                    <w:snapToGrid w:val="0"/>
                    <w:jc w:val="center"/>
                    <w:rPr>
                      <w:rFonts w:cs="宋体"/>
                      <w:bCs/>
                      <w:color w:val="0D0D0D" w:themeColor="text1" w:themeTint="F2"/>
                      <w:kern w:val="0"/>
                      <w:szCs w:val="21"/>
                      <w14:textFill>
                        <w14:solidFill>
                          <w14:schemeClr w14:val="tx1">
                            <w14:lumMod w14:val="95000"/>
                            <w14:lumOff w14:val="5000"/>
                          </w14:schemeClr>
                        </w14:solidFill>
                      </w14:textFill>
                    </w:rPr>
                  </w:pPr>
                  <w:r>
                    <w:rPr>
                      <w:rFonts w:hint="eastAsia" w:cs="宋体"/>
                      <w:bCs/>
                      <w:color w:val="0D0D0D" w:themeColor="text1" w:themeTint="F2"/>
                      <w:kern w:val="0"/>
                      <w:szCs w:val="21"/>
                      <w14:textFill>
                        <w14:solidFill>
                          <w14:schemeClr w14:val="tx1">
                            <w14:lumMod w14:val="95000"/>
                            <w14:lumOff w14:val="5000"/>
                          </w14:schemeClr>
                        </w14:solidFill>
                      </w14:textFill>
                    </w:rPr>
                    <w:t>3</w:t>
                  </w:r>
                  <w:r>
                    <w:rPr>
                      <w:rFonts w:cs="宋体"/>
                      <w:bCs/>
                      <w:color w:val="0D0D0D" w:themeColor="text1" w:themeTint="F2"/>
                      <w:kern w:val="0"/>
                      <w:szCs w:val="21"/>
                      <w14:textFill>
                        <w14:solidFill>
                          <w14:schemeClr w14:val="tx1">
                            <w14:lumMod w14:val="95000"/>
                            <w14:lumOff w14:val="5000"/>
                          </w14:schemeClr>
                        </w14:solidFill>
                      </w14:textFill>
                    </w:rPr>
                    <w:t>类</w:t>
                  </w:r>
                </w:p>
              </w:tc>
              <w:tc>
                <w:tcPr>
                  <w:tcW w:w="1667" w:type="pct"/>
                  <w:vAlign w:val="center"/>
                </w:tcPr>
                <w:p w14:paraId="49F1B26B">
                  <w:pPr>
                    <w:adjustRightInd w:val="0"/>
                    <w:snapToGrid w:val="0"/>
                    <w:jc w:val="center"/>
                    <w:rPr>
                      <w:rFonts w:cs="宋体"/>
                      <w:bCs/>
                      <w:color w:val="0D0D0D" w:themeColor="text1" w:themeTint="F2"/>
                      <w:kern w:val="0"/>
                      <w:szCs w:val="21"/>
                      <w14:textFill>
                        <w14:solidFill>
                          <w14:schemeClr w14:val="tx1">
                            <w14:lumMod w14:val="95000"/>
                            <w14:lumOff w14:val="5000"/>
                          </w14:schemeClr>
                        </w14:solidFill>
                      </w14:textFill>
                    </w:rPr>
                  </w:pPr>
                  <w:r>
                    <w:rPr>
                      <w:rFonts w:hint="eastAsia" w:cs="宋体"/>
                      <w:bCs/>
                      <w:color w:val="0D0D0D" w:themeColor="text1" w:themeTint="F2"/>
                      <w:kern w:val="0"/>
                      <w:szCs w:val="21"/>
                      <w14:textFill>
                        <w14:solidFill>
                          <w14:schemeClr w14:val="tx1">
                            <w14:lumMod w14:val="95000"/>
                            <w14:lumOff w14:val="5000"/>
                          </w14:schemeClr>
                        </w14:solidFill>
                      </w14:textFill>
                    </w:rPr>
                    <w:t>65</w:t>
                  </w:r>
                </w:p>
              </w:tc>
              <w:tc>
                <w:tcPr>
                  <w:tcW w:w="1667" w:type="pct"/>
                  <w:vAlign w:val="center"/>
                </w:tcPr>
                <w:p w14:paraId="58569879">
                  <w:pPr>
                    <w:adjustRightInd w:val="0"/>
                    <w:snapToGrid w:val="0"/>
                    <w:jc w:val="center"/>
                    <w:rPr>
                      <w:rFonts w:cs="宋体"/>
                      <w:bCs/>
                      <w:color w:val="0D0D0D" w:themeColor="text1" w:themeTint="F2"/>
                      <w:kern w:val="0"/>
                      <w:szCs w:val="21"/>
                      <w14:textFill>
                        <w14:solidFill>
                          <w14:schemeClr w14:val="tx1">
                            <w14:lumMod w14:val="95000"/>
                            <w14:lumOff w14:val="5000"/>
                          </w14:schemeClr>
                        </w14:solidFill>
                      </w14:textFill>
                    </w:rPr>
                  </w:pPr>
                  <w:r>
                    <w:rPr>
                      <w:rFonts w:hint="eastAsia" w:cs="宋体"/>
                      <w:bCs/>
                      <w:color w:val="0D0D0D" w:themeColor="text1" w:themeTint="F2"/>
                      <w:kern w:val="0"/>
                      <w:szCs w:val="21"/>
                      <w14:textFill>
                        <w14:solidFill>
                          <w14:schemeClr w14:val="tx1">
                            <w14:lumMod w14:val="95000"/>
                            <w14:lumOff w14:val="5000"/>
                          </w14:schemeClr>
                        </w14:solidFill>
                      </w14:textFill>
                    </w:rPr>
                    <w:t>55</w:t>
                  </w:r>
                </w:p>
              </w:tc>
            </w:tr>
            <w:tr w14:paraId="4597B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7" w:type="pct"/>
                  <w:vAlign w:val="center"/>
                </w:tcPr>
                <w:p w14:paraId="378200AA">
                  <w:pPr>
                    <w:adjustRightInd w:val="0"/>
                    <w:snapToGrid w:val="0"/>
                    <w:jc w:val="center"/>
                    <w:rPr>
                      <w:rFonts w:cs="宋体"/>
                      <w:bCs/>
                      <w:color w:val="0D0D0D" w:themeColor="text1" w:themeTint="F2"/>
                      <w:kern w:val="0"/>
                      <w:szCs w:val="21"/>
                      <w14:textFill>
                        <w14:solidFill>
                          <w14:schemeClr w14:val="tx1">
                            <w14:lumMod w14:val="95000"/>
                            <w14:lumOff w14:val="5000"/>
                          </w14:schemeClr>
                        </w14:solidFill>
                      </w14:textFill>
                    </w:rPr>
                  </w:pPr>
                  <w:r>
                    <w:rPr>
                      <w:rFonts w:hint="eastAsia" w:cs="宋体"/>
                      <w:bCs/>
                      <w:color w:val="0D0D0D" w:themeColor="text1" w:themeTint="F2"/>
                      <w:kern w:val="0"/>
                      <w:szCs w:val="21"/>
                      <w14:textFill>
                        <w14:solidFill>
                          <w14:schemeClr w14:val="tx1">
                            <w14:lumMod w14:val="95000"/>
                            <w14:lumOff w14:val="5000"/>
                          </w14:schemeClr>
                        </w14:solidFill>
                      </w14:textFill>
                    </w:rPr>
                    <w:t>4类</w:t>
                  </w:r>
                </w:p>
              </w:tc>
              <w:tc>
                <w:tcPr>
                  <w:tcW w:w="1667" w:type="pct"/>
                  <w:vAlign w:val="center"/>
                </w:tcPr>
                <w:p w14:paraId="11603EB2">
                  <w:pPr>
                    <w:adjustRightInd w:val="0"/>
                    <w:snapToGrid w:val="0"/>
                    <w:jc w:val="center"/>
                    <w:rPr>
                      <w:rFonts w:cs="宋体"/>
                      <w:bCs/>
                      <w:color w:val="0D0D0D" w:themeColor="text1" w:themeTint="F2"/>
                      <w:kern w:val="0"/>
                      <w:szCs w:val="21"/>
                      <w14:textFill>
                        <w14:solidFill>
                          <w14:schemeClr w14:val="tx1">
                            <w14:lumMod w14:val="95000"/>
                            <w14:lumOff w14:val="5000"/>
                          </w14:schemeClr>
                        </w14:solidFill>
                      </w14:textFill>
                    </w:rPr>
                  </w:pPr>
                  <w:r>
                    <w:rPr>
                      <w:rFonts w:hint="eastAsia" w:cs="宋体"/>
                      <w:bCs/>
                      <w:color w:val="0D0D0D" w:themeColor="text1" w:themeTint="F2"/>
                      <w:kern w:val="0"/>
                      <w:szCs w:val="21"/>
                      <w14:textFill>
                        <w14:solidFill>
                          <w14:schemeClr w14:val="tx1">
                            <w14:lumMod w14:val="95000"/>
                            <w14:lumOff w14:val="5000"/>
                          </w14:schemeClr>
                        </w14:solidFill>
                      </w14:textFill>
                    </w:rPr>
                    <w:t>70</w:t>
                  </w:r>
                </w:p>
              </w:tc>
              <w:tc>
                <w:tcPr>
                  <w:tcW w:w="1667" w:type="pct"/>
                  <w:vAlign w:val="center"/>
                </w:tcPr>
                <w:p w14:paraId="3451EA56">
                  <w:pPr>
                    <w:adjustRightInd w:val="0"/>
                    <w:snapToGrid w:val="0"/>
                    <w:jc w:val="center"/>
                    <w:rPr>
                      <w:rFonts w:cs="宋体"/>
                      <w:bCs/>
                      <w:color w:val="0D0D0D" w:themeColor="text1" w:themeTint="F2"/>
                      <w:kern w:val="0"/>
                      <w:szCs w:val="21"/>
                      <w14:textFill>
                        <w14:solidFill>
                          <w14:schemeClr w14:val="tx1">
                            <w14:lumMod w14:val="95000"/>
                            <w14:lumOff w14:val="5000"/>
                          </w14:schemeClr>
                        </w14:solidFill>
                      </w14:textFill>
                    </w:rPr>
                  </w:pPr>
                  <w:r>
                    <w:rPr>
                      <w:rFonts w:hint="eastAsia" w:cs="宋体"/>
                      <w:bCs/>
                      <w:color w:val="0D0D0D" w:themeColor="text1" w:themeTint="F2"/>
                      <w:kern w:val="0"/>
                      <w:szCs w:val="21"/>
                      <w14:textFill>
                        <w14:solidFill>
                          <w14:schemeClr w14:val="tx1">
                            <w14:lumMod w14:val="95000"/>
                            <w14:lumOff w14:val="5000"/>
                          </w14:schemeClr>
                        </w14:solidFill>
                      </w14:textFill>
                    </w:rPr>
                    <w:t>55</w:t>
                  </w:r>
                </w:p>
              </w:tc>
            </w:tr>
          </w:tbl>
          <w:p w14:paraId="42A4569B">
            <w:pPr>
              <w:spacing w:line="360" w:lineRule="auto"/>
              <w:ind w:firstLine="482" w:firstLineChars="200"/>
              <w:rPr>
                <w:b/>
                <w:bCs/>
                <w:color w:val="0D0D0D" w:themeColor="text1" w:themeTint="F2"/>
                <w:sz w:val="24"/>
                <w14:textFill>
                  <w14:solidFill>
                    <w14:schemeClr w14:val="tx1">
                      <w14:lumMod w14:val="95000"/>
                      <w14:lumOff w14:val="5000"/>
                    </w14:schemeClr>
                  </w14:solidFill>
                </w14:textFill>
              </w:rPr>
            </w:pPr>
            <w:r>
              <w:rPr>
                <w:rFonts w:hint="eastAsia"/>
                <w:b/>
                <w:bCs/>
                <w:color w:val="0D0D0D" w:themeColor="text1" w:themeTint="F2"/>
                <w:sz w:val="24"/>
                <w14:textFill>
                  <w14:solidFill>
                    <w14:schemeClr w14:val="tx1">
                      <w14:lumMod w14:val="95000"/>
                      <w14:lumOff w14:val="5000"/>
                    </w14:schemeClr>
                  </w14:solidFill>
                </w14:textFill>
              </w:rPr>
              <w:t>4、固体废物</w:t>
            </w:r>
          </w:p>
          <w:p w14:paraId="00838BD1">
            <w:pPr>
              <w:adjustRightInd w:val="0"/>
              <w:snapToGrid w:val="0"/>
              <w:spacing w:line="360" w:lineRule="auto"/>
              <w:ind w:firstLine="480" w:firstLineChars="200"/>
              <w:rPr>
                <w:rFonts w:cs="宋体"/>
                <w:bCs/>
                <w:color w:val="0D0D0D" w:themeColor="text1" w:themeTint="F2"/>
                <w:kern w:val="0"/>
                <w:sz w:val="24"/>
                <w14:textFill>
                  <w14:solidFill>
                    <w14:schemeClr w14:val="tx1">
                      <w14:lumMod w14:val="95000"/>
                      <w14:lumOff w14:val="5000"/>
                    </w14:schemeClr>
                  </w14:solidFill>
                </w14:textFill>
              </w:rPr>
            </w:pPr>
            <w:r>
              <w:rPr>
                <w:rFonts w:hint="eastAsia" w:cs="宋体"/>
                <w:bCs/>
                <w:color w:val="0D0D0D" w:themeColor="text1" w:themeTint="F2"/>
                <w:kern w:val="0"/>
                <w:sz w:val="24"/>
                <w14:textFill>
                  <w14:solidFill>
                    <w14:schemeClr w14:val="tx1">
                      <w14:lumMod w14:val="95000"/>
                      <w14:lumOff w14:val="5000"/>
                    </w14:schemeClr>
                  </w14:solidFill>
                </w14:textFill>
              </w:rPr>
              <w:t>项目施工期产生的固体废物按照《中华人民共和国固体废物污染环境防治法（2020年修订）》有关规定进行处置。</w:t>
            </w:r>
          </w:p>
          <w:p w14:paraId="359B5AFD">
            <w:pPr>
              <w:adjustRightInd w:val="0"/>
              <w:snapToGrid w:val="0"/>
              <w:spacing w:line="360" w:lineRule="auto"/>
              <w:ind w:firstLine="480" w:firstLineChars="200"/>
              <w:rPr>
                <w:rFonts w:cs="宋体"/>
                <w:bCs/>
                <w:color w:val="0D0D0D" w:themeColor="text1" w:themeTint="F2"/>
                <w:kern w:val="0"/>
                <w:sz w:val="24"/>
                <w:u w:val="single"/>
                <w14:textFill>
                  <w14:solidFill>
                    <w14:schemeClr w14:val="tx1">
                      <w14:lumMod w14:val="95000"/>
                      <w14:lumOff w14:val="5000"/>
                    </w14:schemeClr>
                  </w14:solidFill>
                </w14:textFill>
              </w:rPr>
            </w:pPr>
            <w:r>
              <w:rPr>
                <w:rFonts w:hint="eastAsia" w:cs="宋体"/>
                <w:bCs/>
                <w:color w:val="0D0D0D" w:themeColor="text1" w:themeTint="F2"/>
                <w:kern w:val="0"/>
                <w:sz w:val="24"/>
                <w:u w:val="single"/>
                <w14:textFill>
                  <w14:solidFill>
                    <w14:schemeClr w14:val="tx1">
                      <w14:lumMod w14:val="95000"/>
                      <w14:lumOff w14:val="5000"/>
                    </w14:schemeClr>
                  </w14:solidFill>
                </w14:textFill>
              </w:rPr>
              <w:t>项目一般固废参照《排污许可证申请与核发技术规范  工业固体废物（试行）》（HJ1200-2021）、《中华人民共和国固体废物污染环境防治法（2020年修订）》要求执行，其贮存过程应满足防渗漏、防雨淋、防扬尘等环境保护要求；</w:t>
            </w:r>
            <w:r>
              <w:rPr>
                <w:rFonts w:hint="eastAsia" w:cs="宋体"/>
                <w:bCs/>
                <w:color w:val="0D0D0D" w:themeColor="text1" w:themeTint="F2"/>
                <w:kern w:val="0"/>
                <w:sz w:val="24"/>
                <w14:textFill>
                  <w14:solidFill>
                    <w14:schemeClr w14:val="tx1">
                      <w14:lumMod w14:val="95000"/>
                      <w14:lumOff w14:val="5000"/>
                    </w14:schemeClr>
                  </w14:solidFill>
                </w14:textFill>
              </w:rPr>
              <w:t>危险废物厂内暂存执行《危险废物贮存污染控制标准》（GB18597-2023）相关要求</w:t>
            </w:r>
            <w:r>
              <w:rPr>
                <w:rFonts w:cs="宋体"/>
                <w:bCs/>
                <w:color w:val="0D0D0D" w:themeColor="text1" w:themeTint="F2"/>
                <w:kern w:val="0"/>
                <w:sz w:val="24"/>
                <w14:textFill>
                  <w14:solidFill>
                    <w14:schemeClr w14:val="tx1">
                      <w14:lumMod w14:val="95000"/>
                      <w14:lumOff w14:val="5000"/>
                    </w14:schemeClr>
                  </w14:solidFill>
                </w14:textFill>
              </w:rPr>
              <w:t>。</w:t>
            </w:r>
          </w:p>
        </w:tc>
      </w:tr>
      <w:tr w14:paraId="76D9F9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01" w:hRule="atLeast"/>
          <w:jc w:val="center"/>
        </w:trPr>
        <w:tc>
          <w:tcPr>
            <w:tcW w:w="241" w:type="pct"/>
            <w:vAlign w:val="center"/>
          </w:tcPr>
          <w:p w14:paraId="753CE9CE">
            <w:pPr>
              <w:adjustRightInd w:val="0"/>
              <w:snapToGrid w:val="0"/>
              <w:jc w:val="center"/>
              <w:rPr>
                <w:rFonts w:cs="宋体"/>
                <w:color w:val="0D0D0D" w:themeColor="text1" w:themeTint="F2"/>
                <w:kern w:val="0"/>
                <w:sz w:val="24"/>
                <w14:textFill>
                  <w14:solidFill>
                    <w14:schemeClr w14:val="tx1">
                      <w14:lumMod w14:val="95000"/>
                      <w14:lumOff w14:val="5000"/>
                    </w14:schemeClr>
                  </w14:solidFill>
                </w14:textFill>
              </w:rPr>
            </w:pPr>
            <w:r>
              <w:rPr>
                <w:rFonts w:hint="eastAsia" w:cs="宋体"/>
                <w:color w:val="0D0D0D" w:themeColor="text1" w:themeTint="F2"/>
                <w:kern w:val="0"/>
                <w:sz w:val="24"/>
                <w14:textFill>
                  <w14:solidFill>
                    <w14:schemeClr w14:val="tx1">
                      <w14:lumMod w14:val="95000"/>
                      <w14:lumOff w14:val="5000"/>
                    </w14:schemeClr>
                  </w14:solidFill>
                </w14:textFill>
              </w:rPr>
              <w:t>总量控制指标</w:t>
            </w:r>
          </w:p>
        </w:tc>
        <w:tc>
          <w:tcPr>
            <w:tcW w:w="4759" w:type="pct"/>
            <w:vAlign w:val="center"/>
          </w:tcPr>
          <w:p w14:paraId="3CE27E45">
            <w:pPr>
              <w:adjustRightInd w:val="0"/>
              <w:snapToGrid w:val="0"/>
              <w:spacing w:line="360" w:lineRule="auto"/>
              <w:ind w:firstLine="480" w:firstLineChars="200"/>
              <w:rPr>
                <w:rFonts w:cs="宋体"/>
                <w:color w:val="0D0D0D" w:themeColor="text1" w:themeTint="F2"/>
                <w:kern w:val="0"/>
                <w:sz w:val="24"/>
                <w:u w:val="single"/>
                <w14:textFill>
                  <w14:solidFill>
                    <w14:schemeClr w14:val="tx1">
                      <w14:lumMod w14:val="95000"/>
                      <w14:lumOff w14:val="5000"/>
                    </w14:schemeClr>
                  </w14:solidFill>
                </w14:textFill>
              </w:rPr>
            </w:pPr>
            <w:r>
              <w:rPr>
                <w:rFonts w:hint="eastAsia" w:cs="宋体"/>
                <w:color w:val="0D0D0D" w:themeColor="text1" w:themeTint="F2"/>
                <w:kern w:val="0"/>
                <w:sz w:val="24"/>
                <w:u w:val="single"/>
                <w14:textFill>
                  <w14:solidFill>
                    <w14:schemeClr w14:val="tx1">
                      <w14:lumMod w14:val="95000"/>
                      <w14:lumOff w14:val="5000"/>
                    </w14:schemeClr>
                  </w14:solidFill>
                </w14:textFill>
              </w:rPr>
              <w:t>根据《关于做好“十四五”主要污染物总量减排工作的通知》（环办综合函〔2021〕323号），“十四五”时期，国家明确列入减排的主要污染物为化学需氧量、氨氮、氮氧化物、挥发性有机物四项。</w:t>
            </w:r>
          </w:p>
          <w:p w14:paraId="14A7AE5E">
            <w:pPr>
              <w:adjustRightInd w:val="0"/>
              <w:snapToGrid w:val="0"/>
              <w:spacing w:line="360" w:lineRule="auto"/>
              <w:ind w:firstLine="480" w:firstLineChars="200"/>
              <w:rPr>
                <w:rFonts w:cs="宋体"/>
                <w:color w:val="0D0D0D" w:themeColor="text1" w:themeTint="F2"/>
                <w:kern w:val="0"/>
                <w:sz w:val="24"/>
                <w:u w:val="single"/>
                <w14:textFill>
                  <w14:solidFill>
                    <w14:schemeClr w14:val="tx1">
                      <w14:lumMod w14:val="95000"/>
                      <w14:lumOff w14:val="5000"/>
                    </w14:schemeClr>
                  </w14:solidFill>
                </w14:textFill>
              </w:rPr>
            </w:pPr>
            <w:r>
              <w:rPr>
                <w:rFonts w:hint="eastAsia" w:cs="宋体"/>
                <w:color w:val="0D0D0D" w:themeColor="text1" w:themeTint="F2"/>
                <w:kern w:val="0"/>
                <w:sz w:val="24"/>
                <w:u w:val="single"/>
                <w14:textFill>
                  <w14:solidFill>
                    <w14:schemeClr w14:val="tx1">
                      <w14:lumMod w14:val="95000"/>
                      <w14:lumOff w14:val="5000"/>
                    </w14:schemeClr>
                  </w14:solidFill>
                </w14:textFill>
              </w:rPr>
              <w:t>项目外排废水已纳入钦州胜科水务有限公司污水处理厂总量控制指标中，本项目不需单独申请化学需氧量和氨氮的总量控制指标。</w:t>
            </w:r>
          </w:p>
          <w:p w14:paraId="5812EF69">
            <w:pPr>
              <w:adjustRightInd w:val="0"/>
              <w:snapToGrid w:val="0"/>
              <w:spacing w:line="360" w:lineRule="auto"/>
              <w:ind w:firstLine="480" w:firstLineChars="200"/>
              <w:rPr>
                <w:rFonts w:cs="宋体"/>
                <w:color w:val="0D0D0D" w:themeColor="text1" w:themeTint="F2"/>
                <w:kern w:val="0"/>
                <w:sz w:val="24"/>
                <w14:textFill>
                  <w14:solidFill>
                    <w14:schemeClr w14:val="tx1">
                      <w14:lumMod w14:val="95000"/>
                      <w14:lumOff w14:val="5000"/>
                    </w14:schemeClr>
                  </w14:solidFill>
                </w14:textFill>
              </w:rPr>
            </w:pPr>
            <w:r>
              <w:rPr>
                <w:rFonts w:hint="eastAsia"/>
                <w:bCs/>
                <w:color w:val="0D0D0D" w:themeColor="text1" w:themeTint="F2"/>
                <w:sz w:val="24"/>
                <w:u w:val="single"/>
                <w14:textFill>
                  <w14:solidFill>
                    <w14:schemeClr w14:val="tx1">
                      <w14:lumMod w14:val="95000"/>
                      <w14:lumOff w14:val="5000"/>
                    </w14:schemeClr>
                  </w14:solidFill>
                </w14:textFill>
              </w:rPr>
              <w:t>项目运营期废气污染物主要为颗粒物和挥发性有机物</w:t>
            </w:r>
            <w:r>
              <w:rPr>
                <w:rFonts w:hint="eastAsia" w:cs="宋体"/>
                <w:color w:val="0D0D0D" w:themeColor="text1" w:themeTint="F2"/>
                <w:kern w:val="0"/>
                <w:sz w:val="24"/>
                <w:u w:val="single"/>
                <w14:textFill>
                  <w14:solidFill>
                    <w14:schemeClr w14:val="tx1">
                      <w14:lumMod w14:val="95000"/>
                      <w14:lumOff w14:val="5000"/>
                    </w14:schemeClr>
                  </w14:solidFill>
                </w14:textFill>
              </w:rPr>
              <w:t>，本次评价建议申请VOC总量控制指标0.16t/a。</w:t>
            </w:r>
          </w:p>
        </w:tc>
      </w:tr>
    </w:tbl>
    <w:p w14:paraId="23531935">
      <w:pPr>
        <w:pStyle w:val="18"/>
        <w:jc w:val="center"/>
        <w:outlineLvl w:val="0"/>
        <w:rPr>
          <w:rFonts w:ascii="Times New Roman" w:hAnsi="Times New Roman"/>
          <w:snapToGrid w:val="0"/>
          <w:color w:val="0D0D0D" w:themeColor="text1" w:themeTint="F2"/>
          <w:sz w:val="30"/>
          <w:szCs w:val="30"/>
          <w14:textFill>
            <w14:solidFill>
              <w14:schemeClr w14:val="tx1">
                <w14:lumMod w14:val="95000"/>
                <w14:lumOff w14:val="5000"/>
              </w14:schemeClr>
            </w14:solidFill>
          </w14:textFill>
        </w:rPr>
      </w:pPr>
      <w:r>
        <w:rPr>
          <w:rFonts w:ascii="Times New Roman" w:hAnsi="Times New Roman"/>
          <w:snapToGrid w:val="0"/>
          <w:color w:val="0D0D0D" w:themeColor="text1" w:themeTint="F2"/>
          <w:sz w:val="36"/>
          <w:szCs w:val="36"/>
          <w14:textFill>
            <w14:solidFill>
              <w14:schemeClr w14:val="tx1">
                <w14:lumMod w14:val="95000"/>
                <w14:lumOff w14:val="5000"/>
              </w14:schemeClr>
            </w14:solidFill>
          </w14:textFill>
        </w:rPr>
        <w:br w:type="page"/>
      </w:r>
      <w:bookmarkStart w:id="10" w:name="_Toc136522026"/>
      <w:r>
        <w:rPr>
          <w:rFonts w:hint="eastAsia" w:ascii="Times New Roman" w:hAnsi="Times New Roman"/>
          <w:snapToGrid w:val="0"/>
          <w:color w:val="0D0D0D" w:themeColor="text1" w:themeTint="F2"/>
          <w:sz w:val="30"/>
          <w:szCs w:val="30"/>
          <w14:textFill>
            <w14:solidFill>
              <w14:schemeClr w14:val="tx1">
                <w14:lumMod w14:val="95000"/>
                <w14:lumOff w14:val="5000"/>
              </w14:schemeClr>
            </w14:solidFill>
          </w14:textFill>
        </w:rPr>
        <w:t>四、主要环境影响和保护措施</w:t>
      </w:r>
      <w:bookmarkEnd w:id="10"/>
    </w:p>
    <w:tbl>
      <w:tblPr>
        <w:tblStyle w:val="2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94"/>
        <w:gridCol w:w="8687"/>
      </w:tblGrid>
      <w:tr w14:paraId="7C7C18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815" w:hRule="atLeast"/>
          <w:jc w:val="center"/>
        </w:trPr>
        <w:tc>
          <w:tcPr>
            <w:tcW w:w="236" w:type="pct"/>
            <w:tcMar>
              <w:left w:w="28" w:type="dxa"/>
              <w:right w:w="28" w:type="dxa"/>
            </w:tcMar>
            <w:vAlign w:val="center"/>
          </w:tcPr>
          <w:p w14:paraId="45FAC737">
            <w:pPr>
              <w:pStyle w:val="18"/>
              <w:adjustRightInd w:val="0"/>
              <w:snapToGrid w:val="0"/>
              <w:spacing w:before="0" w:beforeAutospacing="0" w:after="0" w:afterAutospacing="0"/>
              <w:jc w:val="center"/>
              <w:rPr>
                <w:rFonts w:ascii="Times New Roman" w:hAnsi="Times New Roman" w:cs="宋体"/>
                <w:color w:val="0D0D0D" w:themeColor="text1" w:themeTint="F2"/>
                <w:kern w:val="2"/>
                <w:szCs w:val="24"/>
                <w14:textFill>
                  <w14:solidFill>
                    <w14:schemeClr w14:val="tx1">
                      <w14:lumMod w14:val="95000"/>
                      <w14:lumOff w14:val="5000"/>
                    </w14:schemeClr>
                  </w14:solidFill>
                </w14:textFill>
              </w:rPr>
            </w:pPr>
            <w:r>
              <w:rPr>
                <w:rFonts w:hint="eastAsia" w:ascii="Times New Roman" w:hAnsi="Times New Roman" w:cs="宋体"/>
                <w:color w:val="0D0D0D" w:themeColor="text1" w:themeTint="F2"/>
                <w:kern w:val="2"/>
                <w:szCs w:val="24"/>
                <w14:textFill>
                  <w14:solidFill>
                    <w14:schemeClr w14:val="tx1">
                      <w14:lumMod w14:val="95000"/>
                      <w14:lumOff w14:val="5000"/>
                    </w14:schemeClr>
                  </w14:solidFill>
                </w14:textFill>
              </w:rPr>
              <w:t>施工期环境保护措施</w:t>
            </w:r>
          </w:p>
        </w:tc>
        <w:tc>
          <w:tcPr>
            <w:tcW w:w="4764" w:type="pct"/>
            <w:vAlign w:val="center"/>
          </w:tcPr>
          <w:p w14:paraId="21127D77">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项目施工期不涉及土建，主要为环保设施的搬运、安装和调试。</w:t>
            </w:r>
          </w:p>
          <w:p w14:paraId="40B97554">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一</w:t>
            </w:r>
            <w:r>
              <w:rPr>
                <w:rFonts w:cs="宋体"/>
                <w:b/>
                <w:color w:val="0D0D0D" w:themeColor="text1" w:themeTint="F2"/>
                <w:spacing w:val="-10"/>
                <w:sz w:val="24"/>
                <w14:textFill>
                  <w14:solidFill>
                    <w14:schemeClr w14:val="tx1">
                      <w14:lumMod w14:val="95000"/>
                      <w14:lumOff w14:val="5000"/>
                    </w14:schemeClr>
                  </w14:solidFill>
                </w14:textFill>
              </w:rPr>
              <w:t>、废气</w:t>
            </w:r>
            <w:r>
              <w:rPr>
                <w:rFonts w:hint="eastAsia" w:cs="宋体"/>
                <w:b/>
                <w:color w:val="0D0D0D" w:themeColor="text1" w:themeTint="F2"/>
                <w:spacing w:val="-10"/>
                <w:sz w:val="24"/>
                <w14:textFill>
                  <w14:solidFill>
                    <w14:schemeClr w14:val="tx1">
                      <w14:lumMod w14:val="95000"/>
                      <w14:lumOff w14:val="5000"/>
                    </w14:schemeClr>
                  </w14:solidFill>
                </w14:textFill>
              </w:rPr>
              <w:t>防治</w:t>
            </w:r>
            <w:r>
              <w:rPr>
                <w:rFonts w:cs="宋体"/>
                <w:b/>
                <w:color w:val="0D0D0D" w:themeColor="text1" w:themeTint="F2"/>
                <w:spacing w:val="-10"/>
                <w:sz w:val="24"/>
                <w14:textFill>
                  <w14:solidFill>
                    <w14:schemeClr w14:val="tx1">
                      <w14:lumMod w14:val="95000"/>
                      <w14:lumOff w14:val="5000"/>
                    </w14:schemeClr>
                  </w14:solidFill>
                </w14:textFill>
              </w:rPr>
              <w:t>措施</w:t>
            </w:r>
          </w:p>
          <w:p w14:paraId="55C3EEA3">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施工期间注意保持厂房内地面清洁，必要时采取洒水降尘措施，使其保持一定的湿度，使得在车辆进出或刮风时不形成大量扬尘。</w:t>
            </w:r>
          </w:p>
          <w:p w14:paraId="064986DC">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二</w:t>
            </w:r>
            <w:r>
              <w:rPr>
                <w:rFonts w:cs="宋体"/>
                <w:b/>
                <w:color w:val="0D0D0D" w:themeColor="text1" w:themeTint="F2"/>
                <w:spacing w:val="-10"/>
                <w:sz w:val="24"/>
                <w14:textFill>
                  <w14:solidFill>
                    <w14:schemeClr w14:val="tx1">
                      <w14:lumMod w14:val="95000"/>
                      <w14:lumOff w14:val="5000"/>
                    </w14:schemeClr>
                  </w14:solidFill>
                </w14:textFill>
              </w:rPr>
              <w:t>、废</w:t>
            </w:r>
            <w:r>
              <w:rPr>
                <w:rFonts w:hint="eastAsia" w:cs="宋体"/>
                <w:b/>
                <w:color w:val="0D0D0D" w:themeColor="text1" w:themeTint="F2"/>
                <w:spacing w:val="-10"/>
                <w:sz w:val="24"/>
                <w14:textFill>
                  <w14:solidFill>
                    <w14:schemeClr w14:val="tx1">
                      <w14:lumMod w14:val="95000"/>
                      <w14:lumOff w14:val="5000"/>
                    </w14:schemeClr>
                  </w14:solidFill>
                </w14:textFill>
              </w:rPr>
              <w:t>水防治</w:t>
            </w:r>
            <w:r>
              <w:rPr>
                <w:rFonts w:cs="宋体"/>
                <w:b/>
                <w:color w:val="0D0D0D" w:themeColor="text1" w:themeTint="F2"/>
                <w:spacing w:val="-10"/>
                <w:sz w:val="24"/>
                <w14:textFill>
                  <w14:solidFill>
                    <w14:schemeClr w14:val="tx1">
                      <w14:lumMod w14:val="95000"/>
                      <w14:lumOff w14:val="5000"/>
                    </w14:schemeClr>
                  </w14:solidFill>
                </w14:textFill>
              </w:rPr>
              <w:t>措施</w:t>
            </w:r>
          </w:p>
          <w:p w14:paraId="403E6176">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施工人员生活污水依托现有三级化粪池处理后排入园区市政污水管网，由钦州胜科水务有限公司污水处理厂进一步处理，不外排。</w:t>
            </w:r>
          </w:p>
          <w:p w14:paraId="342DD032">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三</w:t>
            </w:r>
            <w:r>
              <w:rPr>
                <w:rFonts w:cs="宋体"/>
                <w:b/>
                <w:color w:val="0D0D0D" w:themeColor="text1" w:themeTint="F2"/>
                <w:spacing w:val="-10"/>
                <w:sz w:val="24"/>
                <w14:textFill>
                  <w14:solidFill>
                    <w14:schemeClr w14:val="tx1">
                      <w14:lumMod w14:val="95000"/>
                      <w14:lumOff w14:val="5000"/>
                    </w14:schemeClr>
                  </w14:solidFill>
                </w14:textFill>
              </w:rPr>
              <w:t>、</w:t>
            </w:r>
            <w:r>
              <w:rPr>
                <w:rFonts w:hint="eastAsia" w:cs="宋体"/>
                <w:b/>
                <w:color w:val="0D0D0D" w:themeColor="text1" w:themeTint="F2"/>
                <w:spacing w:val="-10"/>
                <w:sz w:val="24"/>
                <w14:textFill>
                  <w14:solidFill>
                    <w14:schemeClr w14:val="tx1">
                      <w14:lumMod w14:val="95000"/>
                      <w14:lumOff w14:val="5000"/>
                    </w14:schemeClr>
                  </w14:solidFill>
                </w14:textFill>
              </w:rPr>
              <w:t>噪声防治</w:t>
            </w:r>
            <w:r>
              <w:rPr>
                <w:rFonts w:cs="宋体"/>
                <w:b/>
                <w:color w:val="0D0D0D" w:themeColor="text1" w:themeTint="F2"/>
                <w:spacing w:val="-10"/>
                <w:sz w:val="24"/>
                <w14:textFill>
                  <w14:solidFill>
                    <w14:schemeClr w14:val="tx1">
                      <w14:lumMod w14:val="95000"/>
                      <w14:lumOff w14:val="5000"/>
                    </w14:schemeClr>
                  </w14:solidFill>
                </w14:textFill>
              </w:rPr>
              <w:t>措施</w:t>
            </w:r>
          </w:p>
          <w:p w14:paraId="5B725C85">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项目施工优先选用低噪声的施工设备，施工作业期间尽量密闭门窗，减少噪声对外界环境的影响</w:t>
            </w:r>
            <w:r>
              <w:rPr>
                <w:rFonts w:cs="宋体"/>
                <w:bCs/>
                <w:color w:val="0D0D0D" w:themeColor="text1" w:themeTint="F2"/>
                <w:spacing w:val="-10"/>
                <w:sz w:val="24"/>
                <w14:textFill>
                  <w14:solidFill>
                    <w14:schemeClr w14:val="tx1">
                      <w14:lumMod w14:val="95000"/>
                      <w14:lumOff w14:val="5000"/>
                    </w14:schemeClr>
                  </w14:solidFill>
                </w14:textFill>
              </w:rPr>
              <w:t>。</w:t>
            </w:r>
          </w:p>
          <w:p w14:paraId="36DF8079">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四</w:t>
            </w:r>
            <w:r>
              <w:rPr>
                <w:rFonts w:cs="宋体"/>
                <w:b/>
                <w:color w:val="0D0D0D" w:themeColor="text1" w:themeTint="F2"/>
                <w:spacing w:val="-10"/>
                <w:sz w:val="24"/>
                <w14:textFill>
                  <w14:solidFill>
                    <w14:schemeClr w14:val="tx1">
                      <w14:lumMod w14:val="95000"/>
                      <w14:lumOff w14:val="5000"/>
                    </w14:schemeClr>
                  </w14:solidFill>
                </w14:textFill>
              </w:rPr>
              <w:t>、</w:t>
            </w:r>
            <w:r>
              <w:rPr>
                <w:rFonts w:hint="eastAsia" w:cs="宋体"/>
                <w:b/>
                <w:color w:val="0D0D0D" w:themeColor="text1" w:themeTint="F2"/>
                <w:spacing w:val="-10"/>
                <w:sz w:val="24"/>
                <w14:textFill>
                  <w14:solidFill>
                    <w14:schemeClr w14:val="tx1">
                      <w14:lumMod w14:val="95000"/>
                      <w14:lumOff w14:val="5000"/>
                    </w14:schemeClr>
                  </w14:solidFill>
                </w14:textFill>
              </w:rPr>
              <w:t>固体废物防治</w:t>
            </w:r>
            <w:r>
              <w:rPr>
                <w:rFonts w:cs="宋体"/>
                <w:b/>
                <w:color w:val="0D0D0D" w:themeColor="text1" w:themeTint="F2"/>
                <w:spacing w:val="-10"/>
                <w:sz w:val="24"/>
                <w14:textFill>
                  <w14:solidFill>
                    <w14:schemeClr w14:val="tx1">
                      <w14:lumMod w14:val="95000"/>
                      <w14:lumOff w14:val="5000"/>
                    </w14:schemeClr>
                  </w14:solidFill>
                </w14:textFill>
              </w:rPr>
              <w:t>措施</w:t>
            </w:r>
          </w:p>
          <w:p w14:paraId="544F2CF2">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施工产生的各种废包装材料，由物资回收公司回收。施工人员生活垃圾集中收集后由环卫部门清运处置。</w:t>
            </w:r>
          </w:p>
        </w:tc>
      </w:tr>
      <w:tr w14:paraId="0CF079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52" w:hRule="atLeast"/>
          <w:jc w:val="center"/>
        </w:trPr>
        <w:tc>
          <w:tcPr>
            <w:tcW w:w="236" w:type="pct"/>
            <w:tcMar>
              <w:left w:w="28" w:type="dxa"/>
              <w:right w:w="28" w:type="dxa"/>
            </w:tcMar>
            <w:vAlign w:val="center"/>
          </w:tcPr>
          <w:p w14:paraId="3FC6D4DB">
            <w:pPr>
              <w:adjustRightInd w:val="0"/>
              <w:snapToGrid w:val="0"/>
              <w:jc w:val="center"/>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运营期环境影响和保护措施</w:t>
            </w:r>
          </w:p>
        </w:tc>
        <w:tc>
          <w:tcPr>
            <w:tcW w:w="4764" w:type="pct"/>
          </w:tcPr>
          <w:p w14:paraId="49E0A44F">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一、废气</w:t>
            </w:r>
          </w:p>
          <w:p w14:paraId="4A0C40DE">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cs="宋体"/>
                <w:b/>
                <w:color w:val="0D0D0D" w:themeColor="text1" w:themeTint="F2"/>
                <w:spacing w:val="-10"/>
                <w:sz w:val="24"/>
                <w14:textFill>
                  <w14:solidFill>
                    <w14:schemeClr w14:val="tx1">
                      <w14:lumMod w14:val="95000"/>
                      <w14:lumOff w14:val="5000"/>
                    </w14:schemeClr>
                  </w14:solidFill>
                </w14:textFill>
              </w:rPr>
              <w:t>1</w:t>
            </w:r>
            <w:r>
              <w:rPr>
                <w:rFonts w:hint="eastAsia" w:cs="宋体"/>
                <w:b/>
                <w:color w:val="0D0D0D" w:themeColor="text1" w:themeTint="F2"/>
                <w:spacing w:val="-10"/>
                <w:sz w:val="24"/>
                <w14:textFill>
                  <w14:solidFill>
                    <w14:schemeClr w14:val="tx1">
                      <w14:lumMod w14:val="95000"/>
                      <w14:lumOff w14:val="5000"/>
                    </w14:schemeClr>
                  </w14:solidFill>
                </w14:textFill>
              </w:rPr>
              <w:t>、</w:t>
            </w:r>
            <w:r>
              <w:rPr>
                <w:rFonts w:cs="宋体"/>
                <w:b/>
                <w:color w:val="0D0D0D" w:themeColor="text1" w:themeTint="F2"/>
                <w:spacing w:val="-10"/>
                <w:sz w:val="24"/>
                <w14:textFill>
                  <w14:solidFill>
                    <w14:schemeClr w14:val="tx1">
                      <w14:lumMod w14:val="95000"/>
                      <w14:lumOff w14:val="5000"/>
                    </w14:schemeClr>
                  </w14:solidFill>
                </w14:textFill>
              </w:rPr>
              <w:t>大气污染物源强分析</w:t>
            </w:r>
          </w:p>
          <w:p w14:paraId="53215A24">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cs="宋体"/>
                <w:bCs/>
                <w:color w:val="0D0D0D" w:themeColor="text1" w:themeTint="F2"/>
                <w:spacing w:val="-10"/>
                <w:sz w:val="24"/>
                <w:u w:val="single"/>
                <w14:textFill>
                  <w14:solidFill>
                    <w14:schemeClr w14:val="tx1">
                      <w14:lumMod w14:val="95000"/>
                      <w14:lumOff w14:val="5000"/>
                    </w14:schemeClr>
                  </w14:solidFill>
                </w14:textFill>
              </w:rPr>
              <w:t>项目</w:t>
            </w:r>
            <w:r>
              <w:rPr>
                <w:rFonts w:hint="eastAsia" w:cs="宋体"/>
                <w:bCs/>
                <w:color w:val="0D0D0D" w:themeColor="text1" w:themeTint="F2"/>
                <w:spacing w:val="-10"/>
                <w:sz w:val="24"/>
                <w:u w:val="single"/>
                <w14:textFill>
                  <w14:solidFill>
                    <w14:schemeClr w14:val="tx1">
                      <w14:lumMod w14:val="95000"/>
                      <w14:lumOff w14:val="5000"/>
                    </w14:schemeClr>
                  </w14:solidFill>
                </w14:textFill>
              </w:rPr>
              <w:t>运营期</w:t>
            </w:r>
            <w:r>
              <w:rPr>
                <w:rFonts w:cs="宋体"/>
                <w:bCs/>
                <w:color w:val="0D0D0D" w:themeColor="text1" w:themeTint="F2"/>
                <w:spacing w:val="-10"/>
                <w:sz w:val="24"/>
                <w:u w:val="single"/>
                <w14:textFill>
                  <w14:solidFill>
                    <w14:schemeClr w14:val="tx1">
                      <w14:lumMod w14:val="95000"/>
                      <w14:lumOff w14:val="5000"/>
                    </w14:schemeClr>
                  </w14:solidFill>
                </w14:textFill>
              </w:rPr>
              <w:t>废气主要为</w:t>
            </w:r>
            <w:r>
              <w:rPr>
                <w:rFonts w:hint="eastAsia" w:cs="宋体"/>
                <w:bCs/>
                <w:color w:val="0D0D0D" w:themeColor="text1" w:themeTint="F2"/>
                <w:spacing w:val="-10"/>
                <w:sz w:val="24"/>
                <w:u w:val="single"/>
                <w14:textFill>
                  <w14:solidFill>
                    <w14:schemeClr w14:val="tx1">
                      <w14:lumMod w14:val="95000"/>
                      <w14:lumOff w14:val="5000"/>
                    </w14:schemeClr>
                  </w14:solidFill>
                </w14:textFill>
              </w:rPr>
              <w:t>抛丸粉尘、喷涂工序产生的漆雾和VOCs、危险废物储存过程散逸的VOCs、食堂油烟</w:t>
            </w:r>
            <w:r>
              <w:rPr>
                <w:rFonts w:cs="宋体"/>
                <w:bCs/>
                <w:color w:val="0D0D0D" w:themeColor="text1" w:themeTint="F2"/>
                <w:spacing w:val="-10"/>
                <w:sz w:val="24"/>
                <w:u w:val="single"/>
                <w14:textFill>
                  <w14:solidFill>
                    <w14:schemeClr w14:val="tx1">
                      <w14:lumMod w14:val="95000"/>
                      <w14:lumOff w14:val="5000"/>
                    </w14:schemeClr>
                  </w14:solidFill>
                </w14:textFill>
              </w:rPr>
              <w:t>。</w:t>
            </w:r>
            <w:r>
              <w:rPr>
                <w:rFonts w:hint="eastAsia" w:cs="宋体"/>
                <w:bCs/>
                <w:color w:val="0D0D0D" w:themeColor="text1" w:themeTint="F2"/>
                <w:spacing w:val="-10"/>
                <w:sz w:val="24"/>
                <w:u w:val="single"/>
                <w14:textFill>
                  <w14:solidFill>
                    <w14:schemeClr w14:val="tx1">
                      <w14:lumMod w14:val="95000"/>
                      <w14:lumOff w14:val="5000"/>
                    </w14:schemeClr>
                  </w14:solidFill>
                </w14:textFill>
              </w:rPr>
              <w:t>由于运输车辆尾气和装卸废气产生量较少，对周边环境影响较小，</w:t>
            </w:r>
            <w:r>
              <w:rPr>
                <w:rFonts w:hint="eastAsia" w:cs="宋体"/>
                <w:bCs/>
                <w:color w:val="0D0D0D" w:themeColor="text1" w:themeTint="F2"/>
                <w:spacing w:val="-10"/>
                <w:sz w:val="24"/>
                <w:u w:val="single"/>
                <w:lang w:eastAsia="zh-CN"/>
                <w14:textFill>
                  <w14:solidFill>
                    <w14:schemeClr w14:val="tx1">
                      <w14:lumMod w14:val="95000"/>
                      <w14:lumOff w14:val="5000"/>
                    </w14:schemeClr>
                  </w14:solidFill>
                </w14:textFill>
              </w:rPr>
              <w:t>本次</w:t>
            </w:r>
            <w:r>
              <w:rPr>
                <w:rFonts w:hint="eastAsia" w:cs="宋体"/>
                <w:bCs/>
                <w:color w:val="0D0D0D" w:themeColor="text1" w:themeTint="F2"/>
                <w:spacing w:val="-10"/>
                <w:sz w:val="24"/>
                <w:u w:val="single"/>
                <w14:textFill>
                  <w14:solidFill>
                    <w14:schemeClr w14:val="tx1">
                      <w14:lumMod w14:val="95000"/>
                      <w14:lumOff w14:val="5000"/>
                    </w14:schemeClr>
                  </w14:solidFill>
                </w14:textFill>
              </w:rPr>
              <w:t>评价不再对该部分废气进行定量核算。</w:t>
            </w:r>
          </w:p>
          <w:p w14:paraId="418BFA95">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（1）抛丸粉尘</w:t>
            </w:r>
          </w:p>
          <w:p w14:paraId="0F9F2F2C">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项目抛丸机生产过程中会产生抛丸粉尘，根据《排放源统计调查产排污核算方法和系数手册》（公告2021年第24号）-</w:t>
            </w:r>
            <w:r>
              <w:rPr>
                <w:rFonts w:cs="宋体"/>
                <w:bCs/>
                <w:color w:val="0D0D0D" w:themeColor="text1" w:themeTint="F2"/>
                <w:spacing w:val="-10"/>
                <w:sz w:val="24"/>
                <w:u w:val="single"/>
                <w14:textFill>
                  <w14:solidFill>
                    <w14:schemeClr w14:val="tx1">
                      <w14:lumMod w14:val="95000"/>
                      <w14:lumOff w14:val="5000"/>
                    </w14:schemeClr>
                  </w14:solidFill>
                </w14:textFill>
              </w:rPr>
              <w:t>33-37</w:t>
            </w:r>
            <w:r>
              <w:rPr>
                <w:rFonts w:hint="eastAsia" w:cs="宋体"/>
                <w:bCs/>
                <w:color w:val="0D0D0D" w:themeColor="text1" w:themeTint="F2"/>
                <w:spacing w:val="-10"/>
                <w:sz w:val="24"/>
                <w:u w:val="single"/>
                <w14:textFill>
                  <w14:solidFill>
                    <w14:schemeClr w14:val="tx1">
                      <w14:lumMod w14:val="95000"/>
                      <w14:lumOff w14:val="5000"/>
                    </w14:schemeClr>
                  </w14:solidFill>
                </w14:textFill>
              </w:rPr>
              <w:t>，</w:t>
            </w:r>
            <w:r>
              <w:rPr>
                <w:rFonts w:cs="宋体"/>
                <w:bCs/>
                <w:color w:val="0D0D0D" w:themeColor="text1" w:themeTint="F2"/>
                <w:spacing w:val="-10"/>
                <w:sz w:val="24"/>
                <w:u w:val="single"/>
                <w14:textFill>
                  <w14:solidFill>
                    <w14:schemeClr w14:val="tx1">
                      <w14:lumMod w14:val="95000"/>
                      <w14:lumOff w14:val="5000"/>
                    </w14:schemeClr>
                  </w14:solidFill>
                </w14:textFill>
              </w:rPr>
              <w:t>431-434</w:t>
            </w:r>
            <w:r>
              <w:rPr>
                <w:rFonts w:hint="eastAsia" w:cs="宋体"/>
                <w:bCs/>
                <w:color w:val="0D0D0D" w:themeColor="text1" w:themeTint="F2"/>
                <w:spacing w:val="-10"/>
                <w:sz w:val="24"/>
                <w:u w:val="single"/>
                <w14:textFill>
                  <w14:solidFill>
                    <w14:schemeClr w14:val="tx1">
                      <w14:lumMod w14:val="95000"/>
                      <w14:lumOff w14:val="5000"/>
                    </w14:schemeClr>
                  </w14:solidFill>
                </w14:textFill>
              </w:rPr>
              <w:t>机械行业系数手册-06预处理-抛丸、喷砂、打磨、滚筒工艺，抛丸粉尘产污系数为2.19kg/t-原料，根据建设单位提供的资料，项目钢材加工量约为520t/a，则抛丸粉尘产生量为1.14t/a，产生速率为0.475kg/h。</w:t>
            </w:r>
          </w:p>
          <w:p w14:paraId="08E2D7E3">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抛丸机内部腔体密闭，工作台上方设置集气装置，废气经管道负压收集，引风机设计风量为</w:t>
            </w:r>
            <w:r>
              <w:rPr>
                <w:rFonts w:cs="宋体"/>
                <w:bCs/>
                <w:color w:val="0D0D0D" w:themeColor="text1" w:themeTint="F2"/>
                <w:spacing w:val="-10"/>
                <w:sz w:val="24"/>
                <w:u w:val="single"/>
                <w14:textFill>
                  <w14:solidFill>
                    <w14:schemeClr w14:val="tx1">
                      <w14:lumMod w14:val="95000"/>
                      <w14:lumOff w14:val="5000"/>
                    </w14:schemeClr>
                  </w14:solidFill>
                </w14:textFill>
              </w:rPr>
              <w:t>38000m</w:t>
            </w:r>
            <w:r>
              <w:rPr>
                <w:rFonts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cs="宋体"/>
                <w:bCs/>
                <w:color w:val="0D0D0D" w:themeColor="text1" w:themeTint="F2"/>
                <w:spacing w:val="-10"/>
                <w:sz w:val="24"/>
                <w:u w:val="single"/>
                <w14:textFill>
                  <w14:solidFill>
                    <w14:schemeClr w14:val="tx1">
                      <w14:lumMod w14:val="95000"/>
                      <w14:lumOff w14:val="5000"/>
                    </w14:schemeClr>
                  </w14:solidFill>
                </w14:textFill>
              </w:rPr>
              <w:t>/h</w:t>
            </w:r>
            <w:r>
              <w:rPr>
                <w:rFonts w:hint="eastAsia" w:cs="宋体"/>
                <w:bCs/>
                <w:color w:val="0D0D0D" w:themeColor="text1" w:themeTint="F2"/>
                <w:spacing w:val="-10"/>
                <w:sz w:val="24"/>
                <w:u w:val="single"/>
                <w14:textFill>
                  <w14:solidFill>
                    <w14:schemeClr w14:val="tx1">
                      <w14:lumMod w14:val="95000"/>
                      <w14:lumOff w14:val="5000"/>
                    </w14:schemeClr>
                  </w14:solidFill>
                </w14:textFill>
              </w:rPr>
              <w:t>，工件进出口处设置柔性围帘，收集效率一般可达90%以上，本次评价按90%计。抛丸粉尘经电子脉冲滤芯式除尘器处理后通过20m排气筒（DA001）排放。根据《排放源统计调查产排污核算方法和系数手册》（公告2021年第24号）-33-37，431-434机械行业系数手册，电子脉冲滤芯式除尘器处理效率按95%计。</w:t>
            </w:r>
          </w:p>
          <w:p w14:paraId="379C19E9">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抛丸粉尘产排情况详见表4-1。</w:t>
            </w:r>
          </w:p>
          <w:p w14:paraId="6ACB22E3">
            <w:pPr>
              <w:adjustRightInd w:val="0"/>
              <w:snapToGrid w:val="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表4-1  抛丸粉尘产排情况</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4"/>
              <w:gridCol w:w="870"/>
              <w:gridCol w:w="486"/>
              <w:gridCol w:w="599"/>
              <w:gridCol w:w="684"/>
              <w:gridCol w:w="861"/>
              <w:gridCol w:w="520"/>
              <w:gridCol w:w="1745"/>
              <w:gridCol w:w="599"/>
              <w:gridCol w:w="682"/>
              <w:gridCol w:w="861"/>
            </w:tblGrid>
            <w:tr w14:paraId="234B6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8" w:type="pct"/>
                  <w:vAlign w:val="center"/>
                </w:tcPr>
                <w:p w14:paraId="2D399EED">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产排污环节</w:t>
                  </w:r>
                </w:p>
              </w:tc>
              <w:tc>
                <w:tcPr>
                  <w:tcW w:w="514" w:type="pct"/>
                  <w:vAlign w:val="center"/>
                </w:tcPr>
                <w:p w14:paraId="1692A931">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排气筒编号</w:t>
                  </w:r>
                </w:p>
              </w:tc>
              <w:tc>
                <w:tcPr>
                  <w:tcW w:w="286" w:type="pct"/>
                  <w:vAlign w:val="center"/>
                </w:tcPr>
                <w:p w14:paraId="13716E08">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污染物</w:t>
                  </w:r>
                </w:p>
              </w:tc>
              <w:tc>
                <w:tcPr>
                  <w:tcW w:w="354" w:type="pct"/>
                  <w:vAlign w:val="center"/>
                </w:tcPr>
                <w:p w14:paraId="0196E959">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产生量</w:t>
                  </w:r>
                </w:p>
                <w:p w14:paraId="1582B6E7">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(t</w:t>
                  </w:r>
                  <w:r>
                    <w:rPr>
                      <w:rFonts w:cs="宋体"/>
                      <w:bCs/>
                      <w:color w:val="0D0D0D" w:themeColor="text1" w:themeTint="F2"/>
                      <w:spacing w:val="-10"/>
                      <w:szCs w:val="21"/>
                      <w:u w:val="single"/>
                      <w14:textFill>
                        <w14:solidFill>
                          <w14:schemeClr w14:val="tx1">
                            <w14:lumMod w14:val="95000"/>
                            <w14:lumOff w14:val="5000"/>
                          </w14:schemeClr>
                        </w14:solidFill>
                      </w14:textFill>
                    </w:rPr>
                    <w:t>/a</w:t>
                  </w: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404" w:type="pct"/>
                  <w:vAlign w:val="center"/>
                </w:tcPr>
                <w:p w14:paraId="139D6CAA">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产生</w:t>
                  </w:r>
                </w:p>
                <w:p w14:paraId="57AA1F8B">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速率</w:t>
                  </w:r>
                </w:p>
                <w:p w14:paraId="02CC3326">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(kg/h)</w:t>
                  </w:r>
                </w:p>
              </w:tc>
              <w:tc>
                <w:tcPr>
                  <w:tcW w:w="509" w:type="pct"/>
                  <w:vAlign w:val="center"/>
                </w:tcPr>
                <w:p w14:paraId="591150C6">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产生</w:t>
                  </w:r>
                </w:p>
                <w:p w14:paraId="52AF7EE7">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浓度</w:t>
                  </w:r>
                </w:p>
                <w:p w14:paraId="31A45818">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(m</w:t>
                  </w:r>
                  <w:r>
                    <w:rPr>
                      <w:rFonts w:cs="宋体"/>
                      <w:bCs/>
                      <w:color w:val="0D0D0D" w:themeColor="text1" w:themeTint="F2"/>
                      <w:spacing w:val="-10"/>
                      <w:szCs w:val="21"/>
                      <w:u w:val="single"/>
                      <w14:textFill>
                        <w14:solidFill>
                          <w14:schemeClr w14:val="tx1">
                            <w14:lumMod w14:val="95000"/>
                            <w14:lumOff w14:val="5000"/>
                          </w14:schemeClr>
                        </w14:solidFill>
                      </w14:textFill>
                    </w:rPr>
                    <w:t>g/m</w:t>
                  </w:r>
                  <w:r>
                    <w:rPr>
                      <w:rFonts w:cs="宋体"/>
                      <w:bCs/>
                      <w:color w:val="0D0D0D" w:themeColor="text1" w:themeTint="F2"/>
                      <w:spacing w:val="-10"/>
                      <w:szCs w:val="21"/>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307" w:type="pct"/>
                  <w:vAlign w:val="center"/>
                </w:tcPr>
                <w:p w14:paraId="08D46FBB">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排放形式</w:t>
                  </w:r>
                </w:p>
              </w:tc>
              <w:tc>
                <w:tcPr>
                  <w:tcW w:w="1031" w:type="pct"/>
                  <w:vAlign w:val="center"/>
                </w:tcPr>
                <w:p w14:paraId="58CF18B2">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治理</w:t>
                  </w:r>
                </w:p>
                <w:p w14:paraId="1BF3549C">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措施</w:t>
                  </w:r>
                </w:p>
              </w:tc>
              <w:tc>
                <w:tcPr>
                  <w:tcW w:w="354" w:type="pct"/>
                  <w:vAlign w:val="center"/>
                </w:tcPr>
                <w:p w14:paraId="029C4A63">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排放量</w:t>
                  </w:r>
                </w:p>
                <w:p w14:paraId="26FFFF90">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(t</w:t>
                  </w:r>
                  <w:r>
                    <w:rPr>
                      <w:rFonts w:cs="宋体"/>
                      <w:bCs/>
                      <w:color w:val="0D0D0D" w:themeColor="text1" w:themeTint="F2"/>
                      <w:spacing w:val="-10"/>
                      <w:szCs w:val="21"/>
                      <w:u w:val="single"/>
                      <w14:textFill>
                        <w14:solidFill>
                          <w14:schemeClr w14:val="tx1">
                            <w14:lumMod w14:val="95000"/>
                            <w14:lumOff w14:val="5000"/>
                          </w14:schemeClr>
                        </w14:solidFill>
                      </w14:textFill>
                    </w:rPr>
                    <w:t>/a</w:t>
                  </w: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403" w:type="pct"/>
                  <w:vAlign w:val="center"/>
                </w:tcPr>
                <w:p w14:paraId="0320BCA6">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排放</w:t>
                  </w:r>
                </w:p>
                <w:p w14:paraId="19F1EC25">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速率</w:t>
                  </w:r>
                </w:p>
                <w:p w14:paraId="1758E2E8">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(kg/h)</w:t>
                  </w:r>
                </w:p>
              </w:tc>
              <w:tc>
                <w:tcPr>
                  <w:tcW w:w="509" w:type="pct"/>
                  <w:vAlign w:val="center"/>
                </w:tcPr>
                <w:p w14:paraId="44350456">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排放</w:t>
                  </w:r>
                </w:p>
                <w:p w14:paraId="40F4252B">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浓度</w:t>
                  </w:r>
                </w:p>
                <w:p w14:paraId="09F8A7D6">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(m</w:t>
                  </w:r>
                  <w:r>
                    <w:rPr>
                      <w:rFonts w:cs="宋体"/>
                      <w:bCs/>
                      <w:color w:val="0D0D0D" w:themeColor="text1" w:themeTint="F2"/>
                      <w:spacing w:val="-10"/>
                      <w:szCs w:val="21"/>
                      <w:u w:val="single"/>
                      <w14:textFill>
                        <w14:solidFill>
                          <w14:schemeClr w14:val="tx1">
                            <w14:lumMod w14:val="95000"/>
                            <w14:lumOff w14:val="5000"/>
                          </w14:schemeClr>
                        </w14:solidFill>
                      </w14:textFill>
                    </w:rPr>
                    <w:t>g/m</w:t>
                  </w:r>
                  <w:r>
                    <w:rPr>
                      <w:rFonts w:cs="宋体"/>
                      <w:bCs/>
                      <w:color w:val="0D0D0D" w:themeColor="text1" w:themeTint="F2"/>
                      <w:spacing w:val="-10"/>
                      <w:szCs w:val="21"/>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r>
            <w:tr w14:paraId="4C071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8" w:type="pct"/>
                  <w:vMerge w:val="restart"/>
                  <w:vAlign w:val="center"/>
                </w:tcPr>
                <w:p w14:paraId="1DBE614E">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抛丸</w:t>
                  </w:r>
                </w:p>
              </w:tc>
              <w:tc>
                <w:tcPr>
                  <w:tcW w:w="514" w:type="pct"/>
                  <w:vAlign w:val="center"/>
                </w:tcPr>
                <w:p w14:paraId="2BA7B9EA">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D</w:t>
                  </w:r>
                  <w:r>
                    <w:rPr>
                      <w:rFonts w:cs="宋体"/>
                      <w:bCs/>
                      <w:color w:val="0D0D0D" w:themeColor="text1" w:themeTint="F2"/>
                      <w:spacing w:val="-10"/>
                      <w:szCs w:val="21"/>
                      <w:u w:val="single"/>
                      <w14:textFill>
                        <w14:solidFill>
                          <w14:schemeClr w14:val="tx1">
                            <w14:lumMod w14:val="95000"/>
                            <w14:lumOff w14:val="5000"/>
                          </w14:schemeClr>
                        </w14:solidFill>
                      </w14:textFill>
                    </w:rPr>
                    <w:t>A001</w:t>
                  </w:r>
                </w:p>
              </w:tc>
              <w:tc>
                <w:tcPr>
                  <w:tcW w:w="286" w:type="pct"/>
                  <w:vAlign w:val="center"/>
                </w:tcPr>
                <w:p w14:paraId="5C9411E9">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颗粒物</w:t>
                  </w:r>
                </w:p>
              </w:tc>
              <w:tc>
                <w:tcPr>
                  <w:tcW w:w="354" w:type="pct"/>
                  <w:vAlign w:val="center"/>
                </w:tcPr>
                <w:p w14:paraId="377FF18F">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1.03</w:t>
                  </w:r>
                </w:p>
              </w:tc>
              <w:tc>
                <w:tcPr>
                  <w:tcW w:w="404" w:type="pct"/>
                  <w:vAlign w:val="center"/>
                </w:tcPr>
                <w:p w14:paraId="2E4EE5DB">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0.429</w:t>
                  </w:r>
                </w:p>
              </w:tc>
              <w:tc>
                <w:tcPr>
                  <w:tcW w:w="509" w:type="pct"/>
                  <w:vAlign w:val="center"/>
                </w:tcPr>
                <w:p w14:paraId="4262D397">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11.29</w:t>
                  </w:r>
                </w:p>
              </w:tc>
              <w:tc>
                <w:tcPr>
                  <w:tcW w:w="307" w:type="pct"/>
                  <w:vAlign w:val="center"/>
                </w:tcPr>
                <w:p w14:paraId="645C1D1F">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有组织</w:t>
                  </w:r>
                </w:p>
              </w:tc>
              <w:tc>
                <w:tcPr>
                  <w:tcW w:w="1031" w:type="pct"/>
                  <w:vAlign w:val="center"/>
                </w:tcPr>
                <w:p w14:paraId="3CD6233A">
                  <w:pPr>
                    <w:adjustRightInd w:val="0"/>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电子脉冲滤芯式除尘器+20m排气筒（DA001）</w:t>
                  </w:r>
                </w:p>
              </w:tc>
              <w:tc>
                <w:tcPr>
                  <w:tcW w:w="354" w:type="pct"/>
                  <w:vAlign w:val="center"/>
                </w:tcPr>
                <w:p w14:paraId="70450CB1">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0.05</w:t>
                  </w:r>
                </w:p>
              </w:tc>
              <w:tc>
                <w:tcPr>
                  <w:tcW w:w="403" w:type="pct"/>
                  <w:vAlign w:val="center"/>
                </w:tcPr>
                <w:p w14:paraId="7E12304C">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0.021</w:t>
                  </w:r>
                </w:p>
              </w:tc>
              <w:tc>
                <w:tcPr>
                  <w:tcW w:w="509" w:type="pct"/>
                  <w:vAlign w:val="center"/>
                </w:tcPr>
                <w:p w14:paraId="1AD3D7B6">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0.56</w:t>
                  </w:r>
                </w:p>
              </w:tc>
            </w:tr>
            <w:tr w14:paraId="5595E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8" w:type="pct"/>
                  <w:vMerge w:val="continue"/>
                  <w:vAlign w:val="center"/>
                </w:tcPr>
                <w:p w14:paraId="5C241690">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p>
              </w:tc>
              <w:tc>
                <w:tcPr>
                  <w:tcW w:w="514" w:type="pct"/>
                  <w:vAlign w:val="center"/>
                </w:tcPr>
                <w:p w14:paraId="6F8282B4">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286" w:type="pct"/>
                  <w:vAlign w:val="center"/>
                </w:tcPr>
                <w:p w14:paraId="7CDD1EE9">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颗粒物</w:t>
                  </w:r>
                </w:p>
              </w:tc>
              <w:tc>
                <w:tcPr>
                  <w:tcW w:w="354" w:type="pct"/>
                  <w:vAlign w:val="center"/>
                </w:tcPr>
                <w:p w14:paraId="49F7C3A9">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0.11</w:t>
                  </w:r>
                </w:p>
              </w:tc>
              <w:tc>
                <w:tcPr>
                  <w:tcW w:w="404" w:type="pct"/>
                  <w:vAlign w:val="center"/>
                </w:tcPr>
                <w:p w14:paraId="361E1D7D">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0.046</w:t>
                  </w:r>
                </w:p>
              </w:tc>
              <w:tc>
                <w:tcPr>
                  <w:tcW w:w="509" w:type="pct"/>
                  <w:vAlign w:val="center"/>
                </w:tcPr>
                <w:p w14:paraId="4119FD57">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307" w:type="pct"/>
                  <w:vAlign w:val="center"/>
                </w:tcPr>
                <w:p w14:paraId="1D18CF5F">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无组织</w:t>
                  </w:r>
                </w:p>
              </w:tc>
              <w:tc>
                <w:tcPr>
                  <w:tcW w:w="1031" w:type="pct"/>
                  <w:vAlign w:val="center"/>
                </w:tcPr>
                <w:p w14:paraId="5BD81E0A">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354" w:type="pct"/>
                  <w:vAlign w:val="center"/>
                </w:tcPr>
                <w:p w14:paraId="6B441718">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0.11</w:t>
                  </w:r>
                </w:p>
              </w:tc>
              <w:tc>
                <w:tcPr>
                  <w:tcW w:w="403" w:type="pct"/>
                  <w:vAlign w:val="center"/>
                </w:tcPr>
                <w:p w14:paraId="0D055E1F">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0.046</w:t>
                  </w:r>
                </w:p>
              </w:tc>
              <w:tc>
                <w:tcPr>
                  <w:tcW w:w="509" w:type="pct"/>
                  <w:vAlign w:val="center"/>
                </w:tcPr>
                <w:p w14:paraId="21F881BD">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r>
            <w:tr w14:paraId="7B99D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8" w:type="pct"/>
                  <w:vMerge w:val="continue"/>
                  <w:vAlign w:val="center"/>
                </w:tcPr>
                <w:p w14:paraId="36A6FE5A">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p>
              </w:tc>
              <w:tc>
                <w:tcPr>
                  <w:tcW w:w="801" w:type="pct"/>
                  <w:gridSpan w:val="2"/>
                  <w:vAlign w:val="center"/>
                </w:tcPr>
                <w:p w14:paraId="106AAD55">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合计</w:t>
                  </w:r>
                </w:p>
              </w:tc>
              <w:tc>
                <w:tcPr>
                  <w:tcW w:w="354" w:type="pct"/>
                  <w:vAlign w:val="center"/>
                </w:tcPr>
                <w:p w14:paraId="67885E1C">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1.14</w:t>
                  </w:r>
                </w:p>
              </w:tc>
              <w:tc>
                <w:tcPr>
                  <w:tcW w:w="404" w:type="pct"/>
                  <w:vAlign w:val="center"/>
                </w:tcPr>
                <w:p w14:paraId="758F35E7">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509" w:type="pct"/>
                  <w:vAlign w:val="center"/>
                </w:tcPr>
                <w:p w14:paraId="1213E80A">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307" w:type="pct"/>
                  <w:vAlign w:val="center"/>
                </w:tcPr>
                <w:p w14:paraId="20B98AB2">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1031" w:type="pct"/>
                  <w:vAlign w:val="center"/>
                </w:tcPr>
                <w:p w14:paraId="090A97F3">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354" w:type="pct"/>
                  <w:vAlign w:val="center"/>
                </w:tcPr>
                <w:p w14:paraId="7673EB1D">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0.16</w:t>
                  </w:r>
                </w:p>
              </w:tc>
              <w:tc>
                <w:tcPr>
                  <w:tcW w:w="403" w:type="pct"/>
                  <w:vAlign w:val="center"/>
                </w:tcPr>
                <w:p w14:paraId="580FAD52">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509" w:type="pct"/>
                  <w:vAlign w:val="center"/>
                </w:tcPr>
                <w:p w14:paraId="6C79114E">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r>
          </w:tbl>
          <w:p w14:paraId="7A5B34ED">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由上表可知，抛丸粉尘有组织排放量为0.05t/a，排放速率为0.021kg/h，排放浓度为0.18mg/m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；除尘器收集粉尘量为0.98t/a；无组织排放量为0.11t/a，排放速率为0.046kg/h。</w:t>
            </w:r>
          </w:p>
          <w:p w14:paraId="4AC81140">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（2）喷漆废气</w:t>
            </w:r>
          </w:p>
          <w:p w14:paraId="299982D7">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项目运营期喷漆废气主要为漆雾和挥发性有机废气，其中挥发性有机废气以非甲烷总烃表征，苯系物以二甲苯表征。</w:t>
            </w:r>
          </w:p>
          <w:p w14:paraId="3C344588">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①漆雾</w:t>
            </w:r>
          </w:p>
          <w:p w14:paraId="0F9D5A64">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根据建设单位提供的资料，高压无气喷涂机上漆率为85%，油漆固体分中有85%附着在工件表面，5%喷涂至工作台面，形成漆渣，10%形成漆雾，喷涂工序漆雾产生情况详见表4-2。</w:t>
            </w:r>
          </w:p>
          <w:p w14:paraId="234BF7DB">
            <w:pPr>
              <w:adjustRightInd w:val="0"/>
              <w:snapToGrid w:val="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表4-2  漆雾产生情况一览表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2"/>
              <w:gridCol w:w="2139"/>
              <w:gridCol w:w="873"/>
              <w:gridCol w:w="1295"/>
              <w:gridCol w:w="873"/>
              <w:gridCol w:w="873"/>
              <w:gridCol w:w="873"/>
              <w:gridCol w:w="873"/>
            </w:tblGrid>
            <w:tr w14:paraId="2A9C2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1" w:type="pct"/>
                  <w:vAlign w:val="center"/>
                </w:tcPr>
                <w:p w14:paraId="67CFA3E5">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序号</w:t>
                  </w:r>
                </w:p>
              </w:tc>
              <w:tc>
                <w:tcPr>
                  <w:tcW w:w="1264" w:type="pct"/>
                  <w:vAlign w:val="center"/>
                </w:tcPr>
                <w:p w14:paraId="23CF6B06">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油漆</w:t>
                  </w:r>
                </w:p>
              </w:tc>
              <w:tc>
                <w:tcPr>
                  <w:tcW w:w="516" w:type="pct"/>
                  <w:vAlign w:val="center"/>
                </w:tcPr>
                <w:p w14:paraId="120065BF">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使用量</w:t>
                  </w:r>
                </w:p>
                <w:p w14:paraId="67498F0F">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（t/a）</w:t>
                  </w:r>
                </w:p>
              </w:tc>
              <w:tc>
                <w:tcPr>
                  <w:tcW w:w="765" w:type="pct"/>
                  <w:vAlign w:val="center"/>
                </w:tcPr>
                <w:p w14:paraId="1D14134C">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固体分含量</w:t>
                  </w:r>
                </w:p>
                <w:p w14:paraId="0C02100A">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516" w:type="pct"/>
                  <w:vAlign w:val="center"/>
                </w:tcPr>
                <w:p w14:paraId="40F84EF8">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固体分</w:t>
                  </w:r>
                </w:p>
                <w:p w14:paraId="462DFE17">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（t/a）</w:t>
                  </w:r>
                </w:p>
              </w:tc>
              <w:tc>
                <w:tcPr>
                  <w:tcW w:w="516" w:type="pct"/>
                  <w:vAlign w:val="center"/>
                </w:tcPr>
                <w:p w14:paraId="39C09F26">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上漆率</w:t>
                  </w:r>
                </w:p>
                <w:p w14:paraId="6D798382">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516" w:type="pct"/>
                  <w:vAlign w:val="center"/>
                </w:tcPr>
                <w:p w14:paraId="573FEDB4">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漆渣</w:t>
                  </w:r>
                </w:p>
                <w:p w14:paraId="058F6878">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产生量</w:t>
                  </w:r>
                </w:p>
                <w:p w14:paraId="7E37DAA0">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（t/a）</w:t>
                  </w:r>
                </w:p>
              </w:tc>
              <w:tc>
                <w:tcPr>
                  <w:tcW w:w="516" w:type="pct"/>
                  <w:vAlign w:val="center"/>
                </w:tcPr>
                <w:p w14:paraId="6A0ECDD3">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漆雾</w:t>
                  </w:r>
                </w:p>
                <w:p w14:paraId="75129295">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产生量</w:t>
                  </w:r>
                </w:p>
                <w:p w14:paraId="69B6F32E">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（t/a）</w:t>
                  </w:r>
                </w:p>
              </w:tc>
            </w:tr>
            <w:tr w14:paraId="625F5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1" w:type="pct"/>
                  <w:vAlign w:val="center"/>
                </w:tcPr>
                <w:p w14:paraId="44927E93">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w:t>
                  </w:r>
                </w:p>
              </w:tc>
              <w:tc>
                <w:tcPr>
                  <w:tcW w:w="1264" w:type="pct"/>
                  <w:vAlign w:val="center"/>
                </w:tcPr>
                <w:p w14:paraId="430EB6FA">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环氧富锌底漆</w:t>
                  </w:r>
                </w:p>
              </w:tc>
              <w:tc>
                <w:tcPr>
                  <w:tcW w:w="516" w:type="pct"/>
                  <w:vAlign w:val="center"/>
                </w:tcPr>
                <w:p w14:paraId="268E6C0A">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4.83</w:t>
                  </w:r>
                </w:p>
              </w:tc>
              <w:tc>
                <w:tcPr>
                  <w:tcW w:w="765" w:type="pct"/>
                  <w:vAlign w:val="center"/>
                </w:tcPr>
                <w:p w14:paraId="40D37F98">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59</w:t>
                  </w:r>
                </w:p>
              </w:tc>
              <w:tc>
                <w:tcPr>
                  <w:tcW w:w="516" w:type="pct"/>
                  <w:vAlign w:val="center"/>
                </w:tcPr>
                <w:p w14:paraId="0CD2BA65">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2.22</w:t>
                  </w:r>
                </w:p>
              </w:tc>
              <w:tc>
                <w:tcPr>
                  <w:tcW w:w="516" w:type="pct"/>
                  <w:vAlign w:val="center"/>
                </w:tcPr>
                <w:p w14:paraId="0B4575CF">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85</w:t>
                  </w:r>
                </w:p>
              </w:tc>
              <w:tc>
                <w:tcPr>
                  <w:tcW w:w="516" w:type="pct"/>
                  <w:vAlign w:val="center"/>
                </w:tcPr>
                <w:p w14:paraId="6D96451C">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0.11</w:t>
                  </w:r>
                </w:p>
              </w:tc>
              <w:tc>
                <w:tcPr>
                  <w:tcW w:w="516" w:type="pct"/>
                  <w:vAlign w:val="center"/>
                </w:tcPr>
                <w:p w14:paraId="02C533C2">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0.22</w:t>
                  </w:r>
                </w:p>
              </w:tc>
            </w:tr>
            <w:tr w14:paraId="7385E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1" w:type="pct"/>
                  <w:vAlign w:val="center"/>
                </w:tcPr>
                <w:p w14:paraId="7F9BE158">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2</w:t>
                  </w:r>
                </w:p>
              </w:tc>
              <w:tc>
                <w:tcPr>
                  <w:tcW w:w="1264" w:type="pct"/>
                  <w:vAlign w:val="center"/>
                </w:tcPr>
                <w:p w14:paraId="1A20DAF7">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环氧云铁中间漆</w:t>
                  </w:r>
                </w:p>
              </w:tc>
              <w:tc>
                <w:tcPr>
                  <w:tcW w:w="516" w:type="pct"/>
                  <w:vAlign w:val="center"/>
                </w:tcPr>
                <w:p w14:paraId="797D0214">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3.05</w:t>
                  </w:r>
                </w:p>
              </w:tc>
              <w:tc>
                <w:tcPr>
                  <w:tcW w:w="765" w:type="pct"/>
                  <w:vAlign w:val="center"/>
                </w:tcPr>
                <w:p w14:paraId="4BC5BCFD">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71</w:t>
                  </w:r>
                </w:p>
              </w:tc>
              <w:tc>
                <w:tcPr>
                  <w:tcW w:w="516" w:type="pct"/>
                  <w:vAlign w:val="center"/>
                </w:tcPr>
                <w:p w14:paraId="7BF01C55">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2.63</w:t>
                  </w:r>
                </w:p>
              </w:tc>
              <w:tc>
                <w:tcPr>
                  <w:tcW w:w="516" w:type="pct"/>
                  <w:vAlign w:val="center"/>
                </w:tcPr>
                <w:p w14:paraId="457BF4B2">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85</w:t>
                  </w:r>
                </w:p>
              </w:tc>
              <w:tc>
                <w:tcPr>
                  <w:tcW w:w="516" w:type="pct"/>
                  <w:vAlign w:val="center"/>
                </w:tcPr>
                <w:p w14:paraId="71918FA0">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0.13</w:t>
                  </w:r>
                </w:p>
              </w:tc>
              <w:tc>
                <w:tcPr>
                  <w:tcW w:w="516" w:type="pct"/>
                  <w:vAlign w:val="center"/>
                </w:tcPr>
                <w:p w14:paraId="3F672868">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0.26</w:t>
                  </w:r>
                </w:p>
              </w:tc>
            </w:tr>
            <w:tr w14:paraId="17BCB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1" w:type="pct"/>
                  <w:vAlign w:val="center"/>
                </w:tcPr>
                <w:p w14:paraId="73C19438">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3</w:t>
                  </w:r>
                </w:p>
              </w:tc>
              <w:tc>
                <w:tcPr>
                  <w:tcW w:w="1264" w:type="pct"/>
                  <w:vAlign w:val="center"/>
                </w:tcPr>
                <w:p w14:paraId="64601284">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无机硅酸富锌底漆</w:t>
                  </w:r>
                </w:p>
              </w:tc>
              <w:tc>
                <w:tcPr>
                  <w:tcW w:w="516" w:type="pct"/>
                  <w:vAlign w:val="center"/>
                </w:tcPr>
                <w:p w14:paraId="54B33AA1">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1.02</w:t>
                  </w:r>
                </w:p>
              </w:tc>
              <w:tc>
                <w:tcPr>
                  <w:tcW w:w="765" w:type="pct"/>
                  <w:vAlign w:val="center"/>
                </w:tcPr>
                <w:p w14:paraId="7ADD02CF">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72</w:t>
                  </w:r>
                </w:p>
              </w:tc>
              <w:tc>
                <w:tcPr>
                  <w:tcW w:w="516" w:type="pct"/>
                  <w:vAlign w:val="center"/>
                </w:tcPr>
                <w:p w14:paraId="0BC1B49E">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0.89</w:t>
                  </w:r>
                </w:p>
              </w:tc>
              <w:tc>
                <w:tcPr>
                  <w:tcW w:w="516" w:type="pct"/>
                  <w:vAlign w:val="center"/>
                </w:tcPr>
                <w:p w14:paraId="213AB6CA">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85</w:t>
                  </w:r>
                </w:p>
              </w:tc>
              <w:tc>
                <w:tcPr>
                  <w:tcW w:w="516" w:type="pct"/>
                  <w:vAlign w:val="center"/>
                </w:tcPr>
                <w:p w14:paraId="4744240E">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0.05</w:t>
                  </w:r>
                </w:p>
              </w:tc>
              <w:tc>
                <w:tcPr>
                  <w:tcW w:w="516" w:type="pct"/>
                  <w:vAlign w:val="center"/>
                </w:tcPr>
                <w:p w14:paraId="64832F5C">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0.09</w:t>
                  </w:r>
                </w:p>
              </w:tc>
            </w:tr>
            <w:tr w14:paraId="11DC6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1" w:type="pct"/>
                  <w:vAlign w:val="center"/>
                </w:tcPr>
                <w:p w14:paraId="042A175A">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4</w:t>
                  </w:r>
                </w:p>
              </w:tc>
              <w:tc>
                <w:tcPr>
                  <w:tcW w:w="1264" w:type="pct"/>
                  <w:vAlign w:val="center"/>
                </w:tcPr>
                <w:p w14:paraId="5DCE96B5">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有机硅耐高温铝粉漆</w:t>
                  </w:r>
                </w:p>
              </w:tc>
              <w:tc>
                <w:tcPr>
                  <w:tcW w:w="516" w:type="pct"/>
                  <w:vAlign w:val="center"/>
                </w:tcPr>
                <w:p w14:paraId="597894BD">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0.37</w:t>
                  </w:r>
                </w:p>
              </w:tc>
              <w:tc>
                <w:tcPr>
                  <w:tcW w:w="765" w:type="pct"/>
                  <w:vAlign w:val="center"/>
                </w:tcPr>
                <w:p w14:paraId="01EF0196">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49</w:t>
                  </w:r>
                </w:p>
              </w:tc>
              <w:tc>
                <w:tcPr>
                  <w:tcW w:w="516" w:type="pct"/>
                  <w:vAlign w:val="center"/>
                </w:tcPr>
                <w:p w14:paraId="491C92AF">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0.22</w:t>
                  </w:r>
                </w:p>
              </w:tc>
              <w:tc>
                <w:tcPr>
                  <w:tcW w:w="516" w:type="pct"/>
                  <w:vAlign w:val="center"/>
                </w:tcPr>
                <w:p w14:paraId="68343072">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85</w:t>
                  </w:r>
                </w:p>
              </w:tc>
              <w:tc>
                <w:tcPr>
                  <w:tcW w:w="516" w:type="pct"/>
                  <w:vAlign w:val="center"/>
                </w:tcPr>
                <w:p w14:paraId="445F9DA2">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0.01</w:t>
                  </w:r>
                </w:p>
              </w:tc>
              <w:tc>
                <w:tcPr>
                  <w:tcW w:w="516" w:type="pct"/>
                  <w:vAlign w:val="center"/>
                </w:tcPr>
                <w:p w14:paraId="35337356">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0.02</w:t>
                  </w:r>
                </w:p>
              </w:tc>
            </w:tr>
            <w:tr w14:paraId="34D39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55" w:type="pct"/>
                  <w:gridSpan w:val="2"/>
                  <w:vAlign w:val="center"/>
                </w:tcPr>
                <w:p w14:paraId="37CCC7EE">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合计</w:t>
                  </w:r>
                </w:p>
              </w:tc>
              <w:tc>
                <w:tcPr>
                  <w:tcW w:w="516" w:type="pct"/>
                  <w:vAlign w:val="center"/>
                </w:tcPr>
                <w:p w14:paraId="461EB78C">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9.27</w:t>
                  </w:r>
                </w:p>
              </w:tc>
              <w:tc>
                <w:tcPr>
                  <w:tcW w:w="765" w:type="pct"/>
                  <w:vAlign w:val="center"/>
                </w:tcPr>
                <w:p w14:paraId="237457A5">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516" w:type="pct"/>
                  <w:vAlign w:val="center"/>
                </w:tcPr>
                <w:p w14:paraId="415309FE">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5.96</w:t>
                  </w:r>
                </w:p>
              </w:tc>
              <w:tc>
                <w:tcPr>
                  <w:tcW w:w="516" w:type="pct"/>
                  <w:vAlign w:val="center"/>
                </w:tcPr>
                <w:p w14:paraId="29B31FD4">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516" w:type="pct"/>
                  <w:vAlign w:val="center"/>
                </w:tcPr>
                <w:p w14:paraId="6616DDAC">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0.3</w:t>
                  </w:r>
                </w:p>
              </w:tc>
              <w:tc>
                <w:tcPr>
                  <w:tcW w:w="516" w:type="pct"/>
                  <w:vAlign w:val="center"/>
                </w:tcPr>
                <w:p w14:paraId="57D8D797">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0.59</w:t>
                  </w:r>
                </w:p>
              </w:tc>
            </w:tr>
          </w:tbl>
          <w:p w14:paraId="2FE56233">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喷漆工序在密闭伸缩式干式喷漆房中进行，喷漆房上方设置废气收集装置，漆雾经管道负压收集至“水帘柜+二级活性炭吸附脱附+CO催化燃烧”处理，最后通过20m排气筒（DA002）排放。喷漆房年运行时间2400h，设计风量为35000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/h。</w:t>
            </w:r>
          </w:p>
          <w:p w14:paraId="38E940F6">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项目喷漆房及废气收集系统严格按照《涂装作业安全规程  喷漆室安全技术规定》（GB14444-2006）和《排风罩的分类及技术条件》（GB/T16758-2008）等文件要求设计，废气收集率可达95%以上，本次评价保守取值95%。二级活性炭吸附脱附装置前端设置有干式过滤器，其中填充玻璃纤维过滤棉，水帘柜漆雾去除率一般为80%~90%，本次评价去除率按80%计，干式过滤棉漆雾去除率一般可达90%以上，本次评价按90%计，则综合去除效率为98%，本次评价保守取值95%。</w:t>
            </w:r>
          </w:p>
          <w:p w14:paraId="516CCC17">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风量核算：</w:t>
            </w:r>
          </w:p>
          <w:p w14:paraId="1888DE68">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根据《环境工程技术手册：废气处理工程技术手册》（王纯、张殿印主编，化学工业出版社，2013年1月第1版），密闭车间换气量计算如下：</w:t>
            </w:r>
          </w:p>
          <w:p w14:paraId="55C90C07">
            <w:pPr>
              <w:adjustRightInd w:val="0"/>
              <w:snapToGrid w:val="0"/>
              <w:spacing w:line="360" w:lineRule="auto"/>
              <w:jc w:val="center"/>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L=nV</w:t>
            </w:r>
          </w:p>
          <w:p w14:paraId="1CDF56FD">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其中：n—换气次数；</w:t>
            </w:r>
          </w:p>
          <w:p w14:paraId="3F18F7B6">
            <w:pPr>
              <w:adjustRightInd w:val="0"/>
              <w:snapToGrid w:val="0"/>
              <w:spacing w:line="360" w:lineRule="auto"/>
              <w:ind w:firstLine="1100" w:firstLineChars="5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V—密闭空间体积，m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w:t>
            </w:r>
          </w:p>
          <w:p w14:paraId="3BE3C5C1">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伸缩式干式喷漆房最大尺寸为15×12×2.8m，即体积为504m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。喷漆房风量需求参照《广东省表面涂装（汽车制造业）挥发性有机废气治理技术指南》（粤环〔2015〕4号）进行核算，换气次数按60次/h计，则通风量为30240m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/h，考虑到风量损失，设计风量取整为35000m</w:t>
            </w:r>
            <w:r>
              <w:rPr>
                <w:rFonts w:hint="eastAsia"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/h，满足换气要求。</w:t>
            </w:r>
          </w:p>
          <w:p w14:paraId="3219085C">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综上，漆雾有组织产生量为0.56t/a，产生速率为0.233kg/h，产生浓度为6.66mg/m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，有组织排放量为0.03t/a，排放速率为0.013kg/h，排放浓度为0.37mg/m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。未收集到的漆雾以无组织形式排放，排放量为0.03t/a，排放速率为0.013kg/h。</w:t>
            </w:r>
          </w:p>
          <w:p w14:paraId="69DBE6B3">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②挥发性有机废气</w:t>
            </w:r>
          </w:p>
          <w:p w14:paraId="02388360">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项目非甲烷总烃产污环节包括调漆、喷涂及自然晾干阶段，整个喷漆工序均在密闭的喷漆房内进行。</w:t>
            </w:r>
          </w:p>
          <w:p w14:paraId="049DE614">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根据油漆资料，项目挥发性有机废气产生情况详见表4-3。</w:t>
            </w:r>
          </w:p>
          <w:p w14:paraId="65727765">
            <w:pPr>
              <w:adjustRightInd w:val="0"/>
              <w:snapToGrid w:val="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表4-3  挥发性有机废气产生情况一览表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1"/>
              <w:gridCol w:w="2048"/>
              <w:gridCol w:w="875"/>
              <w:gridCol w:w="1332"/>
              <w:gridCol w:w="1058"/>
              <w:gridCol w:w="1379"/>
              <w:gridCol w:w="1058"/>
            </w:tblGrid>
            <w:tr w14:paraId="5A382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1" w:type="pct"/>
                  <w:vAlign w:val="center"/>
                </w:tcPr>
                <w:p w14:paraId="735B4158">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序号</w:t>
                  </w:r>
                </w:p>
              </w:tc>
              <w:tc>
                <w:tcPr>
                  <w:tcW w:w="1210" w:type="pct"/>
                  <w:vAlign w:val="center"/>
                </w:tcPr>
                <w:p w14:paraId="0EE6BD24">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油漆</w:t>
                  </w:r>
                </w:p>
              </w:tc>
              <w:tc>
                <w:tcPr>
                  <w:tcW w:w="517" w:type="pct"/>
                  <w:vAlign w:val="center"/>
                </w:tcPr>
                <w:p w14:paraId="44F2BE68">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使用量</w:t>
                  </w:r>
                </w:p>
                <w:p w14:paraId="2F7F7BB1">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（t/a）</w:t>
                  </w:r>
                </w:p>
              </w:tc>
              <w:tc>
                <w:tcPr>
                  <w:tcW w:w="787" w:type="pct"/>
                  <w:vAlign w:val="center"/>
                </w:tcPr>
                <w:p w14:paraId="48B8FBF5">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VOC含量</w:t>
                  </w:r>
                </w:p>
                <w:p w14:paraId="7BA6CADB">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（g/L）</w:t>
                  </w:r>
                </w:p>
              </w:tc>
              <w:tc>
                <w:tcPr>
                  <w:tcW w:w="625" w:type="pct"/>
                  <w:vAlign w:val="center"/>
                </w:tcPr>
                <w:p w14:paraId="78504800">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VOC</w:t>
                  </w:r>
                </w:p>
                <w:p w14:paraId="48C12021">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产生量</w:t>
                  </w:r>
                </w:p>
                <w:p w14:paraId="33FA7379">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（t/a）</w:t>
                  </w:r>
                </w:p>
              </w:tc>
              <w:tc>
                <w:tcPr>
                  <w:tcW w:w="815" w:type="pct"/>
                  <w:vAlign w:val="center"/>
                </w:tcPr>
                <w:p w14:paraId="023EF025">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二甲苯含量</w:t>
                  </w:r>
                </w:p>
                <w:p w14:paraId="0E48EB2E">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625" w:type="pct"/>
                  <w:vAlign w:val="center"/>
                </w:tcPr>
                <w:p w14:paraId="4FC1F2DD">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二甲苯</w:t>
                  </w:r>
                </w:p>
                <w:p w14:paraId="70D3A731">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产生量</w:t>
                  </w:r>
                </w:p>
                <w:p w14:paraId="39BE726A">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（t/a）</w:t>
                  </w:r>
                </w:p>
              </w:tc>
            </w:tr>
            <w:tr w14:paraId="046FA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1" w:type="pct"/>
                  <w:vAlign w:val="center"/>
                </w:tcPr>
                <w:p w14:paraId="364C5FB4">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w:t>
                  </w:r>
                </w:p>
              </w:tc>
              <w:tc>
                <w:tcPr>
                  <w:tcW w:w="1210" w:type="pct"/>
                  <w:vAlign w:val="center"/>
                </w:tcPr>
                <w:p w14:paraId="2B0057F4">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环氧富锌底漆</w:t>
                  </w:r>
                </w:p>
              </w:tc>
              <w:tc>
                <w:tcPr>
                  <w:tcW w:w="517" w:type="pct"/>
                  <w:vAlign w:val="center"/>
                </w:tcPr>
                <w:p w14:paraId="473B0421">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4.83</w:t>
                  </w:r>
                </w:p>
              </w:tc>
              <w:tc>
                <w:tcPr>
                  <w:tcW w:w="787" w:type="pct"/>
                  <w:vAlign w:val="center"/>
                </w:tcPr>
                <w:p w14:paraId="3E1A53AF">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400</w:t>
                  </w:r>
                </w:p>
              </w:tc>
              <w:tc>
                <w:tcPr>
                  <w:tcW w:w="625" w:type="pct"/>
                  <w:vAlign w:val="center"/>
                </w:tcPr>
                <w:p w14:paraId="1309376B">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0.74</w:t>
                  </w:r>
                </w:p>
              </w:tc>
              <w:tc>
                <w:tcPr>
                  <w:tcW w:w="815" w:type="pct"/>
                  <w:vAlign w:val="center"/>
                </w:tcPr>
                <w:p w14:paraId="639FCB5A">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15</w:t>
                  </w:r>
                </w:p>
              </w:tc>
              <w:tc>
                <w:tcPr>
                  <w:tcW w:w="625" w:type="pct"/>
                  <w:vAlign w:val="center"/>
                </w:tcPr>
                <w:p w14:paraId="0449207A">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0.72</w:t>
                  </w:r>
                </w:p>
              </w:tc>
            </w:tr>
            <w:tr w14:paraId="3294C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1" w:type="pct"/>
                  <w:vAlign w:val="center"/>
                </w:tcPr>
                <w:p w14:paraId="4A7BFE7A">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2</w:t>
                  </w:r>
                </w:p>
              </w:tc>
              <w:tc>
                <w:tcPr>
                  <w:tcW w:w="1210" w:type="pct"/>
                  <w:vAlign w:val="center"/>
                </w:tcPr>
                <w:p w14:paraId="11DE6CE2">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环氧云铁中间漆</w:t>
                  </w:r>
                </w:p>
              </w:tc>
              <w:tc>
                <w:tcPr>
                  <w:tcW w:w="517" w:type="pct"/>
                  <w:vAlign w:val="center"/>
                </w:tcPr>
                <w:p w14:paraId="1D03D66C">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3.05</w:t>
                  </w:r>
                </w:p>
              </w:tc>
              <w:tc>
                <w:tcPr>
                  <w:tcW w:w="787" w:type="pct"/>
                  <w:vAlign w:val="center"/>
                </w:tcPr>
                <w:p w14:paraId="3745A92E">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204</w:t>
                  </w:r>
                </w:p>
              </w:tc>
              <w:tc>
                <w:tcPr>
                  <w:tcW w:w="625" w:type="pct"/>
                  <w:vAlign w:val="center"/>
                </w:tcPr>
                <w:p w14:paraId="0678092E">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0.40</w:t>
                  </w:r>
                </w:p>
              </w:tc>
              <w:tc>
                <w:tcPr>
                  <w:tcW w:w="815" w:type="pct"/>
                  <w:vAlign w:val="center"/>
                </w:tcPr>
                <w:p w14:paraId="4604D76B">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13.8</w:t>
                  </w:r>
                </w:p>
              </w:tc>
              <w:tc>
                <w:tcPr>
                  <w:tcW w:w="625" w:type="pct"/>
                  <w:vAlign w:val="center"/>
                </w:tcPr>
                <w:p w14:paraId="42C8F611">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0.42</w:t>
                  </w:r>
                </w:p>
              </w:tc>
            </w:tr>
            <w:tr w14:paraId="51B6A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1" w:type="pct"/>
                  <w:vAlign w:val="center"/>
                </w:tcPr>
                <w:p w14:paraId="11AEEDEE">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3</w:t>
                  </w:r>
                </w:p>
              </w:tc>
              <w:tc>
                <w:tcPr>
                  <w:tcW w:w="1210" w:type="pct"/>
                  <w:vAlign w:val="center"/>
                </w:tcPr>
                <w:p w14:paraId="7EEA6B78">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无机硅酸富锌底漆</w:t>
                  </w:r>
                </w:p>
              </w:tc>
              <w:tc>
                <w:tcPr>
                  <w:tcW w:w="517" w:type="pct"/>
                  <w:vAlign w:val="center"/>
                </w:tcPr>
                <w:p w14:paraId="0229DAA6">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1.02</w:t>
                  </w:r>
                </w:p>
              </w:tc>
              <w:tc>
                <w:tcPr>
                  <w:tcW w:w="787" w:type="pct"/>
                  <w:vAlign w:val="center"/>
                </w:tcPr>
                <w:p w14:paraId="1AB5D61E">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408</w:t>
                  </w:r>
                </w:p>
              </w:tc>
              <w:tc>
                <w:tcPr>
                  <w:tcW w:w="625" w:type="pct"/>
                  <w:vAlign w:val="center"/>
                </w:tcPr>
                <w:p w14:paraId="4CE3FF23">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0.17</w:t>
                  </w:r>
                </w:p>
              </w:tc>
              <w:tc>
                <w:tcPr>
                  <w:tcW w:w="815" w:type="pct"/>
                  <w:vAlign w:val="center"/>
                </w:tcPr>
                <w:p w14:paraId="61BFC212">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3</w:t>
                  </w:r>
                </w:p>
              </w:tc>
              <w:tc>
                <w:tcPr>
                  <w:tcW w:w="625" w:type="pct"/>
                  <w:vAlign w:val="center"/>
                </w:tcPr>
                <w:p w14:paraId="14851D02">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0.03</w:t>
                  </w:r>
                </w:p>
              </w:tc>
            </w:tr>
            <w:tr w14:paraId="1258A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1" w:type="pct"/>
                  <w:vAlign w:val="center"/>
                </w:tcPr>
                <w:p w14:paraId="666C1703">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4</w:t>
                  </w:r>
                </w:p>
              </w:tc>
              <w:tc>
                <w:tcPr>
                  <w:tcW w:w="1210" w:type="pct"/>
                  <w:vAlign w:val="center"/>
                </w:tcPr>
                <w:p w14:paraId="5BBBC0BB">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有机硅耐高温铝粉漆</w:t>
                  </w:r>
                </w:p>
              </w:tc>
              <w:tc>
                <w:tcPr>
                  <w:tcW w:w="517" w:type="pct"/>
                  <w:vAlign w:val="center"/>
                </w:tcPr>
                <w:p w14:paraId="4CDD9C53">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0.37</w:t>
                  </w:r>
                </w:p>
              </w:tc>
              <w:tc>
                <w:tcPr>
                  <w:tcW w:w="787" w:type="pct"/>
                  <w:vAlign w:val="center"/>
                </w:tcPr>
                <w:p w14:paraId="6CC3068C">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485</w:t>
                  </w:r>
                </w:p>
              </w:tc>
              <w:tc>
                <w:tcPr>
                  <w:tcW w:w="625" w:type="pct"/>
                  <w:vAlign w:val="center"/>
                </w:tcPr>
                <w:p w14:paraId="10DF265E">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0.15</w:t>
                  </w:r>
                </w:p>
              </w:tc>
              <w:tc>
                <w:tcPr>
                  <w:tcW w:w="815" w:type="pct"/>
                  <w:vAlign w:val="center"/>
                </w:tcPr>
                <w:p w14:paraId="5BCFA137">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28.97</w:t>
                  </w:r>
                </w:p>
              </w:tc>
              <w:tc>
                <w:tcPr>
                  <w:tcW w:w="625" w:type="pct"/>
                  <w:vAlign w:val="center"/>
                </w:tcPr>
                <w:p w14:paraId="4768963E">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0.11</w:t>
                  </w:r>
                </w:p>
              </w:tc>
            </w:tr>
            <w:tr w14:paraId="021E6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1" w:type="pct"/>
                  <w:vAlign w:val="center"/>
                </w:tcPr>
                <w:p w14:paraId="667A5107">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5</w:t>
                  </w:r>
                </w:p>
              </w:tc>
              <w:tc>
                <w:tcPr>
                  <w:tcW w:w="1210" w:type="pct"/>
                  <w:vAlign w:val="center"/>
                </w:tcPr>
                <w:p w14:paraId="7D835F38">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4号稀释剂</w:t>
                  </w:r>
                </w:p>
              </w:tc>
              <w:tc>
                <w:tcPr>
                  <w:tcW w:w="517" w:type="pct"/>
                  <w:vAlign w:val="center"/>
                </w:tcPr>
                <w:p w14:paraId="33E8D3D7">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0.02</w:t>
                  </w:r>
                </w:p>
              </w:tc>
              <w:tc>
                <w:tcPr>
                  <w:tcW w:w="787" w:type="pct"/>
                  <w:vAlign w:val="center"/>
                </w:tcPr>
                <w:p w14:paraId="0613B98C">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792</w:t>
                  </w:r>
                </w:p>
              </w:tc>
              <w:tc>
                <w:tcPr>
                  <w:tcW w:w="625" w:type="pct"/>
                  <w:vAlign w:val="center"/>
                </w:tcPr>
                <w:p w14:paraId="3DC1EC8D">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0.02</w:t>
                  </w:r>
                </w:p>
              </w:tc>
              <w:tc>
                <w:tcPr>
                  <w:tcW w:w="815" w:type="pct"/>
                  <w:vAlign w:val="center"/>
                </w:tcPr>
                <w:p w14:paraId="539CBC02">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w:t>
                  </w:r>
                </w:p>
              </w:tc>
              <w:tc>
                <w:tcPr>
                  <w:tcW w:w="625" w:type="pct"/>
                  <w:vAlign w:val="center"/>
                </w:tcPr>
                <w:p w14:paraId="3EE569F3">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w:t>
                  </w:r>
                </w:p>
              </w:tc>
            </w:tr>
            <w:tr w14:paraId="66BD6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1" w:type="pct"/>
                  <w:vAlign w:val="center"/>
                </w:tcPr>
                <w:p w14:paraId="4B803B5C">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6</w:t>
                  </w:r>
                </w:p>
              </w:tc>
              <w:tc>
                <w:tcPr>
                  <w:tcW w:w="1210" w:type="pct"/>
                  <w:vAlign w:val="center"/>
                </w:tcPr>
                <w:p w14:paraId="117223F2">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17号稀释剂</w:t>
                  </w:r>
                </w:p>
              </w:tc>
              <w:tc>
                <w:tcPr>
                  <w:tcW w:w="517" w:type="pct"/>
                  <w:vAlign w:val="center"/>
                </w:tcPr>
                <w:p w14:paraId="62D9C77D">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0.17</w:t>
                  </w:r>
                </w:p>
              </w:tc>
              <w:tc>
                <w:tcPr>
                  <w:tcW w:w="787" w:type="pct"/>
                  <w:vAlign w:val="center"/>
                </w:tcPr>
                <w:p w14:paraId="57C6F8AD">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860</w:t>
                  </w:r>
                </w:p>
              </w:tc>
              <w:tc>
                <w:tcPr>
                  <w:tcW w:w="625" w:type="pct"/>
                  <w:vAlign w:val="center"/>
                </w:tcPr>
                <w:p w14:paraId="073EDEC4">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0.17</w:t>
                  </w:r>
                </w:p>
              </w:tc>
              <w:tc>
                <w:tcPr>
                  <w:tcW w:w="815" w:type="pct"/>
                  <w:vAlign w:val="center"/>
                </w:tcPr>
                <w:p w14:paraId="11F4B77C">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w:t>
                  </w:r>
                </w:p>
              </w:tc>
              <w:tc>
                <w:tcPr>
                  <w:tcW w:w="625" w:type="pct"/>
                  <w:vAlign w:val="center"/>
                </w:tcPr>
                <w:p w14:paraId="742FBEF3">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w:t>
                  </w:r>
                </w:p>
              </w:tc>
            </w:tr>
            <w:tr w14:paraId="14E97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31" w:type="pct"/>
                  <w:gridSpan w:val="2"/>
                  <w:vAlign w:val="center"/>
                </w:tcPr>
                <w:p w14:paraId="6EB84BAD">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合计</w:t>
                  </w:r>
                </w:p>
              </w:tc>
              <w:tc>
                <w:tcPr>
                  <w:tcW w:w="517" w:type="pct"/>
                  <w:vAlign w:val="center"/>
                </w:tcPr>
                <w:p w14:paraId="2F3C278E">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9.46</w:t>
                  </w:r>
                </w:p>
              </w:tc>
              <w:tc>
                <w:tcPr>
                  <w:tcW w:w="787" w:type="pct"/>
                  <w:vAlign w:val="center"/>
                </w:tcPr>
                <w:p w14:paraId="31C6483B">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625" w:type="pct"/>
                  <w:vAlign w:val="center"/>
                </w:tcPr>
                <w:p w14:paraId="1ECDCA84">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1.65</w:t>
                  </w:r>
                </w:p>
              </w:tc>
              <w:tc>
                <w:tcPr>
                  <w:tcW w:w="815" w:type="pct"/>
                  <w:vAlign w:val="center"/>
                </w:tcPr>
                <w:p w14:paraId="57DEDD94">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625" w:type="pct"/>
                  <w:vAlign w:val="center"/>
                </w:tcPr>
                <w:p w14:paraId="1BE75660">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1.28</w:t>
                  </w:r>
                </w:p>
              </w:tc>
            </w:tr>
            <w:tr w14:paraId="0DF56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7"/>
                  <w:vAlign w:val="center"/>
                </w:tcPr>
                <w:p w14:paraId="25782A24">
                  <w:pPr>
                    <w:adjustRightInd w:val="0"/>
                    <w:snapToGrid w:val="0"/>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注：由于油漆产品技术参数和成分检测报告中的VOC含量有出入，本次评价从最不利角度出发，按含量较多的产品技术参数进行核算。</w:t>
                  </w:r>
                </w:p>
              </w:tc>
            </w:tr>
          </w:tbl>
          <w:p w14:paraId="763274DC">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本次评价从最不利角度出发，调漆、喷涂及自然晾干阶段，挥发性有机物和二甲苯按全部挥发计，则非甲烷总烃产生量为1.65t/a，二甲苯产生量为1.28t/a。</w:t>
            </w:r>
          </w:p>
          <w:p w14:paraId="2F865187">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项目喷漆房废气收集率按95%计，二级活性炭吸附脱附装置严格按照《吸附法工业有机废气治理工程技术规范》（HJ2026-2013）要求设计，去除率不低于90%，本次评价保守取值90%；根据《排放源统计调查产排污核算方法和系数手册》（公告2021年第24号）-33-37，431-434机械行业系数手册，CO催化燃烧装置去除率为77%；则项目废气处理设施综合去除效率为99.9%，本次评价保守取值95%。</w:t>
            </w:r>
          </w:p>
          <w:p w14:paraId="6CD25F85">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综上，非甲烷总烃有组织产生量为1.57t/a，产生速率为0.654kg/h，产生浓度为18.69mg/m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；有组织排放量为0.08t/a，排放速率为0.033kg/h，排放浓度为0.94mg/m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；未收集到的非甲烷总烃以无组织形式排放，排放量为0.08t/a，排放速率为0.033kg/h。二甲苯有组织产生量为1.22t/a，产生速率为0.508kg/h，产生浓度为14.51mg/m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，有组织排放量为0.06t/a，排放速率为0.025kg/h，排放浓度为0.71mg/m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。未收集到的二甲苯以无组织形式排放，排放量为0.06t/a，排放速率为0.025kg/h。</w:t>
            </w:r>
          </w:p>
          <w:p w14:paraId="55F7BC93">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项目喷涂废气产排情况详见表4-4。</w:t>
            </w:r>
          </w:p>
          <w:p w14:paraId="6FC1037C">
            <w:pPr>
              <w:adjustRightInd w:val="0"/>
              <w:snapToGrid w:val="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表4-4  喷涂废气产排情况一览表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2"/>
              <w:gridCol w:w="799"/>
              <w:gridCol w:w="413"/>
              <w:gridCol w:w="726"/>
              <w:gridCol w:w="682"/>
              <w:gridCol w:w="1063"/>
              <w:gridCol w:w="413"/>
              <w:gridCol w:w="1187"/>
              <w:gridCol w:w="821"/>
              <w:gridCol w:w="1063"/>
              <w:gridCol w:w="882"/>
            </w:tblGrid>
            <w:tr w14:paraId="6C3AE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 w:type="pct"/>
                  <w:vAlign w:val="center"/>
                </w:tcPr>
                <w:p w14:paraId="2EB2DA8D">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产排污环节</w:t>
                  </w:r>
                </w:p>
              </w:tc>
              <w:tc>
                <w:tcPr>
                  <w:tcW w:w="472" w:type="pct"/>
                  <w:vAlign w:val="center"/>
                </w:tcPr>
                <w:p w14:paraId="1E7718AF">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排气筒编号</w:t>
                  </w:r>
                </w:p>
              </w:tc>
              <w:tc>
                <w:tcPr>
                  <w:tcW w:w="244" w:type="pct"/>
                  <w:vAlign w:val="center"/>
                </w:tcPr>
                <w:p w14:paraId="59FAB3A9">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污染物</w:t>
                  </w:r>
                </w:p>
              </w:tc>
              <w:tc>
                <w:tcPr>
                  <w:tcW w:w="429" w:type="pct"/>
                  <w:vAlign w:val="center"/>
                </w:tcPr>
                <w:p w14:paraId="6D065885">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产生量</w:t>
                  </w:r>
                </w:p>
                <w:p w14:paraId="6CD065C2">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(t</w:t>
                  </w:r>
                  <w:r>
                    <w:rPr>
                      <w:rFonts w:cs="宋体"/>
                      <w:bCs/>
                      <w:color w:val="0D0D0D" w:themeColor="text1" w:themeTint="F2"/>
                      <w:spacing w:val="-10"/>
                      <w:szCs w:val="21"/>
                      <w:u w:val="single"/>
                      <w14:textFill>
                        <w14:solidFill>
                          <w14:schemeClr w14:val="tx1">
                            <w14:lumMod w14:val="95000"/>
                            <w14:lumOff w14:val="5000"/>
                          </w14:schemeClr>
                        </w14:solidFill>
                      </w14:textFill>
                    </w:rPr>
                    <w:t>/a</w:t>
                  </w: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403" w:type="pct"/>
                  <w:vAlign w:val="center"/>
                </w:tcPr>
                <w:p w14:paraId="458A45AC">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产生</w:t>
                  </w:r>
                </w:p>
                <w:p w14:paraId="649FBF2F">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速率</w:t>
                  </w:r>
                </w:p>
                <w:p w14:paraId="7C877E50">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(kg/h)</w:t>
                  </w:r>
                </w:p>
              </w:tc>
              <w:tc>
                <w:tcPr>
                  <w:tcW w:w="628" w:type="pct"/>
                  <w:vAlign w:val="center"/>
                </w:tcPr>
                <w:p w14:paraId="7D637FBB">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产生</w:t>
                  </w:r>
                </w:p>
                <w:p w14:paraId="6D281BB9">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浓度</w:t>
                  </w:r>
                </w:p>
                <w:p w14:paraId="5B016D44">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(m</w:t>
                  </w:r>
                  <w:r>
                    <w:rPr>
                      <w:rFonts w:cs="宋体"/>
                      <w:bCs/>
                      <w:color w:val="0D0D0D" w:themeColor="text1" w:themeTint="F2"/>
                      <w:spacing w:val="-10"/>
                      <w:szCs w:val="21"/>
                      <w:u w:val="single"/>
                      <w14:textFill>
                        <w14:solidFill>
                          <w14:schemeClr w14:val="tx1">
                            <w14:lumMod w14:val="95000"/>
                            <w14:lumOff w14:val="5000"/>
                          </w14:schemeClr>
                        </w14:solidFill>
                      </w14:textFill>
                    </w:rPr>
                    <w:t>g/m</w:t>
                  </w:r>
                  <w:r>
                    <w:rPr>
                      <w:rFonts w:cs="宋体"/>
                      <w:bCs/>
                      <w:color w:val="0D0D0D" w:themeColor="text1" w:themeTint="F2"/>
                      <w:spacing w:val="-10"/>
                      <w:szCs w:val="21"/>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244" w:type="pct"/>
                  <w:vAlign w:val="center"/>
                </w:tcPr>
                <w:p w14:paraId="60C9BD17">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排放形式</w:t>
                  </w:r>
                </w:p>
              </w:tc>
              <w:tc>
                <w:tcPr>
                  <w:tcW w:w="701" w:type="pct"/>
                  <w:vAlign w:val="center"/>
                </w:tcPr>
                <w:p w14:paraId="265B061A">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治理</w:t>
                  </w:r>
                </w:p>
                <w:p w14:paraId="5163A0BA">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措施</w:t>
                  </w:r>
                </w:p>
              </w:tc>
              <w:tc>
                <w:tcPr>
                  <w:tcW w:w="485" w:type="pct"/>
                  <w:vAlign w:val="center"/>
                </w:tcPr>
                <w:p w14:paraId="3276545B">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排放量</w:t>
                  </w:r>
                </w:p>
                <w:p w14:paraId="337A6310">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(t</w:t>
                  </w:r>
                  <w:r>
                    <w:rPr>
                      <w:rFonts w:cs="宋体"/>
                      <w:bCs/>
                      <w:color w:val="0D0D0D" w:themeColor="text1" w:themeTint="F2"/>
                      <w:spacing w:val="-10"/>
                      <w:szCs w:val="21"/>
                      <w:u w:val="single"/>
                      <w14:textFill>
                        <w14:solidFill>
                          <w14:schemeClr w14:val="tx1">
                            <w14:lumMod w14:val="95000"/>
                            <w14:lumOff w14:val="5000"/>
                          </w14:schemeClr>
                        </w14:solidFill>
                      </w14:textFill>
                    </w:rPr>
                    <w:t>/a</w:t>
                  </w: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628" w:type="pct"/>
                  <w:vAlign w:val="center"/>
                </w:tcPr>
                <w:p w14:paraId="588F8D33">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排放</w:t>
                  </w:r>
                </w:p>
                <w:p w14:paraId="1628C471">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速率</w:t>
                  </w:r>
                </w:p>
                <w:p w14:paraId="223FE57E">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(kg/h)</w:t>
                  </w:r>
                </w:p>
              </w:tc>
              <w:tc>
                <w:tcPr>
                  <w:tcW w:w="521" w:type="pct"/>
                  <w:vAlign w:val="center"/>
                </w:tcPr>
                <w:p w14:paraId="587A27E5">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排放</w:t>
                  </w:r>
                </w:p>
                <w:p w14:paraId="61596DEE">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浓度</w:t>
                  </w:r>
                </w:p>
                <w:p w14:paraId="12EEBFA5">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(m</w:t>
                  </w:r>
                  <w:r>
                    <w:rPr>
                      <w:rFonts w:cs="宋体"/>
                      <w:bCs/>
                      <w:color w:val="0D0D0D" w:themeColor="text1" w:themeTint="F2"/>
                      <w:spacing w:val="-10"/>
                      <w:szCs w:val="21"/>
                      <w:u w:val="single"/>
                      <w14:textFill>
                        <w14:solidFill>
                          <w14:schemeClr w14:val="tx1">
                            <w14:lumMod w14:val="95000"/>
                            <w14:lumOff w14:val="5000"/>
                          </w14:schemeClr>
                        </w14:solidFill>
                      </w14:textFill>
                    </w:rPr>
                    <w:t>g/m</w:t>
                  </w:r>
                  <w:r>
                    <w:rPr>
                      <w:rFonts w:cs="宋体"/>
                      <w:bCs/>
                      <w:color w:val="0D0D0D" w:themeColor="text1" w:themeTint="F2"/>
                      <w:spacing w:val="-10"/>
                      <w:szCs w:val="21"/>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r>
            <w:tr w14:paraId="04FA8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 w:type="pct"/>
                  <w:vMerge w:val="restart"/>
                  <w:vAlign w:val="center"/>
                </w:tcPr>
                <w:p w14:paraId="2B1A7F5A">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喷漆</w:t>
                  </w:r>
                </w:p>
              </w:tc>
              <w:tc>
                <w:tcPr>
                  <w:tcW w:w="472" w:type="pct"/>
                  <w:vMerge w:val="restart"/>
                  <w:vAlign w:val="center"/>
                </w:tcPr>
                <w:p w14:paraId="3294575E">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D</w:t>
                  </w:r>
                  <w:r>
                    <w:rPr>
                      <w:rFonts w:cs="宋体"/>
                      <w:bCs/>
                      <w:color w:val="0D0D0D" w:themeColor="text1" w:themeTint="F2"/>
                      <w:spacing w:val="-10"/>
                      <w:szCs w:val="21"/>
                      <w:u w:val="single"/>
                      <w14:textFill>
                        <w14:solidFill>
                          <w14:schemeClr w14:val="tx1">
                            <w14:lumMod w14:val="95000"/>
                            <w14:lumOff w14:val="5000"/>
                          </w14:schemeClr>
                        </w14:solidFill>
                      </w14:textFill>
                    </w:rPr>
                    <w:t>A00</w:t>
                  </w:r>
                  <w:r>
                    <w:rPr>
                      <w:rFonts w:hint="eastAsia" w:cs="宋体"/>
                      <w:bCs/>
                      <w:color w:val="0D0D0D" w:themeColor="text1" w:themeTint="F2"/>
                      <w:spacing w:val="-10"/>
                      <w:szCs w:val="21"/>
                      <w:u w:val="single"/>
                      <w14:textFill>
                        <w14:solidFill>
                          <w14:schemeClr w14:val="tx1">
                            <w14:lumMod w14:val="95000"/>
                            <w14:lumOff w14:val="5000"/>
                          </w14:schemeClr>
                        </w14:solidFill>
                      </w14:textFill>
                    </w:rPr>
                    <w:t>2</w:t>
                  </w:r>
                </w:p>
              </w:tc>
              <w:tc>
                <w:tcPr>
                  <w:tcW w:w="244" w:type="pct"/>
                  <w:vAlign w:val="center"/>
                </w:tcPr>
                <w:p w14:paraId="7FE88969">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非甲烷总烃</w:t>
                  </w:r>
                </w:p>
              </w:tc>
              <w:tc>
                <w:tcPr>
                  <w:tcW w:w="429" w:type="pct"/>
                  <w:vAlign w:val="center"/>
                </w:tcPr>
                <w:p w14:paraId="16EC804D">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1.57</w:t>
                  </w:r>
                </w:p>
              </w:tc>
              <w:tc>
                <w:tcPr>
                  <w:tcW w:w="403" w:type="pct"/>
                  <w:vAlign w:val="center"/>
                </w:tcPr>
                <w:p w14:paraId="77A56A85">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0.654</w:t>
                  </w:r>
                </w:p>
              </w:tc>
              <w:tc>
                <w:tcPr>
                  <w:tcW w:w="628" w:type="pct"/>
                  <w:vAlign w:val="center"/>
                </w:tcPr>
                <w:p w14:paraId="0A02C6E5">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18.69</w:t>
                  </w:r>
                </w:p>
              </w:tc>
              <w:tc>
                <w:tcPr>
                  <w:tcW w:w="244" w:type="pct"/>
                  <w:vMerge w:val="restart"/>
                  <w:vAlign w:val="center"/>
                </w:tcPr>
                <w:p w14:paraId="2794E628">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有组织</w:t>
                  </w:r>
                </w:p>
              </w:tc>
              <w:tc>
                <w:tcPr>
                  <w:tcW w:w="701" w:type="pct"/>
                  <w:vMerge w:val="restart"/>
                  <w:vAlign w:val="center"/>
                </w:tcPr>
                <w:p w14:paraId="164E5165">
                  <w:pPr>
                    <w:adjustRightInd w:val="0"/>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水帘柜+二级活性炭吸附脱附+CO催化燃烧+20m排气筒（DA002）</w:t>
                  </w:r>
                </w:p>
              </w:tc>
              <w:tc>
                <w:tcPr>
                  <w:tcW w:w="485" w:type="pct"/>
                  <w:vAlign w:val="center"/>
                </w:tcPr>
                <w:p w14:paraId="564F754E">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0.08</w:t>
                  </w:r>
                </w:p>
              </w:tc>
              <w:tc>
                <w:tcPr>
                  <w:tcW w:w="628" w:type="pct"/>
                  <w:vAlign w:val="center"/>
                </w:tcPr>
                <w:p w14:paraId="59D43F14">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0.033</w:t>
                  </w:r>
                </w:p>
              </w:tc>
              <w:tc>
                <w:tcPr>
                  <w:tcW w:w="521" w:type="pct"/>
                  <w:vAlign w:val="center"/>
                </w:tcPr>
                <w:p w14:paraId="3E84BAAE">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0.94</w:t>
                  </w:r>
                </w:p>
              </w:tc>
            </w:tr>
            <w:tr w14:paraId="5A53E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 w:type="pct"/>
                  <w:vMerge w:val="continue"/>
                  <w:vAlign w:val="center"/>
                </w:tcPr>
                <w:p w14:paraId="4408DEE0">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p>
              </w:tc>
              <w:tc>
                <w:tcPr>
                  <w:tcW w:w="472" w:type="pct"/>
                  <w:vMerge w:val="continue"/>
                  <w:vAlign w:val="center"/>
                </w:tcPr>
                <w:p w14:paraId="235AFDA9">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p>
              </w:tc>
              <w:tc>
                <w:tcPr>
                  <w:tcW w:w="244" w:type="pct"/>
                  <w:vAlign w:val="center"/>
                </w:tcPr>
                <w:p w14:paraId="74C1FE67">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二甲苯</w:t>
                  </w:r>
                </w:p>
              </w:tc>
              <w:tc>
                <w:tcPr>
                  <w:tcW w:w="429" w:type="pct"/>
                  <w:vAlign w:val="center"/>
                </w:tcPr>
                <w:p w14:paraId="5149B698">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1.22</w:t>
                  </w:r>
                </w:p>
              </w:tc>
              <w:tc>
                <w:tcPr>
                  <w:tcW w:w="403" w:type="pct"/>
                  <w:vAlign w:val="center"/>
                </w:tcPr>
                <w:p w14:paraId="7BD31AFF">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0.508</w:t>
                  </w:r>
                </w:p>
              </w:tc>
              <w:tc>
                <w:tcPr>
                  <w:tcW w:w="628" w:type="pct"/>
                  <w:vAlign w:val="center"/>
                </w:tcPr>
                <w:p w14:paraId="13EEC4C1">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14.51</w:t>
                  </w:r>
                </w:p>
              </w:tc>
              <w:tc>
                <w:tcPr>
                  <w:tcW w:w="244" w:type="pct"/>
                  <w:vMerge w:val="continue"/>
                  <w:vAlign w:val="center"/>
                </w:tcPr>
                <w:p w14:paraId="49FEEA4B">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p>
              </w:tc>
              <w:tc>
                <w:tcPr>
                  <w:tcW w:w="701" w:type="pct"/>
                  <w:vMerge w:val="continue"/>
                  <w:vAlign w:val="center"/>
                </w:tcPr>
                <w:p w14:paraId="536F1257">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p>
              </w:tc>
              <w:tc>
                <w:tcPr>
                  <w:tcW w:w="485" w:type="pct"/>
                  <w:vAlign w:val="center"/>
                </w:tcPr>
                <w:p w14:paraId="5101063A">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0.06</w:t>
                  </w:r>
                </w:p>
              </w:tc>
              <w:tc>
                <w:tcPr>
                  <w:tcW w:w="628" w:type="pct"/>
                  <w:vAlign w:val="center"/>
                </w:tcPr>
                <w:p w14:paraId="3E3D42FD">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0.025</w:t>
                  </w:r>
                </w:p>
              </w:tc>
              <w:tc>
                <w:tcPr>
                  <w:tcW w:w="521" w:type="pct"/>
                  <w:vAlign w:val="center"/>
                </w:tcPr>
                <w:p w14:paraId="4F3FB6C8">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0.71</w:t>
                  </w:r>
                </w:p>
              </w:tc>
            </w:tr>
            <w:tr w14:paraId="7F891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 w:type="pct"/>
                  <w:vMerge w:val="continue"/>
                  <w:vAlign w:val="center"/>
                </w:tcPr>
                <w:p w14:paraId="5BB962FA">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p>
              </w:tc>
              <w:tc>
                <w:tcPr>
                  <w:tcW w:w="472" w:type="pct"/>
                  <w:vMerge w:val="continue"/>
                  <w:vAlign w:val="center"/>
                </w:tcPr>
                <w:p w14:paraId="72170927">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p>
              </w:tc>
              <w:tc>
                <w:tcPr>
                  <w:tcW w:w="244" w:type="pct"/>
                  <w:vAlign w:val="center"/>
                </w:tcPr>
                <w:p w14:paraId="78C7126D">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颗粒物</w:t>
                  </w:r>
                </w:p>
              </w:tc>
              <w:tc>
                <w:tcPr>
                  <w:tcW w:w="429" w:type="pct"/>
                  <w:vAlign w:val="center"/>
                </w:tcPr>
                <w:p w14:paraId="081AEA25">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0.56</w:t>
                  </w:r>
                </w:p>
              </w:tc>
              <w:tc>
                <w:tcPr>
                  <w:tcW w:w="403" w:type="pct"/>
                  <w:vAlign w:val="center"/>
                </w:tcPr>
                <w:p w14:paraId="0EC8BCEC">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0.233</w:t>
                  </w:r>
                </w:p>
              </w:tc>
              <w:tc>
                <w:tcPr>
                  <w:tcW w:w="628" w:type="pct"/>
                  <w:vAlign w:val="center"/>
                </w:tcPr>
                <w:p w14:paraId="0B953B60">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6.66</w:t>
                  </w:r>
                </w:p>
              </w:tc>
              <w:tc>
                <w:tcPr>
                  <w:tcW w:w="244" w:type="pct"/>
                  <w:vMerge w:val="continue"/>
                  <w:vAlign w:val="center"/>
                </w:tcPr>
                <w:p w14:paraId="7713929C">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p>
              </w:tc>
              <w:tc>
                <w:tcPr>
                  <w:tcW w:w="701" w:type="pct"/>
                  <w:vMerge w:val="continue"/>
                  <w:vAlign w:val="center"/>
                </w:tcPr>
                <w:p w14:paraId="44EC687A">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p>
              </w:tc>
              <w:tc>
                <w:tcPr>
                  <w:tcW w:w="485" w:type="pct"/>
                  <w:vAlign w:val="center"/>
                </w:tcPr>
                <w:p w14:paraId="77E8E944">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0.03</w:t>
                  </w:r>
                </w:p>
              </w:tc>
              <w:tc>
                <w:tcPr>
                  <w:tcW w:w="628" w:type="pct"/>
                  <w:vAlign w:val="center"/>
                </w:tcPr>
                <w:p w14:paraId="52B17A1E">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0.013</w:t>
                  </w:r>
                </w:p>
              </w:tc>
              <w:tc>
                <w:tcPr>
                  <w:tcW w:w="521" w:type="pct"/>
                  <w:vAlign w:val="center"/>
                </w:tcPr>
                <w:p w14:paraId="7DA6B560">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0.37</w:t>
                  </w:r>
                </w:p>
              </w:tc>
            </w:tr>
            <w:tr w14:paraId="1113F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 w:type="pct"/>
                  <w:vMerge w:val="continue"/>
                  <w:vAlign w:val="center"/>
                </w:tcPr>
                <w:p w14:paraId="1AD75127">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p>
              </w:tc>
              <w:tc>
                <w:tcPr>
                  <w:tcW w:w="472" w:type="pct"/>
                  <w:vMerge w:val="restart"/>
                  <w:vAlign w:val="center"/>
                </w:tcPr>
                <w:p w14:paraId="51510C46">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244" w:type="pct"/>
                  <w:vAlign w:val="center"/>
                </w:tcPr>
                <w:p w14:paraId="2D50C1BB">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非甲烷总烃</w:t>
                  </w:r>
                </w:p>
              </w:tc>
              <w:tc>
                <w:tcPr>
                  <w:tcW w:w="429" w:type="pct"/>
                  <w:vAlign w:val="center"/>
                </w:tcPr>
                <w:p w14:paraId="0E24F6C8">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0.08</w:t>
                  </w:r>
                </w:p>
              </w:tc>
              <w:tc>
                <w:tcPr>
                  <w:tcW w:w="403" w:type="pct"/>
                  <w:vAlign w:val="center"/>
                </w:tcPr>
                <w:p w14:paraId="33419238">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0.033</w:t>
                  </w:r>
                </w:p>
              </w:tc>
              <w:tc>
                <w:tcPr>
                  <w:tcW w:w="628" w:type="pct"/>
                  <w:vAlign w:val="center"/>
                </w:tcPr>
                <w:p w14:paraId="3B1C13F3">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244" w:type="pct"/>
                  <w:vAlign w:val="center"/>
                </w:tcPr>
                <w:p w14:paraId="3F361B15">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无组织</w:t>
                  </w:r>
                </w:p>
              </w:tc>
              <w:tc>
                <w:tcPr>
                  <w:tcW w:w="701" w:type="pct"/>
                  <w:vAlign w:val="center"/>
                </w:tcPr>
                <w:p w14:paraId="19B9CB40">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485" w:type="pct"/>
                  <w:vAlign w:val="center"/>
                </w:tcPr>
                <w:p w14:paraId="511F1F61">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0.08</w:t>
                  </w:r>
                </w:p>
              </w:tc>
              <w:tc>
                <w:tcPr>
                  <w:tcW w:w="628" w:type="pct"/>
                  <w:vAlign w:val="center"/>
                </w:tcPr>
                <w:p w14:paraId="13DA77CC">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0.033</w:t>
                  </w:r>
                </w:p>
              </w:tc>
              <w:tc>
                <w:tcPr>
                  <w:tcW w:w="521" w:type="pct"/>
                  <w:vAlign w:val="center"/>
                </w:tcPr>
                <w:p w14:paraId="3F328B3A">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r>
            <w:tr w14:paraId="334A0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 w:type="pct"/>
                  <w:vMerge w:val="continue"/>
                  <w:vAlign w:val="center"/>
                </w:tcPr>
                <w:p w14:paraId="333A428B">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p>
              </w:tc>
              <w:tc>
                <w:tcPr>
                  <w:tcW w:w="472" w:type="pct"/>
                  <w:vMerge w:val="continue"/>
                  <w:vAlign w:val="center"/>
                </w:tcPr>
                <w:p w14:paraId="5D1797B3">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p>
              </w:tc>
              <w:tc>
                <w:tcPr>
                  <w:tcW w:w="244" w:type="pct"/>
                  <w:vAlign w:val="center"/>
                </w:tcPr>
                <w:p w14:paraId="6D23999F">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二甲苯</w:t>
                  </w:r>
                </w:p>
              </w:tc>
              <w:tc>
                <w:tcPr>
                  <w:tcW w:w="429" w:type="pct"/>
                  <w:vAlign w:val="center"/>
                </w:tcPr>
                <w:p w14:paraId="09C962AC">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0.06</w:t>
                  </w:r>
                </w:p>
              </w:tc>
              <w:tc>
                <w:tcPr>
                  <w:tcW w:w="403" w:type="pct"/>
                  <w:vAlign w:val="center"/>
                </w:tcPr>
                <w:p w14:paraId="2A84EFF1">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0.025</w:t>
                  </w:r>
                </w:p>
              </w:tc>
              <w:tc>
                <w:tcPr>
                  <w:tcW w:w="628" w:type="pct"/>
                  <w:vAlign w:val="center"/>
                </w:tcPr>
                <w:p w14:paraId="0DDB2858">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244" w:type="pct"/>
                  <w:vAlign w:val="center"/>
                </w:tcPr>
                <w:p w14:paraId="2BA772DD">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无组织</w:t>
                  </w:r>
                </w:p>
              </w:tc>
              <w:tc>
                <w:tcPr>
                  <w:tcW w:w="701" w:type="pct"/>
                  <w:vAlign w:val="center"/>
                </w:tcPr>
                <w:p w14:paraId="51EE5948">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485" w:type="pct"/>
                  <w:vAlign w:val="center"/>
                </w:tcPr>
                <w:p w14:paraId="4F3853C2">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0.06</w:t>
                  </w:r>
                </w:p>
              </w:tc>
              <w:tc>
                <w:tcPr>
                  <w:tcW w:w="628" w:type="pct"/>
                  <w:vAlign w:val="center"/>
                </w:tcPr>
                <w:p w14:paraId="29DC68E7">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0.025</w:t>
                  </w:r>
                </w:p>
              </w:tc>
              <w:tc>
                <w:tcPr>
                  <w:tcW w:w="521" w:type="pct"/>
                  <w:vAlign w:val="center"/>
                </w:tcPr>
                <w:p w14:paraId="07B12E4D">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r>
            <w:tr w14:paraId="71E3F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 w:type="pct"/>
                  <w:vMerge w:val="continue"/>
                  <w:vAlign w:val="center"/>
                </w:tcPr>
                <w:p w14:paraId="74C99EEE">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p>
              </w:tc>
              <w:tc>
                <w:tcPr>
                  <w:tcW w:w="472" w:type="pct"/>
                  <w:vMerge w:val="continue"/>
                  <w:vAlign w:val="center"/>
                </w:tcPr>
                <w:p w14:paraId="75E3051F">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p>
              </w:tc>
              <w:tc>
                <w:tcPr>
                  <w:tcW w:w="244" w:type="pct"/>
                  <w:vAlign w:val="center"/>
                </w:tcPr>
                <w:p w14:paraId="21486F6C">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颗粒物</w:t>
                  </w:r>
                </w:p>
              </w:tc>
              <w:tc>
                <w:tcPr>
                  <w:tcW w:w="429" w:type="pct"/>
                  <w:vAlign w:val="center"/>
                </w:tcPr>
                <w:p w14:paraId="72E75122">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0.03</w:t>
                  </w:r>
                </w:p>
              </w:tc>
              <w:tc>
                <w:tcPr>
                  <w:tcW w:w="403" w:type="pct"/>
                  <w:vAlign w:val="center"/>
                </w:tcPr>
                <w:p w14:paraId="179EB8CC">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0.013</w:t>
                  </w:r>
                </w:p>
              </w:tc>
              <w:tc>
                <w:tcPr>
                  <w:tcW w:w="628" w:type="pct"/>
                  <w:vAlign w:val="center"/>
                </w:tcPr>
                <w:p w14:paraId="2F206975">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244" w:type="pct"/>
                  <w:vAlign w:val="center"/>
                </w:tcPr>
                <w:p w14:paraId="097A7AC2">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无组织</w:t>
                  </w:r>
                </w:p>
              </w:tc>
              <w:tc>
                <w:tcPr>
                  <w:tcW w:w="701" w:type="pct"/>
                  <w:vAlign w:val="center"/>
                </w:tcPr>
                <w:p w14:paraId="3AC4225E">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485" w:type="pct"/>
                  <w:vAlign w:val="center"/>
                </w:tcPr>
                <w:p w14:paraId="697CA958">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0.03</w:t>
                  </w:r>
                </w:p>
              </w:tc>
              <w:tc>
                <w:tcPr>
                  <w:tcW w:w="628" w:type="pct"/>
                  <w:vAlign w:val="center"/>
                </w:tcPr>
                <w:p w14:paraId="42C1FE41">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0.013</w:t>
                  </w:r>
                </w:p>
              </w:tc>
              <w:tc>
                <w:tcPr>
                  <w:tcW w:w="521" w:type="pct"/>
                  <w:vAlign w:val="center"/>
                </w:tcPr>
                <w:p w14:paraId="2743DF8D">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r>
            <w:tr w14:paraId="2BFA8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 w:type="pct"/>
                  <w:vMerge w:val="continue"/>
                  <w:vAlign w:val="center"/>
                </w:tcPr>
                <w:p w14:paraId="7F30501F">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p>
              </w:tc>
              <w:tc>
                <w:tcPr>
                  <w:tcW w:w="472" w:type="pct"/>
                  <w:vMerge w:val="restart"/>
                  <w:vAlign w:val="center"/>
                </w:tcPr>
                <w:p w14:paraId="7B7EA487">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合计</w:t>
                  </w:r>
                </w:p>
              </w:tc>
              <w:tc>
                <w:tcPr>
                  <w:tcW w:w="244" w:type="pct"/>
                  <w:vAlign w:val="center"/>
                </w:tcPr>
                <w:p w14:paraId="447AC534">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非甲烷总烃</w:t>
                  </w:r>
                </w:p>
              </w:tc>
              <w:tc>
                <w:tcPr>
                  <w:tcW w:w="429" w:type="pct"/>
                  <w:vAlign w:val="center"/>
                </w:tcPr>
                <w:p w14:paraId="34EC46F7">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1.65</w:t>
                  </w:r>
                </w:p>
              </w:tc>
              <w:tc>
                <w:tcPr>
                  <w:tcW w:w="403" w:type="pct"/>
                  <w:vAlign w:val="center"/>
                </w:tcPr>
                <w:p w14:paraId="676B3ADC">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628" w:type="pct"/>
                  <w:vAlign w:val="center"/>
                </w:tcPr>
                <w:p w14:paraId="17BDEE8E">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244" w:type="pct"/>
                  <w:vAlign w:val="center"/>
                </w:tcPr>
                <w:p w14:paraId="6C756EE3">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701" w:type="pct"/>
                  <w:vAlign w:val="center"/>
                </w:tcPr>
                <w:p w14:paraId="702BE83B">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485" w:type="pct"/>
                  <w:vAlign w:val="center"/>
                </w:tcPr>
                <w:p w14:paraId="5F7923AE">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0.16</w:t>
                  </w:r>
                </w:p>
              </w:tc>
              <w:tc>
                <w:tcPr>
                  <w:tcW w:w="628" w:type="pct"/>
                  <w:vAlign w:val="center"/>
                </w:tcPr>
                <w:p w14:paraId="455ABAFA">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521" w:type="pct"/>
                  <w:vAlign w:val="center"/>
                </w:tcPr>
                <w:p w14:paraId="44C3F0D2">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r>
            <w:tr w14:paraId="4F261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 w:type="pct"/>
                  <w:vMerge w:val="continue"/>
                  <w:vAlign w:val="center"/>
                </w:tcPr>
                <w:p w14:paraId="74C38F06">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p>
              </w:tc>
              <w:tc>
                <w:tcPr>
                  <w:tcW w:w="472" w:type="pct"/>
                  <w:vMerge w:val="continue"/>
                  <w:vAlign w:val="center"/>
                </w:tcPr>
                <w:p w14:paraId="0D52D198">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p>
              </w:tc>
              <w:tc>
                <w:tcPr>
                  <w:tcW w:w="244" w:type="pct"/>
                  <w:vAlign w:val="center"/>
                </w:tcPr>
                <w:p w14:paraId="3D3F63CC">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二甲苯</w:t>
                  </w:r>
                </w:p>
              </w:tc>
              <w:tc>
                <w:tcPr>
                  <w:tcW w:w="429" w:type="pct"/>
                  <w:vAlign w:val="center"/>
                </w:tcPr>
                <w:p w14:paraId="43E47010">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1.28</w:t>
                  </w:r>
                </w:p>
              </w:tc>
              <w:tc>
                <w:tcPr>
                  <w:tcW w:w="403" w:type="pct"/>
                  <w:vAlign w:val="center"/>
                </w:tcPr>
                <w:p w14:paraId="2DABDF52">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628" w:type="pct"/>
                  <w:vAlign w:val="center"/>
                </w:tcPr>
                <w:p w14:paraId="35A30789">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244" w:type="pct"/>
                  <w:vAlign w:val="center"/>
                </w:tcPr>
                <w:p w14:paraId="4A64D5D4">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701" w:type="pct"/>
                  <w:vAlign w:val="center"/>
                </w:tcPr>
                <w:p w14:paraId="196C15A9">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485" w:type="pct"/>
                  <w:vAlign w:val="center"/>
                </w:tcPr>
                <w:p w14:paraId="6287C098">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0.12</w:t>
                  </w:r>
                </w:p>
              </w:tc>
              <w:tc>
                <w:tcPr>
                  <w:tcW w:w="628" w:type="pct"/>
                  <w:vAlign w:val="center"/>
                </w:tcPr>
                <w:p w14:paraId="0CF47D02">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521" w:type="pct"/>
                  <w:vAlign w:val="center"/>
                </w:tcPr>
                <w:p w14:paraId="1A6C7DE3">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r>
            <w:tr w14:paraId="1D94C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 w:type="pct"/>
                  <w:vMerge w:val="continue"/>
                  <w:vAlign w:val="center"/>
                </w:tcPr>
                <w:p w14:paraId="02D54658">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p>
              </w:tc>
              <w:tc>
                <w:tcPr>
                  <w:tcW w:w="472" w:type="pct"/>
                  <w:vMerge w:val="continue"/>
                  <w:vAlign w:val="center"/>
                </w:tcPr>
                <w:p w14:paraId="4AF85C9C">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p>
              </w:tc>
              <w:tc>
                <w:tcPr>
                  <w:tcW w:w="244" w:type="pct"/>
                  <w:vAlign w:val="center"/>
                </w:tcPr>
                <w:p w14:paraId="3505A0D2">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颗粒物</w:t>
                  </w:r>
                </w:p>
              </w:tc>
              <w:tc>
                <w:tcPr>
                  <w:tcW w:w="429" w:type="pct"/>
                  <w:vAlign w:val="center"/>
                </w:tcPr>
                <w:p w14:paraId="33F76218">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0.59</w:t>
                  </w:r>
                </w:p>
              </w:tc>
              <w:tc>
                <w:tcPr>
                  <w:tcW w:w="403" w:type="pct"/>
                  <w:vAlign w:val="center"/>
                </w:tcPr>
                <w:p w14:paraId="347B0956">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628" w:type="pct"/>
                  <w:vAlign w:val="center"/>
                </w:tcPr>
                <w:p w14:paraId="6F22012E">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244" w:type="pct"/>
                  <w:vAlign w:val="center"/>
                </w:tcPr>
                <w:p w14:paraId="069432DB">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701" w:type="pct"/>
                  <w:vAlign w:val="center"/>
                </w:tcPr>
                <w:p w14:paraId="7E6FB9D2">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485" w:type="pct"/>
                  <w:vAlign w:val="center"/>
                </w:tcPr>
                <w:p w14:paraId="1F38AB52">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0.06</w:t>
                  </w:r>
                </w:p>
              </w:tc>
              <w:tc>
                <w:tcPr>
                  <w:tcW w:w="628" w:type="pct"/>
                  <w:vAlign w:val="center"/>
                </w:tcPr>
                <w:p w14:paraId="5C113058">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521" w:type="pct"/>
                  <w:vAlign w:val="center"/>
                </w:tcPr>
                <w:p w14:paraId="1A788BB8">
                  <w:pPr>
                    <w:adjustRightIn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r>
          </w:tbl>
          <w:p w14:paraId="5B542AE9">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（3）危废暂存间废气</w:t>
            </w:r>
          </w:p>
          <w:p w14:paraId="64FE5E94">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危废暂存间废油漆桶等危废储存过程中，沾染的油漆和稀释剂会挥发出少量有机废气，危废暂存间废气经负压收集后与喷漆房产生的有机废气经同一套废气处理装置处理，最后由20m高排气筒（DA002）排放，由于危废暂存间废气产生量极少，本次评价仅对该部分废气进行定性分析。</w:t>
            </w:r>
          </w:p>
          <w:p w14:paraId="0AECD84A">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（4）食堂油烟</w:t>
            </w:r>
          </w:p>
          <w:p w14:paraId="47C84DAC">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食堂设置2个灶头，每年运行时间300d，每天运行5h（主要集中在11:00～13:30和17:00～19:30两个时间段）。项目劳动定员25人，均在厂内就餐。经调查计算，食用油消耗系数为30g/人·d，则食用油消耗量为750g/d，225kg/a。</w:t>
            </w:r>
            <w:r>
              <w:rPr>
                <w:rFonts w:cs="宋体"/>
                <w:bCs/>
                <w:color w:val="0D0D0D" w:themeColor="text1" w:themeTint="F2"/>
                <w:spacing w:val="-10"/>
                <w:sz w:val="24"/>
                <w14:textFill>
                  <w14:solidFill>
                    <w14:schemeClr w14:val="tx1">
                      <w14:lumMod w14:val="95000"/>
                      <w14:lumOff w14:val="5000"/>
                    </w14:schemeClr>
                  </w14:solidFill>
                </w14:textFill>
              </w:rPr>
              <w:t>一般油烟挥发量占总耗油量的2%</w:t>
            </w:r>
            <w:r>
              <w:rPr>
                <w:rFonts w:hint="eastAsia" w:cs="宋体"/>
                <w:bCs/>
                <w:color w:val="0D0D0D" w:themeColor="text1" w:themeTint="F2"/>
                <w:spacing w:val="-10"/>
                <w:sz w:val="24"/>
                <w14:textFill>
                  <w14:solidFill>
                    <w14:schemeClr w14:val="tx1">
                      <w14:lumMod w14:val="95000"/>
                      <w14:lumOff w14:val="5000"/>
                    </w14:schemeClr>
                  </w14:solidFill>
                </w14:textFill>
              </w:rPr>
              <w:t>～</w:t>
            </w:r>
            <w:r>
              <w:rPr>
                <w:rFonts w:cs="宋体"/>
                <w:bCs/>
                <w:color w:val="0D0D0D" w:themeColor="text1" w:themeTint="F2"/>
                <w:spacing w:val="-10"/>
                <w:sz w:val="24"/>
                <w14:textFill>
                  <w14:solidFill>
                    <w14:schemeClr w14:val="tx1">
                      <w14:lumMod w14:val="95000"/>
                      <w14:lumOff w14:val="5000"/>
                    </w14:schemeClr>
                  </w14:solidFill>
                </w14:textFill>
              </w:rPr>
              <w:t>4%</w:t>
            </w:r>
            <w:r>
              <w:rPr>
                <w:rFonts w:hint="eastAsia" w:cs="宋体"/>
                <w:bCs/>
                <w:color w:val="0D0D0D" w:themeColor="text1" w:themeTint="F2"/>
                <w:spacing w:val="-10"/>
                <w:sz w:val="24"/>
                <w14:textFill>
                  <w14:solidFill>
                    <w14:schemeClr w14:val="tx1">
                      <w14:lumMod w14:val="95000"/>
                      <w14:lumOff w14:val="5000"/>
                    </w14:schemeClr>
                  </w14:solidFill>
                </w14:textFill>
              </w:rPr>
              <w:t>，食堂以大份额烹饪为主，油的挥发量相对较少，本次评价以3%计，则油烟产生量为22.5g/d，6.75kg/a，产生速率为0.0045kg/h，配套</w:t>
            </w:r>
            <w:r>
              <w:rPr>
                <w:rFonts w:cs="宋体"/>
                <w:bCs/>
                <w:color w:val="0D0D0D" w:themeColor="text1" w:themeTint="F2"/>
                <w:spacing w:val="-10"/>
                <w:sz w:val="24"/>
                <w14:textFill>
                  <w14:solidFill>
                    <w14:schemeClr w14:val="tx1">
                      <w14:lumMod w14:val="95000"/>
                      <w14:lumOff w14:val="5000"/>
                    </w14:schemeClr>
                  </w14:solidFill>
                </w14:textFill>
              </w:rPr>
              <w:t>炉灶风机风量为</w:t>
            </w:r>
            <w:r>
              <w:rPr>
                <w:rFonts w:hint="eastAsia" w:cs="宋体"/>
                <w:bCs/>
                <w:color w:val="0D0D0D" w:themeColor="text1" w:themeTint="F2"/>
                <w:spacing w:val="-10"/>
                <w:sz w:val="24"/>
                <w14:textFill>
                  <w14:solidFill>
                    <w14:schemeClr w14:val="tx1">
                      <w14:lumMod w14:val="95000"/>
                      <w14:lumOff w14:val="5000"/>
                    </w14:schemeClr>
                  </w14:solidFill>
                </w14:textFill>
              </w:rPr>
              <w:t>2</w:t>
            </w:r>
            <w:r>
              <w:rPr>
                <w:rFonts w:cs="宋体"/>
                <w:bCs/>
                <w:color w:val="0D0D0D" w:themeColor="text1" w:themeTint="F2"/>
                <w:spacing w:val="-10"/>
                <w:sz w:val="24"/>
                <w14:textFill>
                  <w14:solidFill>
                    <w14:schemeClr w14:val="tx1">
                      <w14:lumMod w14:val="95000"/>
                      <w14:lumOff w14:val="5000"/>
                    </w14:schemeClr>
                  </w14:solidFill>
                </w14:textFill>
              </w:rPr>
              <w:t>000m</w:t>
            </w:r>
            <w:r>
              <w:rPr>
                <w:rFonts w:cs="宋体"/>
                <w:bCs/>
                <w:color w:val="0D0D0D" w:themeColor="text1" w:themeTint="F2"/>
                <w:spacing w:val="-10"/>
                <w:sz w:val="24"/>
                <w:vertAlign w:val="superscript"/>
                <w14:textFill>
                  <w14:solidFill>
                    <w14:schemeClr w14:val="tx1">
                      <w14:lumMod w14:val="95000"/>
                      <w14:lumOff w14:val="5000"/>
                    </w14:schemeClr>
                  </w14:solidFill>
                </w14:textFill>
              </w:rPr>
              <w:t>3</w:t>
            </w:r>
            <w:r>
              <w:rPr>
                <w:rFonts w:cs="宋体"/>
                <w:bCs/>
                <w:color w:val="0D0D0D" w:themeColor="text1" w:themeTint="F2"/>
                <w:spacing w:val="-10"/>
                <w:sz w:val="24"/>
                <w14:textFill>
                  <w14:solidFill>
                    <w14:schemeClr w14:val="tx1">
                      <w14:lumMod w14:val="95000"/>
                      <w14:lumOff w14:val="5000"/>
                    </w14:schemeClr>
                  </w14:solidFill>
                </w14:textFill>
              </w:rPr>
              <w:t>/h，则油烟产生浓度为</w:t>
            </w:r>
            <w:r>
              <w:rPr>
                <w:rFonts w:hint="eastAsia" w:cs="宋体"/>
                <w:bCs/>
                <w:color w:val="0D0D0D" w:themeColor="text1" w:themeTint="F2"/>
                <w:spacing w:val="-10"/>
                <w:sz w:val="24"/>
                <w14:textFill>
                  <w14:solidFill>
                    <w14:schemeClr w14:val="tx1">
                      <w14:lumMod w14:val="95000"/>
                      <w14:lumOff w14:val="5000"/>
                    </w14:schemeClr>
                  </w14:solidFill>
                </w14:textFill>
              </w:rPr>
              <w:t>2.25</w:t>
            </w:r>
            <w:r>
              <w:rPr>
                <w:rFonts w:cs="宋体"/>
                <w:bCs/>
                <w:color w:val="0D0D0D" w:themeColor="text1" w:themeTint="F2"/>
                <w:spacing w:val="-10"/>
                <w:sz w:val="24"/>
                <w14:textFill>
                  <w14:solidFill>
                    <w14:schemeClr w14:val="tx1">
                      <w14:lumMod w14:val="95000"/>
                      <w14:lumOff w14:val="5000"/>
                    </w14:schemeClr>
                  </w14:solidFill>
                </w14:textFill>
              </w:rPr>
              <w:t>mg/m</w:t>
            </w:r>
            <w:r>
              <w:rPr>
                <w:rFonts w:cs="宋体"/>
                <w:bCs/>
                <w:color w:val="0D0D0D" w:themeColor="text1" w:themeTint="F2"/>
                <w:spacing w:val="-10"/>
                <w:sz w:val="24"/>
                <w:vertAlign w:val="superscript"/>
                <w14:textFill>
                  <w14:solidFill>
                    <w14:schemeClr w14:val="tx1">
                      <w14:lumMod w14:val="95000"/>
                      <w14:lumOff w14:val="5000"/>
                    </w14:schemeClr>
                  </w14:solidFill>
                </w14:textFill>
              </w:rPr>
              <w:t>3</w:t>
            </w:r>
            <w:r>
              <w:rPr>
                <w:rFonts w:cs="宋体"/>
                <w:bCs/>
                <w:color w:val="0D0D0D" w:themeColor="text1" w:themeTint="F2"/>
                <w:spacing w:val="-10"/>
                <w:sz w:val="24"/>
                <w14:textFill>
                  <w14:solidFill>
                    <w14:schemeClr w14:val="tx1">
                      <w14:lumMod w14:val="95000"/>
                      <w14:lumOff w14:val="5000"/>
                    </w14:schemeClr>
                  </w14:solidFill>
                </w14:textFill>
              </w:rPr>
              <w:t>。</w:t>
            </w:r>
          </w:p>
          <w:p w14:paraId="560829AF">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食堂</w:t>
            </w:r>
            <w:r>
              <w:rPr>
                <w:rFonts w:cs="宋体"/>
                <w:bCs/>
                <w:color w:val="0D0D0D" w:themeColor="text1" w:themeTint="F2"/>
                <w:spacing w:val="-10"/>
                <w:sz w:val="24"/>
                <w14:textFill>
                  <w14:solidFill>
                    <w14:schemeClr w14:val="tx1">
                      <w14:lumMod w14:val="95000"/>
                      <w14:lumOff w14:val="5000"/>
                    </w14:schemeClr>
                  </w14:solidFill>
                </w14:textFill>
              </w:rPr>
              <w:t>配备</w:t>
            </w:r>
            <w:r>
              <w:rPr>
                <w:rFonts w:hint="eastAsia" w:cs="宋体"/>
                <w:bCs/>
                <w:color w:val="0D0D0D" w:themeColor="text1" w:themeTint="F2"/>
                <w:spacing w:val="-10"/>
                <w:sz w:val="24"/>
                <w14:textFill>
                  <w14:solidFill>
                    <w14:schemeClr w14:val="tx1">
                      <w14:lumMod w14:val="95000"/>
                      <w14:lumOff w14:val="5000"/>
                    </w14:schemeClr>
                  </w14:solidFill>
                </w14:textFill>
              </w:rPr>
              <w:t>有</w:t>
            </w:r>
            <w:r>
              <w:rPr>
                <w:rFonts w:cs="宋体"/>
                <w:bCs/>
                <w:color w:val="0D0D0D" w:themeColor="text1" w:themeTint="F2"/>
                <w:spacing w:val="-10"/>
                <w:sz w:val="24"/>
                <w14:textFill>
                  <w14:solidFill>
                    <w14:schemeClr w14:val="tx1">
                      <w14:lumMod w14:val="95000"/>
                      <w14:lumOff w14:val="5000"/>
                    </w14:schemeClr>
                  </w14:solidFill>
                </w14:textFill>
              </w:rPr>
              <w:t>油烟净化器，其去除效率大于60%，</w:t>
            </w:r>
            <w:r>
              <w:rPr>
                <w:rFonts w:hint="eastAsia" w:cs="宋体"/>
                <w:bCs/>
                <w:color w:val="0D0D0D" w:themeColor="text1" w:themeTint="F2"/>
                <w:spacing w:val="-10"/>
                <w:sz w:val="24"/>
                <w14:textFill>
                  <w14:solidFill>
                    <w14:schemeClr w14:val="tx1">
                      <w14:lumMod w14:val="95000"/>
                      <w14:lumOff w14:val="5000"/>
                    </w14:schemeClr>
                  </w14:solidFill>
                </w14:textFill>
              </w:rPr>
              <w:t>本次评价</w:t>
            </w:r>
            <w:r>
              <w:rPr>
                <w:rFonts w:cs="宋体"/>
                <w:bCs/>
                <w:color w:val="0D0D0D" w:themeColor="text1" w:themeTint="F2"/>
                <w:spacing w:val="-10"/>
                <w:sz w:val="24"/>
                <w14:textFill>
                  <w14:solidFill>
                    <w14:schemeClr w14:val="tx1">
                      <w14:lumMod w14:val="95000"/>
                      <w14:lumOff w14:val="5000"/>
                    </w14:schemeClr>
                  </w14:solidFill>
                </w14:textFill>
              </w:rPr>
              <w:t>按60%计，</w:t>
            </w:r>
            <w:r>
              <w:rPr>
                <w:rFonts w:hint="eastAsia" w:cs="宋体"/>
                <w:bCs/>
                <w:color w:val="0D0D0D" w:themeColor="text1" w:themeTint="F2"/>
                <w:spacing w:val="-10"/>
                <w:sz w:val="24"/>
                <w14:textFill>
                  <w14:solidFill>
                    <w14:schemeClr w14:val="tx1">
                      <w14:lumMod w14:val="95000"/>
                      <w14:lumOff w14:val="5000"/>
                    </w14:schemeClr>
                  </w14:solidFill>
                </w14:textFill>
              </w:rPr>
              <w:t>油烟</w:t>
            </w:r>
            <w:r>
              <w:rPr>
                <w:rFonts w:cs="宋体"/>
                <w:bCs/>
                <w:color w:val="0D0D0D" w:themeColor="text1" w:themeTint="F2"/>
                <w:spacing w:val="-10"/>
                <w:sz w:val="24"/>
                <w14:textFill>
                  <w14:solidFill>
                    <w14:schemeClr w14:val="tx1">
                      <w14:lumMod w14:val="95000"/>
                      <w14:lumOff w14:val="5000"/>
                    </w14:schemeClr>
                  </w14:solidFill>
                </w14:textFill>
              </w:rPr>
              <w:t>经油烟净化器处理后，排放浓度为</w:t>
            </w:r>
            <w:r>
              <w:rPr>
                <w:rFonts w:hint="eastAsia" w:cs="宋体"/>
                <w:bCs/>
                <w:color w:val="0D0D0D" w:themeColor="text1" w:themeTint="F2"/>
                <w:spacing w:val="-10"/>
                <w:sz w:val="24"/>
                <w14:textFill>
                  <w14:solidFill>
                    <w14:schemeClr w14:val="tx1">
                      <w14:lumMod w14:val="95000"/>
                      <w14:lumOff w14:val="5000"/>
                    </w14:schemeClr>
                  </w14:solidFill>
                </w14:textFill>
              </w:rPr>
              <w:t>0.9m</w:t>
            </w:r>
            <w:r>
              <w:rPr>
                <w:rFonts w:cs="宋体"/>
                <w:bCs/>
                <w:color w:val="0D0D0D" w:themeColor="text1" w:themeTint="F2"/>
                <w:spacing w:val="-10"/>
                <w:sz w:val="24"/>
                <w14:textFill>
                  <w14:solidFill>
                    <w14:schemeClr w14:val="tx1">
                      <w14:lumMod w14:val="95000"/>
                      <w14:lumOff w14:val="5000"/>
                    </w14:schemeClr>
                  </w14:solidFill>
                </w14:textFill>
              </w:rPr>
              <w:t>g/m</w:t>
            </w:r>
            <w:r>
              <w:rPr>
                <w:rFonts w:cs="宋体"/>
                <w:bCs/>
                <w:color w:val="0D0D0D" w:themeColor="text1" w:themeTint="F2"/>
                <w:spacing w:val="-10"/>
                <w:sz w:val="24"/>
                <w:vertAlign w:val="superscript"/>
                <w14:textFill>
                  <w14:solidFill>
                    <w14:schemeClr w14:val="tx1">
                      <w14:lumMod w14:val="95000"/>
                      <w14:lumOff w14:val="5000"/>
                    </w14:schemeClr>
                  </w14:solidFill>
                </w14:textFill>
              </w:rPr>
              <w:t>3</w:t>
            </w:r>
            <w:r>
              <w:rPr>
                <w:rFonts w:cs="宋体"/>
                <w:bCs/>
                <w:color w:val="0D0D0D" w:themeColor="text1" w:themeTint="F2"/>
                <w:spacing w:val="-10"/>
                <w:sz w:val="24"/>
                <w14:textFill>
                  <w14:solidFill>
                    <w14:schemeClr w14:val="tx1">
                      <w14:lumMod w14:val="95000"/>
                      <w14:lumOff w14:val="5000"/>
                    </w14:schemeClr>
                  </w14:solidFill>
                </w14:textFill>
              </w:rPr>
              <w:t>，经专用</w:t>
            </w:r>
            <w:r>
              <w:rPr>
                <w:rFonts w:hint="eastAsia" w:cs="宋体"/>
                <w:bCs/>
                <w:color w:val="0D0D0D" w:themeColor="text1" w:themeTint="F2"/>
                <w:spacing w:val="-10"/>
                <w:sz w:val="24"/>
                <w14:textFill>
                  <w14:solidFill>
                    <w14:schemeClr w14:val="tx1">
                      <w14:lumMod w14:val="95000"/>
                      <w14:lumOff w14:val="5000"/>
                    </w14:schemeClr>
                  </w14:solidFill>
                </w14:textFill>
              </w:rPr>
              <w:t>管道引至屋顶</w:t>
            </w:r>
            <w:r>
              <w:rPr>
                <w:rFonts w:cs="宋体"/>
                <w:bCs/>
                <w:color w:val="0D0D0D" w:themeColor="text1" w:themeTint="F2"/>
                <w:spacing w:val="-10"/>
                <w:sz w:val="24"/>
                <w14:textFill>
                  <w14:solidFill>
                    <w14:schemeClr w14:val="tx1">
                      <w14:lumMod w14:val="95000"/>
                      <w14:lumOff w14:val="5000"/>
                    </w14:schemeClr>
                  </w14:solidFill>
                </w14:textFill>
              </w:rPr>
              <w:t>排放</w:t>
            </w:r>
            <w:r>
              <w:rPr>
                <w:rFonts w:hint="eastAsia" w:cs="宋体"/>
                <w:bCs/>
                <w:color w:val="0D0D0D" w:themeColor="text1" w:themeTint="F2"/>
                <w:spacing w:val="-10"/>
                <w:sz w:val="24"/>
                <w14:textFill>
                  <w14:solidFill>
                    <w14:schemeClr w14:val="tx1">
                      <w14:lumMod w14:val="95000"/>
                      <w14:lumOff w14:val="5000"/>
                    </w14:schemeClr>
                  </w14:solidFill>
                </w14:textFill>
              </w:rPr>
              <w:t>。</w:t>
            </w:r>
          </w:p>
          <w:p w14:paraId="13DAA192">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食堂油烟产排情况详见表4-5。</w:t>
            </w:r>
          </w:p>
          <w:p w14:paraId="3DA2E826">
            <w:pPr>
              <w:adjustRightInd w:val="0"/>
              <w:snapToGrid w:val="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表4-5  食堂油烟产排情况</w:t>
            </w:r>
          </w:p>
          <w:tbl>
            <w:tblPr>
              <w:tblStyle w:val="21"/>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35"/>
              <w:gridCol w:w="1141"/>
              <w:gridCol w:w="1195"/>
              <w:gridCol w:w="1246"/>
              <w:gridCol w:w="1245"/>
              <w:gridCol w:w="1242"/>
              <w:gridCol w:w="1234"/>
            </w:tblGrid>
            <w:tr w14:paraId="168A12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restart"/>
                  <w:tcBorders>
                    <w:top w:val="single" w:color="auto" w:sz="4" w:space="0"/>
                    <w:left w:val="single" w:color="auto" w:sz="4" w:space="0"/>
                    <w:bottom w:val="single" w:color="auto" w:sz="4" w:space="0"/>
                    <w:right w:val="single" w:color="auto" w:sz="4" w:space="0"/>
                  </w:tcBorders>
                  <w:vAlign w:val="center"/>
                </w:tcPr>
                <w:p w14:paraId="08D857C6">
                  <w:pPr>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污染物</w:t>
                  </w:r>
                </w:p>
              </w:tc>
              <w:tc>
                <w:tcPr>
                  <w:tcW w:w="2088" w:type="pct"/>
                  <w:gridSpan w:val="3"/>
                  <w:tcBorders>
                    <w:top w:val="single" w:color="auto" w:sz="4" w:space="0"/>
                    <w:left w:val="single" w:color="auto" w:sz="4" w:space="0"/>
                    <w:bottom w:val="single" w:color="auto" w:sz="4" w:space="0"/>
                    <w:right w:val="single" w:color="auto" w:sz="4" w:space="0"/>
                  </w:tcBorders>
                  <w:vAlign w:val="center"/>
                </w:tcPr>
                <w:p w14:paraId="6EABECD7">
                  <w:pPr>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产生情况</w:t>
                  </w:r>
                </w:p>
              </w:tc>
              <w:tc>
                <w:tcPr>
                  <w:tcW w:w="2229" w:type="pct"/>
                  <w:gridSpan w:val="3"/>
                  <w:tcBorders>
                    <w:top w:val="single" w:color="auto" w:sz="4" w:space="0"/>
                    <w:left w:val="single" w:color="auto" w:sz="4" w:space="0"/>
                    <w:bottom w:val="single" w:color="auto" w:sz="4" w:space="0"/>
                    <w:right w:val="single" w:color="auto" w:sz="4" w:space="0"/>
                  </w:tcBorders>
                  <w:vAlign w:val="center"/>
                </w:tcPr>
                <w:p w14:paraId="54A9F0DC">
                  <w:pPr>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排放情况</w:t>
                  </w:r>
                </w:p>
              </w:tc>
            </w:tr>
            <w:tr w14:paraId="66ACAF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vMerge w:val="continue"/>
                  <w:tcBorders>
                    <w:top w:val="single" w:color="auto" w:sz="12" w:space="0"/>
                    <w:left w:val="single" w:color="auto" w:sz="4" w:space="0"/>
                    <w:bottom w:val="single" w:color="auto" w:sz="4" w:space="0"/>
                    <w:right w:val="single" w:color="auto" w:sz="4" w:space="0"/>
                  </w:tcBorders>
                  <w:vAlign w:val="center"/>
                </w:tcPr>
                <w:p w14:paraId="49F08ACD">
                  <w:pPr>
                    <w:jc w:val="center"/>
                    <w:rPr>
                      <w:color w:val="0D0D0D" w:themeColor="text1" w:themeTint="F2"/>
                      <w14:textFill>
                        <w14:solidFill>
                          <w14:schemeClr w14:val="tx1">
                            <w14:lumMod w14:val="95000"/>
                            <w14:lumOff w14:val="5000"/>
                          </w14:schemeClr>
                        </w14:solidFill>
                      </w14:textFill>
                    </w:rPr>
                  </w:pPr>
                </w:p>
              </w:tc>
              <w:tc>
                <w:tcPr>
                  <w:tcW w:w="685" w:type="pct"/>
                  <w:tcBorders>
                    <w:top w:val="single" w:color="auto" w:sz="4" w:space="0"/>
                    <w:left w:val="single" w:color="auto" w:sz="4" w:space="0"/>
                    <w:bottom w:val="single" w:color="auto" w:sz="4" w:space="0"/>
                    <w:right w:val="single" w:color="auto" w:sz="4" w:space="0"/>
                  </w:tcBorders>
                  <w:vAlign w:val="center"/>
                </w:tcPr>
                <w:p w14:paraId="2C09B9B5">
                  <w:pPr>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产生速率（kg/h）</w:t>
                  </w:r>
                </w:p>
              </w:tc>
              <w:tc>
                <w:tcPr>
                  <w:tcW w:w="656" w:type="pct"/>
                  <w:tcBorders>
                    <w:top w:val="single" w:color="auto" w:sz="4" w:space="0"/>
                    <w:left w:val="single" w:color="auto" w:sz="4" w:space="0"/>
                    <w:bottom w:val="single" w:color="auto" w:sz="4" w:space="0"/>
                    <w:right w:val="single" w:color="auto" w:sz="4" w:space="0"/>
                  </w:tcBorders>
                  <w:vAlign w:val="center"/>
                </w:tcPr>
                <w:p w14:paraId="0C26296D">
                  <w:pPr>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产生浓度（mg/m</w:t>
                  </w:r>
                  <w:r>
                    <w:rPr>
                      <w:color w:val="0D0D0D" w:themeColor="text1" w:themeTint="F2"/>
                      <w:vertAlign w:val="superscript"/>
                      <w14:textFill>
                        <w14:solidFill>
                          <w14:schemeClr w14:val="tx1">
                            <w14:lumMod w14:val="95000"/>
                            <w14:lumOff w14:val="5000"/>
                          </w14:schemeClr>
                        </w14:solidFill>
                      </w14:textFill>
                    </w:rPr>
                    <w:t>3</w:t>
                  </w:r>
                  <w:r>
                    <w:rPr>
                      <w:color w:val="0D0D0D" w:themeColor="text1" w:themeTint="F2"/>
                      <w14:textFill>
                        <w14:solidFill>
                          <w14:schemeClr w14:val="tx1">
                            <w14:lumMod w14:val="95000"/>
                            <w14:lumOff w14:val="5000"/>
                          </w14:schemeClr>
                        </w14:solidFill>
                      </w14:textFill>
                    </w:rPr>
                    <w:t>）</w:t>
                  </w:r>
                </w:p>
              </w:tc>
              <w:tc>
                <w:tcPr>
                  <w:tcW w:w="746" w:type="pct"/>
                  <w:tcBorders>
                    <w:top w:val="single" w:color="auto" w:sz="4" w:space="0"/>
                    <w:left w:val="single" w:color="auto" w:sz="4" w:space="0"/>
                    <w:bottom w:val="single" w:color="auto" w:sz="4" w:space="0"/>
                    <w:right w:val="single" w:color="auto" w:sz="4" w:space="0"/>
                  </w:tcBorders>
                  <w:vAlign w:val="center"/>
                </w:tcPr>
                <w:p w14:paraId="2F0FF7D1">
                  <w:pPr>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产生量（t/a）</w:t>
                  </w:r>
                </w:p>
              </w:tc>
              <w:tc>
                <w:tcPr>
                  <w:tcW w:w="746" w:type="pct"/>
                  <w:tcBorders>
                    <w:top w:val="single" w:color="auto" w:sz="4" w:space="0"/>
                    <w:left w:val="single" w:color="auto" w:sz="4" w:space="0"/>
                    <w:bottom w:val="single" w:color="auto" w:sz="4" w:space="0"/>
                    <w:right w:val="single" w:color="auto" w:sz="4" w:space="0"/>
                  </w:tcBorders>
                  <w:vAlign w:val="center"/>
                </w:tcPr>
                <w:p w14:paraId="12A2CFC4">
                  <w:pPr>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排放速率（kg/h）</w:t>
                  </w:r>
                </w:p>
              </w:tc>
              <w:tc>
                <w:tcPr>
                  <w:tcW w:w="744" w:type="pct"/>
                  <w:tcBorders>
                    <w:top w:val="single" w:color="auto" w:sz="4" w:space="0"/>
                    <w:left w:val="single" w:color="auto" w:sz="4" w:space="0"/>
                    <w:bottom w:val="single" w:color="auto" w:sz="4" w:space="0"/>
                    <w:right w:val="single" w:color="auto" w:sz="4" w:space="0"/>
                  </w:tcBorders>
                  <w:vAlign w:val="center"/>
                </w:tcPr>
                <w:p w14:paraId="0B094695">
                  <w:pPr>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排放浓度（mg/m</w:t>
                  </w:r>
                  <w:r>
                    <w:rPr>
                      <w:color w:val="0D0D0D" w:themeColor="text1" w:themeTint="F2"/>
                      <w:vertAlign w:val="superscript"/>
                      <w14:textFill>
                        <w14:solidFill>
                          <w14:schemeClr w14:val="tx1">
                            <w14:lumMod w14:val="95000"/>
                            <w14:lumOff w14:val="5000"/>
                          </w14:schemeClr>
                        </w14:solidFill>
                      </w14:textFill>
                    </w:rPr>
                    <w:t>3</w:t>
                  </w:r>
                  <w:r>
                    <w:rPr>
                      <w:color w:val="0D0D0D" w:themeColor="text1" w:themeTint="F2"/>
                      <w14:textFill>
                        <w14:solidFill>
                          <w14:schemeClr w14:val="tx1">
                            <w14:lumMod w14:val="95000"/>
                            <w14:lumOff w14:val="5000"/>
                          </w14:schemeClr>
                        </w14:solidFill>
                      </w14:textFill>
                    </w:rPr>
                    <w:t>）</w:t>
                  </w:r>
                </w:p>
              </w:tc>
              <w:tc>
                <w:tcPr>
                  <w:tcW w:w="738" w:type="pct"/>
                  <w:tcBorders>
                    <w:top w:val="single" w:color="auto" w:sz="4" w:space="0"/>
                    <w:left w:val="single" w:color="auto" w:sz="4" w:space="0"/>
                    <w:bottom w:val="single" w:color="auto" w:sz="4" w:space="0"/>
                    <w:right w:val="single" w:color="auto" w:sz="4" w:space="0"/>
                  </w:tcBorders>
                  <w:vAlign w:val="center"/>
                </w:tcPr>
                <w:p w14:paraId="7DE57454">
                  <w:pPr>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排放量（t/a）</w:t>
                  </w:r>
                </w:p>
              </w:tc>
            </w:tr>
            <w:tr w14:paraId="01A34C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pct"/>
                  <w:tcBorders>
                    <w:top w:val="single" w:color="auto" w:sz="4" w:space="0"/>
                    <w:left w:val="single" w:color="auto" w:sz="4" w:space="0"/>
                    <w:bottom w:val="single" w:color="auto" w:sz="4" w:space="0"/>
                    <w:right w:val="single" w:color="auto" w:sz="4" w:space="0"/>
                  </w:tcBorders>
                  <w:vAlign w:val="center"/>
                </w:tcPr>
                <w:p w14:paraId="09C94A83">
                  <w:pPr>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油烟</w:t>
                  </w:r>
                </w:p>
              </w:tc>
              <w:tc>
                <w:tcPr>
                  <w:tcW w:w="1273" w:type="dxa"/>
                  <w:tcBorders>
                    <w:top w:val="single" w:color="auto" w:sz="4" w:space="0"/>
                    <w:left w:val="single" w:color="auto" w:sz="4" w:space="0"/>
                    <w:bottom w:val="single" w:color="auto" w:sz="4" w:space="0"/>
                    <w:right w:val="single" w:color="auto" w:sz="4" w:space="0"/>
                  </w:tcBorders>
                  <w:vAlign w:val="center"/>
                </w:tcPr>
                <w:p w14:paraId="0A3C2C0E">
                  <w:pPr>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0.005</w:t>
                  </w:r>
                </w:p>
              </w:tc>
              <w:tc>
                <w:tcPr>
                  <w:tcW w:w="1219" w:type="dxa"/>
                  <w:tcBorders>
                    <w:top w:val="single" w:color="auto" w:sz="4" w:space="0"/>
                    <w:left w:val="single" w:color="auto" w:sz="4" w:space="0"/>
                    <w:bottom w:val="single" w:color="auto" w:sz="4" w:space="0"/>
                    <w:right w:val="single" w:color="auto" w:sz="4" w:space="0"/>
                  </w:tcBorders>
                  <w:vAlign w:val="center"/>
                </w:tcPr>
                <w:p w14:paraId="4172CBDC">
                  <w:pPr>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2.25</w:t>
                  </w:r>
                </w:p>
              </w:tc>
              <w:tc>
                <w:tcPr>
                  <w:tcW w:w="1388" w:type="dxa"/>
                  <w:tcBorders>
                    <w:top w:val="single" w:color="auto" w:sz="4" w:space="0"/>
                    <w:left w:val="single" w:color="auto" w:sz="4" w:space="0"/>
                    <w:bottom w:val="single" w:color="auto" w:sz="4" w:space="0"/>
                    <w:right w:val="single" w:color="auto" w:sz="4" w:space="0"/>
                  </w:tcBorders>
                  <w:vAlign w:val="center"/>
                </w:tcPr>
                <w:p w14:paraId="6C03884B">
                  <w:pPr>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0.0068</w:t>
                  </w:r>
                </w:p>
              </w:tc>
              <w:tc>
                <w:tcPr>
                  <w:tcW w:w="1386" w:type="dxa"/>
                  <w:tcBorders>
                    <w:top w:val="single" w:color="auto" w:sz="4" w:space="0"/>
                    <w:left w:val="single" w:color="auto" w:sz="4" w:space="0"/>
                    <w:bottom w:val="single" w:color="auto" w:sz="4" w:space="0"/>
                    <w:right w:val="single" w:color="auto" w:sz="4" w:space="0"/>
                  </w:tcBorders>
                  <w:vAlign w:val="center"/>
                </w:tcPr>
                <w:p w14:paraId="5E908920">
                  <w:pPr>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0.002</w:t>
                  </w:r>
                </w:p>
              </w:tc>
              <w:tc>
                <w:tcPr>
                  <w:tcW w:w="1382" w:type="dxa"/>
                  <w:tcBorders>
                    <w:top w:val="single" w:color="auto" w:sz="4" w:space="0"/>
                    <w:left w:val="single" w:color="auto" w:sz="4" w:space="0"/>
                    <w:bottom w:val="single" w:color="auto" w:sz="4" w:space="0"/>
                    <w:right w:val="single" w:color="auto" w:sz="4" w:space="0"/>
                  </w:tcBorders>
                  <w:vAlign w:val="center"/>
                </w:tcPr>
                <w:p w14:paraId="69E96F68">
                  <w:pPr>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0.9</w:t>
                  </w:r>
                </w:p>
              </w:tc>
              <w:tc>
                <w:tcPr>
                  <w:tcW w:w="1373" w:type="dxa"/>
                  <w:tcBorders>
                    <w:top w:val="single" w:color="auto" w:sz="4" w:space="0"/>
                    <w:left w:val="single" w:color="auto" w:sz="4" w:space="0"/>
                    <w:bottom w:val="single" w:color="auto" w:sz="4" w:space="0"/>
                    <w:right w:val="single" w:color="auto" w:sz="4" w:space="0"/>
                  </w:tcBorders>
                  <w:vAlign w:val="center"/>
                </w:tcPr>
                <w:p w14:paraId="3B63E05E">
                  <w:pPr>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0.0027</w:t>
                  </w:r>
                </w:p>
              </w:tc>
            </w:tr>
          </w:tbl>
          <w:p w14:paraId="25A8F6A5">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由上表可知，食堂</w:t>
            </w:r>
            <w:r>
              <w:rPr>
                <w:rFonts w:cs="宋体"/>
                <w:bCs/>
                <w:color w:val="0D0D0D" w:themeColor="text1" w:themeTint="F2"/>
                <w:spacing w:val="-10"/>
                <w:sz w:val="24"/>
                <w14:textFill>
                  <w14:solidFill>
                    <w14:schemeClr w14:val="tx1">
                      <w14:lumMod w14:val="95000"/>
                      <w14:lumOff w14:val="5000"/>
                    </w14:schemeClr>
                  </w14:solidFill>
                </w14:textFill>
              </w:rPr>
              <w:t>油烟</w:t>
            </w:r>
            <w:r>
              <w:rPr>
                <w:rFonts w:hint="eastAsia" w:cs="宋体"/>
                <w:bCs/>
                <w:color w:val="0D0D0D" w:themeColor="text1" w:themeTint="F2"/>
                <w:spacing w:val="-10"/>
                <w:sz w:val="24"/>
                <w14:textFill>
                  <w14:solidFill>
                    <w14:schemeClr w14:val="tx1">
                      <w14:lumMod w14:val="95000"/>
                      <w14:lumOff w14:val="5000"/>
                    </w14:schemeClr>
                  </w14:solidFill>
                </w14:textFill>
              </w:rPr>
              <w:t>排放浓度满足</w:t>
            </w:r>
            <w:r>
              <w:rPr>
                <w:rFonts w:cs="宋体"/>
                <w:bCs/>
                <w:color w:val="0D0D0D" w:themeColor="text1" w:themeTint="F2"/>
                <w:spacing w:val="-10"/>
                <w:sz w:val="24"/>
                <w14:textFill>
                  <w14:solidFill>
                    <w14:schemeClr w14:val="tx1">
                      <w14:lumMod w14:val="95000"/>
                      <w14:lumOff w14:val="5000"/>
                    </w14:schemeClr>
                  </w14:solidFill>
                </w14:textFill>
              </w:rPr>
              <w:t>《饮食业油烟排放标准（试行）》（GB18483-2001）</w:t>
            </w:r>
            <w:r>
              <w:rPr>
                <w:rFonts w:hint="eastAsia" w:cs="宋体"/>
                <w:bCs/>
                <w:color w:val="0D0D0D" w:themeColor="text1" w:themeTint="F2"/>
                <w:spacing w:val="-10"/>
                <w:sz w:val="24"/>
                <w14:textFill>
                  <w14:solidFill>
                    <w14:schemeClr w14:val="tx1">
                      <w14:lumMod w14:val="95000"/>
                      <w14:lumOff w14:val="5000"/>
                    </w14:schemeClr>
                  </w14:solidFill>
                </w14:textFill>
              </w:rPr>
              <w:t>小</w:t>
            </w:r>
            <w:r>
              <w:rPr>
                <w:rFonts w:cs="宋体"/>
                <w:bCs/>
                <w:color w:val="0D0D0D" w:themeColor="text1" w:themeTint="F2"/>
                <w:spacing w:val="-10"/>
                <w:sz w:val="24"/>
                <w14:textFill>
                  <w14:solidFill>
                    <w14:schemeClr w14:val="tx1">
                      <w14:lumMod w14:val="95000"/>
                      <w14:lumOff w14:val="5000"/>
                    </w14:schemeClr>
                  </w14:solidFill>
                </w14:textFill>
              </w:rPr>
              <w:t>型规模</w:t>
            </w:r>
            <w:r>
              <w:rPr>
                <w:rFonts w:hint="eastAsia" w:cs="宋体"/>
                <w:bCs/>
                <w:color w:val="0D0D0D" w:themeColor="text1" w:themeTint="F2"/>
                <w:spacing w:val="-10"/>
                <w:sz w:val="24"/>
                <w14:textFill>
                  <w14:solidFill>
                    <w14:schemeClr w14:val="tx1">
                      <w14:lumMod w14:val="95000"/>
                      <w14:lumOff w14:val="5000"/>
                    </w14:schemeClr>
                  </w14:solidFill>
                </w14:textFill>
              </w:rPr>
              <w:t>标准限值</w:t>
            </w:r>
            <w:r>
              <w:rPr>
                <w:rFonts w:cs="宋体"/>
                <w:bCs/>
                <w:color w:val="0D0D0D" w:themeColor="text1" w:themeTint="F2"/>
                <w:spacing w:val="-10"/>
                <w:sz w:val="24"/>
                <w14:textFill>
                  <w14:solidFill>
                    <w14:schemeClr w14:val="tx1">
                      <w14:lumMod w14:val="95000"/>
                      <w14:lumOff w14:val="5000"/>
                    </w14:schemeClr>
                  </w14:solidFill>
                </w14:textFill>
              </w:rPr>
              <w:t>要求</w:t>
            </w:r>
            <w:r>
              <w:rPr>
                <w:rFonts w:hint="eastAsia" w:cs="宋体"/>
                <w:bCs/>
                <w:color w:val="0D0D0D" w:themeColor="text1" w:themeTint="F2"/>
                <w:spacing w:val="-10"/>
                <w:sz w:val="24"/>
                <w14:textFill>
                  <w14:solidFill>
                    <w14:schemeClr w14:val="tx1">
                      <w14:lumMod w14:val="95000"/>
                      <w14:lumOff w14:val="5000"/>
                    </w14:schemeClr>
                  </w14:solidFill>
                </w14:textFill>
              </w:rPr>
              <w:t>（2.0</w:t>
            </w:r>
            <w:r>
              <w:rPr>
                <w:rFonts w:cs="宋体"/>
                <w:bCs/>
                <w:color w:val="0D0D0D" w:themeColor="text1" w:themeTint="F2"/>
                <w:spacing w:val="-10"/>
                <w:sz w:val="24"/>
                <w14:textFill>
                  <w14:solidFill>
                    <w14:schemeClr w14:val="tx1">
                      <w14:lumMod w14:val="95000"/>
                      <w14:lumOff w14:val="5000"/>
                    </w14:schemeClr>
                  </w14:solidFill>
                </w14:textFill>
              </w:rPr>
              <w:t>mg/m</w:t>
            </w:r>
            <w:r>
              <w:rPr>
                <w:rFonts w:cs="宋体"/>
                <w:bCs/>
                <w:color w:val="0D0D0D" w:themeColor="text1" w:themeTint="F2"/>
                <w:spacing w:val="-10"/>
                <w:sz w:val="24"/>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14:textFill>
                  <w14:solidFill>
                    <w14:schemeClr w14:val="tx1">
                      <w14:lumMod w14:val="95000"/>
                      <w14:lumOff w14:val="5000"/>
                    </w14:schemeClr>
                  </w14:solidFill>
                </w14:textFill>
              </w:rPr>
              <w:t>）。</w:t>
            </w:r>
          </w:p>
          <w:p w14:paraId="7F9B7C64">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2、废气污染防治措施及其可行性分析</w:t>
            </w:r>
          </w:p>
          <w:p w14:paraId="4DD1C88B">
            <w:pPr>
              <w:adjustRightIn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抛丸粉尘经电子脉冲滤芯式除尘器处理后通过20m排气筒（DA001）排放。</w:t>
            </w:r>
          </w:p>
          <w:p w14:paraId="649CA284">
            <w:pPr>
              <w:adjustRightIn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喷漆废气（漆雾和有机废气）和危废间废气收集后经“水帘柜+二级活性炭吸附脱附+CO催化燃烧”处理后通过20m排气筒（DA002）排放。</w:t>
            </w:r>
          </w:p>
          <w:p w14:paraId="011B354F">
            <w:pPr>
              <w:adjustRightIn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食堂油烟经油烟净化器处理后通过专用管道引至屋顶排放。</w:t>
            </w:r>
          </w:p>
          <w:p w14:paraId="5E7BDD46">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（1）伸缩式干式喷漆房</w:t>
            </w:r>
          </w:p>
          <w:p w14:paraId="269941B5">
            <w:pPr>
              <w:adjustRightInd w:val="0"/>
              <w:snapToGrid w:val="0"/>
              <w:spacing w:line="360" w:lineRule="auto"/>
              <w:ind w:firstLine="480" w:firstLineChars="200"/>
              <w:rPr>
                <w:rFonts w:cs="宋体"/>
                <w:bCs/>
                <w:color w:val="0D0D0D" w:themeColor="text1" w:themeTint="F2"/>
                <w:sz w:val="24"/>
                <w:u w:val="single"/>
                <w14:textFill>
                  <w14:solidFill>
                    <w14:schemeClr w14:val="tx1">
                      <w14:lumMod w14:val="95000"/>
                      <w14:lumOff w14:val="5000"/>
                    </w14:schemeClr>
                  </w14:solidFill>
                </w14:textFill>
              </w:rPr>
            </w:pPr>
            <w:r>
              <w:rPr>
                <w:rFonts w:hint="eastAsia" w:cs="宋体"/>
                <w:bCs/>
                <w:color w:val="0D0D0D" w:themeColor="text1" w:themeTint="F2"/>
                <w:sz w:val="24"/>
                <w:u w:val="single"/>
                <w14:textFill>
                  <w14:solidFill>
                    <w14:schemeClr w14:val="tx1">
                      <w14:lumMod w14:val="95000"/>
                      <w14:lumOff w14:val="5000"/>
                    </w14:schemeClr>
                  </w14:solidFill>
                </w14:textFill>
              </w:rPr>
              <w:t>项目采用伸缩式干式喷漆房，由轨道系统、移动框架室体、照明系统、干式漆雾处理箱（含过滤装置）及电控系统组成，其工作原理为：通过调节伸缩架间距实现房体总长度的变化，以适应不同尺寸工件。室体采用布幅PVC覆膜阻燃布作为密封材料，确保作业空间密闭，室体顶部设置废气收集装置，采用负压通风系统（离心式风机），利用风压差将废气有序排出，废气通过管道输送。</w:t>
            </w:r>
          </w:p>
          <w:p w14:paraId="41036198">
            <w:pPr>
              <w:adjustRightInd w:val="0"/>
              <w:snapToGrid w:val="0"/>
              <w:spacing w:line="360" w:lineRule="auto"/>
              <w:ind w:firstLine="480" w:firstLineChars="200"/>
              <w:rPr>
                <w:rFonts w:cs="宋体"/>
                <w:bCs/>
                <w:color w:val="0D0D0D" w:themeColor="text1" w:themeTint="F2"/>
                <w:sz w:val="24"/>
                <w:u w:val="single"/>
                <w14:textFill>
                  <w14:solidFill>
                    <w14:schemeClr w14:val="tx1">
                      <w14:lumMod w14:val="95000"/>
                      <w14:lumOff w14:val="5000"/>
                    </w14:schemeClr>
                  </w14:solidFill>
                </w14:textFill>
              </w:rPr>
            </w:pPr>
            <w:r>
              <w:rPr>
                <w:rFonts w:hint="eastAsia" w:cs="宋体"/>
                <w:bCs/>
                <w:color w:val="0D0D0D" w:themeColor="text1" w:themeTint="F2"/>
                <w:sz w:val="24"/>
                <w:u w:val="single"/>
                <w14:textFill>
                  <w14:solidFill>
                    <w14:schemeClr w14:val="tx1">
                      <w14:lumMod w14:val="95000"/>
                      <w14:lumOff w14:val="5000"/>
                    </w14:schemeClr>
                  </w14:solidFill>
                </w14:textFill>
              </w:rPr>
              <w:t>①轨道：采用轻型地轨作为伸缩移动轨道。轨道的起始端和终止端特定位置设置伸缩限位开关。</w:t>
            </w:r>
          </w:p>
          <w:p w14:paraId="05251DA6">
            <w:pPr>
              <w:adjustRightInd w:val="0"/>
              <w:snapToGrid w:val="0"/>
              <w:spacing w:line="360" w:lineRule="auto"/>
              <w:ind w:firstLine="480" w:firstLineChars="200"/>
              <w:rPr>
                <w:rFonts w:cs="宋体"/>
                <w:bCs/>
                <w:color w:val="0D0D0D" w:themeColor="text1" w:themeTint="F2"/>
                <w:sz w:val="24"/>
                <w:u w:val="single"/>
                <w14:textFill>
                  <w14:solidFill>
                    <w14:schemeClr w14:val="tx1">
                      <w14:lumMod w14:val="95000"/>
                      <w14:lumOff w14:val="5000"/>
                    </w14:schemeClr>
                  </w14:solidFill>
                </w14:textFill>
              </w:rPr>
            </w:pPr>
            <w:r>
              <w:rPr>
                <w:rFonts w:hint="eastAsia" w:cs="宋体"/>
                <w:bCs/>
                <w:color w:val="0D0D0D" w:themeColor="text1" w:themeTint="F2"/>
                <w:sz w:val="24"/>
                <w:u w:val="single"/>
                <w14:textFill>
                  <w14:solidFill>
                    <w14:schemeClr w14:val="tx1">
                      <w14:lumMod w14:val="95000"/>
                      <w14:lumOff w14:val="5000"/>
                    </w14:schemeClr>
                  </w14:solidFill>
                </w14:textFill>
              </w:rPr>
              <w:t>②移动框架室体：由移动龙门架结构、伸缩房体支架、伸缩控制连杆、房体密封布等组成。</w:t>
            </w:r>
          </w:p>
          <w:p w14:paraId="4B8AC232">
            <w:pPr>
              <w:adjustRightInd w:val="0"/>
              <w:snapToGrid w:val="0"/>
              <w:spacing w:line="360" w:lineRule="auto"/>
              <w:ind w:firstLine="480" w:firstLineChars="200"/>
              <w:rPr>
                <w:rFonts w:cs="宋体"/>
                <w:bCs/>
                <w:color w:val="0D0D0D" w:themeColor="text1" w:themeTint="F2"/>
                <w:sz w:val="24"/>
                <w:u w:val="single"/>
                <w14:textFill>
                  <w14:solidFill>
                    <w14:schemeClr w14:val="tx1">
                      <w14:lumMod w14:val="95000"/>
                      <w14:lumOff w14:val="5000"/>
                    </w14:schemeClr>
                  </w14:solidFill>
                </w14:textFill>
              </w:rPr>
            </w:pPr>
            <w:r>
              <w:rPr>
                <w:rFonts w:hint="eastAsia" w:cs="宋体"/>
                <w:bCs/>
                <w:color w:val="0D0D0D" w:themeColor="text1" w:themeTint="F2"/>
                <w:sz w:val="24"/>
                <w:u w:val="single"/>
                <w14:textFill>
                  <w14:solidFill>
                    <w14:schemeClr w14:val="tx1">
                      <w14:lumMod w14:val="95000"/>
                      <w14:lumOff w14:val="5000"/>
                    </w14:schemeClr>
                  </w14:solidFill>
                </w14:textFill>
              </w:rPr>
              <w:t>③移动龙门架结构：是伸缩式喷漆房的伸缩牵引支架，它包括了龙门架、伸缩移动驱动架、伸缩警示灯。伸缩动力装置即伸缩移动架及安装在伸缩架上的驱动电机、主动轮及其传动系统。移动龙门架安装在伸缩驱动架上。</w:t>
            </w:r>
          </w:p>
          <w:p w14:paraId="67544729">
            <w:pPr>
              <w:adjustRightInd w:val="0"/>
              <w:snapToGrid w:val="0"/>
              <w:spacing w:line="360" w:lineRule="auto"/>
              <w:ind w:firstLine="480" w:firstLineChars="200"/>
              <w:rPr>
                <w:rFonts w:cs="宋体"/>
                <w:bCs/>
                <w:color w:val="0D0D0D" w:themeColor="text1" w:themeTint="F2"/>
                <w:sz w:val="24"/>
                <w:u w:val="single"/>
                <w14:textFill>
                  <w14:solidFill>
                    <w14:schemeClr w14:val="tx1">
                      <w14:lumMod w14:val="95000"/>
                      <w14:lumOff w14:val="5000"/>
                    </w14:schemeClr>
                  </w14:solidFill>
                </w14:textFill>
              </w:rPr>
            </w:pPr>
            <w:r>
              <w:rPr>
                <w:rFonts w:hint="eastAsia" w:cs="宋体"/>
                <w:bCs/>
                <w:color w:val="0D0D0D" w:themeColor="text1" w:themeTint="F2"/>
                <w:sz w:val="24"/>
                <w:u w:val="single"/>
                <w14:textFill>
                  <w14:solidFill>
                    <w14:schemeClr w14:val="tx1">
                      <w14:lumMod w14:val="95000"/>
                      <w14:lumOff w14:val="5000"/>
                    </w14:schemeClr>
                  </w14:solidFill>
                </w14:textFill>
              </w:rPr>
              <w:t>④伸缩房体支架：包括垂直移动框架、横梁、从动轮，是伸缩房体的主要钢结构支架系统，用于房体长度方向伸缩受力传递和密封布的支撑固定，最后一套支架为固定支架，其余支架的垂直支架底座安装被动滚轮，用于支撑支架和减少移动阻力。</w:t>
            </w:r>
          </w:p>
          <w:p w14:paraId="75B0CC81">
            <w:pPr>
              <w:adjustRightInd w:val="0"/>
              <w:snapToGrid w:val="0"/>
              <w:spacing w:line="360" w:lineRule="auto"/>
              <w:ind w:firstLine="480" w:firstLineChars="200"/>
              <w:rPr>
                <w:rFonts w:cs="宋体"/>
                <w:bCs/>
                <w:color w:val="0D0D0D" w:themeColor="text1" w:themeTint="F2"/>
                <w:sz w:val="24"/>
                <w:u w:val="single"/>
                <w14:textFill>
                  <w14:solidFill>
                    <w14:schemeClr w14:val="tx1">
                      <w14:lumMod w14:val="95000"/>
                      <w14:lumOff w14:val="5000"/>
                    </w14:schemeClr>
                  </w14:solidFill>
                </w14:textFill>
              </w:rPr>
            </w:pPr>
            <w:r>
              <w:rPr>
                <w:rFonts w:hint="eastAsia" w:cs="宋体"/>
                <w:bCs/>
                <w:color w:val="0D0D0D" w:themeColor="text1" w:themeTint="F2"/>
                <w:sz w:val="24"/>
                <w:u w:val="single"/>
                <w14:textFill>
                  <w14:solidFill>
                    <w14:schemeClr w14:val="tx1">
                      <w14:lumMod w14:val="95000"/>
                      <w14:lumOff w14:val="5000"/>
                    </w14:schemeClr>
                  </w14:solidFill>
                </w14:textFill>
              </w:rPr>
              <w:t>⑤伸缩控制系统：分为左右两组，每组由上下斜连杆、垂直连杆、连接轴套、紧固螺栓、隔离垫片等组成。斜连杆的中间连接轴固定于垂直支架上，两端与相邻斜连杆轴连，其中上面一组的最上端轴与垂直连杆连接，并通过垂直连杆与下面一组上部斜连杆连接点连接。龙门架及固定垂直支架通过半连杆与相邻垂直移动架斜连杆连接。斜连杆的作用是将龙门架的伸缩长度平均分配给移动支架，保证整套房体前后伸缩的一致性。垂直连杆的作用是通过控制上下两组伸缩连杆的伸缩一致，从而保证龙门]架及各移动支架的垂直平移。</w:t>
            </w:r>
          </w:p>
          <w:p w14:paraId="05808A5B">
            <w:pPr>
              <w:adjustRightInd w:val="0"/>
              <w:snapToGrid w:val="0"/>
              <w:spacing w:line="360" w:lineRule="auto"/>
              <w:ind w:firstLine="480" w:firstLineChars="200"/>
              <w:rPr>
                <w:rFonts w:cs="宋体"/>
                <w:bCs/>
                <w:color w:val="0D0D0D" w:themeColor="text1" w:themeTint="F2"/>
                <w:sz w:val="24"/>
                <w:u w:val="single"/>
                <w14:textFill>
                  <w14:solidFill>
                    <w14:schemeClr w14:val="tx1">
                      <w14:lumMod w14:val="95000"/>
                      <w14:lumOff w14:val="5000"/>
                    </w14:schemeClr>
                  </w14:solidFill>
                </w14:textFill>
              </w:rPr>
            </w:pPr>
            <w:r>
              <w:rPr>
                <w:rFonts w:hint="eastAsia" w:cs="宋体"/>
                <w:bCs/>
                <w:color w:val="0D0D0D" w:themeColor="text1" w:themeTint="F2"/>
                <w:sz w:val="24"/>
                <w:u w:val="single"/>
                <w14:textFill>
                  <w14:solidFill>
                    <w14:schemeClr w14:val="tx1">
                      <w14:lumMod w14:val="95000"/>
                      <w14:lumOff w14:val="5000"/>
                    </w14:schemeClr>
                  </w14:solidFill>
                </w14:textFill>
              </w:rPr>
              <w:t>⑥电控系统：电控箱操作面板设置紧急停止按钮、伸展按钮、收缩按钮、停止按钮、照明开关、风机开关等。配电箱用于伸缩房电源线接入和电源控制。</w:t>
            </w:r>
          </w:p>
          <w:p w14:paraId="1D19C536">
            <w:pPr>
              <w:adjustRightInd w:val="0"/>
              <w:rPr>
                <w:rFonts w:cs="宋体"/>
                <w:bCs/>
                <w:color w:val="0D0D0D" w:themeColor="text1" w:themeTint="F2"/>
                <w:spacing w:val="-10"/>
                <w:sz w:val="24"/>
                <w:u w:val="single"/>
                <w14:textFill>
                  <w14:solidFill>
                    <w14:schemeClr w14:val="tx1">
                      <w14:lumMod w14:val="95000"/>
                      <w14:lumOff w14:val="5000"/>
                    </w14:schemeClr>
                  </w14:solidFill>
                </w14:textFill>
              </w:rPr>
            </w:pPr>
            <w:r>
              <w:rPr>
                <w:rFonts w:cs="宋体"/>
                <w:bCs/>
                <w:color w:val="0D0D0D" w:themeColor="text1" w:themeTint="F2"/>
                <w:spacing w:val="-10"/>
                <w:sz w:val="24"/>
                <w:u w:val="single"/>
                <w14:textFill>
                  <w14:solidFill>
                    <w14:schemeClr w14:val="tx1">
                      <w14:lumMod w14:val="95000"/>
                      <w14:lumOff w14:val="5000"/>
                    </w14:schemeClr>
                  </w14:solidFill>
                </w14:textFill>
              </w:rPr>
              <w:drawing>
                <wp:inline distT="0" distB="0" distL="0" distR="0">
                  <wp:extent cx="5295265" cy="3049270"/>
                  <wp:effectExtent l="0" t="0" r="635" b="0"/>
                  <wp:docPr id="19504674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467448" name="图片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310167" cy="3057917"/>
                          </a:xfrm>
                          <a:prstGeom prst="rect">
                            <a:avLst/>
                          </a:prstGeom>
                          <a:noFill/>
                        </pic:spPr>
                      </pic:pic>
                    </a:graphicData>
                  </a:graphic>
                </wp:inline>
              </w:drawing>
            </w:r>
          </w:p>
          <w:p w14:paraId="650A9841">
            <w:pPr>
              <w:adjustRightInd w:val="0"/>
              <w:jc w:val="center"/>
              <w:rPr>
                <w:rFonts w:cs="宋体"/>
                <w:b/>
                <w:color w:val="0D0D0D" w:themeColor="text1" w:themeTint="F2"/>
                <w:spacing w:val="-10"/>
                <w:szCs w:val="21"/>
                <w:u w:val="single"/>
                <w14:textFill>
                  <w14:solidFill>
                    <w14:schemeClr w14:val="tx1">
                      <w14:lumMod w14:val="95000"/>
                      <w14:lumOff w14:val="5000"/>
                    </w14:schemeClr>
                  </w14:solidFill>
                </w14:textFill>
              </w:rPr>
            </w:pPr>
            <w:r>
              <w:rPr>
                <w:rFonts w:hint="eastAsia" w:cs="宋体"/>
                <w:b/>
                <w:color w:val="0D0D0D" w:themeColor="text1" w:themeTint="F2"/>
                <w:spacing w:val="-10"/>
                <w:szCs w:val="21"/>
                <w:u w:val="single"/>
                <w14:textFill>
                  <w14:solidFill>
                    <w14:schemeClr w14:val="tx1">
                      <w14:lumMod w14:val="95000"/>
                      <w14:lumOff w14:val="5000"/>
                    </w14:schemeClr>
                  </w14:solidFill>
                </w14:textFill>
              </w:rPr>
              <w:t>图4-1  伸缩式干式喷漆房样例图</w:t>
            </w:r>
          </w:p>
          <w:p w14:paraId="42A6B627">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（2）电子脉冲滤芯式除尘器</w:t>
            </w:r>
          </w:p>
          <w:p w14:paraId="6C0D9CCF">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电子脉冲滤芯式除尘器是一种高效的气体净化设备，通过脉冲喷吹技术实现滤芯的自动清灰，由滤芯、脉冲清灰系统和分室结构组成。滤芯采用聚酯纤维折叠轧制而成，呈圆柱形结构，下端封闭，上端中心正对喷吹管；滤芯具有高过滤面积（通常为普通滤袋的2~5倍）和低压损特性，适用于微米级粉尘的捕集。脉冲清灰系统包括气包（储存压缩空气）、脉冲阀、喷吹管及控制器。脉冲阀通过电磁信号控制压缩空气的释放，喷吹管上的小孔对准滤芯中心，形成高速气流通道。除尘器分为多个独立过滤室，含尘气体通过灰斗分配至各室，清灰时逐室停风操作，避免二次扬尘。</w:t>
            </w:r>
          </w:p>
          <w:p w14:paraId="1C22AC3D">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其工作原理主要为：</w:t>
            </w:r>
          </w:p>
          <w:p w14:paraId="253B7E33">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①过滤阶段</w:t>
            </w:r>
          </w:p>
          <w:p w14:paraId="2164F0B7">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粉尘分离：含尘气体由进气口进入灰斗，粗颗粒因重力沉降，细颗粒随气流上升至滤芯外表面。通过机械拦截（筛分效应）、惯性碰撞和布朗扩散，粉尘被截留在滤芯表面，净化气体穿过滤芯进入净气室排出。</w:t>
            </w:r>
          </w:p>
          <w:p w14:paraId="4021BE60">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阻力上升：随着滤芯表面粉尘层增厚，系统压差逐渐升高，当达到设定值（通常</w:t>
            </w:r>
            <w:r>
              <w:rPr>
                <w:rFonts w:cs="宋体"/>
                <w:bCs/>
                <w:color w:val="0D0D0D" w:themeColor="text1" w:themeTint="F2"/>
                <w:spacing w:val="-10"/>
                <w:sz w:val="24"/>
                <w:u w:val="single"/>
                <w14:textFill>
                  <w14:solidFill>
                    <w14:schemeClr w14:val="tx1">
                      <w14:lumMod w14:val="95000"/>
                      <w14:lumOff w14:val="5000"/>
                    </w14:schemeClr>
                  </w14:solidFill>
                </w14:textFill>
              </w:rPr>
              <w:t>1200</w:t>
            </w:r>
            <w:r>
              <w:rPr>
                <w:rFonts w:hint="eastAsia" w:cs="宋体"/>
                <w:bCs/>
                <w:color w:val="0D0D0D" w:themeColor="text1" w:themeTint="F2"/>
                <w:spacing w:val="-10"/>
                <w:sz w:val="24"/>
                <w:u w:val="single"/>
                <w14:textFill>
                  <w14:solidFill>
                    <w14:schemeClr w14:val="tx1">
                      <w14:lumMod w14:val="95000"/>
                      <w14:lumOff w14:val="5000"/>
                    </w14:schemeClr>
                  </w14:solidFill>
                </w14:textFill>
              </w:rPr>
              <w:t>~</w:t>
            </w:r>
            <w:r>
              <w:rPr>
                <w:rFonts w:cs="宋体"/>
                <w:bCs/>
                <w:color w:val="0D0D0D" w:themeColor="text1" w:themeTint="F2"/>
                <w:spacing w:val="-10"/>
                <w:sz w:val="24"/>
                <w:u w:val="single"/>
                <w14:textFill>
                  <w14:solidFill>
                    <w14:schemeClr w14:val="tx1">
                      <w14:lumMod w14:val="95000"/>
                      <w14:lumOff w14:val="5000"/>
                    </w14:schemeClr>
                  </w14:solidFill>
                </w14:textFill>
              </w:rPr>
              <w:t>1500Pa</w:t>
            </w:r>
            <w:r>
              <w:rPr>
                <w:rFonts w:hint="eastAsia" w:cs="宋体"/>
                <w:bCs/>
                <w:color w:val="0D0D0D" w:themeColor="text1" w:themeTint="F2"/>
                <w:spacing w:val="-10"/>
                <w:sz w:val="24"/>
                <w:u w:val="single"/>
                <w14:textFill>
                  <w14:solidFill>
                    <w14:schemeClr w14:val="tx1">
                      <w14:lumMod w14:val="95000"/>
                      <w14:lumOff w14:val="5000"/>
                    </w14:schemeClr>
                  </w14:solidFill>
                </w14:textFill>
              </w:rPr>
              <w:t>）时触发清灰程序。</w:t>
            </w:r>
          </w:p>
          <w:p w14:paraId="69914569">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②脉冲清灰阶段</w:t>
            </w:r>
          </w:p>
          <w:p w14:paraId="5292ED9F">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压缩空气喷吹：脉冲控制器按顺序触发电磁阀，气包内</w:t>
            </w:r>
            <w:r>
              <w:rPr>
                <w:rFonts w:cs="宋体"/>
                <w:bCs/>
                <w:color w:val="0D0D0D" w:themeColor="text1" w:themeTint="F2"/>
                <w:spacing w:val="-10"/>
                <w:sz w:val="24"/>
                <w:u w:val="single"/>
                <w14:textFill>
                  <w14:solidFill>
                    <w14:schemeClr w14:val="tx1">
                      <w14:lumMod w14:val="95000"/>
                      <w14:lumOff w14:val="5000"/>
                    </w14:schemeClr>
                  </w14:solidFill>
                </w14:textFill>
              </w:rPr>
              <w:t>0.4</w:t>
            </w:r>
            <w:r>
              <w:rPr>
                <w:rFonts w:hint="eastAsia" w:cs="宋体"/>
                <w:bCs/>
                <w:color w:val="0D0D0D" w:themeColor="text1" w:themeTint="F2"/>
                <w:spacing w:val="-10"/>
                <w:sz w:val="24"/>
                <w:u w:val="single"/>
                <w14:textFill>
                  <w14:solidFill>
                    <w14:schemeClr w14:val="tx1">
                      <w14:lumMod w14:val="95000"/>
                      <w14:lumOff w14:val="5000"/>
                    </w14:schemeClr>
                  </w14:solidFill>
                </w14:textFill>
              </w:rPr>
              <w:t>~</w:t>
            </w:r>
            <w:r>
              <w:rPr>
                <w:rFonts w:cs="宋体"/>
                <w:bCs/>
                <w:color w:val="0D0D0D" w:themeColor="text1" w:themeTint="F2"/>
                <w:spacing w:val="-10"/>
                <w:sz w:val="24"/>
                <w:u w:val="single"/>
                <w14:textFill>
                  <w14:solidFill>
                    <w14:schemeClr w14:val="tx1">
                      <w14:lumMod w14:val="95000"/>
                      <w14:lumOff w14:val="5000"/>
                    </w14:schemeClr>
                  </w14:solidFill>
                </w14:textFill>
              </w:rPr>
              <w:t>0.6MPa</w:t>
            </w:r>
            <w:r>
              <w:rPr>
                <w:rFonts w:hint="eastAsia" w:cs="宋体"/>
                <w:bCs/>
                <w:color w:val="0D0D0D" w:themeColor="text1" w:themeTint="F2"/>
                <w:spacing w:val="-10"/>
                <w:sz w:val="24"/>
                <w:u w:val="single"/>
                <w14:textFill>
                  <w14:solidFill>
                    <w14:schemeClr w14:val="tx1">
                      <w14:lumMod w14:val="95000"/>
                      <w14:lumOff w14:val="5000"/>
                    </w14:schemeClr>
                  </w14:solidFill>
                </w14:textFill>
              </w:rPr>
              <w:t>压缩空气经喷吹管高速喷射，同时诱导</w:t>
            </w:r>
            <w:r>
              <w:rPr>
                <w:rFonts w:cs="宋体"/>
                <w:bCs/>
                <w:color w:val="0D0D0D" w:themeColor="text1" w:themeTint="F2"/>
                <w:spacing w:val="-10"/>
                <w:sz w:val="24"/>
                <w:u w:val="single"/>
                <w14:textFill>
                  <w14:solidFill>
                    <w14:schemeClr w14:val="tx1">
                      <w14:lumMod w14:val="95000"/>
                      <w14:lumOff w14:val="5000"/>
                    </w14:schemeClr>
                  </w14:solidFill>
                </w14:textFill>
              </w:rPr>
              <w:t>5</w:t>
            </w:r>
            <w:r>
              <w:rPr>
                <w:rFonts w:hint="eastAsia" w:cs="宋体"/>
                <w:bCs/>
                <w:color w:val="0D0D0D" w:themeColor="text1" w:themeTint="F2"/>
                <w:spacing w:val="-10"/>
                <w:sz w:val="24"/>
                <w:u w:val="single"/>
                <w14:textFill>
                  <w14:solidFill>
                    <w14:schemeClr w14:val="tx1">
                      <w14:lumMod w14:val="95000"/>
                      <w14:lumOff w14:val="5000"/>
                    </w14:schemeClr>
                  </w14:solidFill>
                </w14:textFill>
              </w:rPr>
              <w:t>~</w:t>
            </w:r>
            <w:r>
              <w:rPr>
                <w:rFonts w:cs="宋体"/>
                <w:bCs/>
                <w:color w:val="0D0D0D" w:themeColor="text1" w:themeTint="F2"/>
                <w:spacing w:val="-10"/>
                <w:sz w:val="24"/>
                <w:u w:val="single"/>
                <w14:textFill>
                  <w14:solidFill>
                    <w14:schemeClr w14:val="tx1">
                      <w14:lumMod w14:val="95000"/>
                      <w14:lumOff w14:val="5000"/>
                    </w14:schemeClr>
                  </w14:solidFill>
                </w14:textFill>
              </w:rPr>
              <w:t>7</w:t>
            </w:r>
            <w:r>
              <w:rPr>
                <w:rFonts w:hint="eastAsia" w:cs="宋体"/>
                <w:bCs/>
                <w:color w:val="0D0D0D" w:themeColor="text1" w:themeTint="F2"/>
                <w:spacing w:val="-10"/>
                <w:sz w:val="24"/>
                <w:u w:val="single"/>
                <w14:textFill>
                  <w14:solidFill>
                    <w14:schemeClr w14:val="tx1">
                      <w14:lumMod w14:val="95000"/>
                      <w14:lumOff w14:val="5000"/>
                    </w14:schemeClr>
                  </w14:solidFill>
                </w14:textFill>
              </w:rPr>
              <w:t>倍气量的周围空气形成二次引流，产生瞬时正压冲击波。</w:t>
            </w:r>
          </w:p>
          <w:p w14:paraId="69B2C879">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滤芯振动：高压气流从滤芯内部向外反向冲击，使滤芯发生高频膨胀</w:t>
            </w:r>
            <w:r>
              <w:rPr>
                <w:rFonts w:cs="宋体"/>
                <w:bCs/>
                <w:color w:val="0D0D0D" w:themeColor="text1" w:themeTint="F2"/>
                <w:spacing w:val="-10"/>
                <w:sz w:val="24"/>
                <w:u w:val="single"/>
                <w14:textFill>
                  <w14:solidFill>
                    <w14:schemeClr w14:val="tx1">
                      <w14:lumMod w14:val="95000"/>
                      <w14:lumOff w14:val="5000"/>
                    </w14:schemeClr>
                  </w14:solidFill>
                </w14:textFill>
              </w:rPr>
              <w:t>-</w:t>
            </w:r>
            <w:r>
              <w:rPr>
                <w:rFonts w:hint="eastAsia" w:cs="宋体"/>
                <w:bCs/>
                <w:color w:val="0D0D0D" w:themeColor="text1" w:themeTint="F2"/>
                <w:spacing w:val="-10"/>
                <w:sz w:val="24"/>
                <w:u w:val="single"/>
                <w14:textFill>
                  <w14:solidFill>
                    <w14:schemeClr w14:val="tx1">
                      <w14:lumMod w14:val="95000"/>
                      <w14:lumOff w14:val="5000"/>
                    </w14:schemeClr>
                  </w14:solidFill>
                </w14:textFill>
              </w:rPr>
              <w:t>收缩振动，剥离表面附着的粉尘层。清灰时间极短（单次脉冲约</w:t>
            </w:r>
            <w:r>
              <w:rPr>
                <w:rFonts w:cs="宋体"/>
                <w:bCs/>
                <w:color w:val="0D0D0D" w:themeColor="text1" w:themeTint="F2"/>
                <w:spacing w:val="-10"/>
                <w:sz w:val="24"/>
                <w:u w:val="single"/>
                <w14:textFill>
                  <w14:solidFill>
                    <w14:schemeClr w14:val="tx1">
                      <w14:lumMod w14:val="95000"/>
                      <w14:lumOff w14:val="5000"/>
                    </w14:schemeClr>
                  </w14:solidFill>
                </w14:textFill>
              </w:rPr>
              <w:t>0.1</w:t>
            </w:r>
            <w:r>
              <w:rPr>
                <w:rFonts w:hint="eastAsia" w:cs="宋体"/>
                <w:bCs/>
                <w:color w:val="0D0D0D" w:themeColor="text1" w:themeTint="F2"/>
                <w:spacing w:val="-10"/>
                <w:sz w:val="24"/>
                <w:u w:val="single"/>
                <w14:textFill>
                  <w14:solidFill>
                    <w14:schemeClr w14:val="tx1">
                      <w14:lumMod w14:val="95000"/>
                      <w14:lumOff w14:val="5000"/>
                    </w14:schemeClr>
                  </w14:solidFill>
                </w14:textFill>
              </w:rPr>
              <w:t>秒），避免滤芯过度磨损。</w:t>
            </w:r>
          </w:p>
          <w:p w14:paraId="64D1767C">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粉尘收集：脱落粉尘落入灰斗，通过螺旋输送机或卸灰阀排出，实现连续作业。</w:t>
            </w:r>
          </w:p>
          <w:p w14:paraId="5C74264A">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根据《工业源产排污核算方法和系数手册-33-37，431-434机械行业系数手册》，电子脉冲滤芯式除尘器对颗粒物具有较高的去除效率，去除率约为95%。参照《排污许可证申请与核发技术规范  汽车制造业》，电子脉冲滤芯式除尘器处理抛丸粉尘是可行技术，因此，抛丸粉尘经电子脉冲滤芯式除尘器处理后通过20m排气筒（DA001）排放是可行的。电子脉冲滤芯式除尘器滤芯需定期过更换，产生的突</w:t>
            </w:r>
          </w:p>
          <w:p w14:paraId="4621774A">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（3）水帘柜</w:t>
            </w:r>
          </w:p>
          <w:p w14:paraId="2D7026BE">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水帘柜是一种基于水幕过滤技术的环保喷漆设备，其核心工作原理是通过水循环系统捕集漆雾、净化空气并实现资源循环利用，通常由水循环系统、过滤分离装置和排风与控制系统组成。</w:t>
            </w:r>
          </w:p>
          <w:p w14:paraId="5B4B3816">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①水循环系统</w:t>
            </w:r>
          </w:p>
          <w:p w14:paraId="6FB39907">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水帘板：由不锈钢或耐腐蚀材料制成，表面形成均匀水膜（厚度约</w:t>
            </w:r>
            <w:r>
              <w:rPr>
                <w:rFonts w:cs="宋体"/>
                <w:bCs/>
                <w:color w:val="0D0D0D" w:themeColor="text1" w:themeTint="F2"/>
                <w:spacing w:val="-10"/>
                <w:sz w:val="24"/>
                <w:u w:val="single"/>
                <w14:textFill>
                  <w14:solidFill>
                    <w14:schemeClr w14:val="tx1">
                      <w14:lumMod w14:val="95000"/>
                      <w14:lumOff w14:val="5000"/>
                    </w14:schemeClr>
                  </w14:solidFill>
                </w14:textFill>
              </w:rPr>
              <w:t>2mm</w:t>
            </w:r>
            <w:r>
              <w:rPr>
                <w:rFonts w:hint="eastAsia" w:cs="宋体"/>
                <w:bCs/>
                <w:color w:val="0D0D0D" w:themeColor="text1" w:themeTint="F2"/>
                <w:spacing w:val="-10"/>
                <w:sz w:val="24"/>
                <w:u w:val="single"/>
                <w14:textFill>
                  <w14:solidFill>
                    <w14:schemeClr w14:val="tx1">
                      <w14:lumMod w14:val="95000"/>
                      <w14:lumOff w14:val="5000"/>
                    </w14:schemeClr>
                  </w14:solidFill>
                </w14:textFill>
              </w:rPr>
              <w:t>），用于拦截漆雾颗粒。</w:t>
            </w:r>
          </w:p>
          <w:p w14:paraId="5802971B">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储水箱与水泵：储水箱储存过滤水，水泵将水输送至水帘板顶部形成连续水幕，同时通过喷淋系统增强漆雾捕集。</w:t>
            </w:r>
          </w:p>
          <w:p w14:paraId="766BC07F">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涡旋板</w:t>
            </w:r>
            <w:r>
              <w:rPr>
                <w:rFonts w:cs="宋体"/>
                <w:bCs/>
                <w:color w:val="0D0D0D" w:themeColor="text1" w:themeTint="F2"/>
                <w:spacing w:val="-10"/>
                <w:sz w:val="24"/>
                <w:u w:val="single"/>
                <w14:textFill>
                  <w14:solidFill>
                    <w14:schemeClr w14:val="tx1">
                      <w14:lumMod w14:val="95000"/>
                      <w14:lumOff w14:val="5000"/>
                    </w14:schemeClr>
                  </w14:solidFill>
                </w14:textFill>
              </w:rPr>
              <w:t>/</w:t>
            </w:r>
            <w:r>
              <w:rPr>
                <w:rFonts w:hint="eastAsia" w:cs="宋体"/>
                <w:bCs/>
                <w:color w:val="0D0D0D" w:themeColor="text1" w:themeTint="F2"/>
                <w:spacing w:val="-10"/>
                <w:sz w:val="24"/>
                <w:u w:val="single"/>
                <w14:textFill>
                  <w14:solidFill>
                    <w14:schemeClr w14:val="tx1">
                      <w14:lumMod w14:val="95000"/>
                      <w14:lumOff w14:val="5000"/>
                    </w14:schemeClr>
                  </w14:solidFill>
                </w14:textFill>
              </w:rPr>
              <w:t>涡卷器：位于水帘板下方，通过涡旋结构增强水气混合，提升漆雾沉降效率。</w:t>
            </w:r>
          </w:p>
          <w:p w14:paraId="134DB1A3">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②过滤与分离装置</w:t>
            </w:r>
          </w:p>
          <w:p w14:paraId="0D810BEF">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喷淋水洗系统：多组喷头覆盖排风通道，进一步捕捉逃逸的漆雾颗粒。</w:t>
            </w:r>
          </w:p>
          <w:p w14:paraId="2AB37B95">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气水分离器：迷宫式结构分离空气与水雾，防止水分流失并回收漆渣。</w:t>
            </w:r>
          </w:p>
          <w:p w14:paraId="4298DFF7">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活性炭</w:t>
            </w:r>
            <w:r>
              <w:rPr>
                <w:rFonts w:cs="宋体"/>
                <w:bCs/>
                <w:color w:val="0D0D0D" w:themeColor="text1" w:themeTint="F2"/>
                <w:spacing w:val="-10"/>
                <w:sz w:val="24"/>
                <w:u w:val="single"/>
                <w14:textFill>
                  <w14:solidFill>
                    <w14:schemeClr w14:val="tx1">
                      <w14:lumMod w14:val="95000"/>
                      <w14:lumOff w14:val="5000"/>
                    </w14:schemeClr>
                  </w14:solidFill>
                </w14:textFill>
              </w:rPr>
              <w:t>/HEPA</w:t>
            </w:r>
            <w:r>
              <w:rPr>
                <w:rFonts w:hint="eastAsia" w:cs="宋体"/>
                <w:bCs/>
                <w:color w:val="0D0D0D" w:themeColor="text1" w:themeTint="F2"/>
                <w:spacing w:val="-10"/>
                <w:sz w:val="24"/>
                <w:u w:val="single"/>
                <w14:textFill>
                  <w14:solidFill>
                    <w14:schemeClr w14:val="tx1">
                      <w14:lumMod w14:val="95000"/>
                      <w14:lumOff w14:val="5000"/>
                    </w14:schemeClr>
                  </w14:solidFill>
                </w14:textFill>
              </w:rPr>
              <w:t>过滤：用于深度净化排风中的</w:t>
            </w:r>
            <w:r>
              <w:rPr>
                <w:rFonts w:cs="宋体"/>
                <w:bCs/>
                <w:color w:val="0D0D0D" w:themeColor="text1" w:themeTint="F2"/>
                <w:spacing w:val="-10"/>
                <w:sz w:val="24"/>
                <w:u w:val="single"/>
                <w14:textFill>
                  <w14:solidFill>
                    <w14:schemeClr w14:val="tx1">
                      <w14:lumMod w14:val="95000"/>
                      <w14:lumOff w14:val="5000"/>
                    </w14:schemeClr>
                  </w14:solidFill>
                </w14:textFill>
              </w:rPr>
              <w:t>VOCs</w:t>
            </w:r>
            <w:r>
              <w:rPr>
                <w:rFonts w:hint="eastAsia" w:cs="宋体"/>
                <w:bCs/>
                <w:color w:val="0D0D0D" w:themeColor="text1" w:themeTint="F2"/>
                <w:spacing w:val="-10"/>
                <w:sz w:val="24"/>
                <w:u w:val="single"/>
                <w14:textFill>
                  <w14:solidFill>
                    <w14:schemeClr w14:val="tx1">
                      <w14:lumMod w14:val="95000"/>
                      <w14:lumOff w14:val="5000"/>
                    </w14:schemeClr>
                  </w14:solidFill>
                </w14:textFill>
              </w:rPr>
              <w:t>和微粒，确保排放达标。</w:t>
            </w:r>
          </w:p>
          <w:p w14:paraId="642D03DF">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③排风与控制系统</w:t>
            </w:r>
          </w:p>
          <w:p w14:paraId="79F2DCBC">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离心风机：通过负压抽吸含漆空气。</w:t>
            </w:r>
          </w:p>
          <w:p w14:paraId="420F1EEA">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智能控制：</w:t>
            </w:r>
            <w:r>
              <w:rPr>
                <w:rFonts w:cs="宋体"/>
                <w:bCs/>
                <w:color w:val="0D0D0D" w:themeColor="text1" w:themeTint="F2"/>
                <w:spacing w:val="-10"/>
                <w:sz w:val="24"/>
                <w:u w:val="single"/>
                <w14:textFill>
                  <w14:solidFill>
                    <w14:schemeClr w14:val="tx1">
                      <w14:lumMod w14:val="95000"/>
                      <w14:lumOff w14:val="5000"/>
                    </w14:schemeClr>
                  </w14:solidFill>
                </w14:textFill>
              </w:rPr>
              <w:t>PLC</w:t>
            </w:r>
            <w:r>
              <w:rPr>
                <w:rFonts w:hint="eastAsia" w:cs="宋体"/>
                <w:bCs/>
                <w:color w:val="0D0D0D" w:themeColor="text1" w:themeTint="F2"/>
                <w:spacing w:val="-10"/>
                <w:sz w:val="24"/>
                <w:u w:val="single"/>
                <w14:textFill>
                  <w14:solidFill>
                    <w14:schemeClr w14:val="tx1">
                      <w14:lumMod w14:val="95000"/>
                      <w14:lumOff w14:val="5000"/>
                    </w14:schemeClr>
                  </w14:solidFill>
                </w14:textFill>
              </w:rPr>
              <w:t>或压差传感器调节水泵、风机运行参数，支持定时</w:t>
            </w:r>
            <w:r>
              <w:rPr>
                <w:rFonts w:cs="宋体"/>
                <w:bCs/>
                <w:color w:val="0D0D0D" w:themeColor="text1" w:themeTint="F2"/>
                <w:spacing w:val="-10"/>
                <w:sz w:val="24"/>
                <w:u w:val="single"/>
                <w14:textFill>
                  <w14:solidFill>
                    <w14:schemeClr w14:val="tx1">
                      <w14:lumMod w14:val="95000"/>
                      <w14:lumOff w14:val="5000"/>
                    </w14:schemeClr>
                  </w14:solidFill>
                </w14:textFill>
              </w:rPr>
              <w:t>/</w:t>
            </w:r>
            <w:r>
              <w:rPr>
                <w:rFonts w:hint="eastAsia" w:cs="宋体"/>
                <w:bCs/>
                <w:color w:val="0D0D0D" w:themeColor="text1" w:themeTint="F2"/>
                <w:spacing w:val="-10"/>
                <w:sz w:val="24"/>
                <w:u w:val="single"/>
                <w14:textFill>
                  <w14:solidFill>
                    <w14:schemeClr w14:val="tx1">
                      <w14:lumMod w14:val="95000"/>
                      <w14:lumOff w14:val="5000"/>
                    </w14:schemeClr>
                  </w14:solidFill>
                </w14:textFill>
              </w:rPr>
              <w:t>定压差模式。</w:t>
            </w:r>
          </w:p>
          <w:p w14:paraId="45B2DC48">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其工作原理主要为：</w:t>
            </w:r>
          </w:p>
          <w:p w14:paraId="1081F407">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采用上送风下抽风方式，喷漆时，未被吸附的漆雾在风机负压作用下进入柜体，漆雾与水帘板表面水膜接触，通过惯性碰撞和吸附作用被捕获，利用负气压力原理在齿板与弧板间因负压形成强大气流，使这里的水产生旋涡对吸入的漆雾进行冲洗，漆雾于水中形成漆渣，沉降的漆渣通过过滤网或刮渣装置定期清理。</w:t>
            </w:r>
          </w:p>
          <w:p w14:paraId="6095FE9A">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（4）活性炭吸附脱附</w:t>
            </w:r>
          </w:p>
          <w:p w14:paraId="5D9CA967">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项目二级活性炭吸附脱附装置采用蜂窝活性炭，工作原理可分为吸附和脱附两个核心阶段，其机制涉及物理化学作用的综合应用。</w:t>
            </w:r>
          </w:p>
          <w:p w14:paraId="21C5D93C">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物理吸附体现在活性炭通过发达的孔隙结构（微孔、中孔、大孔）和巨大的比表面积（500~3000m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2</w:t>
            </w:r>
            <w:r>
              <w:rPr>
                <w:rFonts w:hint="eastAsia" w:cs="宋体"/>
                <w:bCs/>
                <w:color w:val="0D0D0D" w:themeColor="text1" w:themeTint="F2"/>
                <w:spacing w:val="-10"/>
                <w:sz w:val="24"/>
                <w:u w:val="single"/>
                <w14:textFill>
                  <w14:solidFill>
                    <w14:schemeClr w14:val="tx1">
                      <w14:lumMod w14:val="95000"/>
                      <w14:lumOff w14:val="5000"/>
                    </w14:schemeClr>
                  </w14:solidFill>
                </w14:textFill>
              </w:rPr>
              <w:t>/g），利用范德华力吸附污染物分子。污染物（如VOCs、重金属离子等）与活性炭表面接触时，因分子间的引力被捕获于孔隙中。该过程可逆，吸附量受污染物浓度、温度、活性炭孔径分布等因素影响。脱附原理体现在当活性炭吸附饱和后，需通过改变外部条件释放污染物以实现再生，如通过加热（100~200℃）增加分子动能，使污染物克服范德华力或化学键束缚，脱离活性炭表面；降低系统压力或抽真空，利用吸附量随压力变化的特性（如变压吸附技术），促使污染物从孔隙中逸出；引入更强吸附力的物质（如</w:t>
            </w:r>
            <w:r>
              <w:rPr>
                <w:rFonts w:cs="宋体"/>
                <w:bCs/>
                <w:color w:val="0D0D0D" w:themeColor="text1" w:themeTint="F2"/>
                <w:spacing w:val="-10"/>
                <w:sz w:val="24"/>
                <w:u w:val="single"/>
                <w14:textFill>
                  <w14:solidFill>
                    <w14:schemeClr w14:val="tx1">
                      <w14:lumMod w14:val="95000"/>
                      <w14:lumOff w14:val="5000"/>
                    </w14:schemeClr>
                  </w14:solidFill>
                </w14:textFill>
              </w:rPr>
              <w:t>CaCl</w:t>
            </w:r>
            <w:r>
              <w:rPr>
                <w:rFonts w:hint="eastAsia" w:cs="宋体"/>
                <w:bCs/>
                <w:color w:val="0D0D0D" w:themeColor="text1" w:themeTint="F2"/>
                <w:spacing w:val="-10"/>
                <w:sz w:val="24"/>
                <w:u w:val="single"/>
                <w:vertAlign w:val="subscript"/>
                <w14:textFill>
                  <w14:solidFill>
                    <w14:schemeClr w14:val="tx1">
                      <w14:lumMod w14:val="95000"/>
                      <w14:lumOff w14:val="5000"/>
                    </w14:schemeClr>
                  </w14:solidFill>
                </w14:textFill>
              </w:rPr>
              <w:t>2</w:t>
            </w:r>
            <w:r>
              <w:rPr>
                <w:rFonts w:hint="eastAsia" w:cs="宋体"/>
                <w:bCs/>
                <w:color w:val="0D0D0D" w:themeColor="text1" w:themeTint="F2"/>
                <w:spacing w:val="-10"/>
                <w:sz w:val="24"/>
                <w:u w:val="single"/>
                <w14:textFill>
                  <w14:solidFill>
                    <w14:schemeClr w14:val="tx1">
                      <w14:lumMod w14:val="95000"/>
                      <w14:lumOff w14:val="5000"/>
                    </w14:schemeClr>
                  </w14:solidFill>
                </w14:textFill>
              </w:rPr>
              <w:t>）置换原污染物，或用惰性气体</w:t>
            </w:r>
            <w:r>
              <w:rPr>
                <w:rFonts w:cs="宋体"/>
                <w:bCs/>
                <w:color w:val="0D0D0D" w:themeColor="text1" w:themeTint="F2"/>
                <w:spacing w:val="-10"/>
                <w:sz w:val="24"/>
                <w:u w:val="single"/>
                <w14:textFill>
                  <w14:solidFill>
                    <w14:schemeClr w14:val="tx1">
                      <w14:lumMod w14:val="95000"/>
                      <w14:lumOff w14:val="5000"/>
                    </w14:schemeClr>
                  </w14:solidFill>
                </w14:textFill>
              </w:rPr>
              <w:t>/</w:t>
            </w:r>
            <w:r>
              <w:rPr>
                <w:rFonts w:hint="eastAsia" w:cs="宋体"/>
                <w:bCs/>
                <w:color w:val="0D0D0D" w:themeColor="text1" w:themeTint="F2"/>
                <w:spacing w:val="-10"/>
                <w:sz w:val="24"/>
                <w:u w:val="single"/>
                <w14:textFill>
                  <w14:solidFill>
                    <w14:schemeClr w14:val="tx1">
                      <w14:lumMod w14:val="95000"/>
                      <w14:lumOff w14:val="5000"/>
                    </w14:schemeClr>
                  </w14:solidFill>
                </w14:textFill>
              </w:rPr>
              <w:t>液体冲洗活性炭床层，通过竞争吸附实现再生；磁场改变溶液极性，削弱污染物与活性炭的结合；超声波通过空化效应破坏吸附平衡，降低脱附所需能量。</w:t>
            </w:r>
          </w:p>
          <w:p w14:paraId="27E50A88">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蜂窝活性炭是近年来兴起的一种新型高效活性炭结构，采用优良煤质活性炭为原材料，经蜂模具压制，高温活化烧制而成。窝活性炭具有比较面积大，通孔阻力小，微孔发达，高吸附容量和吸附速率，使用寿命长等特点，通过速率较颗粒状活性炭大大提高，在废气污染治理中普遍应用。</w:t>
            </w:r>
          </w:p>
          <w:p w14:paraId="21F95B8F">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项目二级活性炭吸附脱附装置前端设置干式过滤器，其中填充玻璃纤维过滤棉，用于吸附漆雾。活性炭吸附箱床加了新型的均风装置，该均风板采用激光高精度切割，利用圆孔自内而外逐步扩大的扩散原理，强制进入活性炭吸附箱的气流向四周均布，能</w:t>
            </w:r>
            <w:r>
              <w:rPr>
                <w:rFonts w:hint="eastAsia" w:cs="宋体"/>
                <w:bCs/>
                <w:color w:val="0D0D0D" w:themeColor="text1" w:themeTint="F2"/>
                <w:spacing w:val="-10"/>
                <w:sz w:val="24"/>
                <w:u w:val="single"/>
                <w:lang w:eastAsia="zh-CN"/>
                <w14:textFill>
                  <w14:solidFill>
                    <w14:schemeClr w14:val="tx1">
                      <w14:lumMod w14:val="95000"/>
                      <w14:lumOff w14:val="5000"/>
                    </w14:schemeClr>
                  </w14:solidFill>
                </w14:textFill>
              </w:rPr>
              <w:t>有效地</w:t>
            </w:r>
            <w:r>
              <w:rPr>
                <w:rFonts w:hint="eastAsia" w:cs="宋体"/>
                <w:bCs/>
                <w:color w:val="0D0D0D" w:themeColor="text1" w:themeTint="F2"/>
                <w:spacing w:val="-10"/>
                <w:sz w:val="24"/>
                <w:u w:val="single"/>
                <w14:textFill>
                  <w14:solidFill>
                    <w14:schemeClr w14:val="tx1">
                      <w14:lumMod w14:val="95000"/>
                      <w14:lumOff w14:val="5000"/>
                    </w14:schemeClr>
                  </w14:solidFill>
                </w14:textFill>
              </w:rPr>
              <w:t>将废气进入活性炭箱内的废气均匀分布，提高吸收效率，防止造成局部风速过高，排放超标的问题。</w:t>
            </w:r>
          </w:p>
          <w:p w14:paraId="2024B009">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有机废气经预处理后，进入活性炭吸附装置，有机废气通过活性炭层时，废气中的有机组分被吸引到活性炭的表面并浓集保持其上，有机组分从而与</w:t>
            </w:r>
            <w:r>
              <w:rPr>
                <w:rFonts w:hint="eastAsia" w:cs="宋体"/>
                <w:bCs/>
                <w:color w:val="0D0D0D" w:themeColor="text1" w:themeTint="F2"/>
                <w:spacing w:val="-10"/>
                <w:sz w:val="24"/>
                <w:u w:val="single"/>
                <w:lang w:eastAsia="zh-CN"/>
                <w14:textFill>
                  <w14:solidFill>
                    <w14:schemeClr w14:val="tx1">
                      <w14:lumMod w14:val="95000"/>
                      <w14:lumOff w14:val="5000"/>
                    </w14:schemeClr>
                  </w14:solidFill>
                </w14:textFill>
              </w:rPr>
              <w:t>其他组分</w:t>
            </w:r>
            <w:r>
              <w:rPr>
                <w:rFonts w:hint="eastAsia" w:cs="宋体"/>
                <w:bCs/>
                <w:color w:val="0D0D0D" w:themeColor="text1" w:themeTint="F2"/>
                <w:spacing w:val="-10"/>
                <w:sz w:val="24"/>
                <w:u w:val="single"/>
                <w14:textFill>
                  <w14:solidFill>
                    <w14:schemeClr w14:val="tx1">
                      <w14:lumMod w14:val="95000"/>
                      <w14:lumOff w14:val="5000"/>
                    </w14:schemeClr>
                  </w14:solidFill>
                </w14:textFill>
              </w:rPr>
              <w:t>分开，</w:t>
            </w:r>
            <w:r>
              <w:rPr>
                <w:rFonts w:hint="eastAsia" w:cs="宋体"/>
                <w:bCs/>
                <w:color w:val="0D0D0D" w:themeColor="text1" w:themeTint="F2"/>
                <w:spacing w:val="-10"/>
                <w:sz w:val="24"/>
                <w:u w:val="single"/>
                <w:lang w:eastAsia="zh-CN"/>
                <w14:textFill>
                  <w14:solidFill>
                    <w14:schemeClr w14:val="tx1">
                      <w14:lumMod w14:val="95000"/>
                      <w14:lumOff w14:val="5000"/>
                    </w14:schemeClr>
                  </w14:solidFill>
                </w14:textFill>
              </w:rPr>
              <w:t>其他组分</w:t>
            </w:r>
            <w:r>
              <w:rPr>
                <w:rFonts w:hint="eastAsia" w:cs="宋体"/>
                <w:bCs/>
                <w:color w:val="0D0D0D" w:themeColor="text1" w:themeTint="F2"/>
                <w:spacing w:val="-10"/>
                <w:sz w:val="24"/>
                <w:u w:val="single"/>
                <w14:textFill>
                  <w14:solidFill>
                    <w14:schemeClr w14:val="tx1">
                      <w14:lumMod w14:val="95000"/>
                      <w14:lumOff w14:val="5000"/>
                    </w14:schemeClr>
                  </w14:solidFill>
                </w14:textFill>
              </w:rPr>
              <w:t>气体（洁净气体）排入CO催化燃烧装置。活性炭使用一段时间，吸附了一定量的溶剂后，会降低或失去吸附能力，此时活性炭需脱附再生，再生后活性炭重新恢复吸附功能可继续使用。再生时，启动催化燃烧装置预热室电源，将空气预热，预热后的气体送入吸附箱，箱中活性炭受热后，活性炭吸附的溶剂挥发出来，溶剂经风机送入催化燃烧室燃烧，分解生成CO</w:t>
            </w:r>
            <w:r>
              <w:rPr>
                <w:rFonts w:hint="eastAsia" w:cs="宋体"/>
                <w:bCs/>
                <w:color w:val="0D0D0D" w:themeColor="text1" w:themeTint="F2"/>
                <w:spacing w:val="-10"/>
                <w:sz w:val="24"/>
                <w:u w:val="single"/>
                <w:vertAlign w:val="subscript"/>
                <w14:textFill>
                  <w14:solidFill>
                    <w14:schemeClr w14:val="tx1">
                      <w14:lumMod w14:val="95000"/>
                      <w14:lumOff w14:val="5000"/>
                    </w14:schemeClr>
                  </w14:solidFill>
                </w14:textFill>
              </w:rPr>
              <w:t>2</w:t>
            </w:r>
            <w:r>
              <w:rPr>
                <w:rFonts w:hint="eastAsia" w:cs="宋体"/>
                <w:bCs/>
                <w:color w:val="0D0D0D" w:themeColor="text1" w:themeTint="F2"/>
                <w:spacing w:val="-10"/>
                <w:sz w:val="24"/>
                <w:u w:val="single"/>
                <w14:textFill>
                  <w14:solidFill>
                    <w14:schemeClr w14:val="tx1">
                      <w14:lumMod w14:val="95000"/>
                      <w14:lumOff w14:val="5000"/>
                    </w14:schemeClr>
                  </w14:solidFill>
                </w14:textFill>
              </w:rPr>
              <w:t>和H</w:t>
            </w:r>
            <w:r>
              <w:rPr>
                <w:rFonts w:hint="eastAsia" w:cs="宋体"/>
                <w:bCs/>
                <w:color w:val="0D0D0D" w:themeColor="text1" w:themeTint="F2"/>
                <w:spacing w:val="-10"/>
                <w:sz w:val="24"/>
                <w:u w:val="single"/>
                <w:vertAlign w:val="subscript"/>
                <w14:textFill>
                  <w14:solidFill>
                    <w14:schemeClr w14:val="tx1">
                      <w14:lumMod w14:val="95000"/>
                      <w14:lumOff w14:val="5000"/>
                    </w14:schemeClr>
                  </w14:solidFill>
                </w14:textFill>
              </w:rPr>
              <w:t>2</w:t>
            </w:r>
            <w:r>
              <w:rPr>
                <w:rFonts w:hint="eastAsia" w:cs="宋体"/>
                <w:bCs/>
                <w:color w:val="0D0D0D" w:themeColor="text1" w:themeTint="F2"/>
                <w:spacing w:val="-10"/>
                <w:sz w:val="24"/>
                <w:u w:val="single"/>
                <w14:textFill>
                  <w14:solidFill>
                    <w14:schemeClr w14:val="tx1">
                      <w14:lumMod w14:val="95000"/>
                      <w14:lumOff w14:val="5000"/>
                    </w14:schemeClr>
                  </w14:solidFill>
                </w14:textFill>
              </w:rPr>
              <w:t>O等无机物，热空气一部分回到活性炭吸附箱继续给活性炭加热，叧一部分排空，热空气内部循环多次活性炭即可得到再生。</w:t>
            </w:r>
          </w:p>
          <w:p w14:paraId="34B2BB6D">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蜂窝活性炭相关技术参数详见表4-6。</w:t>
            </w:r>
          </w:p>
          <w:p w14:paraId="545C6A0C">
            <w:pPr>
              <w:adjustRightInd w:val="0"/>
              <w:jc w:val="center"/>
              <w:rPr>
                <w:rFonts w:cs="宋体"/>
                <w:b/>
                <w:color w:val="0D0D0D" w:themeColor="text1" w:themeTint="F2"/>
                <w:spacing w:val="-10"/>
                <w:szCs w:val="21"/>
                <w:u w:val="single"/>
                <w14:textFill>
                  <w14:solidFill>
                    <w14:schemeClr w14:val="tx1">
                      <w14:lumMod w14:val="95000"/>
                      <w14:lumOff w14:val="5000"/>
                    </w14:schemeClr>
                  </w14:solidFill>
                </w14:textFill>
              </w:rPr>
            </w:pPr>
            <w:r>
              <w:rPr>
                <w:rFonts w:hint="eastAsia" w:cs="宋体"/>
                <w:b/>
                <w:color w:val="0D0D0D" w:themeColor="text1" w:themeTint="F2"/>
                <w:spacing w:val="-10"/>
                <w:szCs w:val="21"/>
                <w:u w:val="single"/>
                <w14:textFill>
                  <w14:solidFill>
                    <w14:schemeClr w14:val="tx1">
                      <w14:lumMod w14:val="95000"/>
                      <w14:lumOff w14:val="5000"/>
                    </w14:schemeClr>
                  </w14:solidFill>
                </w14:textFill>
              </w:rPr>
              <w:t>表4-6  活性炭参数一览表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87"/>
              <w:gridCol w:w="2787"/>
              <w:gridCol w:w="2787"/>
            </w:tblGrid>
            <w:tr w14:paraId="0EFD1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6" w:type="pct"/>
                  <w:tcBorders>
                    <w:tl2br w:val="nil"/>
                    <w:tr2bl w:val="nil"/>
                  </w:tcBorders>
                  <w:vAlign w:val="center"/>
                </w:tcPr>
                <w:p w14:paraId="17B0D098">
                  <w:pPr>
                    <w:autoSpaceDE w:val="0"/>
                    <w:autoSpaceDN w:val="0"/>
                    <w:adjustRightInd w:val="0"/>
                    <w:jc w:val="center"/>
                    <w:outlineLvl w:val="0"/>
                    <w:rPr>
                      <w:rFonts w:cs="宋体"/>
                      <w:kern w:val="0"/>
                      <w:szCs w:val="21"/>
                      <w:u w:val="single"/>
                    </w:rPr>
                  </w:pPr>
                  <w:r>
                    <w:rPr>
                      <w:rFonts w:hint="eastAsia" w:cs="宋体"/>
                      <w:kern w:val="0"/>
                      <w:szCs w:val="21"/>
                      <w:u w:val="single"/>
                    </w:rPr>
                    <w:t>项目</w:t>
                  </w:r>
                </w:p>
              </w:tc>
              <w:tc>
                <w:tcPr>
                  <w:tcW w:w="1647" w:type="pct"/>
                  <w:tcBorders>
                    <w:tl2br w:val="nil"/>
                    <w:tr2bl w:val="nil"/>
                  </w:tcBorders>
                  <w:vAlign w:val="center"/>
                </w:tcPr>
                <w:p w14:paraId="40DB85AD">
                  <w:pPr>
                    <w:autoSpaceDE w:val="0"/>
                    <w:autoSpaceDN w:val="0"/>
                    <w:adjustRightInd w:val="0"/>
                    <w:jc w:val="center"/>
                    <w:outlineLvl w:val="0"/>
                    <w:rPr>
                      <w:rFonts w:cs="宋体"/>
                      <w:kern w:val="0"/>
                      <w:szCs w:val="21"/>
                      <w:u w:val="single"/>
                    </w:rPr>
                  </w:pPr>
                  <w:r>
                    <w:rPr>
                      <w:rFonts w:hint="eastAsia" w:cs="宋体"/>
                      <w:kern w:val="0"/>
                      <w:szCs w:val="21"/>
                      <w:u w:val="single"/>
                    </w:rPr>
                    <w:t>单位</w:t>
                  </w:r>
                </w:p>
              </w:tc>
              <w:tc>
                <w:tcPr>
                  <w:tcW w:w="1647" w:type="pct"/>
                  <w:tcBorders>
                    <w:tl2br w:val="nil"/>
                    <w:tr2bl w:val="nil"/>
                  </w:tcBorders>
                  <w:vAlign w:val="center"/>
                </w:tcPr>
                <w:p w14:paraId="753F0DB0">
                  <w:pPr>
                    <w:autoSpaceDE w:val="0"/>
                    <w:autoSpaceDN w:val="0"/>
                    <w:adjustRightInd w:val="0"/>
                    <w:jc w:val="center"/>
                    <w:outlineLvl w:val="0"/>
                    <w:rPr>
                      <w:rFonts w:cs="宋体"/>
                      <w:kern w:val="0"/>
                      <w:szCs w:val="21"/>
                      <w:u w:val="single"/>
                    </w:rPr>
                  </w:pPr>
                  <w:r>
                    <w:rPr>
                      <w:rFonts w:hint="eastAsia" w:cs="宋体"/>
                      <w:kern w:val="0"/>
                      <w:szCs w:val="21"/>
                      <w:u w:val="single"/>
                    </w:rPr>
                    <w:t>性能指标</w:t>
                  </w:r>
                </w:p>
              </w:tc>
            </w:tr>
            <w:tr w14:paraId="7B082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6" w:type="pct"/>
                  <w:tcBorders>
                    <w:tl2br w:val="nil"/>
                    <w:tr2bl w:val="nil"/>
                  </w:tcBorders>
                  <w:vAlign w:val="center"/>
                </w:tcPr>
                <w:p w14:paraId="1F07E869">
                  <w:pPr>
                    <w:autoSpaceDE w:val="0"/>
                    <w:autoSpaceDN w:val="0"/>
                    <w:adjustRightInd w:val="0"/>
                    <w:jc w:val="center"/>
                    <w:outlineLvl w:val="0"/>
                    <w:rPr>
                      <w:rFonts w:cs="宋体"/>
                      <w:kern w:val="0"/>
                      <w:szCs w:val="21"/>
                      <w:u w:val="single"/>
                    </w:rPr>
                  </w:pPr>
                  <w:r>
                    <w:rPr>
                      <w:rFonts w:hint="eastAsia" w:cs="宋体"/>
                      <w:kern w:val="0"/>
                      <w:szCs w:val="21"/>
                      <w:u w:val="single"/>
                    </w:rPr>
                    <w:t>外形尺寸</w:t>
                  </w:r>
                </w:p>
              </w:tc>
              <w:tc>
                <w:tcPr>
                  <w:tcW w:w="1647" w:type="pct"/>
                  <w:tcBorders>
                    <w:tl2br w:val="nil"/>
                    <w:tr2bl w:val="nil"/>
                  </w:tcBorders>
                  <w:vAlign w:val="center"/>
                </w:tcPr>
                <w:p w14:paraId="70D77BFF">
                  <w:pPr>
                    <w:autoSpaceDE w:val="0"/>
                    <w:autoSpaceDN w:val="0"/>
                    <w:adjustRightInd w:val="0"/>
                    <w:jc w:val="center"/>
                    <w:outlineLvl w:val="0"/>
                    <w:rPr>
                      <w:rFonts w:cs="宋体"/>
                      <w:kern w:val="0"/>
                      <w:szCs w:val="21"/>
                      <w:u w:val="single"/>
                    </w:rPr>
                  </w:pPr>
                  <w:r>
                    <w:rPr>
                      <w:rFonts w:hint="eastAsia" w:cs="宋体"/>
                      <w:kern w:val="0"/>
                      <w:szCs w:val="21"/>
                      <w:u w:val="single"/>
                    </w:rPr>
                    <w:t>mm</w:t>
                  </w:r>
                </w:p>
              </w:tc>
              <w:tc>
                <w:tcPr>
                  <w:tcW w:w="1647" w:type="pct"/>
                  <w:tcBorders>
                    <w:tl2br w:val="nil"/>
                    <w:tr2bl w:val="nil"/>
                  </w:tcBorders>
                  <w:vAlign w:val="center"/>
                </w:tcPr>
                <w:p w14:paraId="0D6BC8EF">
                  <w:pPr>
                    <w:autoSpaceDE w:val="0"/>
                    <w:autoSpaceDN w:val="0"/>
                    <w:adjustRightInd w:val="0"/>
                    <w:jc w:val="center"/>
                    <w:outlineLvl w:val="0"/>
                    <w:rPr>
                      <w:rFonts w:cs="宋体"/>
                      <w:kern w:val="0"/>
                      <w:szCs w:val="21"/>
                      <w:u w:val="single"/>
                    </w:rPr>
                  </w:pPr>
                  <w:r>
                    <w:rPr>
                      <w:rFonts w:hint="eastAsia" w:cs="宋体"/>
                      <w:kern w:val="0"/>
                      <w:szCs w:val="21"/>
                      <w:u w:val="single"/>
                    </w:rPr>
                    <w:t>100×100×100</w:t>
                  </w:r>
                </w:p>
              </w:tc>
            </w:tr>
            <w:tr w14:paraId="12A88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6" w:type="pct"/>
                  <w:tcBorders>
                    <w:tl2br w:val="nil"/>
                    <w:tr2bl w:val="nil"/>
                  </w:tcBorders>
                  <w:vAlign w:val="center"/>
                </w:tcPr>
                <w:p w14:paraId="0222A876">
                  <w:pPr>
                    <w:autoSpaceDE w:val="0"/>
                    <w:autoSpaceDN w:val="0"/>
                    <w:adjustRightInd w:val="0"/>
                    <w:jc w:val="center"/>
                    <w:outlineLvl w:val="0"/>
                    <w:rPr>
                      <w:rFonts w:cs="宋体"/>
                      <w:kern w:val="0"/>
                      <w:szCs w:val="21"/>
                      <w:u w:val="single"/>
                    </w:rPr>
                  </w:pPr>
                  <w:r>
                    <w:rPr>
                      <w:rFonts w:hint="eastAsia" w:cs="宋体"/>
                      <w:kern w:val="0"/>
                      <w:szCs w:val="21"/>
                      <w:u w:val="single"/>
                    </w:rPr>
                    <w:t>孔数</w:t>
                  </w:r>
                </w:p>
              </w:tc>
              <w:tc>
                <w:tcPr>
                  <w:tcW w:w="1647" w:type="pct"/>
                  <w:tcBorders>
                    <w:tl2br w:val="nil"/>
                    <w:tr2bl w:val="nil"/>
                  </w:tcBorders>
                  <w:vAlign w:val="center"/>
                </w:tcPr>
                <w:p w14:paraId="0979EA10">
                  <w:pPr>
                    <w:autoSpaceDE w:val="0"/>
                    <w:autoSpaceDN w:val="0"/>
                    <w:adjustRightInd w:val="0"/>
                    <w:jc w:val="center"/>
                    <w:outlineLvl w:val="0"/>
                    <w:rPr>
                      <w:rFonts w:cs="宋体"/>
                      <w:kern w:val="0"/>
                      <w:szCs w:val="21"/>
                      <w:u w:val="single"/>
                    </w:rPr>
                  </w:pPr>
                  <w:r>
                    <w:rPr>
                      <w:rFonts w:hint="eastAsia" w:cs="宋体"/>
                      <w:kern w:val="0"/>
                      <w:szCs w:val="21"/>
                      <w:u w:val="single"/>
                    </w:rPr>
                    <w:t>cm</w:t>
                  </w:r>
                  <w:r>
                    <w:rPr>
                      <w:rFonts w:hint="eastAsia" w:cs="宋体"/>
                      <w:kern w:val="0"/>
                      <w:szCs w:val="21"/>
                      <w:u w:val="single"/>
                      <w:vertAlign w:val="superscript"/>
                    </w:rPr>
                    <w:t>2</w:t>
                  </w:r>
                </w:p>
              </w:tc>
              <w:tc>
                <w:tcPr>
                  <w:tcW w:w="1647" w:type="pct"/>
                  <w:tcBorders>
                    <w:tl2br w:val="nil"/>
                    <w:tr2bl w:val="nil"/>
                  </w:tcBorders>
                  <w:vAlign w:val="center"/>
                </w:tcPr>
                <w:p w14:paraId="06A5688C">
                  <w:pPr>
                    <w:autoSpaceDE w:val="0"/>
                    <w:autoSpaceDN w:val="0"/>
                    <w:adjustRightInd w:val="0"/>
                    <w:jc w:val="center"/>
                    <w:outlineLvl w:val="0"/>
                    <w:rPr>
                      <w:rFonts w:cs="宋体"/>
                      <w:kern w:val="0"/>
                      <w:szCs w:val="21"/>
                      <w:u w:val="single"/>
                    </w:rPr>
                  </w:pPr>
                  <w:r>
                    <w:rPr>
                      <w:rFonts w:hint="eastAsia" w:cs="宋体"/>
                      <w:kern w:val="0"/>
                      <w:szCs w:val="21"/>
                      <w:u w:val="single"/>
                    </w:rPr>
                    <w:t>16</w:t>
                  </w:r>
                </w:p>
              </w:tc>
            </w:tr>
            <w:tr w14:paraId="63BDE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6" w:type="pct"/>
                  <w:tcBorders>
                    <w:tl2br w:val="nil"/>
                    <w:tr2bl w:val="nil"/>
                  </w:tcBorders>
                  <w:vAlign w:val="center"/>
                </w:tcPr>
                <w:p w14:paraId="66462D95">
                  <w:pPr>
                    <w:autoSpaceDE w:val="0"/>
                    <w:autoSpaceDN w:val="0"/>
                    <w:adjustRightInd w:val="0"/>
                    <w:jc w:val="center"/>
                    <w:outlineLvl w:val="0"/>
                    <w:rPr>
                      <w:rFonts w:cs="宋体"/>
                      <w:kern w:val="0"/>
                      <w:szCs w:val="21"/>
                      <w:u w:val="single"/>
                    </w:rPr>
                  </w:pPr>
                  <w:r>
                    <w:rPr>
                      <w:rFonts w:hint="eastAsia" w:cs="宋体"/>
                      <w:kern w:val="0"/>
                      <w:szCs w:val="21"/>
                      <w:u w:val="single"/>
                    </w:rPr>
                    <w:t>孔壁厚</w:t>
                  </w:r>
                </w:p>
              </w:tc>
              <w:tc>
                <w:tcPr>
                  <w:tcW w:w="1647" w:type="pct"/>
                  <w:tcBorders>
                    <w:tl2br w:val="nil"/>
                    <w:tr2bl w:val="nil"/>
                  </w:tcBorders>
                  <w:vAlign w:val="center"/>
                </w:tcPr>
                <w:p w14:paraId="354EDCDC">
                  <w:pPr>
                    <w:autoSpaceDE w:val="0"/>
                    <w:autoSpaceDN w:val="0"/>
                    <w:adjustRightInd w:val="0"/>
                    <w:jc w:val="center"/>
                    <w:outlineLvl w:val="0"/>
                    <w:rPr>
                      <w:rFonts w:cs="宋体"/>
                      <w:kern w:val="0"/>
                      <w:szCs w:val="21"/>
                      <w:u w:val="single"/>
                    </w:rPr>
                  </w:pPr>
                  <w:r>
                    <w:rPr>
                      <w:rFonts w:hint="eastAsia" w:cs="宋体"/>
                      <w:kern w:val="0"/>
                      <w:szCs w:val="21"/>
                      <w:u w:val="single"/>
                    </w:rPr>
                    <w:t>mm</w:t>
                  </w:r>
                </w:p>
              </w:tc>
              <w:tc>
                <w:tcPr>
                  <w:tcW w:w="1647" w:type="pct"/>
                  <w:tcBorders>
                    <w:tl2br w:val="nil"/>
                    <w:tr2bl w:val="nil"/>
                  </w:tcBorders>
                  <w:vAlign w:val="center"/>
                </w:tcPr>
                <w:p w14:paraId="2D4FA6C7">
                  <w:pPr>
                    <w:autoSpaceDE w:val="0"/>
                    <w:autoSpaceDN w:val="0"/>
                    <w:adjustRightInd w:val="0"/>
                    <w:jc w:val="center"/>
                    <w:outlineLvl w:val="0"/>
                    <w:rPr>
                      <w:rFonts w:cs="宋体"/>
                      <w:kern w:val="0"/>
                      <w:szCs w:val="21"/>
                      <w:u w:val="single"/>
                    </w:rPr>
                  </w:pPr>
                  <w:r>
                    <w:rPr>
                      <w:rFonts w:hint="eastAsia" w:cs="宋体"/>
                      <w:kern w:val="0"/>
                      <w:szCs w:val="21"/>
                      <w:u w:val="single"/>
                    </w:rPr>
                    <w:t>0.5</w:t>
                  </w:r>
                </w:p>
              </w:tc>
            </w:tr>
            <w:tr w14:paraId="749E3F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6" w:type="pct"/>
                  <w:tcBorders>
                    <w:tl2br w:val="nil"/>
                    <w:tr2bl w:val="nil"/>
                  </w:tcBorders>
                  <w:vAlign w:val="center"/>
                </w:tcPr>
                <w:p w14:paraId="06B3C43F">
                  <w:pPr>
                    <w:autoSpaceDE w:val="0"/>
                    <w:autoSpaceDN w:val="0"/>
                    <w:adjustRightInd w:val="0"/>
                    <w:jc w:val="center"/>
                    <w:outlineLvl w:val="0"/>
                    <w:rPr>
                      <w:rFonts w:cs="宋体"/>
                      <w:kern w:val="0"/>
                      <w:szCs w:val="21"/>
                      <w:u w:val="single"/>
                    </w:rPr>
                  </w:pPr>
                  <w:r>
                    <w:rPr>
                      <w:rFonts w:hint="eastAsia" w:cs="宋体"/>
                      <w:kern w:val="0"/>
                      <w:szCs w:val="21"/>
                      <w:u w:val="single"/>
                    </w:rPr>
                    <w:t>压碎强度</w:t>
                  </w:r>
                </w:p>
              </w:tc>
              <w:tc>
                <w:tcPr>
                  <w:tcW w:w="1647" w:type="pct"/>
                  <w:tcBorders>
                    <w:tl2br w:val="nil"/>
                    <w:tr2bl w:val="nil"/>
                  </w:tcBorders>
                  <w:vAlign w:val="center"/>
                </w:tcPr>
                <w:p w14:paraId="7BADBBBB">
                  <w:pPr>
                    <w:autoSpaceDE w:val="0"/>
                    <w:autoSpaceDN w:val="0"/>
                    <w:adjustRightInd w:val="0"/>
                    <w:jc w:val="center"/>
                    <w:outlineLvl w:val="0"/>
                    <w:rPr>
                      <w:rFonts w:cs="宋体"/>
                      <w:kern w:val="0"/>
                      <w:szCs w:val="21"/>
                      <w:u w:val="single"/>
                    </w:rPr>
                  </w:pPr>
                  <w:r>
                    <w:rPr>
                      <w:rFonts w:hint="eastAsia" w:cs="宋体"/>
                      <w:kern w:val="0"/>
                      <w:szCs w:val="21"/>
                      <w:u w:val="single"/>
                    </w:rPr>
                    <w:t>Mpa</w:t>
                  </w:r>
                </w:p>
              </w:tc>
              <w:tc>
                <w:tcPr>
                  <w:tcW w:w="1647" w:type="pct"/>
                  <w:tcBorders>
                    <w:tl2br w:val="nil"/>
                    <w:tr2bl w:val="nil"/>
                  </w:tcBorders>
                  <w:vAlign w:val="center"/>
                </w:tcPr>
                <w:p w14:paraId="397C6793">
                  <w:pPr>
                    <w:autoSpaceDE w:val="0"/>
                    <w:autoSpaceDN w:val="0"/>
                    <w:adjustRightInd w:val="0"/>
                    <w:jc w:val="center"/>
                    <w:outlineLvl w:val="0"/>
                    <w:rPr>
                      <w:rFonts w:cs="宋体"/>
                      <w:kern w:val="0"/>
                      <w:szCs w:val="21"/>
                      <w:u w:val="single"/>
                    </w:rPr>
                  </w:pPr>
                  <w:r>
                    <w:rPr>
                      <w:rFonts w:hint="eastAsia" w:cs="宋体"/>
                      <w:kern w:val="0"/>
                      <w:szCs w:val="21"/>
                      <w:u w:val="single"/>
                    </w:rPr>
                    <w:t>正面：7.07   侧面：0.3</w:t>
                  </w:r>
                </w:p>
              </w:tc>
            </w:tr>
            <w:tr w14:paraId="4A10A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6" w:type="pct"/>
                  <w:tcBorders>
                    <w:tl2br w:val="nil"/>
                    <w:tr2bl w:val="nil"/>
                  </w:tcBorders>
                  <w:vAlign w:val="center"/>
                </w:tcPr>
                <w:p w14:paraId="75EB8EB2">
                  <w:pPr>
                    <w:autoSpaceDE w:val="0"/>
                    <w:autoSpaceDN w:val="0"/>
                    <w:adjustRightInd w:val="0"/>
                    <w:jc w:val="center"/>
                    <w:outlineLvl w:val="0"/>
                    <w:rPr>
                      <w:rFonts w:cs="宋体"/>
                      <w:kern w:val="0"/>
                      <w:szCs w:val="21"/>
                      <w:u w:val="single"/>
                    </w:rPr>
                  </w:pPr>
                  <w:r>
                    <w:rPr>
                      <w:rFonts w:hint="eastAsia" w:cs="宋体"/>
                      <w:kern w:val="0"/>
                      <w:szCs w:val="21"/>
                      <w:u w:val="single"/>
                    </w:rPr>
                    <w:t>体积密度</w:t>
                  </w:r>
                </w:p>
              </w:tc>
              <w:tc>
                <w:tcPr>
                  <w:tcW w:w="1647" w:type="pct"/>
                  <w:tcBorders>
                    <w:tl2br w:val="nil"/>
                    <w:tr2bl w:val="nil"/>
                  </w:tcBorders>
                  <w:vAlign w:val="center"/>
                </w:tcPr>
                <w:p w14:paraId="6FDBD97F">
                  <w:pPr>
                    <w:autoSpaceDE w:val="0"/>
                    <w:autoSpaceDN w:val="0"/>
                    <w:adjustRightInd w:val="0"/>
                    <w:jc w:val="center"/>
                    <w:outlineLvl w:val="0"/>
                    <w:rPr>
                      <w:rFonts w:cs="宋体"/>
                      <w:kern w:val="0"/>
                      <w:szCs w:val="21"/>
                      <w:u w:val="single"/>
                    </w:rPr>
                  </w:pPr>
                  <w:r>
                    <w:rPr>
                      <w:rFonts w:hint="eastAsia" w:cs="宋体"/>
                      <w:kern w:val="0"/>
                      <w:szCs w:val="21"/>
                      <w:u w:val="single"/>
                    </w:rPr>
                    <w:t>g/cm</w:t>
                  </w:r>
                  <w:r>
                    <w:rPr>
                      <w:rFonts w:hint="eastAsia" w:cs="宋体"/>
                      <w:kern w:val="0"/>
                      <w:szCs w:val="21"/>
                      <w:u w:val="single"/>
                      <w:vertAlign w:val="superscript"/>
                    </w:rPr>
                    <w:t>-3</w:t>
                  </w:r>
                </w:p>
              </w:tc>
              <w:tc>
                <w:tcPr>
                  <w:tcW w:w="1647" w:type="pct"/>
                  <w:tcBorders>
                    <w:tl2br w:val="nil"/>
                    <w:tr2bl w:val="nil"/>
                  </w:tcBorders>
                  <w:vAlign w:val="center"/>
                </w:tcPr>
                <w:p w14:paraId="68CE3693">
                  <w:pPr>
                    <w:autoSpaceDE w:val="0"/>
                    <w:autoSpaceDN w:val="0"/>
                    <w:adjustRightInd w:val="0"/>
                    <w:jc w:val="center"/>
                    <w:outlineLvl w:val="0"/>
                    <w:rPr>
                      <w:rFonts w:cs="宋体"/>
                      <w:kern w:val="0"/>
                      <w:szCs w:val="21"/>
                      <w:u w:val="single"/>
                    </w:rPr>
                  </w:pPr>
                  <w:r>
                    <w:rPr>
                      <w:rFonts w:hint="eastAsia" w:cs="宋体"/>
                      <w:kern w:val="0"/>
                      <w:szCs w:val="21"/>
                      <w:u w:val="single"/>
                    </w:rPr>
                    <w:t>0.4～0.5</w:t>
                  </w:r>
                </w:p>
              </w:tc>
            </w:tr>
            <w:tr w14:paraId="7ED47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6" w:type="pct"/>
                  <w:tcBorders>
                    <w:tl2br w:val="nil"/>
                    <w:tr2bl w:val="nil"/>
                  </w:tcBorders>
                  <w:vAlign w:val="center"/>
                </w:tcPr>
                <w:p w14:paraId="536FBF1C">
                  <w:pPr>
                    <w:autoSpaceDE w:val="0"/>
                    <w:autoSpaceDN w:val="0"/>
                    <w:adjustRightInd w:val="0"/>
                    <w:jc w:val="center"/>
                    <w:outlineLvl w:val="0"/>
                    <w:rPr>
                      <w:rFonts w:cs="宋体"/>
                      <w:kern w:val="0"/>
                      <w:szCs w:val="21"/>
                      <w:u w:val="single"/>
                    </w:rPr>
                  </w:pPr>
                  <w:r>
                    <w:rPr>
                      <w:rFonts w:hint="eastAsia" w:cs="宋体"/>
                      <w:kern w:val="0"/>
                      <w:szCs w:val="21"/>
                      <w:u w:val="single"/>
                    </w:rPr>
                    <w:t>比表面积</w:t>
                  </w:r>
                </w:p>
              </w:tc>
              <w:tc>
                <w:tcPr>
                  <w:tcW w:w="1647" w:type="pct"/>
                  <w:tcBorders>
                    <w:tl2br w:val="nil"/>
                    <w:tr2bl w:val="nil"/>
                  </w:tcBorders>
                  <w:vAlign w:val="center"/>
                </w:tcPr>
                <w:p w14:paraId="1AE95AD7">
                  <w:pPr>
                    <w:autoSpaceDE w:val="0"/>
                    <w:autoSpaceDN w:val="0"/>
                    <w:adjustRightInd w:val="0"/>
                    <w:jc w:val="center"/>
                    <w:outlineLvl w:val="0"/>
                    <w:rPr>
                      <w:rFonts w:cs="宋体"/>
                      <w:kern w:val="0"/>
                      <w:szCs w:val="21"/>
                      <w:u w:val="single"/>
                    </w:rPr>
                  </w:pPr>
                  <w:r>
                    <w:rPr>
                      <w:rFonts w:hint="eastAsia" w:cs="宋体"/>
                      <w:kern w:val="0"/>
                      <w:szCs w:val="21"/>
                      <w:u w:val="single"/>
                    </w:rPr>
                    <w:t>m</w:t>
                  </w:r>
                  <w:r>
                    <w:rPr>
                      <w:rFonts w:hint="eastAsia" w:cs="宋体"/>
                      <w:kern w:val="0"/>
                      <w:szCs w:val="21"/>
                      <w:u w:val="single"/>
                      <w:vertAlign w:val="superscript"/>
                    </w:rPr>
                    <w:t>2</w:t>
                  </w:r>
                  <w:r>
                    <w:rPr>
                      <w:rFonts w:hint="eastAsia" w:cs="宋体"/>
                      <w:kern w:val="0"/>
                      <w:szCs w:val="21"/>
                      <w:u w:val="single"/>
                    </w:rPr>
                    <w:t>/g</w:t>
                  </w:r>
                </w:p>
              </w:tc>
              <w:tc>
                <w:tcPr>
                  <w:tcW w:w="1647" w:type="pct"/>
                  <w:tcBorders>
                    <w:tl2br w:val="nil"/>
                    <w:tr2bl w:val="nil"/>
                  </w:tcBorders>
                  <w:vAlign w:val="center"/>
                </w:tcPr>
                <w:p w14:paraId="01038365">
                  <w:pPr>
                    <w:autoSpaceDE w:val="0"/>
                    <w:autoSpaceDN w:val="0"/>
                    <w:adjustRightInd w:val="0"/>
                    <w:jc w:val="center"/>
                    <w:outlineLvl w:val="0"/>
                    <w:rPr>
                      <w:rFonts w:cs="宋体"/>
                      <w:kern w:val="0"/>
                      <w:szCs w:val="21"/>
                      <w:u w:val="single"/>
                    </w:rPr>
                  </w:pPr>
                  <w:r>
                    <w:rPr>
                      <w:rFonts w:hint="eastAsia" w:cs="宋体"/>
                      <w:kern w:val="0"/>
                      <w:szCs w:val="21"/>
                      <w:u w:val="single"/>
                    </w:rPr>
                    <w:t>≥750</w:t>
                  </w:r>
                </w:p>
              </w:tc>
            </w:tr>
            <w:tr w14:paraId="0C4E8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6" w:type="pct"/>
                  <w:tcBorders>
                    <w:tl2br w:val="nil"/>
                    <w:tr2bl w:val="nil"/>
                  </w:tcBorders>
                  <w:vAlign w:val="center"/>
                </w:tcPr>
                <w:p w14:paraId="37896F7E">
                  <w:pPr>
                    <w:autoSpaceDE w:val="0"/>
                    <w:autoSpaceDN w:val="0"/>
                    <w:adjustRightInd w:val="0"/>
                    <w:jc w:val="center"/>
                    <w:outlineLvl w:val="0"/>
                    <w:rPr>
                      <w:rFonts w:cs="宋体"/>
                      <w:kern w:val="0"/>
                      <w:szCs w:val="21"/>
                      <w:u w:val="single"/>
                    </w:rPr>
                  </w:pPr>
                  <w:r>
                    <w:rPr>
                      <w:rFonts w:hint="eastAsia" w:cs="宋体"/>
                      <w:kern w:val="0"/>
                      <w:szCs w:val="21"/>
                      <w:u w:val="single"/>
                    </w:rPr>
                    <w:t>着火点</w:t>
                  </w:r>
                </w:p>
              </w:tc>
              <w:tc>
                <w:tcPr>
                  <w:tcW w:w="1647" w:type="pct"/>
                  <w:tcBorders>
                    <w:tl2br w:val="nil"/>
                    <w:tr2bl w:val="nil"/>
                  </w:tcBorders>
                  <w:vAlign w:val="center"/>
                </w:tcPr>
                <w:p w14:paraId="343C8C16">
                  <w:pPr>
                    <w:autoSpaceDE w:val="0"/>
                    <w:autoSpaceDN w:val="0"/>
                    <w:adjustRightInd w:val="0"/>
                    <w:jc w:val="center"/>
                    <w:outlineLvl w:val="0"/>
                    <w:rPr>
                      <w:rFonts w:cs="宋体"/>
                      <w:kern w:val="0"/>
                      <w:szCs w:val="21"/>
                      <w:u w:val="single"/>
                    </w:rPr>
                  </w:pPr>
                  <w:r>
                    <w:rPr>
                      <w:rFonts w:hint="eastAsia" w:cs="宋体"/>
                      <w:kern w:val="0"/>
                      <w:szCs w:val="21"/>
                      <w:u w:val="single"/>
                    </w:rPr>
                    <w:t>℃</w:t>
                  </w:r>
                </w:p>
              </w:tc>
              <w:tc>
                <w:tcPr>
                  <w:tcW w:w="1647" w:type="pct"/>
                  <w:tcBorders>
                    <w:tl2br w:val="nil"/>
                    <w:tr2bl w:val="nil"/>
                  </w:tcBorders>
                  <w:vAlign w:val="center"/>
                </w:tcPr>
                <w:p w14:paraId="2E87016D">
                  <w:pPr>
                    <w:autoSpaceDE w:val="0"/>
                    <w:autoSpaceDN w:val="0"/>
                    <w:adjustRightInd w:val="0"/>
                    <w:jc w:val="center"/>
                    <w:outlineLvl w:val="0"/>
                    <w:rPr>
                      <w:rFonts w:cs="宋体"/>
                      <w:kern w:val="0"/>
                      <w:szCs w:val="21"/>
                      <w:u w:val="single"/>
                    </w:rPr>
                  </w:pPr>
                  <w:r>
                    <w:rPr>
                      <w:rFonts w:hint="eastAsia" w:cs="宋体"/>
                      <w:kern w:val="0"/>
                      <w:szCs w:val="21"/>
                      <w:u w:val="single"/>
                    </w:rPr>
                    <w:t>550</w:t>
                  </w:r>
                </w:p>
              </w:tc>
            </w:tr>
            <w:tr w14:paraId="2A863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6" w:type="pct"/>
                  <w:tcBorders>
                    <w:tl2br w:val="nil"/>
                    <w:tr2bl w:val="nil"/>
                  </w:tcBorders>
                  <w:vAlign w:val="center"/>
                </w:tcPr>
                <w:p w14:paraId="7E2503FC">
                  <w:pPr>
                    <w:autoSpaceDE w:val="0"/>
                    <w:autoSpaceDN w:val="0"/>
                    <w:adjustRightInd w:val="0"/>
                    <w:jc w:val="center"/>
                    <w:outlineLvl w:val="0"/>
                    <w:rPr>
                      <w:rFonts w:cs="宋体"/>
                      <w:kern w:val="0"/>
                      <w:szCs w:val="21"/>
                      <w:u w:val="single"/>
                    </w:rPr>
                  </w:pPr>
                  <w:r>
                    <w:rPr>
                      <w:rFonts w:hint="eastAsia" w:cs="宋体"/>
                      <w:kern w:val="0"/>
                      <w:szCs w:val="21"/>
                      <w:u w:val="single"/>
                    </w:rPr>
                    <w:t>蜂窝状活性炭碘值</w:t>
                  </w:r>
                </w:p>
              </w:tc>
              <w:tc>
                <w:tcPr>
                  <w:tcW w:w="1647" w:type="pct"/>
                  <w:tcBorders>
                    <w:tl2br w:val="nil"/>
                    <w:tr2bl w:val="nil"/>
                  </w:tcBorders>
                  <w:vAlign w:val="center"/>
                </w:tcPr>
                <w:p w14:paraId="6D16CBC3">
                  <w:pPr>
                    <w:autoSpaceDE w:val="0"/>
                    <w:autoSpaceDN w:val="0"/>
                    <w:adjustRightInd w:val="0"/>
                    <w:jc w:val="center"/>
                    <w:outlineLvl w:val="0"/>
                    <w:rPr>
                      <w:rFonts w:cs="宋体"/>
                      <w:kern w:val="0"/>
                      <w:szCs w:val="21"/>
                      <w:u w:val="single"/>
                    </w:rPr>
                  </w:pPr>
                  <w:r>
                    <w:rPr>
                      <w:rFonts w:cs="宋体"/>
                      <w:kern w:val="0"/>
                      <w:szCs w:val="21"/>
                      <w:u w:val="single"/>
                    </w:rPr>
                    <w:t>mg/g</w:t>
                  </w:r>
                </w:p>
              </w:tc>
              <w:tc>
                <w:tcPr>
                  <w:tcW w:w="1647" w:type="pct"/>
                  <w:tcBorders>
                    <w:tl2br w:val="nil"/>
                    <w:tr2bl w:val="nil"/>
                  </w:tcBorders>
                  <w:vAlign w:val="center"/>
                </w:tcPr>
                <w:p w14:paraId="1E93E35D">
                  <w:pPr>
                    <w:autoSpaceDE w:val="0"/>
                    <w:autoSpaceDN w:val="0"/>
                    <w:adjustRightInd w:val="0"/>
                    <w:jc w:val="center"/>
                    <w:outlineLvl w:val="0"/>
                    <w:rPr>
                      <w:rFonts w:cs="宋体"/>
                      <w:kern w:val="0"/>
                      <w:szCs w:val="21"/>
                      <w:u w:val="single"/>
                    </w:rPr>
                  </w:pPr>
                  <w:r>
                    <w:rPr>
                      <w:rFonts w:hint="eastAsia" w:cs="宋体"/>
                      <w:kern w:val="0"/>
                      <w:szCs w:val="21"/>
                      <w:u w:val="single"/>
                    </w:rPr>
                    <w:t>≥650</w:t>
                  </w:r>
                </w:p>
              </w:tc>
            </w:tr>
            <w:tr w14:paraId="721D4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6" w:type="pct"/>
                  <w:tcBorders>
                    <w:tl2br w:val="nil"/>
                    <w:tr2bl w:val="nil"/>
                  </w:tcBorders>
                  <w:vAlign w:val="center"/>
                </w:tcPr>
                <w:p w14:paraId="5D34456B">
                  <w:pPr>
                    <w:autoSpaceDE w:val="0"/>
                    <w:autoSpaceDN w:val="0"/>
                    <w:adjustRightInd w:val="0"/>
                    <w:jc w:val="center"/>
                    <w:outlineLvl w:val="0"/>
                    <w:rPr>
                      <w:rFonts w:cs="宋体"/>
                      <w:kern w:val="0"/>
                      <w:szCs w:val="21"/>
                      <w:u w:val="single"/>
                    </w:rPr>
                  </w:pPr>
                  <w:r>
                    <w:rPr>
                      <w:rFonts w:hint="eastAsia" w:cs="宋体"/>
                      <w:kern w:val="0"/>
                      <w:szCs w:val="21"/>
                      <w:u w:val="single"/>
                    </w:rPr>
                    <w:t>单级活性炭箱外形尺寸</w:t>
                  </w:r>
                </w:p>
              </w:tc>
              <w:tc>
                <w:tcPr>
                  <w:tcW w:w="1647" w:type="pct"/>
                  <w:tcBorders>
                    <w:tl2br w:val="nil"/>
                    <w:tr2bl w:val="nil"/>
                  </w:tcBorders>
                  <w:vAlign w:val="center"/>
                </w:tcPr>
                <w:p w14:paraId="39580432">
                  <w:pPr>
                    <w:autoSpaceDE w:val="0"/>
                    <w:autoSpaceDN w:val="0"/>
                    <w:adjustRightInd w:val="0"/>
                    <w:jc w:val="center"/>
                    <w:outlineLvl w:val="0"/>
                    <w:rPr>
                      <w:rFonts w:cs="宋体"/>
                      <w:kern w:val="0"/>
                      <w:szCs w:val="21"/>
                      <w:u w:val="single"/>
                    </w:rPr>
                  </w:pPr>
                  <w:r>
                    <w:rPr>
                      <w:rFonts w:hint="eastAsia" w:cs="宋体"/>
                      <w:kern w:val="0"/>
                      <w:szCs w:val="21"/>
                      <w:u w:val="single"/>
                    </w:rPr>
                    <w:t>m</w:t>
                  </w:r>
                </w:p>
              </w:tc>
              <w:tc>
                <w:tcPr>
                  <w:tcW w:w="1647" w:type="pct"/>
                  <w:tcBorders>
                    <w:tl2br w:val="nil"/>
                    <w:tr2bl w:val="nil"/>
                  </w:tcBorders>
                  <w:vAlign w:val="center"/>
                </w:tcPr>
                <w:p w14:paraId="00A5C257">
                  <w:pPr>
                    <w:autoSpaceDE w:val="0"/>
                    <w:autoSpaceDN w:val="0"/>
                    <w:adjustRightInd w:val="0"/>
                    <w:jc w:val="center"/>
                    <w:outlineLvl w:val="0"/>
                    <w:rPr>
                      <w:rFonts w:cs="宋体"/>
                      <w:kern w:val="0"/>
                      <w:szCs w:val="21"/>
                      <w:u w:val="single"/>
                    </w:rPr>
                  </w:pPr>
                  <w:r>
                    <w:rPr>
                      <w:rFonts w:hint="eastAsia" w:cs="宋体"/>
                      <w:kern w:val="0"/>
                      <w:szCs w:val="21"/>
                      <w:u w:val="single"/>
                    </w:rPr>
                    <w:t>3*3*3</w:t>
                  </w:r>
                </w:p>
              </w:tc>
            </w:tr>
            <w:tr w14:paraId="26BCF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6" w:type="pct"/>
                  <w:tcBorders>
                    <w:tl2br w:val="nil"/>
                    <w:tr2bl w:val="nil"/>
                  </w:tcBorders>
                  <w:vAlign w:val="center"/>
                </w:tcPr>
                <w:p w14:paraId="2391A295">
                  <w:pPr>
                    <w:autoSpaceDE w:val="0"/>
                    <w:autoSpaceDN w:val="0"/>
                    <w:adjustRightInd w:val="0"/>
                    <w:jc w:val="center"/>
                    <w:outlineLvl w:val="0"/>
                    <w:rPr>
                      <w:rFonts w:cs="宋体"/>
                      <w:kern w:val="0"/>
                      <w:szCs w:val="21"/>
                      <w:u w:val="single"/>
                    </w:rPr>
                  </w:pPr>
                  <w:r>
                    <w:rPr>
                      <w:rFonts w:hint="eastAsia" w:cs="宋体"/>
                      <w:kern w:val="0"/>
                      <w:szCs w:val="21"/>
                      <w:u w:val="single"/>
                    </w:rPr>
                    <w:t>处理风量</w:t>
                  </w:r>
                </w:p>
              </w:tc>
              <w:tc>
                <w:tcPr>
                  <w:tcW w:w="1647" w:type="pct"/>
                  <w:tcBorders>
                    <w:tl2br w:val="nil"/>
                    <w:tr2bl w:val="nil"/>
                  </w:tcBorders>
                  <w:vAlign w:val="center"/>
                </w:tcPr>
                <w:p w14:paraId="2516F384">
                  <w:pPr>
                    <w:autoSpaceDE w:val="0"/>
                    <w:autoSpaceDN w:val="0"/>
                    <w:adjustRightInd w:val="0"/>
                    <w:jc w:val="center"/>
                    <w:outlineLvl w:val="0"/>
                    <w:rPr>
                      <w:rFonts w:cs="宋体"/>
                      <w:kern w:val="0"/>
                      <w:szCs w:val="21"/>
                      <w:u w:val="single"/>
                    </w:rPr>
                  </w:pPr>
                  <w:r>
                    <w:rPr>
                      <w:rFonts w:hint="eastAsia" w:cs="宋体"/>
                      <w:kern w:val="0"/>
                      <w:szCs w:val="21"/>
                      <w:u w:val="single"/>
                    </w:rPr>
                    <w:t>m</w:t>
                  </w:r>
                  <w:r>
                    <w:rPr>
                      <w:rFonts w:hint="eastAsia" w:cs="宋体"/>
                      <w:kern w:val="0"/>
                      <w:szCs w:val="21"/>
                      <w:u w:val="single"/>
                      <w:vertAlign w:val="superscript"/>
                    </w:rPr>
                    <w:t>3</w:t>
                  </w:r>
                  <w:r>
                    <w:rPr>
                      <w:rFonts w:hint="eastAsia" w:cs="宋体"/>
                      <w:kern w:val="0"/>
                      <w:szCs w:val="21"/>
                      <w:u w:val="single"/>
                    </w:rPr>
                    <w:t>/h</w:t>
                  </w:r>
                </w:p>
              </w:tc>
              <w:tc>
                <w:tcPr>
                  <w:tcW w:w="1647" w:type="pct"/>
                  <w:tcBorders>
                    <w:tl2br w:val="nil"/>
                    <w:tr2bl w:val="nil"/>
                  </w:tcBorders>
                  <w:vAlign w:val="center"/>
                </w:tcPr>
                <w:p w14:paraId="7C88CA11">
                  <w:pPr>
                    <w:autoSpaceDE w:val="0"/>
                    <w:autoSpaceDN w:val="0"/>
                    <w:adjustRightInd w:val="0"/>
                    <w:jc w:val="center"/>
                    <w:outlineLvl w:val="0"/>
                    <w:rPr>
                      <w:rFonts w:cs="宋体"/>
                      <w:kern w:val="0"/>
                      <w:szCs w:val="21"/>
                      <w:u w:val="single"/>
                    </w:rPr>
                  </w:pPr>
                  <w:r>
                    <w:rPr>
                      <w:rFonts w:hint="eastAsia" w:cs="宋体"/>
                      <w:kern w:val="0"/>
                      <w:szCs w:val="21"/>
                      <w:u w:val="single"/>
                    </w:rPr>
                    <w:t>35000</w:t>
                  </w:r>
                </w:p>
              </w:tc>
            </w:tr>
            <w:tr w14:paraId="3F045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06" w:type="pct"/>
                  <w:tcBorders>
                    <w:tl2br w:val="nil"/>
                    <w:tr2bl w:val="nil"/>
                  </w:tcBorders>
                  <w:vAlign w:val="center"/>
                </w:tcPr>
                <w:p w14:paraId="3B632263">
                  <w:pPr>
                    <w:autoSpaceDE w:val="0"/>
                    <w:autoSpaceDN w:val="0"/>
                    <w:adjustRightInd w:val="0"/>
                    <w:jc w:val="center"/>
                    <w:outlineLvl w:val="0"/>
                    <w:rPr>
                      <w:rFonts w:cs="宋体"/>
                      <w:kern w:val="0"/>
                      <w:szCs w:val="21"/>
                      <w:u w:val="single"/>
                    </w:rPr>
                  </w:pPr>
                  <w:r>
                    <w:rPr>
                      <w:rFonts w:hint="eastAsia" w:cs="宋体"/>
                      <w:kern w:val="0"/>
                      <w:szCs w:val="21"/>
                      <w:u w:val="single"/>
                    </w:rPr>
                    <w:t>过滤风速</w:t>
                  </w:r>
                </w:p>
              </w:tc>
              <w:tc>
                <w:tcPr>
                  <w:tcW w:w="1647" w:type="pct"/>
                  <w:tcBorders>
                    <w:tl2br w:val="nil"/>
                    <w:tr2bl w:val="nil"/>
                  </w:tcBorders>
                  <w:vAlign w:val="center"/>
                </w:tcPr>
                <w:p w14:paraId="7EE44BC4">
                  <w:pPr>
                    <w:autoSpaceDE w:val="0"/>
                    <w:autoSpaceDN w:val="0"/>
                    <w:adjustRightInd w:val="0"/>
                    <w:jc w:val="center"/>
                    <w:outlineLvl w:val="0"/>
                    <w:rPr>
                      <w:rFonts w:cs="宋体"/>
                      <w:kern w:val="0"/>
                      <w:szCs w:val="21"/>
                      <w:u w:val="single"/>
                    </w:rPr>
                  </w:pPr>
                  <w:r>
                    <w:rPr>
                      <w:rFonts w:hint="eastAsia" w:cs="宋体"/>
                      <w:kern w:val="0"/>
                      <w:szCs w:val="21"/>
                      <w:u w:val="single"/>
                    </w:rPr>
                    <w:t>m/s</w:t>
                  </w:r>
                </w:p>
              </w:tc>
              <w:tc>
                <w:tcPr>
                  <w:tcW w:w="1647" w:type="pct"/>
                  <w:tcBorders>
                    <w:tl2br w:val="nil"/>
                    <w:tr2bl w:val="nil"/>
                  </w:tcBorders>
                  <w:vAlign w:val="center"/>
                </w:tcPr>
                <w:p w14:paraId="652B08FA">
                  <w:pPr>
                    <w:autoSpaceDE w:val="0"/>
                    <w:autoSpaceDN w:val="0"/>
                    <w:adjustRightInd w:val="0"/>
                    <w:jc w:val="center"/>
                    <w:outlineLvl w:val="0"/>
                    <w:rPr>
                      <w:rFonts w:cs="宋体"/>
                      <w:kern w:val="0"/>
                      <w:szCs w:val="21"/>
                      <w:u w:val="single"/>
                    </w:rPr>
                  </w:pPr>
                  <w:r>
                    <w:rPr>
                      <w:rFonts w:hint="eastAsia" w:cs="宋体"/>
                      <w:kern w:val="0"/>
                      <w:szCs w:val="21"/>
                      <w:u w:val="single"/>
                    </w:rPr>
                    <w:t>1.080</w:t>
                  </w:r>
                </w:p>
              </w:tc>
            </w:tr>
          </w:tbl>
          <w:p w14:paraId="2F925A8F">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项目设置1套两级活性炭吸附脱附装置，使用蜂窝状活性炭，过滤截面风速为35000/（3×3×3600）=1.080m/s。</w:t>
            </w:r>
          </w:p>
          <w:p w14:paraId="582A962D">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综上，项目设计活性炭过滤风速为1.080m/s，比表面积≥750</w:t>
            </w:r>
            <w:r>
              <w:rPr>
                <w:rFonts w:hint="eastAsia" w:cs="宋体"/>
                <w:kern w:val="0"/>
                <w:sz w:val="24"/>
                <w:u w:val="single"/>
              </w:rPr>
              <w:t>m</w:t>
            </w:r>
            <w:r>
              <w:rPr>
                <w:rFonts w:hint="eastAsia" w:cs="宋体"/>
                <w:kern w:val="0"/>
                <w:sz w:val="24"/>
                <w:u w:val="single"/>
                <w:vertAlign w:val="superscript"/>
              </w:rPr>
              <w:t>2</w:t>
            </w:r>
            <w:r>
              <w:rPr>
                <w:rFonts w:hint="eastAsia" w:cs="宋体"/>
                <w:kern w:val="0"/>
                <w:sz w:val="24"/>
                <w:u w:val="single"/>
              </w:rPr>
              <w:t>/g</w:t>
            </w:r>
            <w:r>
              <w:rPr>
                <w:rFonts w:hint="eastAsia" w:cs="宋体"/>
                <w:bCs/>
                <w:color w:val="0D0D0D" w:themeColor="text1" w:themeTint="F2"/>
                <w:spacing w:val="-10"/>
                <w:sz w:val="24"/>
                <w:u w:val="single"/>
                <w14:textFill>
                  <w14:solidFill>
                    <w14:schemeClr w14:val="tx1">
                      <w14:lumMod w14:val="95000"/>
                      <w14:lumOff w14:val="5000"/>
                    </w14:schemeClr>
                  </w14:solidFill>
                </w14:textFill>
              </w:rPr>
              <w:t>，符合《吸附法工业有机废气治理工程技术规范》（HJ2026-2013）蜂窝活性炭设计规范过滤风速≤1.2m/s，比表面积≤750</w:t>
            </w:r>
            <w:r>
              <w:rPr>
                <w:rFonts w:hint="eastAsia" w:cs="宋体"/>
                <w:kern w:val="0"/>
                <w:sz w:val="24"/>
                <w:u w:val="single"/>
              </w:rPr>
              <w:t>m</w:t>
            </w:r>
            <w:r>
              <w:rPr>
                <w:rFonts w:hint="eastAsia" w:cs="宋体"/>
                <w:kern w:val="0"/>
                <w:sz w:val="24"/>
                <w:u w:val="single"/>
                <w:vertAlign w:val="superscript"/>
              </w:rPr>
              <w:t>2</w:t>
            </w:r>
            <w:r>
              <w:rPr>
                <w:rFonts w:hint="eastAsia" w:cs="宋体"/>
                <w:kern w:val="0"/>
                <w:sz w:val="24"/>
                <w:u w:val="single"/>
              </w:rPr>
              <w:t>/g</w:t>
            </w:r>
            <w:r>
              <w:rPr>
                <w:rFonts w:hint="eastAsia" w:cs="宋体"/>
                <w:bCs/>
                <w:color w:val="0D0D0D" w:themeColor="text1" w:themeTint="F2"/>
                <w:spacing w:val="-10"/>
                <w:sz w:val="24"/>
                <w:u w:val="single"/>
                <w14:textFill>
                  <w14:solidFill>
                    <w14:schemeClr w14:val="tx1">
                      <w14:lumMod w14:val="95000"/>
                      <w14:lumOff w14:val="5000"/>
                    </w14:schemeClr>
                  </w14:solidFill>
                </w14:textFill>
              </w:rPr>
              <w:t>的要求。</w:t>
            </w:r>
          </w:p>
          <w:p w14:paraId="3193B61C">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（5）CO催化燃烧</w:t>
            </w:r>
          </w:p>
          <w:p w14:paraId="6A067330">
            <w:pPr>
              <w:spacing w:line="360" w:lineRule="auto"/>
              <w:ind w:firstLine="440" w:firstLineChars="200"/>
              <w:rPr>
                <w:rFonts w:cs="宋体"/>
                <w:color w:val="0D0D0D" w:themeColor="text1" w:themeTint="F2"/>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CO催化燃烧</w:t>
            </w:r>
            <w:r>
              <w:rPr>
                <w:rFonts w:hint="eastAsia" w:cs="宋体"/>
                <w:color w:val="0D0D0D" w:themeColor="text1" w:themeTint="F2"/>
                <w:sz w:val="24"/>
                <w:u w:val="single"/>
                <w14:textFill>
                  <w14:solidFill>
                    <w14:schemeClr w14:val="tx1">
                      <w14:lumMod w14:val="95000"/>
                      <w14:lumOff w14:val="5000"/>
                    </w14:schemeClr>
                  </w14:solidFill>
                </w14:textFill>
              </w:rPr>
              <w:t>是利用催化剂使有害气体中的可燃组分在较低的温度下氧化分解的净化方法。对于CnHm和</w:t>
            </w:r>
            <w:r>
              <w:rPr>
                <w:rFonts w:hint="eastAsia" w:cs="宋体"/>
                <w:color w:val="0D0D0D" w:themeColor="text1" w:themeTint="F2"/>
                <w:sz w:val="24"/>
                <w:u w:val="single"/>
                <w:lang w:eastAsia="zh-CN"/>
                <w14:textFill>
                  <w14:solidFill>
                    <w14:schemeClr w14:val="tx1">
                      <w14:lumMod w14:val="95000"/>
                      <w14:lumOff w14:val="5000"/>
                    </w14:schemeClr>
                  </w14:solidFill>
                </w14:textFill>
              </w:rPr>
              <w:t>有机溶剂</w:t>
            </w:r>
            <w:r>
              <w:rPr>
                <w:rFonts w:hint="eastAsia" w:cs="宋体"/>
                <w:color w:val="0D0D0D" w:themeColor="text1" w:themeTint="F2"/>
                <w:sz w:val="24"/>
                <w:u w:val="single"/>
                <w14:textFill>
                  <w14:solidFill>
                    <w14:schemeClr w14:val="tx1">
                      <w14:lumMod w14:val="95000"/>
                      <w14:lumOff w14:val="5000"/>
                    </w14:schemeClr>
                  </w14:solidFill>
                </w14:textFill>
              </w:rPr>
              <w:t>蒸汽氧化分解生成CO\CTO</w:t>
            </w:r>
            <w:r>
              <w:rPr>
                <w:rFonts w:hint="eastAsia" w:cs="宋体"/>
                <w:color w:val="0D0D0D" w:themeColor="text1" w:themeTint="F2"/>
                <w:sz w:val="24"/>
                <w:u w:val="single"/>
                <w:vertAlign w:val="subscript"/>
                <w14:textFill>
                  <w14:solidFill>
                    <w14:schemeClr w14:val="tx1">
                      <w14:lumMod w14:val="95000"/>
                      <w14:lumOff w14:val="5000"/>
                    </w14:schemeClr>
                  </w14:solidFill>
                </w14:textFill>
              </w:rPr>
              <w:t>2</w:t>
            </w:r>
            <w:r>
              <w:rPr>
                <w:rFonts w:hint="eastAsia" w:cs="宋体"/>
                <w:color w:val="0D0D0D" w:themeColor="text1" w:themeTint="F2"/>
                <w:sz w:val="24"/>
                <w:u w:val="single"/>
                <w14:textFill>
                  <w14:solidFill>
                    <w14:schemeClr w14:val="tx1">
                      <w14:lumMod w14:val="95000"/>
                      <w14:lumOff w14:val="5000"/>
                    </w14:schemeClr>
                  </w14:solidFill>
                </w14:textFill>
              </w:rPr>
              <w:t>和H</w:t>
            </w:r>
            <w:r>
              <w:rPr>
                <w:rFonts w:hint="eastAsia" w:cs="宋体"/>
                <w:color w:val="0D0D0D" w:themeColor="text1" w:themeTint="F2"/>
                <w:sz w:val="24"/>
                <w:u w:val="single"/>
                <w:vertAlign w:val="subscript"/>
                <w14:textFill>
                  <w14:solidFill>
                    <w14:schemeClr w14:val="tx1">
                      <w14:lumMod w14:val="95000"/>
                      <w14:lumOff w14:val="5000"/>
                    </w14:schemeClr>
                  </w14:solidFill>
                </w14:textFill>
              </w:rPr>
              <w:t>2</w:t>
            </w:r>
            <w:r>
              <w:rPr>
                <w:rFonts w:hint="eastAsia" w:cs="宋体"/>
                <w:color w:val="0D0D0D" w:themeColor="text1" w:themeTint="F2"/>
                <w:sz w:val="24"/>
                <w:u w:val="single"/>
                <w14:textFill>
                  <w14:solidFill>
                    <w14:schemeClr w14:val="tx1">
                      <w14:lumMod w14:val="95000"/>
                      <w14:lumOff w14:val="5000"/>
                    </w14:schemeClr>
                  </w14:solidFill>
                </w14:textFill>
              </w:rPr>
              <w:t>O并释放出大量热量。其反应方程式为：</w:t>
            </w:r>
          </w:p>
          <w:p w14:paraId="147DEEE7">
            <w:pPr>
              <w:spacing w:line="360" w:lineRule="auto"/>
              <w:ind w:firstLine="480" w:firstLineChars="200"/>
              <w:jc w:val="center"/>
              <w:rPr>
                <w:rFonts w:cs="宋体"/>
                <w:color w:val="0D0D0D" w:themeColor="text1" w:themeTint="F2"/>
                <w:sz w:val="24"/>
                <w:u w:val="single"/>
                <w14:textFill>
                  <w14:solidFill>
                    <w14:schemeClr w14:val="tx1">
                      <w14:lumMod w14:val="95000"/>
                      <w14:lumOff w14:val="5000"/>
                    </w14:schemeClr>
                  </w14:solidFill>
                </w14:textFill>
              </w:rPr>
            </w:pPr>
            <w:r>
              <w:rPr>
                <w:rFonts w:hint="eastAsia" w:cs="宋体"/>
                <w:color w:val="0D0D0D" w:themeColor="text1" w:themeTint="F2"/>
                <w:position w:val="-24"/>
                <w:sz w:val="24"/>
                <w:u w:val="single"/>
                <w14:textFill>
                  <w14:solidFill>
                    <w14:schemeClr w14:val="tx1">
                      <w14:lumMod w14:val="95000"/>
                      <w14:lumOff w14:val="5000"/>
                    </w14:schemeClr>
                  </w14:solidFill>
                </w14:textFill>
              </w:rPr>
              <w:object>
                <v:shape id="_x0000_i1027" o:spt="75" type="#_x0000_t75" style="height:30.65pt;width:251.45pt;" o:ole="t" filled="f" o:preferrelative="t" stroked="f" coordsize="21600,21600">
                  <v:path/>
                  <v:fill on="f" focussize="0,0"/>
                  <v:stroke on="f" joinstyle="miter"/>
                  <v:imagedata r:id="rId31" o:title=""/>
                  <o:lock v:ext="edit" aspectratio="t"/>
                  <w10:wrap type="none"/>
                  <w10:anchorlock/>
                </v:shape>
                <o:OLEObject Type="Embed" ProgID="Equation.3" ShapeID="_x0000_i1027" DrawAspect="Content" ObjectID="_1468075727" r:id="rId30">
                  <o:LockedField>false</o:LockedField>
                </o:OLEObject>
              </w:object>
            </w:r>
          </w:p>
          <w:p w14:paraId="7A21431B">
            <w:pPr>
              <w:spacing w:line="360" w:lineRule="auto"/>
              <w:ind w:firstLine="480" w:firstLineChars="200"/>
              <w:rPr>
                <w:rFonts w:cs="宋体"/>
                <w:color w:val="0D0D0D" w:themeColor="text1" w:themeTint="F2"/>
                <w:sz w:val="24"/>
                <w:u w:val="single"/>
                <w14:textFill>
                  <w14:solidFill>
                    <w14:schemeClr w14:val="tx1">
                      <w14:lumMod w14:val="95000"/>
                      <w14:lumOff w14:val="5000"/>
                    </w14:schemeClr>
                  </w14:solidFill>
                </w14:textFill>
              </w:rPr>
            </w:pPr>
            <w:r>
              <w:rPr>
                <w:rFonts w:hint="eastAsia" w:cs="宋体"/>
                <w:color w:val="0D0D0D" w:themeColor="text1" w:themeTint="F2"/>
                <w:sz w:val="24"/>
                <w:u w:val="single"/>
                <w14:textFill>
                  <w14:solidFill>
                    <w14:schemeClr w14:val="tx1">
                      <w14:lumMod w14:val="95000"/>
                      <w14:lumOff w14:val="5000"/>
                    </w14:schemeClr>
                  </w14:solidFill>
                </w14:textFill>
              </w:rPr>
              <w:t>该装置主体结构由净化装置主机、引风机、控制系统三大部分组成，其装置包括：阻火除尘器、热交换器、预热器、含相应贵金属的催化燃烧室。活性炭脱附出来的高浓度、小风量的有机废气经脱附风机进入特制的管式热交换器，和催化反应后的高温气体进行能量间接交换，此时废气源的温度得到第一次提升；具有一定温度的气体进入燃烧室，进行第二次的温度提升；之后进入第一级催化反应，此时有机废气在低温下部份分解，并释放出能量，对废气源进行直接加热，将气体温度提高到催化反应的最佳温度；经温度检测系统检测，温度符合催化反应的温度要求，进入催化燃烧室，将有机气体彻底分解，同时释放出大量的热量；净化后的气体通过热交换器将热能转换给出冷气流，降温后气体由引风机排空。</w:t>
            </w:r>
          </w:p>
          <w:p w14:paraId="3E42CE10">
            <w:pPr>
              <w:spacing w:line="360" w:lineRule="auto"/>
              <w:ind w:firstLine="480" w:firstLineChars="200"/>
              <w:rPr>
                <w:rFonts w:cs="宋体"/>
                <w:color w:val="0D0D0D" w:themeColor="text1" w:themeTint="F2"/>
                <w:sz w:val="24"/>
                <w:u w:val="single"/>
                <w14:textFill>
                  <w14:solidFill>
                    <w14:schemeClr w14:val="tx1">
                      <w14:lumMod w14:val="95000"/>
                      <w14:lumOff w14:val="5000"/>
                    </w14:schemeClr>
                  </w14:solidFill>
                </w14:textFill>
              </w:rPr>
            </w:pPr>
            <w:r>
              <w:rPr>
                <w:rFonts w:hint="eastAsia" w:cs="宋体"/>
                <w:color w:val="0D0D0D" w:themeColor="text1" w:themeTint="F2"/>
                <w:sz w:val="24"/>
                <w:u w:val="single"/>
                <w14:textFill>
                  <w14:solidFill>
                    <w14:schemeClr w14:val="tx1">
                      <w14:lumMod w14:val="95000"/>
                      <w14:lumOff w14:val="5000"/>
                    </w14:schemeClr>
                  </w14:solidFill>
                </w14:textFill>
              </w:rPr>
              <w:t>有机物利用自身氧化燃烧释放出的热量维持自燃，如果脱附废气浓度足够高，CO正常使用需要很少的电功率甚至不需要电功率加热，做到真正的节能、环保，同时，整套装置安全、可靠、无任何二次污染。</w:t>
            </w:r>
          </w:p>
          <w:p w14:paraId="632AB564">
            <w:pPr>
              <w:spacing w:line="360" w:lineRule="auto"/>
              <w:ind w:firstLine="480" w:firstLineChars="200"/>
              <w:rPr>
                <w:rFonts w:cs="宋体"/>
                <w:color w:val="0D0D0D" w:themeColor="text1" w:themeTint="F2"/>
                <w:sz w:val="24"/>
                <w:u w:val="single"/>
                <w14:textFill>
                  <w14:solidFill>
                    <w14:schemeClr w14:val="tx1">
                      <w14:lumMod w14:val="95000"/>
                      <w14:lumOff w14:val="5000"/>
                    </w14:schemeClr>
                  </w14:solidFill>
                </w14:textFill>
              </w:rPr>
            </w:pPr>
            <w:r>
              <w:rPr>
                <w:rFonts w:hint="eastAsia" w:cs="宋体"/>
                <w:color w:val="0D0D0D" w:themeColor="text1" w:themeTint="F2"/>
                <w:sz w:val="24"/>
                <w:u w:val="single"/>
                <w14:textFill>
                  <w14:solidFill>
                    <w14:schemeClr w14:val="tx1">
                      <w14:lumMod w14:val="95000"/>
                      <w14:lumOff w14:val="5000"/>
                    </w14:schemeClr>
                  </w14:solidFill>
                </w14:textFill>
              </w:rPr>
              <w:t>催化燃烧的催化剂是以铂、钯为主的贵金属催化剂。贵金属为活性组分的催化剂分为全金属催化剂和以氧化铝为载体的催化剂。全金属催化剂是以镍或镍铬合金为载体，将载体做成带、片、丸、丝等形状，采用化学镀或电镀的方法，将铂、钯等贵金属沉积其上，然后做成便于装卸的催化剂构件。由氧化铝作载体的贵金属催化剂，一般是以陶瓷结构作为支架，在陶瓷结构上涂覆一层仅有0.13mm的α-氧化铝薄层，而活性组分铂、钯就以微晶状态沉积或分散在多孔的氧化铝薄层中。</w:t>
            </w:r>
          </w:p>
          <w:p w14:paraId="214D7A09">
            <w:pPr>
              <w:adjustRightIn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根据《工业源产排污核算方法和系数手册-33-37，431-434机械行业系数手册》，水帘柜+二级活性炭吸附脱附+CO催化燃烧对喷漆废气具有较高的去除效率。参照《排污许可证申请与核发技术规范  汽车制造业》，水帘柜+二级活性炭吸附脱附+CO催化燃烧处理喷漆废气是可行技术，因此，喷漆废气（漆雾和有机废气）和危废暂存间废气收集后经“水帘柜+二级活性炭吸附脱附+CO催化燃烧”处理，最后通过20m排气筒（DA002）排放是可行的。</w:t>
            </w:r>
          </w:p>
          <w:p w14:paraId="1B2A086B">
            <w:pPr>
              <w:adjustRightInd w:val="0"/>
              <w:rPr>
                <w:rFonts w:cs="宋体"/>
                <w:bCs/>
                <w:color w:val="0D0D0D" w:themeColor="text1" w:themeTint="F2"/>
                <w:spacing w:val="-10"/>
                <w:sz w:val="24"/>
                <w14:textFill>
                  <w14:solidFill>
                    <w14:schemeClr w14:val="tx1">
                      <w14:lumMod w14:val="95000"/>
                      <w14:lumOff w14:val="5000"/>
                    </w14:schemeClr>
                  </w14:solidFill>
                </w14:textFill>
              </w:rPr>
            </w:pPr>
            <w:r>
              <w:drawing>
                <wp:inline distT="0" distB="0" distL="0" distR="0">
                  <wp:extent cx="5253990" cy="4384040"/>
                  <wp:effectExtent l="0" t="0" r="3810" b="0"/>
                  <wp:docPr id="12231163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116339" name="图片 1"/>
                          <pic:cNvPicPr>
                            <a:picLocks noChangeAspect="1"/>
                          </pic:cNvPicPr>
                        </pic:nvPicPr>
                        <pic:blipFill>
                          <a:blip r:embed="rId32"/>
                          <a:stretch>
                            <a:fillRect/>
                          </a:stretch>
                        </pic:blipFill>
                        <pic:spPr>
                          <a:xfrm>
                            <a:off x="0" y="0"/>
                            <a:ext cx="5260580" cy="4389269"/>
                          </a:xfrm>
                          <a:prstGeom prst="rect">
                            <a:avLst/>
                          </a:prstGeom>
                        </pic:spPr>
                      </pic:pic>
                    </a:graphicData>
                  </a:graphic>
                </wp:inline>
              </w:drawing>
            </w:r>
          </w:p>
          <w:p w14:paraId="107F6C49">
            <w:pPr>
              <w:adjustRightInd w:val="0"/>
              <w:jc w:val="center"/>
              <w:rPr>
                <w:rFonts w:cs="宋体"/>
                <w:b/>
                <w:color w:val="0D0D0D" w:themeColor="text1" w:themeTint="F2"/>
                <w:spacing w:val="-10"/>
                <w:szCs w:val="21"/>
                <w:u w:val="single"/>
                <w14:textFill>
                  <w14:solidFill>
                    <w14:schemeClr w14:val="tx1">
                      <w14:lumMod w14:val="95000"/>
                      <w14:lumOff w14:val="5000"/>
                    </w14:schemeClr>
                  </w14:solidFill>
                </w14:textFill>
              </w:rPr>
            </w:pPr>
            <w:r>
              <w:rPr>
                <w:rFonts w:hint="eastAsia" w:cs="宋体"/>
                <w:b/>
                <w:color w:val="0D0D0D" w:themeColor="text1" w:themeTint="F2"/>
                <w:spacing w:val="-10"/>
                <w:szCs w:val="21"/>
                <w:u w:val="single"/>
                <w14:textFill>
                  <w14:solidFill>
                    <w14:schemeClr w14:val="tx1">
                      <w14:lumMod w14:val="95000"/>
                      <w14:lumOff w14:val="5000"/>
                    </w14:schemeClr>
                  </w14:solidFill>
                </w14:textFill>
              </w:rPr>
              <w:t>图4-2  喷漆废气处理设施示意图</w:t>
            </w:r>
          </w:p>
          <w:p w14:paraId="4E62324C">
            <w:pPr>
              <w:adjustRightIn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（6）排气筒设置合理性分析</w:t>
            </w:r>
          </w:p>
          <w:p w14:paraId="28306F3E">
            <w:pPr>
              <w:adjustRightIn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大气污染物综合排放标准》（GB16297-1996），新污染源的排气筒一般不应低于15m，若某新污染源的排气筒必须低于15m时，其排放速率标准严格50%执行；排气筒高度除须遵守标准要求的排放速率标准值外，还应高出周围200m半径范围的建筑5米以上，不能达到该要求的排气筒应按其高度对应的表列排放速率标准值严格50%执行。</w:t>
            </w:r>
          </w:p>
          <w:p w14:paraId="1298CE14">
            <w:pPr>
              <w:adjustRightIn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项目DA001和DA002排气筒设置高度均为20m，周边200m范围内最高建筑物为项目厂房，高度为14m，排气筒高度满足高出周围200m半径范围的建筑5米以上的要求。根据上文分析可知，项目DA001颗粒物有组织排放速率为0.021kg/h，DA002非甲烷总烃有组织排放速率为0.033kg/h，二甲苯有组织排放速率为0.025kg/h，颗粒物有组织排放速率为0.013kg/h，均满足《大气污染物综合排放标准》（GB16297-1996）表2二级标准要求（非甲烷总烃为17kg/h，二甲苯为1.7kg/h，颗粒物为5.9kg/h），排气筒高度设置合理可行。</w:t>
            </w:r>
          </w:p>
          <w:p w14:paraId="5161EA53">
            <w:pPr>
              <w:adjustRightIn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项目DA001和DA002排气筒均排放颗粒物，根据《大气污染物综合排放标准》（GB16297-1996），DA001和DA002距离为95m＞40m，即间距超过高度之和，因此，不满足等效排气筒的合并条件，因此无需核算等效参数。</w:t>
            </w:r>
          </w:p>
          <w:p w14:paraId="3C4B4688">
            <w:pPr>
              <w:widowControl/>
              <w:spacing w:line="360" w:lineRule="auto"/>
              <w:ind w:firstLine="480"/>
              <w:textAlignment w:val="baseline"/>
              <w:rPr>
                <w:color w:val="0D0D0D" w:themeColor="text1" w:themeTint="F2"/>
                <w:sz w:val="24"/>
                <w14:textFill>
                  <w14:solidFill>
                    <w14:schemeClr w14:val="tx1">
                      <w14:lumMod w14:val="95000"/>
                      <w14:lumOff w14:val="5000"/>
                    </w14:schemeClr>
                  </w14:solidFill>
                </w14:textFill>
              </w:rPr>
            </w:pPr>
            <w:r>
              <w:rPr>
                <w:color w:val="0D0D0D" w:themeColor="text1" w:themeTint="F2"/>
                <w:sz w:val="24"/>
                <w14:textFill>
                  <w14:solidFill>
                    <w14:schemeClr w14:val="tx1">
                      <w14:lumMod w14:val="95000"/>
                      <w14:lumOff w14:val="5000"/>
                    </w14:schemeClr>
                  </w14:solidFill>
                </w14:textFill>
              </w:rPr>
              <w:t>根据《制定地方大气污染物排放标准的技术方法》（GB13201-91）</w:t>
            </w:r>
            <w:r>
              <w:rPr>
                <w:rFonts w:hint="eastAsia"/>
                <w:color w:val="0D0D0D" w:themeColor="text1" w:themeTint="F2"/>
                <w:sz w:val="24"/>
                <w14:textFill>
                  <w14:solidFill>
                    <w14:schemeClr w14:val="tx1">
                      <w14:lumMod w14:val="95000"/>
                      <w14:lumOff w14:val="5000"/>
                    </w14:schemeClr>
                  </w14:solidFill>
                </w14:textFill>
              </w:rPr>
              <w:t>：新建、改建和扩建工程的</w:t>
            </w:r>
            <w:r>
              <w:rPr>
                <w:color w:val="0D0D0D" w:themeColor="text1" w:themeTint="F2"/>
                <w:sz w:val="24"/>
                <w14:textFill>
                  <w14:solidFill>
                    <w14:schemeClr w14:val="tx1">
                      <w14:lumMod w14:val="95000"/>
                      <w14:lumOff w14:val="5000"/>
                    </w14:schemeClr>
                  </w14:solidFill>
                </w14:textFill>
              </w:rPr>
              <w:t>排气筒出口处烟气速度V</w:t>
            </w:r>
            <w:r>
              <w:rPr>
                <w:rFonts w:hint="eastAsia"/>
                <w:color w:val="0D0D0D" w:themeColor="text1" w:themeTint="F2"/>
                <w:sz w:val="24"/>
                <w:vertAlign w:val="subscript"/>
                <w14:textFill>
                  <w14:solidFill>
                    <w14:schemeClr w14:val="tx1">
                      <w14:lumMod w14:val="95000"/>
                      <w14:lumOff w14:val="5000"/>
                    </w14:schemeClr>
                  </w14:solidFill>
                </w14:textFill>
              </w:rPr>
              <w:t>S</w:t>
            </w:r>
            <w:r>
              <w:rPr>
                <w:color w:val="0D0D0D" w:themeColor="text1" w:themeTint="F2"/>
                <w:sz w:val="24"/>
                <w14:textFill>
                  <w14:solidFill>
                    <w14:schemeClr w14:val="tx1">
                      <w14:lumMod w14:val="95000"/>
                      <w14:lumOff w14:val="5000"/>
                    </w14:schemeClr>
                  </w14:solidFill>
                </w14:textFill>
              </w:rPr>
              <w:t>不得小于按下式计算出的风速V</w:t>
            </w:r>
            <w:r>
              <w:rPr>
                <w:rFonts w:hint="eastAsia"/>
                <w:color w:val="0D0D0D" w:themeColor="text1" w:themeTint="F2"/>
                <w:sz w:val="24"/>
                <w:vertAlign w:val="subscript"/>
                <w14:textFill>
                  <w14:solidFill>
                    <w14:schemeClr w14:val="tx1">
                      <w14:lumMod w14:val="95000"/>
                      <w14:lumOff w14:val="5000"/>
                    </w14:schemeClr>
                  </w14:solidFill>
                </w14:textFill>
              </w:rPr>
              <w:t>C</w:t>
            </w:r>
            <w:r>
              <w:rPr>
                <w:color w:val="0D0D0D" w:themeColor="text1" w:themeTint="F2"/>
                <w:sz w:val="24"/>
                <w14:textFill>
                  <w14:solidFill>
                    <w14:schemeClr w14:val="tx1">
                      <w14:lumMod w14:val="95000"/>
                      <w14:lumOff w14:val="5000"/>
                    </w14:schemeClr>
                  </w14:solidFill>
                </w14:textFill>
              </w:rPr>
              <w:t>的1.5倍。</w:t>
            </w:r>
          </w:p>
          <w:p w14:paraId="2EDD9C82">
            <w:pPr>
              <w:widowControl/>
              <w:spacing w:line="360" w:lineRule="auto"/>
              <w:ind w:firstLine="480"/>
              <w:textAlignment w:val="baseline"/>
              <w:rPr>
                <w:iCs/>
                <w:color w:val="0D0D0D" w:themeColor="text1" w:themeTint="F2"/>
                <w:sz w:val="24"/>
                <w14:textFill>
                  <w14:solidFill>
                    <w14:schemeClr w14:val="tx1">
                      <w14:lumMod w14:val="95000"/>
                      <w14:lumOff w14:val="5000"/>
                    </w14:schemeClr>
                  </w14:solidFill>
                </w14:textFill>
              </w:rPr>
            </w:pPr>
            <m:oMathPara>
              <m:oMath>
                <m:sSub>
                  <m:sSubPr>
                    <m:ctrlPr>
                      <w:rPr>
                        <w:rFonts w:ascii="Cambria Math" w:hAnsi="Cambria Math"/>
                        <w:iCs/>
                        <w:color w:val="0D0D0D" w:themeColor="text1" w:themeTint="F2"/>
                        <w:sz w:val="24"/>
                        <w14:textFill>
                          <w14:solidFill>
                            <w14:schemeClr w14:val="tx1">
                              <w14:lumMod w14:val="95000"/>
                              <w14:lumOff w14:val="5000"/>
                            </w14:schemeClr>
                          </w14:solidFill>
                        </w14:textFill>
                      </w:rPr>
                    </m:ctrlPr>
                  </m:sSubPr>
                  <m:e>
                    <m:r>
                      <m:rPr>
                        <m:nor/>
                        <m:sty m:val="p"/>
                      </m:rPr>
                      <w:rPr>
                        <w:b w:val="0"/>
                        <w:i w:val="0"/>
                        <w:color w:val="0D0D0D" w:themeColor="text1" w:themeTint="F2"/>
                        <w:sz w:val="24"/>
                        <w14:textFill>
                          <w14:solidFill>
                            <w14:schemeClr w14:val="tx1">
                              <w14:lumMod w14:val="95000"/>
                              <w14:lumOff w14:val="5000"/>
                            </w14:schemeClr>
                          </w14:solidFill>
                        </w14:textFill>
                      </w:rPr>
                      <m:t>V</m:t>
                    </m:r>
                    <m:ctrlPr>
                      <w:rPr>
                        <w:rFonts w:ascii="Cambria Math" w:hAnsi="Cambria Math"/>
                        <w:iCs/>
                        <w:color w:val="0D0D0D" w:themeColor="text1" w:themeTint="F2"/>
                        <w:sz w:val="24"/>
                        <w14:textFill>
                          <w14:solidFill>
                            <w14:schemeClr w14:val="tx1">
                              <w14:lumMod w14:val="95000"/>
                              <w14:lumOff w14:val="5000"/>
                            </w14:schemeClr>
                          </w14:solidFill>
                        </w14:textFill>
                      </w:rPr>
                    </m:ctrlPr>
                  </m:e>
                  <m:sub>
                    <m:r>
                      <m:rPr>
                        <m:nor/>
                        <m:sty m:val="p"/>
                      </m:rPr>
                      <w:rPr>
                        <w:b w:val="0"/>
                        <w:i w:val="0"/>
                        <w:color w:val="0D0D0D" w:themeColor="text1" w:themeTint="F2"/>
                        <w:sz w:val="24"/>
                        <w14:textFill>
                          <w14:solidFill>
                            <w14:schemeClr w14:val="tx1">
                              <w14:lumMod w14:val="95000"/>
                              <w14:lumOff w14:val="5000"/>
                            </w14:schemeClr>
                          </w14:solidFill>
                        </w14:textFill>
                      </w:rPr>
                      <m:t>C</m:t>
                    </m:r>
                    <m:ctrlPr>
                      <w:rPr>
                        <w:rFonts w:ascii="Cambria Math" w:hAnsi="Cambria Math"/>
                        <w:iCs/>
                        <w:color w:val="0D0D0D" w:themeColor="text1" w:themeTint="F2"/>
                        <w:sz w:val="24"/>
                        <w14:textFill>
                          <w14:solidFill>
                            <w14:schemeClr w14:val="tx1">
                              <w14:lumMod w14:val="95000"/>
                              <w14:lumOff w14:val="5000"/>
                            </w14:schemeClr>
                          </w14:solidFill>
                        </w14:textFill>
                      </w:rPr>
                    </m:ctrlPr>
                  </m:sub>
                </m:sSub>
                <m:r>
                  <m:rPr>
                    <m:nor/>
                    <m:sty m:val="p"/>
                  </m:rPr>
                  <w:rPr>
                    <w:b w:val="0"/>
                    <w:i w:val="0"/>
                    <w:color w:val="0D0D0D" w:themeColor="text1" w:themeTint="F2"/>
                    <w:sz w:val="24"/>
                    <w14:textFill>
                      <w14:solidFill>
                        <w14:schemeClr w14:val="tx1">
                          <w14:lumMod w14:val="95000"/>
                          <w14:lumOff w14:val="5000"/>
                        </w14:schemeClr>
                      </w14:solidFill>
                    </w14:textFill>
                  </w:rPr>
                  <m:t>=</m:t>
                </m:r>
                <m:acc>
                  <m:accPr>
                    <m:chr m:val="̅"/>
                    <m:ctrlPr>
                      <w:rPr>
                        <w:rFonts w:ascii="Cambria Math" w:hAnsi="Cambria Math"/>
                        <w:iCs/>
                        <w:color w:val="0D0D0D" w:themeColor="text1" w:themeTint="F2"/>
                        <w:sz w:val="24"/>
                        <w14:textFill>
                          <w14:solidFill>
                            <w14:schemeClr w14:val="tx1">
                              <w14:lumMod w14:val="95000"/>
                              <w14:lumOff w14:val="5000"/>
                            </w14:schemeClr>
                          </w14:solidFill>
                        </w14:textFill>
                      </w:rPr>
                    </m:ctrlPr>
                  </m:accPr>
                  <m:e>
                    <m:r>
                      <m:rPr>
                        <m:nor/>
                        <m:sty m:val="p"/>
                      </m:rPr>
                      <w:rPr>
                        <w:b w:val="0"/>
                        <w:i w:val="0"/>
                        <w:color w:val="0D0D0D" w:themeColor="text1" w:themeTint="F2"/>
                        <w:sz w:val="24"/>
                        <w14:textFill>
                          <w14:solidFill>
                            <w14:schemeClr w14:val="tx1">
                              <w14:lumMod w14:val="95000"/>
                              <w14:lumOff w14:val="5000"/>
                            </w14:schemeClr>
                          </w14:solidFill>
                        </w14:textFill>
                      </w:rPr>
                      <m:t>V</m:t>
                    </m:r>
                    <m:ctrlPr>
                      <w:rPr>
                        <w:rFonts w:ascii="Cambria Math" w:hAnsi="Cambria Math"/>
                        <w:iCs/>
                        <w:color w:val="0D0D0D" w:themeColor="text1" w:themeTint="F2"/>
                        <w:sz w:val="24"/>
                        <w14:textFill>
                          <w14:solidFill>
                            <w14:schemeClr w14:val="tx1">
                              <w14:lumMod w14:val="95000"/>
                              <w14:lumOff w14:val="5000"/>
                            </w14:schemeClr>
                          </w14:solidFill>
                        </w14:textFill>
                      </w:rPr>
                    </m:ctrlPr>
                  </m:e>
                </m:acc>
                <m:r>
                  <m:rPr>
                    <m:nor/>
                    <m:sty m:val="p"/>
                  </m:rPr>
                  <w:rPr>
                    <w:b w:val="0"/>
                    <w:i w:val="0"/>
                    <w:color w:val="0D0D0D" w:themeColor="text1" w:themeTint="F2"/>
                    <w:sz w:val="24"/>
                    <w14:textFill>
                      <w14:solidFill>
                        <w14:schemeClr w14:val="tx1">
                          <w14:lumMod w14:val="95000"/>
                          <w14:lumOff w14:val="5000"/>
                        </w14:schemeClr>
                      </w14:solidFill>
                    </w14:textFill>
                  </w:rPr>
                  <m:t>×</m:t>
                </m:r>
                <m:sSup>
                  <m:sSupPr>
                    <m:ctrlPr>
                      <w:rPr>
                        <w:rFonts w:ascii="Cambria Math" w:hAnsi="Cambria Math"/>
                        <w:iCs/>
                        <w:color w:val="0D0D0D" w:themeColor="text1" w:themeTint="F2"/>
                        <w:sz w:val="24"/>
                        <w14:textFill>
                          <w14:solidFill>
                            <w14:schemeClr w14:val="tx1">
                              <w14:lumMod w14:val="95000"/>
                              <w14:lumOff w14:val="5000"/>
                            </w14:schemeClr>
                          </w14:solidFill>
                        </w14:textFill>
                      </w:rPr>
                    </m:ctrlPr>
                  </m:sSupPr>
                  <m:e>
                    <m:d>
                      <m:dPr>
                        <m:begChr m:val="（"/>
                        <m:endChr m:val="）"/>
                        <m:ctrlPr>
                          <w:rPr>
                            <w:rFonts w:ascii="Cambria Math" w:hAnsi="Cambria Math"/>
                            <w:iCs/>
                            <w:color w:val="0D0D0D" w:themeColor="text1" w:themeTint="F2"/>
                            <w:sz w:val="24"/>
                            <w14:textFill>
                              <w14:solidFill>
                                <w14:schemeClr w14:val="tx1">
                                  <w14:lumMod w14:val="95000"/>
                                  <w14:lumOff w14:val="5000"/>
                                </w14:schemeClr>
                              </w14:solidFill>
                            </w14:textFill>
                          </w:rPr>
                        </m:ctrlPr>
                      </m:dPr>
                      <m:e>
                        <m:r>
                          <m:rPr>
                            <m:nor/>
                            <m:sty m:val="p"/>
                          </m:rPr>
                          <w:rPr>
                            <w:b w:val="0"/>
                            <w:i w:val="0"/>
                            <w:color w:val="0D0D0D" w:themeColor="text1" w:themeTint="F2"/>
                            <w:sz w:val="24"/>
                            <w14:textFill>
                              <w14:solidFill>
                                <w14:schemeClr w14:val="tx1">
                                  <w14:lumMod w14:val="95000"/>
                                  <w14:lumOff w14:val="5000"/>
                                </w14:schemeClr>
                              </w14:solidFill>
                            </w14:textFill>
                          </w:rPr>
                          <m:t>2.303</m:t>
                        </m:r>
                        <m:ctrlPr>
                          <w:rPr>
                            <w:rFonts w:ascii="Cambria Math" w:hAnsi="Cambria Math"/>
                            <w:iCs/>
                            <w:color w:val="0D0D0D" w:themeColor="text1" w:themeTint="F2"/>
                            <w:sz w:val="24"/>
                            <w14:textFill>
                              <w14:solidFill>
                                <w14:schemeClr w14:val="tx1">
                                  <w14:lumMod w14:val="95000"/>
                                  <w14:lumOff w14:val="5000"/>
                                </w14:schemeClr>
                              </w14:solidFill>
                            </w14:textFill>
                          </w:rPr>
                        </m:ctrlPr>
                      </m:e>
                    </m:d>
                    <m:ctrlPr>
                      <w:rPr>
                        <w:rFonts w:ascii="Cambria Math" w:hAnsi="Cambria Math"/>
                        <w:iCs/>
                        <w:color w:val="0D0D0D" w:themeColor="text1" w:themeTint="F2"/>
                        <w:sz w:val="24"/>
                        <w14:textFill>
                          <w14:solidFill>
                            <w14:schemeClr w14:val="tx1">
                              <w14:lumMod w14:val="95000"/>
                              <w14:lumOff w14:val="5000"/>
                            </w14:schemeClr>
                          </w14:solidFill>
                        </w14:textFill>
                      </w:rPr>
                    </m:ctrlPr>
                  </m:e>
                  <m:sup>
                    <m:r>
                      <m:rPr>
                        <m:nor/>
                        <m:sty m:val="p"/>
                      </m:rPr>
                      <w:rPr>
                        <w:b w:val="0"/>
                        <w:i w:val="0"/>
                        <w:color w:val="0D0D0D" w:themeColor="text1" w:themeTint="F2"/>
                        <w:sz w:val="24"/>
                        <w14:textFill>
                          <w14:solidFill>
                            <w14:schemeClr w14:val="tx1">
                              <w14:lumMod w14:val="95000"/>
                              <w14:lumOff w14:val="5000"/>
                            </w14:schemeClr>
                          </w14:solidFill>
                        </w14:textFill>
                      </w:rPr>
                      <m:t>1/K</m:t>
                    </m:r>
                    <m:ctrlPr>
                      <w:rPr>
                        <w:rFonts w:ascii="Cambria Math" w:hAnsi="Cambria Math"/>
                        <w:iCs/>
                        <w:color w:val="0D0D0D" w:themeColor="text1" w:themeTint="F2"/>
                        <w:sz w:val="24"/>
                        <w14:textFill>
                          <w14:solidFill>
                            <w14:schemeClr w14:val="tx1">
                              <w14:lumMod w14:val="95000"/>
                              <w14:lumOff w14:val="5000"/>
                            </w14:schemeClr>
                          </w14:solidFill>
                        </w14:textFill>
                      </w:rPr>
                    </m:ctrlPr>
                  </m:sup>
                </m:sSup>
                <m:r>
                  <m:rPr>
                    <m:nor/>
                    <m:sty m:val="p"/>
                  </m:rPr>
                  <w:rPr>
                    <w:b w:val="0"/>
                    <w:i w:val="0"/>
                    <w:color w:val="0D0D0D" w:themeColor="text1" w:themeTint="F2"/>
                    <w:sz w:val="24"/>
                    <w14:textFill>
                      <w14:solidFill>
                        <w14:schemeClr w14:val="tx1">
                          <w14:lumMod w14:val="95000"/>
                          <w14:lumOff w14:val="5000"/>
                        </w14:schemeClr>
                      </w14:solidFill>
                    </w14:textFill>
                  </w:rPr>
                  <m:t>/Γ（1+</m:t>
                </m:r>
                <m:f>
                  <m:fPr>
                    <m:ctrlPr>
                      <w:rPr>
                        <w:rFonts w:ascii="Cambria Math" w:hAnsi="Cambria Math"/>
                        <w:iCs/>
                        <w:color w:val="0D0D0D" w:themeColor="text1" w:themeTint="F2"/>
                        <w:sz w:val="24"/>
                        <w14:textFill>
                          <w14:solidFill>
                            <w14:schemeClr w14:val="tx1">
                              <w14:lumMod w14:val="95000"/>
                              <w14:lumOff w14:val="5000"/>
                            </w14:schemeClr>
                          </w14:solidFill>
                        </w14:textFill>
                      </w:rPr>
                    </m:ctrlPr>
                  </m:fPr>
                  <m:num>
                    <m:r>
                      <m:rPr>
                        <m:nor/>
                        <m:sty m:val="p"/>
                      </m:rPr>
                      <w:rPr>
                        <w:b w:val="0"/>
                        <w:i w:val="0"/>
                        <w:color w:val="0D0D0D" w:themeColor="text1" w:themeTint="F2"/>
                        <w:sz w:val="24"/>
                        <w14:textFill>
                          <w14:solidFill>
                            <w14:schemeClr w14:val="tx1">
                              <w14:lumMod w14:val="95000"/>
                              <w14:lumOff w14:val="5000"/>
                            </w14:schemeClr>
                          </w14:solidFill>
                        </w14:textFill>
                      </w:rPr>
                      <m:t>1</m:t>
                    </m:r>
                    <m:ctrlPr>
                      <w:rPr>
                        <w:rFonts w:ascii="Cambria Math" w:hAnsi="Cambria Math"/>
                        <w:iCs/>
                        <w:color w:val="0D0D0D" w:themeColor="text1" w:themeTint="F2"/>
                        <w:sz w:val="24"/>
                        <w14:textFill>
                          <w14:solidFill>
                            <w14:schemeClr w14:val="tx1">
                              <w14:lumMod w14:val="95000"/>
                              <w14:lumOff w14:val="5000"/>
                            </w14:schemeClr>
                          </w14:solidFill>
                        </w14:textFill>
                      </w:rPr>
                    </m:ctrlPr>
                  </m:num>
                  <m:den>
                    <m:r>
                      <m:rPr>
                        <m:nor/>
                        <m:sty m:val="p"/>
                      </m:rPr>
                      <w:rPr>
                        <w:b w:val="0"/>
                        <w:i w:val="0"/>
                        <w:color w:val="0D0D0D" w:themeColor="text1" w:themeTint="F2"/>
                        <w:sz w:val="24"/>
                        <w14:textFill>
                          <w14:solidFill>
                            <w14:schemeClr w14:val="tx1">
                              <w14:lumMod w14:val="95000"/>
                              <w14:lumOff w14:val="5000"/>
                            </w14:schemeClr>
                          </w14:solidFill>
                        </w14:textFill>
                      </w:rPr>
                      <m:t>K</m:t>
                    </m:r>
                    <m:ctrlPr>
                      <w:rPr>
                        <w:rFonts w:ascii="Cambria Math" w:hAnsi="Cambria Math"/>
                        <w:iCs/>
                        <w:color w:val="0D0D0D" w:themeColor="text1" w:themeTint="F2"/>
                        <w:sz w:val="24"/>
                        <w14:textFill>
                          <w14:solidFill>
                            <w14:schemeClr w14:val="tx1">
                              <w14:lumMod w14:val="95000"/>
                              <w14:lumOff w14:val="5000"/>
                            </w14:schemeClr>
                          </w14:solidFill>
                        </w14:textFill>
                      </w:rPr>
                    </m:ctrlPr>
                  </m:den>
                </m:f>
                <m:r>
                  <m:rPr>
                    <m:nor/>
                    <m:sty m:val="p"/>
                  </m:rPr>
                  <w:rPr>
                    <w:b w:val="0"/>
                    <w:i w:val="0"/>
                    <w:color w:val="0D0D0D" w:themeColor="text1" w:themeTint="F2"/>
                    <w:sz w:val="24"/>
                    <w14:textFill>
                      <w14:solidFill>
                        <w14:schemeClr w14:val="tx1">
                          <w14:lumMod w14:val="95000"/>
                          <w14:lumOff w14:val="5000"/>
                        </w14:schemeClr>
                      </w14:solidFill>
                    </w14:textFill>
                  </w:rPr>
                  <m:t>）</m:t>
                </m:r>
              </m:oMath>
            </m:oMathPara>
          </w:p>
          <w:p w14:paraId="06C9FD8C">
            <w:pPr>
              <w:widowControl/>
              <w:spacing w:line="360" w:lineRule="auto"/>
              <w:ind w:firstLine="480"/>
              <w:textAlignment w:val="baseline"/>
              <w:rPr>
                <w:color w:val="0D0D0D" w:themeColor="text1" w:themeTint="F2"/>
                <w:sz w:val="24"/>
                <w14:textFill>
                  <w14:solidFill>
                    <w14:schemeClr w14:val="tx1">
                      <w14:lumMod w14:val="95000"/>
                      <w14:lumOff w14:val="5000"/>
                    </w14:schemeClr>
                  </w14:solidFill>
                </w14:textFill>
              </w:rPr>
            </w:pPr>
            <m:oMathPara>
              <m:oMath>
                <m:r>
                  <m:rPr>
                    <m:nor/>
                    <m:sty m:val="p"/>
                  </m:rPr>
                  <w:rPr>
                    <w:b w:val="0"/>
                    <w:i w:val="0"/>
                    <w:color w:val="0D0D0D" w:themeColor="text1" w:themeTint="F2"/>
                    <w:sz w:val="24"/>
                    <w14:textFill>
                      <w14:solidFill>
                        <w14:schemeClr w14:val="tx1">
                          <w14:lumMod w14:val="95000"/>
                          <w14:lumOff w14:val="5000"/>
                        </w14:schemeClr>
                      </w14:solidFill>
                    </w14:textFill>
                  </w:rPr>
                  <m:t>K=0.74+0.19</m:t>
                </m:r>
                <m:acc>
                  <m:accPr>
                    <m:chr m:val="̅"/>
                    <m:ctrlPr>
                      <w:rPr>
                        <w:rFonts w:ascii="Cambria Math" w:hAnsi="Cambria Math"/>
                        <w:i/>
                        <w:color w:val="0D0D0D" w:themeColor="text1" w:themeTint="F2"/>
                        <w:sz w:val="24"/>
                        <w14:textFill>
                          <w14:solidFill>
                            <w14:schemeClr w14:val="tx1">
                              <w14:lumMod w14:val="95000"/>
                              <w14:lumOff w14:val="5000"/>
                            </w14:schemeClr>
                          </w14:solidFill>
                        </w14:textFill>
                      </w:rPr>
                    </m:ctrlPr>
                  </m:accPr>
                  <m:e>
                    <m:r>
                      <m:rPr>
                        <m:nor/>
                        <m:sty m:val="p"/>
                      </m:rPr>
                      <w:rPr>
                        <w:b w:val="0"/>
                        <w:i w:val="0"/>
                        <w:color w:val="0D0D0D" w:themeColor="text1" w:themeTint="F2"/>
                        <w:sz w:val="24"/>
                        <w14:textFill>
                          <w14:solidFill>
                            <w14:schemeClr w14:val="tx1">
                              <w14:lumMod w14:val="95000"/>
                              <w14:lumOff w14:val="5000"/>
                            </w14:schemeClr>
                          </w14:solidFill>
                        </w14:textFill>
                      </w:rPr>
                      <m:t>V</m:t>
                    </m:r>
                    <m:ctrlPr>
                      <w:rPr>
                        <w:rFonts w:ascii="Cambria Math" w:hAnsi="Cambria Math"/>
                        <w:i/>
                        <w:color w:val="0D0D0D" w:themeColor="text1" w:themeTint="F2"/>
                        <w:sz w:val="24"/>
                        <w14:textFill>
                          <w14:solidFill>
                            <w14:schemeClr w14:val="tx1">
                              <w14:lumMod w14:val="95000"/>
                              <w14:lumOff w14:val="5000"/>
                            </w14:schemeClr>
                          </w14:solidFill>
                        </w14:textFill>
                      </w:rPr>
                    </m:ctrlPr>
                  </m:e>
                </m:acc>
              </m:oMath>
            </m:oMathPara>
          </w:p>
          <w:p w14:paraId="0E10A0EE">
            <w:pPr>
              <w:widowControl/>
              <w:kinsoku w:val="0"/>
              <w:autoSpaceDE w:val="0"/>
              <w:autoSpaceDN w:val="0"/>
              <w:adjustRightInd w:val="0"/>
              <w:snapToGrid w:val="0"/>
              <w:spacing w:before="156" w:line="360" w:lineRule="auto"/>
              <w:ind w:left="494"/>
              <w:jc w:val="left"/>
              <w:textAlignment w:val="baseline"/>
              <w:rPr>
                <w:snapToGrid w:val="0"/>
                <w:color w:val="0D0D0D" w:themeColor="text1" w:themeTint="F2"/>
                <w:spacing w:val="-1"/>
                <w:sz w:val="24"/>
                <w14:textFill>
                  <w14:solidFill>
                    <w14:schemeClr w14:val="tx1">
                      <w14:lumMod w14:val="95000"/>
                      <w14:lumOff w14:val="5000"/>
                    </w14:schemeClr>
                  </w14:solidFill>
                </w14:textFill>
              </w:rPr>
            </w:pPr>
            <w:r>
              <w:rPr>
                <w:snapToGrid w:val="0"/>
                <w:color w:val="0D0D0D" w:themeColor="text1" w:themeTint="F2"/>
                <w:spacing w:val="-1"/>
                <w:sz w:val="24"/>
                <w14:textFill>
                  <w14:solidFill>
                    <w14:schemeClr w14:val="tx1">
                      <w14:lumMod w14:val="95000"/>
                      <w14:lumOff w14:val="5000"/>
                    </w14:schemeClr>
                  </w14:solidFill>
                </w14:textFill>
              </w:rPr>
              <w:t>式中：</w:t>
            </w:r>
          </w:p>
          <w:p w14:paraId="2EFA7F5D">
            <w:pPr>
              <w:widowControl/>
              <w:kinsoku w:val="0"/>
              <w:autoSpaceDE w:val="0"/>
              <w:autoSpaceDN w:val="0"/>
              <w:adjustRightInd w:val="0"/>
              <w:snapToGrid w:val="0"/>
              <w:spacing w:before="156" w:line="360" w:lineRule="auto"/>
              <w:ind w:left="494"/>
              <w:jc w:val="left"/>
              <w:textAlignment w:val="baseline"/>
              <w:rPr>
                <w:snapToGrid w:val="0"/>
                <w:color w:val="0D0D0D" w:themeColor="text1" w:themeTint="F2"/>
                <w:spacing w:val="-1"/>
                <w:sz w:val="24"/>
                <w14:textFill>
                  <w14:solidFill>
                    <w14:schemeClr w14:val="tx1">
                      <w14:lumMod w14:val="95000"/>
                      <w14:lumOff w14:val="5000"/>
                    </w14:schemeClr>
                  </w14:solidFill>
                </w14:textFill>
              </w:rPr>
            </w:pPr>
            <m:oMath>
              <m:acc>
                <m:accPr>
                  <m:chr m:val="̅"/>
                  <m:ctrlPr>
                    <w:rPr>
                      <w:rFonts w:ascii="Cambria Math" w:hAnsi="Cambria Math"/>
                      <w:iCs/>
                      <w:color w:val="0D0D0D" w:themeColor="text1" w:themeTint="F2"/>
                      <w:sz w:val="24"/>
                      <w14:textFill>
                        <w14:solidFill>
                          <w14:schemeClr w14:val="tx1">
                            <w14:lumMod w14:val="95000"/>
                            <w14:lumOff w14:val="5000"/>
                          </w14:schemeClr>
                        </w14:solidFill>
                      </w14:textFill>
                    </w:rPr>
                  </m:ctrlPr>
                </m:accPr>
                <m:e>
                  <m:r>
                    <m:rPr>
                      <m:sty m:val="p"/>
                    </m:rPr>
                    <w:rPr>
                      <w:rFonts w:ascii="Cambria Math" w:hAnsi="Cambria Math"/>
                      <w:color w:val="0D0D0D" w:themeColor="text1" w:themeTint="F2"/>
                      <w:sz w:val="24"/>
                      <w14:textFill>
                        <w14:solidFill>
                          <w14:schemeClr w14:val="tx1">
                            <w14:lumMod w14:val="95000"/>
                            <w14:lumOff w14:val="5000"/>
                          </w14:schemeClr>
                        </w14:solidFill>
                      </w14:textFill>
                    </w:rPr>
                    <m:t>V</m:t>
                  </m:r>
                  <m:ctrlPr>
                    <w:rPr>
                      <w:rFonts w:ascii="Cambria Math" w:hAnsi="Cambria Math"/>
                      <w:iCs/>
                      <w:color w:val="0D0D0D" w:themeColor="text1" w:themeTint="F2"/>
                      <w:sz w:val="24"/>
                      <w14:textFill>
                        <w14:solidFill>
                          <w14:schemeClr w14:val="tx1">
                            <w14:lumMod w14:val="95000"/>
                            <w14:lumOff w14:val="5000"/>
                          </w14:schemeClr>
                        </w14:solidFill>
                      </w14:textFill>
                    </w:rPr>
                  </m:ctrlPr>
                </m:e>
              </m:acc>
            </m:oMath>
            <w:r>
              <w:rPr>
                <w:rFonts w:hint="eastAsia"/>
                <w:color w:val="0D0D0D" w:themeColor="text1" w:themeTint="F2"/>
                <w:sz w:val="24"/>
                <w14:textFill>
                  <w14:solidFill>
                    <w14:schemeClr w14:val="tx1">
                      <w14:lumMod w14:val="95000"/>
                      <w14:lumOff w14:val="5000"/>
                    </w14:schemeClr>
                  </w14:solidFill>
                </w14:textFill>
              </w:rPr>
              <w:t>——</w:t>
            </w:r>
            <w:r>
              <w:rPr>
                <w:rFonts w:hint="eastAsia"/>
                <w:snapToGrid w:val="0"/>
                <w:color w:val="0D0D0D" w:themeColor="text1" w:themeTint="F2"/>
                <w:spacing w:val="-1"/>
                <w:sz w:val="24"/>
                <w14:textFill>
                  <w14:solidFill>
                    <w14:schemeClr w14:val="tx1">
                      <w14:lumMod w14:val="95000"/>
                      <w14:lumOff w14:val="5000"/>
                    </w14:schemeClr>
                  </w14:solidFill>
                </w14:textFill>
              </w:rPr>
              <w:t>排</w:t>
            </w:r>
            <w:r>
              <w:rPr>
                <w:snapToGrid w:val="0"/>
                <w:color w:val="0D0D0D" w:themeColor="text1" w:themeTint="F2"/>
                <w:spacing w:val="-1"/>
                <w:sz w:val="24"/>
                <w14:textFill>
                  <w14:solidFill>
                    <w14:schemeClr w14:val="tx1">
                      <w14:lumMod w14:val="95000"/>
                      <w14:lumOff w14:val="5000"/>
                    </w14:schemeClr>
                  </w14:solidFill>
                </w14:textFill>
              </w:rPr>
              <w:t>气筒出口高度处环境风速的多年平均风速</w:t>
            </w:r>
            <w:r>
              <w:rPr>
                <w:rFonts w:hint="eastAsia"/>
                <w:snapToGrid w:val="0"/>
                <w:color w:val="0D0D0D" w:themeColor="text1" w:themeTint="F2"/>
                <w:spacing w:val="-1"/>
                <w:sz w:val="24"/>
                <w14:textFill>
                  <w14:solidFill>
                    <w14:schemeClr w14:val="tx1">
                      <w14:lumMod w14:val="95000"/>
                      <w14:lumOff w14:val="5000"/>
                    </w14:schemeClr>
                  </w14:solidFill>
                </w14:textFill>
              </w:rPr>
              <w:t>，m/s，取2.2</w:t>
            </w:r>
            <w:r>
              <w:rPr>
                <w:snapToGrid w:val="0"/>
                <w:color w:val="0D0D0D" w:themeColor="text1" w:themeTint="F2"/>
                <w:spacing w:val="-1"/>
                <w:sz w:val="24"/>
                <w14:textFill>
                  <w14:solidFill>
                    <w14:schemeClr w14:val="tx1">
                      <w14:lumMod w14:val="95000"/>
                      <w14:lumOff w14:val="5000"/>
                    </w14:schemeClr>
                  </w14:solidFill>
                </w14:textFill>
              </w:rPr>
              <w:t>；</w:t>
            </w:r>
          </w:p>
          <w:p w14:paraId="5AF4CF67">
            <w:pPr>
              <w:widowControl/>
              <w:kinsoku w:val="0"/>
              <w:autoSpaceDE w:val="0"/>
              <w:autoSpaceDN w:val="0"/>
              <w:adjustRightInd w:val="0"/>
              <w:snapToGrid w:val="0"/>
              <w:spacing w:before="156" w:line="360" w:lineRule="auto"/>
              <w:ind w:left="494"/>
              <w:jc w:val="left"/>
              <w:textAlignment w:val="baseline"/>
              <w:rPr>
                <w:snapToGrid w:val="0"/>
                <w:color w:val="0D0D0D" w:themeColor="text1" w:themeTint="F2"/>
                <w:spacing w:val="-1"/>
                <w:sz w:val="24"/>
                <w14:textFill>
                  <w14:solidFill>
                    <w14:schemeClr w14:val="tx1">
                      <w14:lumMod w14:val="95000"/>
                      <w14:lumOff w14:val="5000"/>
                    </w14:schemeClr>
                  </w14:solidFill>
                </w14:textFill>
              </w:rPr>
            </w:pPr>
            <w:r>
              <w:rPr>
                <w:snapToGrid w:val="0"/>
                <w:color w:val="0D0D0D" w:themeColor="text1" w:themeTint="F2"/>
                <w:spacing w:val="-1"/>
                <w:sz w:val="24"/>
                <w14:textFill>
                  <w14:solidFill>
                    <w14:schemeClr w14:val="tx1">
                      <w14:lumMod w14:val="95000"/>
                      <w14:lumOff w14:val="5000"/>
                    </w14:schemeClr>
                  </w14:solidFill>
                </w14:textFill>
              </w:rPr>
              <w:t>K</w:t>
            </w:r>
            <w:r>
              <w:rPr>
                <w:rFonts w:hint="eastAsia"/>
                <w:color w:val="0D0D0D" w:themeColor="text1" w:themeTint="F2"/>
                <w:sz w:val="24"/>
                <w14:textFill>
                  <w14:solidFill>
                    <w14:schemeClr w14:val="tx1">
                      <w14:lumMod w14:val="95000"/>
                      <w14:lumOff w14:val="5000"/>
                    </w14:schemeClr>
                  </w14:solidFill>
                </w14:textFill>
              </w:rPr>
              <w:t>——</w:t>
            </w:r>
            <w:r>
              <w:rPr>
                <w:snapToGrid w:val="0"/>
                <w:color w:val="0D0D0D" w:themeColor="text1" w:themeTint="F2"/>
                <w:spacing w:val="-1"/>
                <w:sz w:val="24"/>
                <w14:textFill>
                  <w14:solidFill>
                    <w14:schemeClr w14:val="tx1">
                      <w14:lumMod w14:val="95000"/>
                      <w14:lumOff w14:val="5000"/>
                    </w14:schemeClr>
                  </w14:solidFill>
                </w14:textFill>
              </w:rPr>
              <w:t>韦伯斜率；</w:t>
            </w:r>
          </w:p>
          <w:p w14:paraId="7CC57A3B">
            <w:pPr>
              <w:widowControl/>
              <w:kinsoku w:val="0"/>
              <w:autoSpaceDE w:val="0"/>
              <w:autoSpaceDN w:val="0"/>
              <w:adjustRightInd w:val="0"/>
              <w:snapToGrid w:val="0"/>
              <w:spacing w:before="156" w:line="360" w:lineRule="auto"/>
              <w:ind w:left="494"/>
              <w:jc w:val="left"/>
              <w:textAlignment w:val="baseline"/>
              <w:rPr>
                <w:snapToGrid w:val="0"/>
                <w:color w:val="0D0D0D" w:themeColor="text1" w:themeTint="F2"/>
                <w:spacing w:val="-1"/>
                <w:sz w:val="24"/>
                <w14:textFill>
                  <w14:solidFill>
                    <w14:schemeClr w14:val="tx1">
                      <w14:lumMod w14:val="95000"/>
                      <w14:lumOff w14:val="5000"/>
                    </w14:schemeClr>
                  </w14:solidFill>
                </w14:textFill>
              </w:rPr>
            </w:pPr>
            <w:r>
              <w:rPr>
                <w:snapToGrid w:val="0"/>
                <w:color w:val="0D0D0D" w:themeColor="text1" w:themeTint="F2"/>
                <w:spacing w:val="1"/>
                <w:sz w:val="24"/>
                <w14:textFill>
                  <w14:solidFill>
                    <w14:schemeClr w14:val="tx1">
                      <w14:lumMod w14:val="95000"/>
                      <w14:lumOff w14:val="5000"/>
                    </w14:schemeClr>
                  </w14:solidFill>
                </w14:textFill>
              </w:rPr>
              <w:t>Γ</w:t>
            </w:r>
            <w:r>
              <w:rPr>
                <w:rFonts w:hint="eastAsia"/>
                <w:snapToGrid w:val="0"/>
                <w:color w:val="0D0D0D" w:themeColor="text1" w:themeTint="F2"/>
                <w:spacing w:val="1"/>
                <w:sz w:val="24"/>
                <w14:textFill>
                  <w14:solidFill>
                    <w14:schemeClr w14:val="tx1">
                      <w14:lumMod w14:val="95000"/>
                      <w14:lumOff w14:val="5000"/>
                    </w14:schemeClr>
                  </w14:solidFill>
                </w14:textFill>
              </w:rPr>
              <w:t>（</w:t>
            </w:r>
            <w:r>
              <w:rPr>
                <w:snapToGrid w:val="0"/>
                <w:color w:val="0D0D0D" w:themeColor="text1" w:themeTint="F2"/>
                <w:spacing w:val="-3"/>
                <w:sz w:val="24"/>
                <w:lang w:eastAsia="en-US"/>
                <w14:textFill>
                  <w14:solidFill>
                    <w14:schemeClr w14:val="tx1">
                      <w14:lumMod w14:val="95000"/>
                      <w14:lumOff w14:val="5000"/>
                    </w14:schemeClr>
                  </w14:solidFill>
                </w14:textFill>
              </w:rPr>
              <w:t>λ</w:t>
            </w:r>
            <w:r>
              <w:rPr>
                <w:rFonts w:hint="eastAsia"/>
                <w:snapToGrid w:val="0"/>
                <w:color w:val="0D0D0D" w:themeColor="text1" w:themeTint="F2"/>
                <w:spacing w:val="1"/>
                <w:sz w:val="24"/>
                <w14:textFill>
                  <w14:solidFill>
                    <w14:schemeClr w14:val="tx1">
                      <w14:lumMod w14:val="95000"/>
                      <w14:lumOff w14:val="5000"/>
                    </w14:schemeClr>
                  </w14:solidFill>
                </w14:textFill>
              </w:rPr>
              <w:t>）</w:t>
            </w:r>
            <w:r>
              <w:rPr>
                <w:rFonts w:hint="eastAsia"/>
                <w:color w:val="0D0D0D" w:themeColor="text1" w:themeTint="F2"/>
                <w:sz w:val="24"/>
                <w14:textFill>
                  <w14:solidFill>
                    <w14:schemeClr w14:val="tx1">
                      <w14:lumMod w14:val="95000"/>
                      <w14:lumOff w14:val="5000"/>
                    </w14:schemeClr>
                  </w14:solidFill>
                </w14:textFill>
              </w:rPr>
              <w:t>——</w:t>
            </w:r>
            <w:r>
              <w:rPr>
                <w:snapToGrid w:val="0"/>
                <w:color w:val="0D0D0D" w:themeColor="text1" w:themeTint="F2"/>
                <w:spacing w:val="-3"/>
                <w:sz w:val="24"/>
                <w14:textFill>
                  <w14:solidFill>
                    <w14:schemeClr w14:val="tx1">
                      <w14:lumMod w14:val="95000"/>
                      <w14:lumOff w14:val="5000"/>
                    </w14:schemeClr>
                  </w14:solidFill>
                </w14:textFill>
              </w:rPr>
              <w:t>函数，</w:t>
            </w:r>
            <w:r>
              <w:rPr>
                <w:snapToGrid w:val="0"/>
                <w:color w:val="0D0D0D" w:themeColor="text1" w:themeTint="F2"/>
                <w:spacing w:val="-3"/>
                <w:sz w:val="24"/>
                <w:lang w:eastAsia="en-US"/>
                <w14:textFill>
                  <w14:solidFill>
                    <w14:schemeClr w14:val="tx1">
                      <w14:lumMod w14:val="95000"/>
                      <w14:lumOff w14:val="5000"/>
                    </w14:schemeClr>
                  </w14:solidFill>
                </w14:textFill>
              </w:rPr>
              <w:t>λ</w:t>
            </w:r>
            <w:r>
              <w:rPr>
                <w:snapToGrid w:val="0"/>
                <w:color w:val="0D0D0D" w:themeColor="text1" w:themeTint="F2"/>
                <w:spacing w:val="-3"/>
                <w:sz w:val="24"/>
                <w14:textFill>
                  <w14:solidFill>
                    <w14:schemeClr w14:val="tx1">
                      <w14:lumMod w14:val="95000"/>
                      <w14:lumOff w14:val="5000"/>
                    </w14:schemeClr>
                  </w14:solidFill>
                </w14:textFill>
              </w:rPr>
              <w:t>=1+1/K。</w:t>
            </w:r>
          </w:p>
          <w:p w14:paraId="3EEF2524">
            <w:pPr>
              <w:widowControl/>
              <w:spacing w:line="360" w:lineRule="auto"/>
              <w:ind w:firstLine="476"/>
              <w:textAlignment w:val="baseline"/>
              <w:rPr>
                <w:snapToGrid w:val="0"/>
                <w:color w:val="0D0D0D" w:themeColor="text1" w:themeTint="F2"/>
                <w:spacing w:val="-1"/>
                <w:sz w:val="24"/>
                <w14:textFill>
                  <w14:solidFill>
                    <w14:schemeClr w14:val="tx1">
                      <w14:lumMod w14:val="95000"/>
                      <w14:lumOff w14:val="5000"/>
                    </w14:schemeClr>
                  </w14:solidFill>
                </w14:textFill>
              </w:rPr>
            </w:pPr>
            <w:r>
              <w:rPr>
                <w:snapToGrid w:val="0"/>
                <w:color w:val="0D0D0D" w:themeColor="text1" w:themeTint="F2"/>
                <w:spacing w:val="-1"/>
                <w:sz w:val="24"/>
                <w14:textFill>
                  <w14:solidFill>
                    <w14:schemeClr w14:val="tx1">
                      <w14:lumMod w14:val="95000"/>
                      <w14:lumOff w14:val="5000"/>
                    </w14:schemeClr>
                  </w14:solidFill>
                </w14:textFill>
              </w:rPr>
              <w:t>根据上述公式计算出的风速V</w:t>
            </w:r>
            <w:r>
              <w:rPr>
                <w:rFonts w:hint="eastAsia"/>
                <w:snapToGrid w:val="0"/>
                <w:color w:val="0D0D0D" w:themeColor="text1" w:themeTint="F2"/>
                <w:spacing w:val="-1"/>
                <w:sz w:val="24"/>
                <w:vertAlign w:val="subscript"/>
                <w14:textFill>
                  <w14:solidFill>
                    <w14:schemeClr w14:val="tx1">
                      <w14:lumMod w14:val="95000"/>
                      <w14:lumOff w14:val="5000"/>
                    </w14:schemeClr>
                  </w14:solidFill>
                </w14:textFill>
              </w:rPr>
              <w:t>C</w:t>
            </w:r>
            <w:r>
              <w:rPr>
                <w:snapToGrid w:val="0"/>
                <w:color w:val="0D0D0D" w:themeColor="text1" w:themeTint="F2"/>
                <w:spacing w:val="-1"/>
                <w:sz w:val="24"/>
                <w14:textFill>
                  <w14:solidFill>
                    <w14:schemeClr w14:val="tx1">
                      <w14:lumMod w14:val="95000"/>
                      <w14:lumOff w14:val="5000"/>
                    </w14:schemeClr>
                  </w14:solidFill>
                </w14:textFill>
              </w:rPr>
              <w:t>为</w:t>
            </w:r>
            <w:r>
              <w:rPr>
                <w:rFonts w:hint="eastAsia"/>
                <w:snapToGrid w:val="0"/>
                <w:color w:val="0D0D0D" w:themeColor="text1" w:themeTint="F2"/>
                <w:spacing w:val="-1"/>
                <w:sz w:val="24"/>
                <w14:textFill>
                  <w14:solidFill>
                    <w14:schemeClr w14:val="tx1">
                      <w14:lumMod w14:val="95000"/>
                      <w14:lumOff w14:val="5000"/>
                    </w14:schemeClr>
                  </w14:solidFill>
                </w14:textFill>
              </w:rPr>
              <w:t>4.85</w:t>
            </w:r>
            <w:r>
              <w:rPr>
                <w:snapToGrid w:val="0"/>
                <w:color w:val="0D0D0D" w:themeColor="text1" w:themeTint="F2"/>
                <w:spacing w:val="-1"/>
                <w:sz w:val="24"/>
                <w14:textFill>
                  <w14:solidFill>
                    <w14:schemeClr w14:val="tx1">
                      <w14:lumMod w14:val="95000"/>
                      <w14:lumOff w14:val="5000"/>
                    </w14:schemeClr>
                  </w14:solidFill>
                </w14:textFill>
              </w:rPr>
              <w:t>m/s</w:t>
            </w:r>
            <w:r>
              <w:rPr>
                <w:rFonts w:hint="eastAsia"/>
                <w:snapToGrid w:val="0"/>
                <w:color w:val="0D0D0D" w:themeColor="text1" w:themeTint="F2"/>
                <w:spacing w:val="-1"/>
                <w:sz w:val="24"/>
                <w14:textFill>
                  <w14:solidFill>
                    <w14:schemeClr w14:val="tx1">
                      <w14:lumMod w14:val="95000"/>
                      <w14:lumOff w14:val="5000"/>
                    </w14:schemeClr>
                  </w14:solidFill>
                </w14:textFill>
              </w:rPr>
              <w:t>。</w:t>
            </w:r>
          </w:p>
          <w:p w14:paraId="48073EE9">
            <w:pPr>
              <w:widowControl/>
              <w:spacing w:line="360" w:lineRule="auto"/>
              <w:ind w:firstLine="476"/>
              <w:textAlignment w:val="baseline"/>
              <w:rPr>
                <w:snapToGrid w:val="0"/>
                <w:color w:val="0D0D0D" w:themeColor="text1" w:themeTint="F2"/>
                <w:spacing w:val="-1"/>
                <w:sz w:val="24"/>
                <w14:textFill>
                  <w14:solidFill>
                    <w14:schemeClr w14:val="tx1">
                      <w14:lumMod w14:val="95000"/>
                      <w14:lumOff w14:val="5000"/>
                    </w14:schemeClr>
                  </w14:solidFill>
                </w14:textFill>
              </w:rPr>
            </w:pPr>
            <w:r>
              <w:rPr>
                <w:rFonts w:hint="eastAsia"/>
                <w:snapToGrid w:val="0"/>
                <w:color w:val="0D0D0D" w:themeColor="text1" w:themeTint="F2"/>
                <w:spacing w:val="-1"/>
                <w:sz w:val="24"/>
                <w14:textFill>
                  <w14:solidFill>
                    <w14:schemeClr w14:val="tx1">
                      <w14:lumMod w14:val="95000"/>
                      <w14:lumOff w14:val="5000"/>
                    </w14:schemeClr>
                  </w14:solidFill>
                </w14:textFill>
              </w:rPr>
              <w:t>排气筒烟气出口流速合理性判定结果详见表4-7。</w:t>
            </w:r>
          </w:p>
          <w:p w14:paraId="6F994880">
            <w:pPr>
              <w:adjustRightInd w:val="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表4-7  排气筒烟气出口流速合理性判定结果</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0"/>
              <w:gridCol w:w="816"/>
              <w:gridCol w:w="1076"/>
              <w:gridCol w:w="1504"/>
              <w:gridCol w:w="596"/>
              <w:gridCol w:w="958"/>
              <w:gridCol w:w="1058"/>
              <w:gridCol w:w="958"/>
              <w:gridCol w:w="645"/>
            </w:tblGrid>
            <w:tr w14:paraId="29DC9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3" w:type="pct"/>
                  <w:shd w:val="clear" w:color="auto" w:fill="auto"/>
                  <w:noWrap/>
                  <w:vAlign w:val="center"/>
                </w:tcPr>
                <w:p w14:paraId="148CF24A">
                  <w:pPr>
                    <w:widowControl/>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编号</w:t>
                  </w:r>
                </w:p>
              </w:tc>
              <w:tc>
                <w:tcPr>
                  <w:tcW w:w="482" w:type="pct"/>
                  <w:shd w:val="clear" w:color="auto" w:fill="auto"/>
                  <w:vAlign w:val="center"/>
                </w:tcPr>
                <w:p w14:paraId="7E37B8A0">
                  <w:pPr>
                    <w:widowControl/>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内径</w:t>
                  </w:r>
                </w:p>
                <w:p w14:paraId="3AB2D7B9">
                  <w:pPr>
                    <w:widowControl/>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（m）</w:t>
                  </w:r>
                </w:p>
              </w:tc>
              <w:tc>
                <w:tcPr>
                  <w:tcW w:w="636" w:type="pct"/>
                  <w:shd w:val="clear" w:color="auto" w:fill="auto"/>
                  <w:noWrap/>
                  <w:vAlign w:val="center"/>
                </w:tcPr>
                <w:p w14:paraId="7A0AA8F3">
                  <w:pPr>
                    <w:widowControl/>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烟气流量</w:t>
                  </w:r>
                </w:p>
                <w:p w14:paraId="06005CD4">
                  <w:pPr>
                    <w:widowControl/>
                    <w:jc w:val="center"/>
                    <w:rPr>
                      <w:color w:val="0D0D0D" w:themeColor="text1" w:themeTint="F2"/>
                      <w14:textFill>
                        <w14:solidFill>
                          <w14:schemeClr w14:val="tx1">
                            <w14:lumMod w14:val="95000"/>
                            <w14:lumOff w14:val="5000"/>
                          </w14:schemeClr>
                        </w14:solidFill>
                      </w14:textFill>
                    </w:rPr>
                  </w:pPr>
                  <w:r>
                    <w:rPr>
                      <w:snapToGrid w:val="0"/>
                      <w:color w:val="0D0D0D" w:themeColor="text1" w:themeTint="F2"/>
                      <w:lang w:eastAsia="en-US"/>
                      <w14:textFill>
                        <w14:solidFill>
                          <w14:schemeClr w14:val="tx1">
                            <w14:lumMod w14:val="95000"/>
                            <w14:lumOff w14:val="5000"/>
                          </w14:schemeClr>
                        </w14:solidFill>
                      </w14:textFill>
                    </w:rPr>
                    <w:t>（m</w:t>
                  </w:r>
                  <w:r>
                    <w:rPr>
                      <w:snapToGrid w:val="0"/>
                      <w:color w:val="0D0D0D" w:themeColor="text1" w:themeTint="F2"/>
                      <w:vertAlign w:val="superscript"/>
                      <w:lang w:eastAsia="en-US"/>
                      <w14:textFill>
                        <w14:solidFill>
                          <w14:schemeClr w14:val="tx1">
                            <w14:lumMod w14:val="95000"/>
                            <w14:lumOff w14:val="5000"/>
                          </w14:schemeClr>
                        </w14:solidFill>
                      </w14:textFill>
                    </w:rPr>
                    <w:t>3</w:t>
                  </w:r>
                  <w:r>
                    <w:rPr>
                      <w:snapToGrid w:val="0"/>
                      <w:color w:val="0D0D0D" w:themeColor="text1" w:themeTint="F2"/>
                      <w:lang w:eastAsia="en-US"/>
                      <w14:textFill>
                        <w14:solidFill>
                          <w14:schemeClr w14:val="tx1">
                            <w14:lumMod w14:val="95000"/>
                            <w14:lumOff w14:val="5000"/>
                          </w14:schemeClr>
                        </w14:solidFill>
                      </w14:textFill>
                    </w:rPr>
                    <w:t>/h）</w:t>
                  </w:r>
                </w:p>
              </w:tc>
              <w:tc>
                <w:tcPr>
                  <w:tcW w:w="889" w:type="pct"/>
                  <w:shd w:val="clear" w:color="auto" w:fill="auto"/>
                  <w:noWrap/>
                  <w:vAlign w:val="center"/>
                </w:tcPr>
                <w:p w14:paraId="56F5EFE1">
                  <w:pPr>
                    <w:widowControl/>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多年平均风速</w:t>
                  </w:r>
                </w:p>
                <w:p w14:paraId="340073CA">
                  <w:pPr>
                    <w:widowControl/>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（m/s）</w:t>
                  </w:r>
                </w:p>
              </w:tc>
              <w:tc>
                <w:tcPr>
                  <w:tcW w:w="352" w:type="pct"/>
                  <w:shd w:val="clear" w:color="auto" w:fill="auto"/>
                  <w:noWrap/>
                  <w:vAlign w:val="center"/>
                </w:tcPr>
                <w:p w14:paraId="1066D930">
                  <w:pPr>
                    <w:widowControl/>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K</w:t>
                  </w:r>
                </w:p>
              </w:tc>
              <w:tc>
                <w:tcPr>
                  <w:tcW w:w="566" w:type="pct"/>
                  <w:shd w:val="clear" w:color="auto" w:fill="auto"/>
                  <w:noWrap/>
                  <w:vAlign w:val="center"/>
                </w:tcPr>
                <w:p w14:paraId="54A6C0E1">
                  <w:pPr>
                    <w:widowControl/>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Vc</w:t>
                  </w:r>
                </w:p>
                <w:p w14:paraId="1C426BA8">
                  <w:pPr>
                    <w:widowControl/>
                    <w:adjustRightInd w:val="0"/>
                    <w:snapToGrid w:val="0"/>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（m/s）</w:t>
                  </w:r>
                </w:p>
              </w:tc>
              <w:tc>
                <w:tcPr>
                  <w:tcW w:w="625" w:type="pct"/>
                  <w:shd w:val="clear" w:color="auto" w:fill="auto"/>
                  <w:noWrap/>
                  <w:vAlign w:val="center"/>
                </w:tcPr>
                <w:p w14:paraId="3B28BF6F">
                  <w:pPr>
                    <w:widowControl/>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1.5倍Vc</w:t>
                  </w:r>
                </w:p>
                <w:p w14:paraId="2544D008">
                  <w:pPr>
                    <w:widowControl/>
                    <w:adjustRightInd w:val="0"/>
                    <w:snapToGrid w:val="0"/>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（m/s）</w:t>
                  </w:r>
                </w:p>
              </w:tc>
              <w:tc>
                <w:tcPr>
                  <w:tcW w:w="566" w:type="pct"/>
                  <w:shd w:val="clear" w:color="auto" w:fill="auto"/>
                  <w:noWrap/>
                  <w:vAlign w:val="center"/>
                </w:tcPr>
                <w:p w14:paraId="5BED7A0D">
                  <w:pPr>
                    <w:widowControl/>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Vs</w:t>
                  </w:r>
                </w:p>
                <w:p w14:paraId="407038F0">
                  <w:pPr>
                    <w:widowControl/>
                    <w:adjustRightInd w:val="0"/>
                    <w:snapToGrid w:val="0"/>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（m/s）</w:t>
                  </w:r>
                </w:p>
              </w:tc>
              <w:tc>
                <w:tcPr>
                  <w:tcW w:w="383" w:type="pct"/>
                  <w:shd w:val="clear" w:color="auto" w:fill="auto"/>
                  <w:vAlign w:val="center"/>
                </w:tcPr>
                <w:p w14:paraId="2C451E77">
                  <w:pPr>
                    <w:widowControl/>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判定</w:t>
                  </w:r>
                </w:p>
                <w:p w14:paraId="72AE7572">
                  <w:pPr>
                    <w:widowControl/>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结果</w:t>
                  </w:r>
                </w:p>
              </w:tc>
            </w:tr>
            <w:tr w14:paraId="28258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3" w:type="pct"/>
                  <w:shd w:val="clear" w:color="auto" w:fill="auto"/>
                  <w:noWrap/>
                  <w:vAlign w:val="center"/>
                </w:tcPr>
                <w:p w14:paraId="7CF2CF76">
                  <w:pPr>
                    <w:widowControl/>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DA001</w:t>
                  </w:r>
                </w:p>
              </w:tc>
              <w:tc>
                <w:tcPr>
                  <w:tcW w:w="482" w:type="pct"/>
                  <w:shd w:val="clear" w:color="auto" w:fill="auto"/>
                  <w:vAlign w:val="center"/>
                </w:tcPr>
                <w:p w14:paraId="0A0DDEA0">
                  <w:pPr>
                    <w:widowControl/>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0.9</w:t>
                  </w:r>
                </w:p>
              </w:tc>
              <w:tc>
                <w:tcPr>
                  <w:tcW w:w="636" w:type="pct"/>
                  <w:shd w:val="clear" w:color="auto" w:fill="auto"/>
                  <w:noWrap/>
                  <w:vAlign w:val="center"/>
                </w:tcPr>
                <w:p w14:paraId="5122643C">
                  <w:pPr>
                    <w:widowControl/>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38000</w:t>
                  </w:r>
                </w:p>
              </w:tc>
              <w:tc>
                <w:tcPr>
                  <w:tcW w:w="889" w:type="pct"/>
                  <w:shd w:val="clear" w:color="auto" w:fill="auto"/>
                  <w:noWrap/>
                  <w:vAlign w:val="center"/>
                </w:tcPr>
                <w:p w14:paraId="2F6C2FE8">
                  <w:pPr>
                    <w:widowControl/>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2.22</w:t>
                  </w:r>
                </w:p>
              </w:tc>
              <w:tc>
                <w:tcPr>
                  <w:tcW w:w="352" w:type="pct"/>
                  <w:shd w:val="clear" w:color="auto" w:fill="auto"/>
                  <w:noWrap/>
                  <w:vAlign w:val="center"/>
                </w:tcPr>
                <w:p w14:paraId="6476B683">
                  <w:pPr>
                    <w:widowControl/>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1.23</w:t>
                  </w:r>
                </w:p>
              </w:tc>
              <w:tc>
                <w:tcPr>
                  <w:tcW w:w="566" w:type="pct"/>
                  <w:shd w:val="clear" w:color="auto" w:fill="auto"/>
                  <w:noWrap/>
                  <w:vAlign w:val="center"/>
                </w:tcPr>
                <w:p w14:paraId="3944BA9F">
                  <w:pPr>
                    <w:widowControl/>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4.85</w:t>
                  </w:r>
                </w:p>
              </w:tc>
              <w:tc>
                <w:tcPr>
                  <w:tcW w:w="625" w:type="pct"/>
                  <w:shd w:val="clear" w:color="auto" w:fill="auto"/>
                  <w:noWrap/>
                  <w:vAlign w:val="center"/>
                </w:tcPr>
                <w:p w14:paraId="1CB84958">
                  <w:pPr>
                    <w:widowControl/>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7.28</w:t>
                  </w:r>
                </w:p>
              </w:tc>
              <w:tc>
                <w:tcPr>
                  <w:tcW w:w="566" w:type="pct"/>
                  <w:shd w:val="clear" w:color="auto" w:fill="auto"/>
                  <w:noWrap/>
                  <w:vAlign w:val="center"/>
                </w:tcPr>
                <w:p w14:paraId="64E277CE">
                  <w:pPr>
                    <w:widowControl/>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16.60</w:t>
                  </w:r>
                </w:p>
              </w:tc>
              <w:tc>
                <w:tcPr>
                  <w:tcW w:w="383" w:type="pct"/>
                  <w:shd w:val="clear" w:color="auto" w:fill="auto"/>
                  <w:vAlign w:val="center"/>
                </w:tcPr>
                <w:p w14:paraId="5F1AF493">
                  <w:pPr>
                    <w:widowControl/>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合理</w:t>
                  </w:r>
                </w:p>
              </w:tc>
            </w:tr>
            <w:tr w14:paraId="5BBC0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3" w:type="pct"/>
                  <w:shd w:val="clear" w:color="auto" w:fill="auto"/>
                  <w:noWrap/>
                  <w:vAlign w:val="center"/>
                </w:tcPr>
                <w:p w14:paraId="0F515426">
                  <w:pPr>
                    <w:widowControl/>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DA00</w:t>
                  </w:r>
                  <w:r>
                    <w:rPr>
                      <w:rFonts w:hint="eastAsia"/>
                      <w:color w:val="0D0D0D" w:themeColor="text1" w:themeTint="F2"/>
                      <w14:textFill>
                        <w14:solidFill>
                          <w14:schemeClr w14:val="tx1">
                            <w14:lumMod w14:val="95000"/>
                            <w14:lumOff w14:val="5000"/>
                          </w14:schemeClr>
                        </w14:solidFill>
                      </w14:textFill>
                    </w:rPr>
                    <w:t>2</w:t>
                  </w:r>
                </w:p>
              </w:tc>
              <w:tc>
                <w:tcPr>
                  <w:tcW w:w="482" w:type="pct"/>
                  <w:shd w:val="clear" w:color="auto" w:fill="auto"/>
                  <w:noWrap/>
                  <w:vAlign w:val="center"/>
                </w:tcPr>
                <w:p w14:paraId="3E15FF62">
                  <w:pPr>
                    <w:widowControl/>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0.9</w:t>
                  </w:r>
                </w:p>
              </w:tc>
              <w:tc>
                <w:tcPr>
                  <w:tcW w:w="636" w:type="pct"/>
                  <w:shd w:val="clear" w:color="auto" w:fill="auto"/>
                  <w:noWrap/>
                  <w:vAlign w:val="center"/>
                </w:tcPr>
                <w:p w14:paraId="6CF33AAD">
                  <w:pPr>
                    <w:widowControl/>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35000</w:t>
                  </w:r>
                </w:p>
              </w:tc>
              <w:tc>
                <w:tcPr>
                  <w:tcW w:w="889" w:type="pct"/>
                  <w:shd w:val="clear" w:color="auto" w:fill="auto"/>
                  <w:noWrap/>
                  <w:vAlign w:val="center"/>
                </w:tcPr>
                <w:p w14:paraId="4A1EE427">
                  <w:pPr>
                    <w:widowControl/>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2.2</w:t>
                  </w:r>
                </w:p>
              </w:tc>
              <w:tc>
                <w:tcPr>
                  <w:tcW w:w="352" w:type="pct"/>
                  <w:shd w:val="clear" w:color="auto" w:fill="auto"/>
                  <w:noWrap/>
                  <w:vAlign w:val="center"/>
                </w:tcPr>
                <w:p w14:paraId="1E2375D3">
                  <w:pPr>
                    <w:widowControl/>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1.</w:t>
                  </w:r>
                  <w:r>
                    <w:rPr>
                      <w:rFonts w:hint="eastAsia"/>
                      <w:color w:val="0D0D0D" w:themeColor="text1" w:themeTint="F2"/>
                      <w14:textFill>
                        <w14:solidFill>
                          <w14:schemeClr w14:val="tx1">
                            <w14:lumMod w14:val="95000"/>
                            <w14:lumOff w14:val="5000"/>
                          </w14:schemeClr>
                        </w14:solidFill>
                      </w14:textFill>
                    </w:rPr>
                    <w:t>23</w:t>
                  </w:r>
                </w:p>
              </w:tc>
              <w:tc>
                <w:tcPr>
                  <w:tcW w:w="566" w:type="pct"/>
                  <w:shd w:val="clear" w:color="auto" w:fill="auto"/>
                  <w:noWrap/>
                  <w:vAlign w:val="center"/>
                </w:tcPr>
                <w:p w14:paraId="516BE855">
                  <w:pPr>
                    <w:widowControl/>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4.85</w:t>
                  </w:r>
                </w:p>
              </w:tc>
              <w:tc>
                <w:tcPr>
                  <w:tcW w:w="625" w:type="pct"/>
                  <w:shd w:val="clear" w:color="auto" w:fill="auto"/>
                  <w:noWrap/>
                  <w:vAlign w:val="center"/>
                </w:tcPr>
                <w:p w14:paraId="33BCE610">
                  <w:pPr>
                    <w:widowControl/>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7.28</w:t>
                  </w:r>
                </w:p>
              </w:tc>
              <w:tc>
                <w:tcPr>
                  <w:tcW w:w="566" w:type="pct"/>
                  <w:shd w:val="clear" w:color="auto" w:fill="auto"/>
                  <w:noWrap/>
                  <w:vAlign w:val="center"/>
                </w:tcPr>
                <w:p w14:paraId="70D2BDD7">
                  <w:pPr>
                    <w:widowControl/>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15.28</w:t>
                  </w:r>
                </w:p>
              </w:tc>
              <w:tc>
                <w:tcPr>
                  <w:tcW w:w="383" w:type="pct"/>
                  <w:shd w:val="clear" w:color="auto" w:fill="auto"/>
                  <w:vAlign w:val="center"/>
                </w:tcPr>
                <w:p w14:paraId="5FC9CCA0">
                  <w:pPr>
                    <w:widowControl/>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合理</w:t>
                  </w:r>
                </w:p>
              </w:tc>
            </w:tr>
          </w:tbl>
          <w:p w14:paraId="65286AFF">
            <w:pPr>
              <w:adjustRightIn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综上所述，项目20m排气筒设置合理。</w:t>
            </w:r>
          </w:p>
          <w:p w14:paraId="355B1DA7">
            <w:pPr>
              <w:adjustRightInd w:val="0"/>
              <w:spacing w:line="360" w:lineRule="auto"/>
              <w:ind w:firstLine="442"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3、废气排放口基本情况</w:t>
            </w:r>
          </w:p>
          <w:p w14:paraId="380E0741">
            <w:pPr>
              <w:adjustRightIn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项目排放口基本情况详见表4</w:t>
            </w:r>
            <w:r>
              <w:rPr>
                <w:rFonts w:cs="宋体"/>
                <w:bCs/>
                <w:color w:val="0D0D0D" w:themeColor="text1" w:themeTint="F2"/>
                <w:spacing w:val="-10"/>
                <w:sz w:val="24"/>
                <w14:textFill>
                  <w14:solidFill>
                    <w14:schemeClr w14:val="tx1">
                      <w14:lumMod w14:val="95000"/>
                      <w14:lumOff w14:val="5000"/>
                    </w14:schemeClr>
                  </w14:solidFill>
                </w14:textFill>
              </w:rPr>
              <w:t>-</w:t>
            </w:r>
            <w:r>
              <w:rPr>
                <w:rFonts w:hint="eastAsia" w:cs="宋体"/>
                <w:bCs/>
                <w:color w:val="0D0D0D" w:themeColor="text1" w:themeTint="F2"/>
                <w:spacing w:val="-10"/>
                <w:sz w:val="24"/>
                <w14:textFill>
                  <w14:solidFill>
                    <w14:schemeClr w14:val="tx1">
                      <w14:lumMod w14:val="95000"/>
                      <w14:lumOff w14:val="5000"/>
                    </w14:schemeClr>
                  </w14:solidFill>
                </w14:textFill>
              </w:rPr>
              <w:t>8。</w:t>
            </w:r>
          </w:p>
          <w:p w14:paraId="0D39126C">
            <w:pPr>
              <w:adjustRightInd w:val="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w:t>
            </w:r>
            <w:r>
              <w:rPr>
                <w:rFonts w:cs="宋体"/>
                <w:b/>
                <w:color w:val="0D0D0D" w:themeColor="text1" w:themeTint="F2"/>
                <w:spacing w:val="-10"/>
                <w:szCs w:val="21"/>
                <w14:textFill>
                  <w14:solidFill>
                    <w14:schemeClr w14:val="tx1">
                      <w14:lumMod w14:val="95000"/>
                      <w14:lumOff w14:val="5000"/>
                    </w14:schemeClr>
                  </w14:solidFill>
                </w14:textFill>
              </w:rPr>
              <w:t>-</w:t>
            </w:r>
            <w:r>
              <w:rPr>
                <w:rFonts w:hint="eastAsia" w:cs="宋体"/>
                <w:b/>
                <w:color w:val="0D0D0D" w:themeColor="text1" w:themeTint="F2"/>
                <w:spacing w:val="-10"/>
                <w:szCs w:val="21"/>
                <w14:textFill>
                  <w14:solidFill>
                    <w14:schemeClr w14:val="tx1">
                      <w14:lumMod w14:val="95000"/>
                      <w14:lumOff w14:val="5000"/>
                    </w14:schemeClr>
                  </w14:solidFill>
                </w14:textFill>
              </w:rPr>
              <w:t>8</w:t>
            </w:r>
            <w:r>
              <w:rPr>
                <w:rFonts w:cs="宋体"/>
                <w:b/>
                <w:color w:val="0D0D0D" w:themeColor="text1" w:themeTint="F2"/>
                <w:spacing w:val="-10"/>
                <w:szCs w:val="21"/>
                <w14:textFill>
                  <w14:solidFill>
                    <w14:schemeClr w14:val="tx1">
                      <w14:lumMod w14:val="95000"/>
                      <w14:lumOff w14:val="5000"/>
                    </w14:schemeClr>
                  </w14:solidFill>
                </w14:textFill>
              </w:rPr>
              <w:t xml:space="preserve">  </w:t>
            </w:r>
            <w:r>
              <w:rPr>
                <w:rFonts w:hint="eastAsia" w:cs="宋体"/>
                <w:b/>
                <w:color w:val="0D0D0D" w:themeColor="text1" w:themeTint="F2"/>
                <w:spacing w:val="-10"/>
                <w:szCs w:val="21"/>
                <w14:textFill>
                  <w14:solidFill>
                    <w14:schemeClr w14:val="tx1">
                      <w14:lumMod w14:val="95000"/>
                      <w14:lumOff w14:val="5000"/>
                    </w14:schemeClr>
                  </w14:solidFill>
                </w14:textFill>
              </w:rPr>
              <w:t>废气排放口情况汇总表</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3"/>
              <w:gridCol w:w="433"/>
              <w:gridCol w:w="553"/>
              <w:gridCol w:w="975"/>
              <w:gridCol w:w="849"/>
              <w:gridCol w:w="492"/>
              <w:gridCol w:w="553"/>
              <w:gridCol w:w="1450"/>
              <w:gridCol w:w="814"/>
              <w:gridCol w:w="815"/>
              <w:gridCol w:w="1004"/>
            </w:tblGrid>
            <w:tr w14:paraId="20273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309" w:type="pct"/>
                  <w:vMerge w:val="restart"/>
                  <w:vAlign w:val="center"/>
                </w:tcPr>
                <w:p w14:paraId="6184697D">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排放方式</w:t>
                  </w:r>
                </w:p>
              </w:tc>
              <w:tc>
                <w:tcPr>
                  <w:tcW w:w="256" w:type="pct"/>
                  <w:vMerge w:val="restart"/>
                  <w:vAlign w:val="center"/>
                </w:tcPr>
                <w:p w14:paraId="2FCFB95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序</w:t>
                  </w:r>
                </w:p>
                <w:p w14:paraId="4F067C79">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号</w:t>
                  </w:r>
                </w:p>
              </w:tc>
              <w:tc>
                <w:tcPr>
                  <w:tcW w:w="327" w:type="pct"/>
                  <w:vMerge w:val="restart"/>
                  <w:vAlign w:val="center"/>
                </w:tcPr>
                <w:p w14:paraId="46E21270">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产排污环节</w:t>
                  </w:r>
                </w:p>
              </w:tc>
              <w:tc>
                <w:tcPr>
                  <w:tcW w:w="576" w:type="pct"/>
                  <w:vMerge w:val="restart"/>
                  <w:vAlign w:val="center"/>
                </w:tcPr>
                <w:p w14:paraId="69EA1C6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污染物</w:t>
                  </w:r>
                </w:p>
              </w:tc>
              <w:tc>
                <w:tcPr>
                  <w:tcW w:w="3533" w:type="pct"/>
                  <w:gridSpan w:val="7"/>
                  <w:vAlign w:val="center"/>
                </w:tcPr>
                <w:p w14:paraId="55510485">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排放口</w:t>
                  </w:r>
                </w:p>
              </w:tc>
            </w:tr>
            <w:tr w14:paraId="27724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309" w:type="pct"/>
                  <w:vMerge w:val="continue"/>
                  <w:vAlign w:val="center"/>
                </w:tcPr>
                <w:p w14:paraId="1CB736A5">
                  <w:pPr>
                    <w:jc w:val="center"/>
                    <w:rPr>
                      <w:color w:val="0D0D0D" w:themeColor="text1" w:themeTint="F2"/>
                      <w:szCs w:val="21"/>
                      <w14:textFill>
                        <w14:solidFill>
                          <w14:schemeClr w14:val="tx1">
                            <w14:lumMod w14:val="95000"/>
                            <w14:lumOff w14:val="5000"/>
                          </w14:schemeClr>
                        </w14:solidFill>
                      </w14:textFill>
                    </w:rPr>
                  </w:pPr>
                </w:p>
              </w:tc>
              <w:tc>
                <w:tcPr>
                  <w:tcW w:w="256" w:type="pct"/>
                  <w:vMerge w:val="continue"/>
                  <w:vAlign w:val="center"/>
                </w:tcPr>
                <w:p w14:paraId="3BB81994">
                  <w:pPr>
                    <w:jc w:val="center"/>
                    <w:rPr>
                      <w:color w:val="0D0D0D" w:themeColor="text1" w:themeTint="F2"/>
                      <w:szCs w:val="21"/>
                      <w14:textFill>
                        <w14:solidFill>
                          <w14:schemeClr w14:val="tx1">
                            <w14:lumMod w14:val="95000"/>
                            <w14:lumOff w14:val="5000"/>
                          </w14:schemeClr>
                        </w14:solidFill>
                      </w14:textFill>
                    </w:rPr>
                  </w:pPr>
                </w:p>
              </w:tc>
              <w:tc>
                <w:tcPr>
                  <w:tcW w:w="327" w:type="pct"/>
                  <w:vMerge w:val="continue"/>
                  <w:vAlign w:val="center"/>
                </w:tcPr>
                <w:p w14:paraId="20BA211A">
                  <w:pPr>
                    <w:jc w:val="center"/>
                    <w:rPr>
                      <w:color w:val="0D0D0D" w:themeColor="text1" w:themeTint="F2"/>
                      <w:szCs w:val="21"/>
                      <w14:textFill>
                        <w14:solidFill>
                          <w14:schemeClr w14:val="tx1">
                            <w14:lumMod w14:val="95000"/>
                            <w14:lumOff w14:val="5000"/>
                          </w14:schemeClr>
                        </w14:solidFill>
                      </w14:textFill>
                    </w:rPr>
                  </w:pPr>
                </w:p>
              </w:tc>
              <w:tc>
                <w:tcPr>
                  <w:tcW w:w="576" w:type="pct"/>
                  <w:vMerge w:val="continue"/>
                  <w:vAlign w:val="center"/>
                </w:tcPr>
                <w:p w14:paraId="1F94B039">
                  <w:pPr>
                    <w:jc w:val="center"/>
                    <w:rPr>
                      <w:color w:val="0D0D0D" w:themeColor="text1" w:themeTint="F2"/>
                      <w:szCs w:val="21"/>
                      <w14:textFill>
                        <w14:solidFill>
                          <w14:schemeClr w14:val="tx1">
                            <w14:lumMod w14:val="95000"/>
                            <w14:lumOff w14:val="5000"/>
                          </w14:schemeClr>
                        </w14:solidFill>
                      </w14:textFill>
                    </w:rPr>
                  </w:pPr>
                </w:p>
              </w:tc>
              <w:tc>
                <w:tcPr>
                  <w:tcW w:w="502" w:type="pct"/>
                  <w:vAlign w:val="center"/>
                </w:tcPr>
                <w:p w14:paraId="2639430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编号</w:t>
                  </w:r>
                </w:p>
              </w:tc>
              <w:tc>
                <w:tcPr>
                  <w:tcW w:w="291" w:type="pct"/>
                  <w:vAlign w:val="center"/>
                </w:tcPr>
                <w:p w14:paraId="7DCCAEC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名称</w:t>
                  </w:r>
                </w:p>
              </w:tc>
              <w:tc>
                <w:tcPr>
                  <w:tcW w:w="327" w:type="pct"/>
                  <w:vAlign w:val="center"/>
                </w:tcPr>
                <w:p w14:paraId="305A806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类型</w:t>
                  </w:r>
                </w:p>
              </w:tc>
              <w:tc>
                <w:tcPr>
                  <w:tcW w:w="857" w:type="pct"/>
                  <w:vAlign w:val="center"/>
                </w:tcPr>
                <w:p w14:paraId="1AFBF2F7">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地理坐标</w:t>
                  </w:r>
                </w:p>
              </w:tc>
              <w:tc>
                <w:tcPr>
                  <w:tcW w:w="481" w:type="pct"/>
                  <w:vAlign w:val="center"/>
                </w:tcPr>
                <w:p w14:paraId="4EA4AC85">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高度</w:t>
                  </w:r>
                </w:p>
                <w:p w14:paraId="1E7B4C66">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（m）</w:t>
                  </w:r>
                </w:p>
              </w:tc>
              <w:tc>
                <w:tcPr>
                  <w:tcW w:w="481" w:type="pct"/>
                  <w:vAlign w:val="center"/>
                </w:tcPr>
                <w:p w14:paraId="7B2EB5F9">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出口</w:t>
                  </w:r>
                </w:p>
                <w:p w14:paraId="4A081841">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内径</w:t>
                  </w:r>
                </w:p>
                <w:p w14:paraId="339746C3">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（m）</w:t>
                  </w:r>
                </w:p>
              </w:tc>
              <w:tc>
                <w:tcPr>
                  <w:tcW w:w="593" w:type="pct"/>
                  <w:vAlign w:val="center"/>
                </w:tcPr>
                <w:p w14:paraId="4D8275D0">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排气</w:t>
                  </w:r>
                </w:p>
                <w:p w14:paraId="20EE97A3">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温度</w:t>
                  </w:r>
                </w:p>
                <w:p w14:paraId="7C3C1157">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w:t>
                  </w:r>
                </w:p>
              </w:tc>
            </w:tr>
            <w:tr w14:paraId="335DE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309" w:type="pct"/>
                  <w:vMerge w:val="restart"/>
                  <w:vAlign w:val="center"/>
                </w:tcPr>
                <w:p w14:paraId="05B6778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有</w:t>
                  </w:r>
                </w:p>
                <w:p w14:paraId="44149065">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组</w:t>
                  </w:r>
                </w:p>
                <w:p w14:paraId="1DFB27F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织</w:t>
                  </w:r>
                </w:p>
              </w:tc>
              <w:tc>
                <w:tcPr>
                  <w:tcW w:w="256" w:type="pct"/>
                  <w:vAlign w:val="center"/>
                </w:tcPr>
                <w:p w14:paraId="47387BA1">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w:t>
                  </w:r>
                </w:p>
              </w:tc>
              <w:tc>
                <w:tcPr>
                  <w:tcW w:w="327" w:type="pct"/>
                  <w:vAlign w:val="center"/>
                </w:tcPr>
                <w:p w14:paraId="5CEBADF9">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抛丸</w:t>
                  </w:r>
                </w:p>
              </w:tc>
              <w:tc>
                <w:tcPr>
                  <w:tcW w:w="576" w:type="pct"/>
                  <w:vAlign w:val="center"/>
                </w:tcPr>
                <w:p w14:paraId="587E052B">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颗粒物</w:t>
                  </w:r>
                </w:p>
              </w:tc>
              <w:tc>
                <w:tcPr>
                  <w:tcW w:w="502" w:type="pct"/>
                  <w:vAlign w:val="center"/>
                </w:tcPr>
                <w:p w14:paraId="7599290C">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DA001</w:t>
                  </w:r>
                </w:p>
              </w:tc>
              <w:tc>
                <w:tcPr>
                  <w:tcW w:w="291" w:type="pct"/>
                  <w:vAlign w:val="center"/>
                </w:tcPr>
                <w:p w14:paraId="0FC896D1">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抛丸粉尘排气筒</w:t>
                  </w:r>
                </w:p>
              </w:tc>
              <w:tc>
                <w:tcPr>
                  <w:tcW w:w="327" w:type="pct"/>
                  <w:vAlign w:val="center"/>
                </w:tcPr>
                <w:p w14:paraId="1D4E814E">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一般排放口</w:t>
                  </w:r>
                </w:p>
              </w:tc>
              <w:tc>
                <w:tcPr>
                  <w:tcW w:w="857" w:type="pct"/>
                  <w:vAlign w:val="center"/>
                </w:tcPr>
                <w:p w14:paraId="11A132A1">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108.622718</w:t>
                  </w:r>
                  <w:r>
                    <w:rPr>
                      <w:rFonts w:hint="eastAsia"/>
                      <w:color w:val="0D0D0D" w:themeColor="text1" w:themeTint="F2"/>
                      <w:szCs w:val="21"/>
                      <w14:textFill>
                        <w14:solidFill>
                          <w14:schemeClr w14:val="tx1">
                            <w14:lumMod w14:val="95000"/>
                            <w14:lumOff w14:val="5000"/>
                          </w14:schemeClr>
                        </w14:solidFill>
                      </w14:textFill>
                    </w:rPr>
                    <w:t>，</w:t>
                  </w:r>
                </w:p>
                <w:p w14:paraId="67C35BB5">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21.710232</w:t>
                  </w:r>
                </w:p>
              </w:tc>
              <w:tc>
                <w:tcPr>
                  <w:tcW w:w="481" w:type="pct"/>
                  <w:vAlign w:val="center"/>
                </w:tcPr>
                <w:p w14:paraId="4CA22ECE">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20</w:t>
                  </w:r>
                </w:p>
              </w:tc>
              <w:tc>
                <w:tcPr>
                  <w:tcW w:w="481" w:type="pct"/>
                  <w:vAlign w:val="center"/>
                </w:tcPr>
                <w:p w14:paraId="04EA7EF0">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0.7</w:t>
                  </w:r>
                </w:p>
              </w:tc>
              <w:tc>
                <w:tcPr>
                  <w:tcW w:w="593" w:type="pct"/>
                  <w:vAlign w:val="center"/>
                </w:tcPr>
                <w:p w14:paraId="33147875">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25</w:t>
                  </w:r>
                </w:p>
              </w:tc>
            </w:tr>
            <w:tr w14:paraId="3E8EA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9" w:type="pct"/>
                  <w:vMerge w:val="continue"/>
                  <w:vAlign w:val="center"/>
                </w:tcPr>
                <w:p w14:paraId="000A8CBD">
                  <w:pPr>
                    <w:jc w:val="center"/>
                    <w:rPr>
                      <w:color w:val="0D0D0D" w:themeColor="text1" w:themeTint="F2"/>
                      <w:szCs w:val="21"/>
                      <w14:textFill>
                        <w14:solidFill>
                          <w14:schemeClr w14:val="tx1">
                            <w14:lumMod w14:val="95000"/>
                            <w14:lumOff w14:val="5000"/>
                          </w14:schemeClr>
                        </w14:solidFill>
                      </w14:textFill>
                    </w:rPr>
                  </w:pPr>
                </w:p>
              </w:tc>
              <w:tc>
                <w:tcPr>
                  <w:tcW w:w="256" w:type="pct"/>
                  <w:vAlign w:val="center"/>
                </w:tcPr>
                <w:p w14:paraId="2FC5CC09">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w:t>
                  </w:r>
                </w:p>
              </w:tc>
              <w:tc>
                <w:tcPr>
                  <w:tcW w:w="327" w:type="pct"/>
                  <w:vAlign w:val="center"/>
                </w:tcPr>
                <w:p w14:paraId="5231308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喷漆</w:t>
                  </w:r>
                </w:p>
              </w:tc>
              <w:tc>
                <w:tcPr>
                  <w:tcW w:w="576" w:type="pct"/>
                  <w:vAlign w:val="center"/>
                </w:tcPr>
                <w:p w14:paraId="441FF93F">
                  <w:pPr>
                    <w:adjustRightInd w:val="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非甲烷总烃、二甲苯、颗粒物</w:t>
                  </w:r>
                </w:p>
              </w:tc>
              <w:tc>
                <w:tcPr>
                  <w:tcW w:w="502" w:type="pct"/>
                  <w:vAlign w:val="center"/>
                </w:tcPr>
                <w:p w14:paraId="19A9BAEF">
                  <w:pPr>
                    <w:widowControl/>
                    <w:jc w:val="center"/>
                    <w:rPr>
                      <w:color w:val="0D0D0D" w:themeColor="text1" w:themeTint="F2"/>
                      <w:szCs w:val="21"/>
                      <w14:textFill>
                        <w14:solidFill>
                          <w14:schemeClr w14:val="tx1">
                            <w14:lumMod w14:val="95000"/>
                            <w14:lumOff w14:val="5000"/>
                          </w14:schemeClr>
                        </w14:solidFill>
                      </w14:textFill>
                    </w:rPr>
                  </w:pPr>
                  <w:r>
                    <w:rPr>
                      <w:color w:val="0D0D0D" w:themeColor="text1" w:themeTint="F2"/>
                      <w:kern w:val="0"/>
                      <w:szCs w:val="21"/>
                      <w14:textFill>
                        <w14:solidFill>
                          <w14:schemeClr w14:val="tx1">
                            <w14:lumMod w14:val="95000"/>
                            <w14:lumOff w14:val="5000"/>
                          </w14:schemeClr>
                        </w14:solidFill>
                      </w14:textFill>
                    </w:rPr>
                    <w:t>DA00</w:t>
                  </w:r>
                  <w:r>
                    <w:rPr>
                      <w:rFonts w:hint="eastAsia"/>
                      <w:color w:val="0D0D0D" w:themeColor="text1" w:themeTint="F2"/>
                      <w:kern w:val="0"/>
                      <w:szCs w:val="21"/>
                      <w14:textFill>
                        <w14:solidFill>
                          <w14:schemeClr w14:val="tx1">
                            <w14:lumMod w14:val="95000"/>
                            <w14:lumOff w14:val="5000"/>
                          </w14:schemeClr>
                        </w14:solidFill>
                      </w14:textFill>
                    </w:rPr>
                    <w:t>2</w:t>
                  </w:r>
                </w:p>
              </w:tc>
              <w:tc>
                <w:tcPr>
                  <w:tcW w:w="291" w:type="pct"/>
                  <w:vAlign w:val="center"/>
                </w:tcPr>
                <w:p w14:paraId="1F751C85">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喷漆废气排气筒</w:t>
                  </w:r>
                </w:p>
              </w:tc>
              <w:tc>
                <w:tcPr>
                  <w:tcW w:w="327" w:type="pct"/>
                  <w:vAlign w:val="center"/>
                </w:tcPr>
                <w:p w14:paraId="6AD3EEE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一般排放口</w:t>
                  </w:r>
                </w:p>
              </w:tc>
              <w:tc>
                <w:tcPr>
                  <w:tcW w:w="857" w:type="pct"/>
                  <w:vAlign w:val="center"/>
                </w:tcPr>
                <w:p w14:paraId="5F813D41">
                  <w:pPr>
                    <w:widowControl/>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108.622621</w:t>
                  </w:r>
                  <w:r>
                    <w:rPr>
                      <w:rFonts w:hint="eastAsia"/>
                      <w:color w:val="0D0D0D" w:themeColor="text1" w:themeTint="F2"/>
                      <w:szCs w:val="21"/>
                      <w14:textFill>
                        <w14:solidFill>
                          <w14:schemeClr w14:val="tx1">
                            <w14:lumMod w14:val="95000"/>
                            <w14:lumOff w14:val="5000"/>
                          </w14:schemeClr>
                        </w14:solidFill>
                      </w14:textFill>
                    </w:rPr>
                    <w:t>,</w:t>
                  </w:r>
                </w:p>
                <w:p w14:paraId="7C17D3EE">
                  <w:pPr>
                    <w:widowControl/>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21.709377</w:t>
                  </w:r>
                </w:p>
              </w:tc>
              <w:tc>
                <w:tcPr>
                  <w:tcW w:w="481" w:type="pct"/>
                  <w:vAlign w:val="center"/>
                </w:tcPr>
                <w:p w14:paraId="392A5230">
                  <w:pPr>
                    <w:widowControl/>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20</w:t>
                  </w:r>
                </w:p>
              </w:tc>
              <w:tc>
                <w:tcPr>
                  <w:tcW w:w="481" w:type="pct"/>
                  <w:vAlign w:val="center"/>
                </w:tcPr>
                <w:p w14:paraId="279FD7AD">
                  <w:pPr>
                    <w:widowControl/>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0.</w:t>
                  </w:r>
                  <w:r>
                    <w:rPr>
                      <w:rFonts w:hint="eastAsia"/>
                      <w:color w:val="0D0D0D" w:themeColor="text1" w:themeTint="F2"/>
                      <w:szCs w:val="21"/>
                      <w14:textFill>
                        <w14:solidFill>
                          <w14:schemeClr w14:val="tx1">
                            <w14:lumMod w14:val="95000"/>
                            <w14:lumOff w14:val="5000"/>
                          </w14:schemeClr>
                        </w14:solidFill>
                      </w14:textFill>
                    </w:rPr>
                    <w:t>9</w:t>
                  </w:r>
                </w:p>
              </w:tc>
              <w:tc>
                <w:tcPr>
                  <w:tcW w:w="593" w:type="pct"/>
                  <w:vAlign w:val="center"/>
                </w:tcPr>
                <w:p w14:paraId="3A21D254">
                  <w:pPr>
                    <w:widowControl/>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14:textFill>
                        <w14:solidFill>
                          <w14:schemeClr w14:val="tx1">
                            <w14:lumMod w14:val="95000"/>
                            <w14:lumOff w14:val="5000"/>
                          </w14:schemeClr>
                        </w14:solidFill>
                      </w14:textFill>
                    </w:rPr>
                    <w:t>150</w:t>
                  </w:r>
                </w:p>
              </w:tc>
            </w:tr>
          </w:tbl>
          <w:p w14:paraId="64126684">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4、非正常工况</w:t>
            </w:r>
          </w:p>
          <w:p w14:paraId="740EE7B6">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非正常排放是指生产过程中开停车、设备检修、工艺设备运转异常等非正常工况下的污染物排放，以及污染物排放控制措施达不到应有效率等情况下的排放。</w:t>
            </w:r>
          </w:p>
          <w:p w14:paraId="7ADC33B7">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项目废气非正常工况排放主要考虑“水帘柜+二级活性炭吸附脱附+CO催化燃烧装置”和电子脉冲滤芯式除尘器出现故障，废气处理效率降低至0，但废气收集系统可以正常运行，废气直接通过排气筒排放的情况。</w:t>
            </w:r>
          </w:p>
          <w:p w14:paraId="3BC59292">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项目非正常</w:t>
            </w:r>
            <w:r>
              <w:rPr>
                <w:rFonts w:hint="eastAsia" w:cs="宋体"/>
                <w:bCs/>
                <w:color w:val="0D0D0D" w:themeColor="text1" w:themeTint="F2"/>
                <w:spacing w:val="-10"/>
                <w:sz w:val="24"/>
                <w14:textFill>
                  <w14:solidFill>
                    <w14:schemeClr w14:val="tx1">
                      <w14:lumMod w14:val="95000"/>
                      <w14:lumOff w14:val="5000"/>
                    </w14:schemeClr>
                  </w14:solidFill>
                </w14:textFill>
              </w:rPr>
              <w:t>工况</w:t>
            </w:r>
            <w:r>
              <w:rPr>
                <w:rFonts w:cs="宋体"/>
                <w:bCs/>
                <w:color w:val="0D0D0D" w:themeColor="text1" w:themeTint="F2"/>
                <w:spacing w:val="-10"/>
                <w:sz w:val="24"/>
                <w14:textFill>
                  <w14:solidFill>
                    <w14:schemeClr w14:val="tx1">
                      <w14:lumMod w14:val="95000"/>
                      <w14:lumOff w14:val="5000"/>
                    </w14:schemeClr>
                  </w14:solidFill>
                </w14:textFill>
              </w:rPr>
              <w:t>详见表</w:t>
            </w:r>
            <w:r>
              <w:rPr>
                <w:rFonts w:hint="eastAsia" w:cs="宋体"/>
                <w:bCs/>
                <w:color w:val="0D0D0D" w:themeColor="text1" w:themeTint="F2"/>
                <w:spacing w:val="-10"/>
                <w:sz w:val="24"/>
                <w14:textFill>
                  <w14:solidFill>
                    <w14:schemeClr w14:val="tx1">
                      <w14:lumMod w14:val="95000"/>
                      <w14:lumOff w14:val="5000"/>
                    </w14:schemeClr>
                  </w14:solidFill>
                </w14:textFill>
              </w:rPr>
              <w:t>4</w:t>
            </w:r>
            <w:r>
              <w:rPr>
                <w:rFonts w:cs="宋体"/>
                <w:bCs/>
                <w:color w:val="0D0D0D" w:themeColor="text1" w:themeTint="F2"/>
                <w:spacing w:val="-10"/>
                <w:sz w:val="24"/>
                <w14:textFill>
                  <w14:solidFill>
                    <w14:schemeClr w14:val="tx1">
                      <w14:lumMod w14:val="95000"/>
                      <w14:lumOff w14:val="5000"/>
                    </w14:schemeClr>
                  </w14:solidFill>
                </w14:textFill>
              </w:rPr>
              <w:t>-</w:t>
            </w:r>
            <w:r>
              <w:rPr>
                <w:rFonts w:hint="eastAsia" w:cs="宋体"/>
                <w:bCs/>
                <w:color w:val="0D0D0D" w:themeColor="text1" w:themeTint="F2"/>
                <w:spacing w:val="-10"/>
                <w:sz w:val="24"/>
                <w14:textFill>
                  <w14:solidFill>
                    <w14:schemeClr w14:val="tx1">
                      <w14:lumMod w14:val="95000"/>
                      <w14:lumOff w14:val="5000"/>
                    </w14:schemeClr>
                  </w14:solidFill>
                </w14:textFill>
              </w:rPr>
              <w:t>9。</w:t>
            </w:r>
          </w:p>
          <w:p w14:paraId="2594C4F4">
            <w:pPr>
              <w:adjustRightInd w:val="0"/>
              <w:snapToGrid w:val="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表4-9</w:t>
            </w:r>
            <w:r>
              <w:rPr>
                <w:rFonts w:cs="宋体"/>
                <w:b/>
                <w:color w:val="0D0D0D" w:themeColor="text1" w:themeTint="F2"/>
                <w:spacing w:val="-10"/>
                <w:szCs w:val="21"/>
                <w14:textFill>
                  <w14:solidFill>
                    <w14:schemeClr w14:val="tx1">
                      <w14:lumMod w14:val="95000"/>
                      <w14:lumOff w14:val="5000"/>
                    </w14:schemeClr>
                  </w14:solidFill>
                </w14:textFill>
              </w:rPr>
              <w:t xml:space="preserve">  </w:t>
            </w:r>
            <w:r>
              <w:rPr>
                <w:rFonts w:hint="eastAsia" w:cs="宋体"/>
                <w:b/>
                <w:color w:val="0D0D0D" w:themeColor="text1" w:themeTint="F2"/>
                <w:spacing w:val="-10"/>
                <w:szCs w:val="21"/>
                <w14:textFill>
                  <w14:solidFill>
                    <w14:schemeClr w14:val="tx1">
                      <w14:lumMod w14:val="95000"/>
                      <w14:lumOff w14:val="5000"/>
                    </w14:schemeClr>
                  </w14:solidFill>
                </w14:textFill>
              </w:rPr>
              <w:t>非正常工况一览表</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3"/>
              <w:gridCol w:w="2132"/>
              <w:gridCol w:w="614"/>
              <w:gridCol w:w="1399"/>
              <w:gridCol w:w="1208"/>
              <w:gridCol w:w="694"/>
              <w:gridCol w:w="672"/>
              <w:gridCol w:w="1189"/>
            </w:tblGrid>
            <w:tr w14:paraId="37EED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7" w:type="pct"/>
                  <w:shd w:val="clear" w:color="auto" w:fill="auto"/>
                  <w:vAlign w:val="center"/>
                </w:tcPr>
                <w:p w14:paraId="57549D48">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污染源</w:t>
                  </w:r>
                </w:p>
              </w:tc>
              <w:tc>
                <w:tcPr>
                  <w:tcW w:w="1260" w:type="pct"/>
                  <w:shd w:val="clear" w:color="auto" w:fill="auto"/>
                  <w:vAlign w:val="center"/>
                </w:tcPr>
                <w:p w14:paraId="6422A86C">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原因</w:t>
                  </w:r>
                </w:p>
              </w:tc>
              <w:tc>
                <w:tcPr>
                  <w:tcW w:w="363" w:type="pct"/>
                  <w:shd w:val="clear" w:color="auto" w:fill="auto"/>
                  <w:vAlign w:val="center"/>
                </w:tcPr>
                <w:p w14:paraId="20A42C33">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污染物</w:t>
                  </w:r>
                </w:p>
              </w:tc>
              <w:tc>
                <w:tcPr>
                  <w:tcW w:w="827" w:type="pct"/>
                  <w:shd w:val="clear" w:color="auto" w:fill="auto"/>
                  <w:vAlign w:val="center"/>
                </w:tcPr>
                <w:p w14:paraId="554068C2">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排放浓度（m</w:t>
                  </w:r>
                  <w:r>
                    <w:rPr>
                      <w:color w:val="0D0D0D" w:themeColor="text1" w:themeTint="F2"/>
                      <w:szCs w:val="21"/>
                      <w:u w:val="single"/>
                      <w14:textFill>
                        <w14:solidFill>
                          <w14:schemeClr w14:val="tx1">
                            <w14:lumMod w14:val="95000"/>
                            <w14:lumOff w14:val="5000"/>
                          </w14:schemeClr>
                        </w14:solidFill>
                      </w14:textFill>
                    </w:rPr>
                    <w:t>g/m</w:t>
                  </w:r>
                  <w:r>
                    <w:rPr>
                      <w:color w:val="0D0D0D" w:themeColor="text1" w:themeTint="F2"/>
                      <w:szCs w:val="21"/>
                      <w:u w:val="single"/>
                      <w:vertAlign w:val="superscript"/>
                      <w14:textFill>
                        <w14:solidFill>
                          <w14:schemeClr w14:val="tx1">
                            <w14:lumMod w14:val="95000"/>
                            <w14:lumOff w14:val="5000"/>
                          </w14:schemeClr>
                        </w14:solidFill>
                      </w14:textFill>
                    </w:rPr>
                    <w:t>3</w:t>
                  </w:r>
                  <w:r>
                    <w:rPr>
                      <w:rFonts w:hint="eastAsia"/>
                      <w:color w:val="0D0D0D" w:themeColor="text1" w:themeTint="F2"/>
                      <w:szCs w:val="21"/>
                      <w:u w:val="single"/>
                      <w14:textFill>
                        <w14:solidFill>
                          <w14:schemeClr w14:val="tx1">
                            <w14:lumMod w14:val="95000"/>
                            <w14:lumOff w14:val="5000"/>
                          </w14:schemeClr>
                        </w14:solidFill>
                      </w14:textFill>
                    </w:rPr>
                    <w:t>）</w:t>
                  </w:r>
                </w:p>
              </w:tc>
              <w:tc>
                <w:tcPr>
                  <w:tcW w:w="714" w:type="pct"/>
                  <w:shd w:val="clear" w:color="auto" w:fill="auto"/>
                  <w:vAlign w:val="center"/>
                </w:tcPr>
                <w:p w14:paraId="22FFB837">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排放速率（k</w:t>
                  </w:r>
                  <w:r>
                    <w:rPr>
                      <w:color w:val="0D0D0D" w:themeColor="text1" w:themeTint="F2"/>
                      <w:szCs w:val="21"/>
                      <w:u w:val="single"/>
                      <w14:textFill>
                        <w14:solidFill>
                          <w14:schemeClr w14:val="tx1">
                            <w14:lumMod w14:val="95000"/>
                            <w14:lumOff w14:val="5000"/>
                          </w14:schemeClr>
                        </w14:solidFill>
                      </w14:textFill>
                    </w:rPr>
                    <w:t>g/h</w:t>
                  </w:r>
                  <w:r>
                    <w:rPr>
                      <w:rFonts w:hint="eastAsia"/>
                      <w:color w:val="0D0D0D" w:themeColor="text1" w:themeTint="F2"/>
                      <w:szCs w:val="21"/>
                      <w:u w:val="single"/>
                      <w14:textFill>
                        <w14:solidFill>
                          <w14:schemeClr w14:val="tx1">
                            <w14:lumMod w14:val="95000"/>
                            <w14:lumOff w14:val="5000"/>
                          </w14:schemeClr>
                        </w14:solidFill>
                      </w14:textFill>
                    </w:rPr>
                    <w:t>）</w:t>
                  </w:r>
                </w:p>
              </w:tc>
              <w:tc>
                <w:tcPr>
                  <w:tcW w:w="410" w:type="pct"/>
                  <w:shd w:val="clear" w:color="auto" w:fill="auto"/>
                  <w:vAlign w:val="center"/>
                </w:tcPr>
                <w:p w14:paraId="474AD25F">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单次持续时间/</w:t>
                  </w:r>
                  <w:r>
                    <w:rPr>
                      <w:color w:val="0D0D0D" w:themeColor="text1" w:themeTint="F2"/>
                      <w:szCs w:val="21"/>
                      <w:u w:val="single"/>
                      <w14:textFill>
                        <w14:solidFill>
                          <w14:schemeClr w14:val="tx1">
                            <w14:lumMod w14:val="95000"/>
                            <w14:lumOff w14:val="5000"/>
                          </w14:schemeClr>
                        </w14:solidFill>
                      </w14:textFill>
                    </w:rPr>
                    <w:t>h</w:t>
                  </w:r>
                </w:p>
              </w:tc>
              <w:tc>
                <w:tcPr>
                  <w:tcW w:w="397" w:type="pct"/>
                  <w:shd w:val="clear" w:color="auto" w:fill="auto"/>
                  <w:vAlign w:val="center"/>
                </w:tcPr>
                <w:p w14:paraId="1C756FCA">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年发生频次/次</w:t>
                  </w:r>
                </w:p>
              </w:tc>
              <w:tc>
                <w:tcPr>
                  <w:tcW w:w="703" w:type="pct"/>
                  <w:shd w:val="clear" w:color="auto" w:fill="auto"/>
                  <w:vAlign w:val="center"/>
                </w:tcPr>
                <w:p w14:paraId="604E53B9">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应对措施</w:t>
                  </w:r>
                </w:p>
              </w:tc>
            </w:tr>
            <w:tr w14:paraId="24A08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7" w:type="pct"/>
                  <w:shd w:val="clear" w:color="auto" w:fill="auto"/>
                  <w:vAlign w:val="center"/>
                </w:tcPr>
                <w:p w14:paraId="53AF6F4F">
                  <w:pPr>
                    <w:jc w:val="center"/>
                    <w:rPr>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抛丸工序</w:t>
                  </w:r>
                </w:p>
              </w:tc>
              <w:tc>
                <w:tcPr>
                  <w:tcW w:w="1260" w:type="pct"/>
                  <w:shd w:val="clear" w:color="auto" w:fill="auto"/>
                  <w:vAlign w:val="center"/>
                </w:tcPr>
                <w:p w14:paraId="0C4E0D35">
                  <w:pP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电子脉冲滤芯式除尘器装置失效，处置效率为0</w:t>
                  </w:r>
                  <w:r>
                    <w:rPr>
                      <w:color w:val="0D0D0D" w:themeColor="text1" w:themeTint="F2"/>
                      <w:szCs w:val="21"/>
                      <w:u w:val="single"/>
                      <w14:textFill>
                        <w14:solidFill>
                          <w14:schemeClr w14:val="tx1">
                            <w14:lumMod w14:val="95000"/>
                            <w14:lumOff w14:val="5000"/>
                          </w14:schemeClr>
                        </w14:solidFill>
                      </w14:textFill>
                    </w:rPr>
                    <w:t>%</w:t>
                  </w:r>
                </w:p>
              </w:tc>
              <w:tc>
                <w:tcPr>
                  <w:tcW w:w="363" w:type="pct"/>
                  <w:shd w:val="clear" w:color="auto" w:fill="auto"/>
                  <w:vAlign w:val="center"/>
                </w:tcPr>
                <w:p w14:paraId="295D6620">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颗粒物</w:t>
                  </w:r>
                </w:p>
              </w:tc>
              <w:tc>
                <w:tcPr>
                  <w:tcW w:w="827" w:type="pct"/>
                  <w:shd w:val="clear" w:color="auto" w:fill="auto"/>
                  <w:vAlign w:val="center"/>
                </w:tcPr>
                <w:p w14:paraId="7F23921E">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11.29</w:t>
                  </w:r>
                </w:p>
              </w:tc>
              <w:tc>
                <w:tcPr>
                  <w:tcW w:w="714" w:type="pct"/>
                  <w:shd w:val="clear" w:color="auto" w:fill="auto"/>
                  <w:vAlign w:val="center"/>
                </w:tcPr>
                <w:p w14:paraId="12A98775">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0.429</w:t>
                  </w:r>
                </w:p>
              </w:tc>
              <w:tc>
                <w:tcPr>
                  <w:tcW w:w="410" w:type="pct"/>
                  <w:shd w:val="clear" w:color="auto" w:fill="auto"/>
                  <w:vAlign w:val="center"/>
                </w:tcPr>
                <w:p w14:paraId="0CBE3F0A">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w:t>
                  </w:r>
                </w:p>
              </w:tc>
              <w:tc>
                <w:tcPr>
                  <w:tcW w:w="397" w:type="pct"/>
                  <w:shd w:val="clear" w:color="auto" w:fill="auto"/>
                  <w:vAlign w:val="center"/>
                </w:tcPr>
                <w:p w14:paraId="79852A90">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1次</w:t>
                  </w:r>
                </w:p>
              </w:tc>
              <w:tc>
                <w:tcPr>
                  <w:tcW w:w="703" w:type="pct"/>
                  <w:vMerge w:val="restart"/>
                  <w:shd w:val="clear" w:color="auto" w:fill="auto"/>
                  <w:vAlign w:val="center"/>
                </w:tcPr>
                <w:p w14:paraId="04BEBE8B">
                  <w:pP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停止生产，对环保设备</w:t>
                  </w:r>
                  <w:r>
                    <w:rPr>
                      <w:color w:val="0D0D0D" w:themeColor="text1" w:themeTint="F2"/>
                      <w:szCs w:val="21"/>
                      <w:u w:val="single"/>
                      <w14:textFill>
                        <w14:solidFill>
                          <w14:schemeClr w14:val="tx1">
                            <w14:lumMod w14:val="95000"/>
                            <w14:lumOff w14:val="5000"/>
                          </w14:schemeClr>
                        </w14:solidFill>
                      </w14:textFill>
                    </w:rPr>
                    <w:t>进行检修</w:t>
                  </w:r>
                </w:p>
              </w:tc>
            </w:tr>
            <w:tr w14:paraId="05F5E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7" w:type="pct"/>
                  <w:vMerge w:val="restart"/>
                  <w:shd w:val="clear" w:color="auto" w:fill="auto"/>
                  <w:vAlign w:val="center"/>
                </w:tcPr>
                <w:p w14:paraId="6154F720">
                  <w:pPr>
                    <w:jc w:val="center"/>
                    <w:rPr>
                      <w:color w:val="0D0D0D" w:themeColor="text1" w:themeTint="F2"/>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喷漆房</w:t>
                  </w:r>
                </w:p>
              </w:tc>
              <w:tc>
                <w:tcPr>
                  <w:tcW w:w="1260" w:type="pct"/>
                  <w:vMerge w:val="restart"/>
                  <w:shd w:val="clear" w:color="auto" w:fill="auto"/>
                  <w:vAlign w:val="center"/>
                </w:tcPr>
                <w:p w14:paraId="13997C31">
                  <w:pP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水帘柜+二级活性炭吸附脱附+CO催化燃烧装置失效，处置效率为0</w:t>
                  </w:r>
                  <w:r>
                    <w:rPr>
                      <w:color w:val="0D0D0D" w:themeColor="text1" w:themeTint="F2"/>
                      <w:szCs w:val="21"/>
                      <w:u w:val="single"/>
                      <w14:textFill>
                        <w14:solidFill>
                          <w14:schemeClr w14:val="tx1">
                            <w14:lumMod w14:val="95000"/>
                            <w14:lumOff w14:val="5000"/>
                          </w14:schemeClr>
                        </w14:solidFill>
                      </w14:textFill>
                    </w:rPr>
                    <w:t>%</w:t>
                  </w:r>
                </w:p>
              </w:tc>
              <w:tc>
                <w:tcPr>
                  <w:tcW w:w="363" w:type="pct"/>
                  <w:shd w:val="clear" w:color="auto" w:fill="auto"/>
                  <w:vAlign w:val="center"/>
                </w:tcPr>
                <w:p w14:paraId="023E170E">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非甲烷总烃</w:t>
                  </w:r>
                </w:p>
              </w:tc>
              <w:tc>
                <w:tcPr>
                  <w:tcW w:w="827" w:type="pct"/>
                  <w:shd w:val="clear" w:color="auto" w:fill="auto"/>
                  <w:vAlign w:val="center"/>
                </w:tcPr>
                <w:p w14:paraId="230730DB">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18.69</w:t>
                  </w:r>
                </w:p>
              </w:tc>
              <w:tc>
                <w:tcPr>
                  <w:tcW w:w="714" w:type="pct"/>
                  <w:shd w:val="clear" w:color="auto" w:fill="auto"/>
                  <w:vAlign w:val="center"/>
                </w:tcPr>
                <w:p w14:paraId="65EA00F3">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0.654</w:t>
                  </w:r>
                </w:p>
              </w:tc>
              <w:tc>
                <w:tcPr>
                  <w:tcW w:w="410" w:type="pct"/>
                  <w:shd w:val="clear" w:color="auto" w:fill="auto"/>
                  <w:vAlign w:val="center"/>
                </w:tcPr>
                <w:p w14:paraId="5D334E61">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w:t>
                  </w:r>
                </w:p>
              </w:tc>
              <w:tc>
                <w:tcPr>
                  <w:tcW w:w="397" w:type="pct"/>
                  <w:shd w:val="clear" w:color="auto" w:fill="auto"/>
                  <w:vAlign w:val="center"/>
                </w:tcPr>
                <w:p w14:paraId="1452D2DB">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1次</w:t>
                  </w:r>
                </w:p>
              </w:tc>
              <w:tc>
                <w:tcPr>
                  <w:tcW w:w="703" w:type="pct"/>
                  <w:vMerge w:val="continue"/>
                  <w:shd w:val="clear" w:color="auto" w:fill="auto"/>
                  <w:vAlign w:val="center"/>
                </w:tcPr>
                <w:p w14:paraId="486FD973">
                  <w:pPr>
                    <w:jc w:val="center"/>
                    <w:rPr>
                      <w:color w:val="0D0D0D" w:themeColor="text1" w:themeTint="F2"/>
                      <w:szCs w:val="21"/>
                      <w:u w:val="single"/>
                      <w14:textFill>
                        <w14:solidFill>
                          <w14:schemeClr w14:val="tx1">
                            <w14:lumMod w14:val="95000"/>
                            <w14:lumOff w14:val="5000"/>
                          </w14:schemeClr>
                        </w14:solidFill>
                      </w14:textFill>
                    </w:rPr>
                  </w:pPr>
                </w:p>
              </w:tc>
            </w:tr>
            <w:tr w14:paraId="05F30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7" w:type="pct"/>
                  <w:vMerge w:val="continue"/>
                  <w:shd w:val="clear" w:color="auto" w:fill="auto"/>
                  <w:vAlign w:val="center"/>
                </w:tcPr>
                <w:p w14:paraId="0D36A6CA">
                  <w:pPr>
                    <w:jc w:val="center"/>
                    <w:rPr>
                      <w:rFonts w:cs="宋体"/>
                      <w:bCs/>
                      <w:color w:val="0D0D0D" w:themeColor="text1" w:themeTint="F2"/>
                      <w:spacing w:val="-10"/>
                      <w:szCs w:val="21"/>
                      <w:u w:val="single"/>
                      <w14:textFill>
                        <w14:solidFill>
                          <w14:schemeClr w14:val="tx1">
                            <w14:lumMod w14:val="95000"/>
                            <w14:lumOff w14:val="5000"/>
                          </w14:schemeClr>
                        </w14:solidFill>
                      </w14:textFill>
                    </w:rPr>
                  </w:pPr>
                </w:p>
              </w:tc>
              <w:tc>
                <w:tcPr>
                  <w:tcW w:w="1260" w:type="pct"/>
                  <w:vMerge w:val="continue"/>
                  <w:shd w:val="clear" w:color="auto" w:fill="auto"/>
                  <w:vAlign w:val="center"/>
                </w:tcPr>
                <w:p w14:paraId="04A95938">
                  <w:pPr>
                    <w:jc w:val="center"/>
                    <w:rPr>
                      <w:color w:val="0D0D0D" w:themeColor="text1" w:themeTint="F2"/>
                      <w:szCs w:val="21"/>
                      <w:u w:val="single"/>
                      <w14:textFill>
                        <w14:solidFill>
                          <w14:schemeClr w14:val="tx1">
                            <w14:lumMod w14:val="95000"/>
                            <w14:lumOff w14:val="5000"/>
                          </w14:schemeClr>
                        </w14:solidFill>
                      </w14:textFill>
                    </w:rPr>
                  </w:pPr>
                </w:p>
              </w:tc>
              <w:tc>
                <w:tcPr>
                  <w:tcW w:w="363" w:type="pct"/>
                  <w:shd w:val="clear" w:color="auto" w:fill="auto"/>
                  <w:vAlign w:val="center"/>
                </w:tcPr>
                <w:p w14:paraId="6FD077E8">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二甲苯</w:t>
                  </w:r>
                </w:p>
              </w:tc>
              <w:tc>
                <w:tcPr>
                  <w:tcW w:w="827" w:type="pct"/>
                  <w:shd w:val="clear" w:color="auto" w:fill="auto"/>
                  <w:vAlign w:val="center"/>
                </w:tcPr>
                <w:p w14:paraId="2B94F2D2">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14.51</w:t>
                  </w:r>
                </w:p>
              </w:tc>
              <w:tc>
                <w:tcPr>
                  <w:tcW w:w="714" w:type="pct"/>
                  <w:shd w:val="clear" w:color="auto" w:fill="auto"/>
                  <w:vAlign w:val="center"/>
                </w:tcPr>
                <w:p w14:paraId="0C343FBA">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0.508</w:t>
                  </w:r>
                </w:p>
              </w:tc>
              <w:tc>
                <w:tcPr>
                  <w:tcW w:w="410" w:type="pct"/>
                  <w:shd w:val="clear" w:color="auto" w:fill="auto"/>
                  <w:vAlign w:val="center"/>
                </w:tcPr>
                <w:p w14:paraId="4B7D8974">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w:t>
                  </w:r>
                </w:p>
              </w:tc>
              <w:tc>
                <w:tcPr>
                  <w:tcW w:w="397" w:type="pct"/>
                  <w:shd w:val="clear" w:color="auto" w:fill="auto"/>
                  <w:vAlign w:val="center"/>
                </w:tcPr>
                <w:p w14:paraId="2A0EFA8A">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1次</w:t>
                  </w:r>
                </w:p>
              </w:tc>
              <w:tc>
                <w:tcPr>
                  <w:tcW w:w="703" w:type="pct"/>
                  <w:vMerge w:val="continue"/>
                  <w:shd w:val="clear" w:color="auto" w:fill="auto"/>
                  <w:vAlign w:val="center"/>
                </w:tcPr>
                <w:p w14:paraId="1BAE39FB">
                  <w:pPr>
                    <w:jc w:val="center"/>
                    <w:rPr>
                      <w:color w:val="0D0D0D" w:themeColor="text1" w:themeTint="F2"/>
                      <w:szCs w:val="21"/>
                      <w:u w:val="single"/>
                      <w14:textFill>
                        <w14:solidFill>
                          <w14:schemeClr w14:val="tx1">
                            <w14:lumMod w14:val="95000"/>
                            <w14:lumOff w14:val="5000"/>
                          </w14:schemeClr>
                        </w14:solidFill>
                      </w14:textFill>
                    </w:rPr>
                  </w:pPr>
                </w:p>
              </w:tc>
            </w:tr>
            <w:tr w14:paraId="5386A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7" w:type="pct"/>
                  <w:vMerge w:val="continue"/>
                  <w:shd w:val="clear" w:color="auto" w:fill="auto"/>
                  <w:vAlign w:val="center"/>
                </w:tcPr>
                <w:p w14:paraId="4A1F4D0E">
                  <w:pPr>
                    <w:jc w:val="center"/>
                    <w:rPr>
                      <w:rFonts w:cs="宋体"/>
                      <w:bCs/>
                      <w:color w:val="0D0D0D" w:themeColor="text1" w:themeTint="F2"/>
                      <w:spacing w:val="-10"/>
                      <w:szCs w:val="21"/>
                      <w:u w:val="single"/>
                      <w14:textFill>
                        <w14:solidFill>
                          <w14:schemeClr w14:val="tx1">
                            <w14:lumMod w14:val="95000"/>
                            <w14:lumOff w14:val="5000"/>
                          </w14:schemeClr>
                        </w14:solidFill>
                      </w14:textFill>
                    </w:rPr>
                  </w:pPr>
                </w:p>
              </w:tc>
              <w:tc>
                <w:tcPr>
                  <w:tcW w:w="1260" w:type="pct"/>
                  <w:vMerge w:val="continue"/>
                  <w:shd w:val="clear" w:color="auto" w:fill="auto"/>
                  <w:vAlign w:val="center"/>
                </w:tcPr>
                <w:p w14:paraId="2DDBFB5D">
                  <w:pPr>
                    <w:jc w:val="center"/>
                    <w:rPr>
                      <w:color w:val="0D0D0D" w:themeColor="text1" w:themeTint="F2"/>
                      <w:szCs w:val="21"/>
                      <w:u w:val="single"/>
                      <w14:textFill>
                        <w14:solidFill>
                          <w14:schemeClr w14:val="tx1">
                            <w14:lumMod w14:val="95000"/>
                            <w14:lumOff w14:val="5000"/>
                          </w14:schemeClr>
                        </w14:solidFill>
                      </w14:textFill>
                    </w:rPr>
                  </w:pPr>
                </w:p>
              </w:tc>
              <w:tc>
                <w:tcPr>
                  <w:tcW w:w="363" w:type="pct"/>
                  <w:shd w:val="clear" w:color="auto" w:fill="auto"/>
                  <w:vAlign w:val="center"/>
                </w:tcPr>
                <w:p w14:paraId="6B46DA20">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颗粒物</w:t>
                  </w:r>
                </w:p>
              </w:tc>
              <w:tc>
                <w:tcPr>
                  <w:tcW w:w="827" w:type="pct"/>
                  <w:shd w:val="clear" w:color="auto" w:fill="auto"/>
                  <w:vAlign w:val="center"/>
                </w:tcPr>
                <w:p w14:paraId="182AF86F">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6.66</w:t>
                  </w:r>
                </w:p>
              </w:tc>
              <w:tc>
                <w:tcPr>
                  <w:tcW w:w="714" w:type="pct"/>
                  <w:shd w:val="clear" w:color="auto" w:fill="auto"/>
                  <w:vAlign w:val="center"/>
                </w:tcPr>
                <w:p w14:paraId="43898913">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0.233</w:t>
                  </w:r>
                </w:p>
              </w:tc>
              <w:tc>
                <w:tcPr>
                  <w:tcW w:w="410" w:type="pct"/>
                  <w:shd w:val="clear" w:color="auto" w:fill="auto"/>
                  <w:vAlign w:val="center"/>
                </w:tcPr>
                <w:p w14:paraId="0E5C7413">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w:t>
                  </w:r>
                </w:p>
              </w:tc>
              <w:tc>
                <w:tcPr>
                  <w:tcW w:w="397" w:type="pct"/>
                  <w:shd w:val="clear" w:color="auto" w:fill="auto"/>
                  <w:vAlign w:val="center"/>
                </w:tcPr>
                <w:p w14:paraId="0BDDAC09">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1次</w:t>
                  </w:r>
                </w:p>
              </w:tc>
              <w:tc>
                <w:tcPr>
                  <w:tcW w:w="703" w:type="pct"/>
                  <w:vMerge w:val="continue"/>
                  <w:shd w:val="clear" w:color="auto" w:fill="auto"/>
                  <w:vAlign w:val="center"/>
                </w:tcPr>
                <w:p w14:paraId="521D9269">
                  <w:pPr>
                    <w:jc w:val="center"/>
                    <w:rPr>
                      <w:color w:val="0D0D0D" w:themeColor="text1" w:themeTint="F2"/>
                      <w:szCs w:val="21"/>
                      <w:u w:val="single"/>
                      <w14:textFill>
                        <w14:solidFill>
                          <w14:schemeClr w14:val="tx1">
                            <w14:lumMod w14:val="95000"/>
                            <w14:lumOff w14:val="5000"/>
                          </w14:schemeClr>
                        </w14:solidFill>
                      </w14:textFill>
                    </w:rPr>
                  </w:pPr>
                </w:p>
              </w:tc>
            </w:tr>
          </w:tbl>
          <w:p w14:paraId="30F3C453">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为杜绝废气非正常排放，建设单位应加强污染治理措施管理，使废气处理设施处于良好的运行状态；对污染治理设施进行定期或不定期监测，发现异常，及时修复；为保证有机废气处理设施的处置效率，需按时更换活性炭。</w:t>
            </w:r>
          </w:p>
          <w:p w14:paraId="12BF6CFC">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5、大气环境影响分析</w:t>
            </w:r>
          </w:p>
          <w:p w14:paraId="0769971F">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项目运营期大气污染物主要为颗粒物、非甲烷总烃和二甲苯，根据上文分析可知，DA001颗粒物有组织排放浓度为0.56mg/m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，DA002非甲烷总烃有组织排放浓度为0.94mg/m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，二甲苯有组织排放浓度为0.71mg/m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，颗粒物有组织排放浓度为0.37mg/m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，满足《大气污染物综合排放标准》（GB16297-1996）二级标准浓度限值要求，对环境影响较小。</w:t>
            </w:r>
          </w:p>
          <w:p w14:paraId="78D746D7">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为了解项目生产过程中无组织废气的影响程度，采用《环境影响评价技术导则  大气环境》（HJ2.2-2018）中推荐的AERSCREEN模型进行估算与分析。输入参数详见表4-10和表4-11，估算结果详见表4-12。</w:t>
            </w:r>
          </w:p>
          <w:p w14:paraId="75C5AA5A">
            <w:pPr>
              <w:adjustRightInd w:val="0"/>
              <w:snapToGrid w:val="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表4-10  主要废气污染源参数一览表（矩形面源）</w:t>
            </w:r>
          </w:p>
          <w:tbl>
            <w:tblPr>
              <w:tblStyle w:val="21"/>
              <w:tblW w:w="5000" w:type="pct"/>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8" w:type="dxa"/>
                <w:bottom w:w="0" w:type="dxa"/>
                <w:right w:w="108" w:type="dxa"/>
              </w:tblCellMar>
            </w:tblPr>
            <w:tblGrid>
              <w:gridCol w:w="642"/>
              <w:gridCol w:w="1287"/>
              <w:gridCol w:w="1180"/>
              <w:gridCol w:w="747"/>
              <w:gridCol w:w="643"/>
              <w:gridCol w:w="643"/>
              <w:gridCol w:w="747"/>
              <w:gridCol w:w="862"/>
              <w:gridCol w:w="860"/>
              <w:gridCol w:w="855"/>
            </w:tblGrid>
            <w:tr w14:paraId="63B5F88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50" w:hRule="atLeast"/>
              </w:trPr>
              <w:tc>
                <w:tcPr>
                  <w:tcW w:w="379" w:type="pct"/>
                  <w:vMerge w:val="restart"/>
                  <w:vAlign w:val="center"/>
                </w:tcPr>
                <w:p w14:paraId="3B252F77">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污染源名称</w:t>
                  </w:r>
                </w:p>
              </w:tc>
              <w:tc>
                <w:tcPr>
                  <w:tcW w:w="1457" w:type="pct"/>
                  <w:gridSpan w:val="2"/>
                  <w:vAlign w:val="center"/>
                </w:tcPr>
                <w:p w14:paraId="1C9AA9F2">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坐标(°)</w:t>
                  </w:r>
                </w:p>
              </w:tc>
              <w:tc>
                <w:tcPr>
                  <w:tcW w:w="441" w:type="pct"/>
                  <w:vMerge w:val="restart"/>
                  <w:vAlign w:val="center"/>
                </w:tcPr>
                <w:p w14:paraId="747667DA">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海拔高度(m)</w:t>
                  </w:r>
                </w:p>
              </w:tc>
              <w:tc>
                <w:tcPr>
                  <w:tcW w:w="1201" w:type="pct"/>
                  <w:gridSpan w:val="3"/>
                  <w:vAlign w:val="center"/>
                </w:tcPr>
                <w:p w14:paraId="7D7B0636">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矩形面源</w:t>
                  </w:r>
                </w:p>
              </w:tc>
              <w:tc>
                <w:tcPr>
                  <w:tcW w:w="1523" w:type="pct"/>
                  <w:gridSpan w:val="3"/>
                  <w:vAlign w:val="center"/>
                </w:tcPr>
                <w:p w14:paraId="73AA34BC">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污染物排放速率(kg/h)</w:t>
                  </w:r>
                </w:p>
              </w:tc>
            </w:tr>
            <w:tr w14:paraId="7D42D4E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50" w:hRule="atLeast"/>
              </w:trPr>
              <w:tc>
                <w:tcPr>
                  <w:tcW w:w="379" w:type="pct"/>
                  <w:vMerge w:val="continue"/>
                  <w:vAlign w:val="center"/>
                </w:tcPr>
                <w:p w14:paraId="570BF9A1">
                  <w:pPr>
                    <w:jc w:val="center"/>
                    <w:rPr>
                      <w:color w:val="0D0D0D" w:themeColor="text1" w:themeTint="F2"/>
                      <w:szCs w:val="21"/>
                      <w:u w:val="single"/>
                      <w14:textFill>
                        <w14:solidFill>
                          <w14:schemeClr w14:val="tx1">
                            <w14:lumMod w14:val="95000"/>
                            <w14:lumOff w14:val="5000"/>
                          </w14:schemeClr>
                        </w14:solidFill>
                      </w14:textFill>
                    </w:rPr>
                  </w:pPr>
                </w:p>
              </w:tc>
              <w:tc>
                <w:tcPr>
                  <w:tcW w:w="760" w:type="pct"/>
                  <w:vAlign w:val="center"/>
                </w:tcPr>
                <w:p w14:paraId="0174843D">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经度</w:t>
                  </w:r>
                </w:p>
              </w:tc>
              <w:tc>
                <w:tcPr>
                  <w:tcW w:w="697" w:type="pct"/>
                  <w:vAlign w:val="center"/>
                </w:tcPr>
                <w:p w14:paraId="6E01B71A">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纬度</w:t>
                  </w:r>
                </w:p>
              </w:tc>
              <w:tc>
                <w:tcPr>
                  <w:tcW w:w="441" w:type="pct"/>
                  <w:vMerge w:val="continue"/>
                  <w:vAlign w:val="center"/>
                </w:tcPr>
                <w:p w14:paraId="52DA6153">
                  <w:pPr>
                    <w:jc w:val="center"/>
                    <w:rPr>
                      <w:color w:val="0D0D0D" w:themeColor="text1" w:themeTint="F2"/>
                      <w:szCs w:val="21"/>
                      <w:u w:val="single"/>
                      <w14:textFill>
                        <w14:solidFill>
                          <w14:schemeClr w14:val="tx1">
                            <w14:lumMod w14:val="95000"/>
                            <w14:lumOff w14:val="5000"/>
                          </w14:schemeClr>
                        </w14:solidFill>
                      </w14:textFill>
                    </w:rPr>
                  </w:pPr>
                </w:p>
              </w:tc>
              <w:tc>
                <w:tcPr>
                  <w:tcW w:w="380" w:type="pct"/>
                  <w:vAlign w:val="center"/>
                </w:tcPr>
                <w:p w14:paraId="1ED47C5B">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长度(m)</w:t>
                  </w:r>
                </w:p>
              </w:tc>
              <w:tc>
                <w:tcPr>
                  <w:tcW w:w="380" w:type="pct"/>
                  <w:vAlign w:val="center"/>
                </w:tcPr>
                <w:p w14:paraId="58B3624F">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宽度(m)</w:t>
                  </w:r>
                </w:p>
              </w:tc>
              <w:tc>
                <w:tcPr>
                  <w:tcW w:w="441" w:type="pct"/>
                  <w:vAlign w:val="center"/>
                </w:tcPr>
                <w:p w14:paraId="74CF53D4">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有效高度(m)</w:t>
                  </w:r>
                </w:p>
              </w:tc>
              <w:tc>
                <w:tcPr>
                  <w:tcW w:w="509" w:type="pct"/>
                  <w:vAlign w:val="center"/>
                </w:tcPr>
                <w:p w14:paraId="50CFD1C4">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NMHC</w:t>
                  </w:r>
                </w:p>
              </w:tc>
              <w:tc>
                <w:tcPr>
                  <w:tcW w:w="508" w:type="pct"/>
                  <w:vAlign w:val="center"/>
                </w:tcPr>
                <w:p w14:paraId="4FAF3FD1">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二甲苯</w:t>
                  </w:r>
                </w:p>
              </w:tc>
              <w:tc>
                <w:tcPr>
                  <w:tcW w:w="506" w:type="pct"/>
                  <w:vAlign w:val="center"/>
                </w:tcPr>
                <w:p w14:paraId="1130192F">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TSP</w:t>
                  </w:r>
                </w:p>
              </w:tc>
            </w:tr>
            <w:tr w14:paraId="303C457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850" w:hRule="atLeast"/>
              </w:trPr>
              <w:tc>
                <w:tcPr>
                  <w:tcW w:w="379" w:type="pct"/>
                  <w:vAlign w:val="center"/>
                </w:tcPr>
                <w:p w14:paraId="07EE5792">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生产车间</w:t>
                  </w:r>
                </w:p>
              </w:tc>
              <w:tc>
                <w:tcPr>
                  <w:tcW w:w="760" w:type="pct"/>
                  <w:vAlign w:val="center"/>
                </w:tcPr>
                <w:p w14:paraId="5DA2319C">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u w:val="single"/>
                      <w14:textFill>
                        <w14:solidFill>
                          <w14:schemeClr w14:val="tx1">
                            <w14:lumMod w14:val="95000"/>
                            <w14:lumOff w14:val="5000"/>
                          </w14:schemeClr>
                        </w14:solidFill>
                      </w14:textFill>
                    </w:rPr>
                    <w:t>108.622811</w:t>
                  </w:r>
                </w:p>
              </w:tc>
              <w:tc>
                <w:tcPr>
                  <w:tcW w:w="697" w:type="pct"/>
                  <w:vAlign w:val="center"/>
                </w:tcPr>
                <w:p w14:paraId="32562901">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u w:val="single"/>
                      <w14:textFill>
                        <w14:solidFill>
                          <w14:schemeClr w14:val="tx1">
                            <w14:lumMod w14:val="95000"/>
                            <w14:lumOff w14:val="5000"/>
                          </w14:schemeClr>
                        </w14:solidFill>
                      </w14:textFill>
                    </w:rPr>
                    <w:t>21.710297</w:t>
                  </w:r>
                </w:p>
              </w:tc>
              <w:tc>
                <w:tcPr>
                  <w:tcW w:w="441" w:type="pct"/>
                  <w:vAlign w:val="center"/>
                </w:tcPr>
                <w:p w14:paraId="2E6FE474">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w:t>
                  </w:r>
                </w:p>
              </w:tc>
              <w:tc>
                <w:tcPr>
                  <w:tcW w:w="380" w:type="pct"/>
                  <w:vAlign w:val="center"/>
                </w:tcPr>
                <w:p w14:paraId="159C0EDC">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110</w:t>
                  </w:r>
                </w:p>
              </w:tc>
              <w:tc>
                <w:tcPr>
                  <w:tcW w:w="380" w:type="pct"/>
                  <w:vAlign w:val="center"/>
                </w:tcPr>
                <w:p w14:paraId="1EF2C3CC">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25</w:t>
                  </w:r>
                </w:p>
              </w:tc>
              <w:tc>
                <w:tcPr>
                  <w:tcW w:w="441" w:type="pct"/>
                  <w:vAlign w:val="center"/>
                </w:tcPr>
                <w:p w14:paraId="624E3396">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1</w:t>
                  </w:r>
                  <w:r>
                    <w:rPr>
                      <w:rFonts w:hint="eastAsia"/>
                      <w:color w:val="0D0D0D" w:themeColor="text1" w:themeTint="F2"/>
                      <w:szCs w:val="21"/>
                      <w:u w:val="single"/>
                      <w14:textFill>
                        <w14:solidFill>
                          <w14:schemeClr w14:val="tx1">
                            <w14:lumMod w14:val="95000"/>
                            <w14:lumOff w14:val="5000"/>
                          </w14:schemeClr>
                        </w14:solidFill>
                      </w14:textFill>
                    </w:rPr>
                    <w:t>4</w:t>
                  </w:r>
                </w:p>
              </w:tc>
              <w:tc>
                <w:tcPr>
                  <w:tcW w:w="509" w:type="pct"/>
                  <w:vAlign w:val="center"/>
                </w:tcPr>
                <w:p w14:paraId="6D1DF075">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0.033</w:t>
                  </w:r>
                </w:p>
              </w:tc>
              <w:tc>
                <w:tcPr>
                  <w:tcW w:w="508" w:type="pct"/>
                  <w:vAlign w:val="center"/>
                </w:tcPr>
                <w:p w14:paraId="309EB915">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0.025</w:t>
                  </w:r>
                </w:p>
              </w:tc>
              <w:tc>
                <w:tcPr>
                  <w:tcW w:w="506" w:type="pct"/>
                  <w:vAlign w:val="center"/>
                </w:tcPr>
                <w:p w14:paraId="542F28C7">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0.059</w:t>
                  </w:r>
                </w:p>
              </w:tc>
            </w:tr>
          </w:tbl>
          <w:p w14:paraId="1340D027">
            <w:pPr>
              <w:adjustRightInd w:val="0"/>
              <w:snapToGrid w:val="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表4-11  估算模型参数表</w:t>
            </w:r>
          </w:p>
          <w:tbl>
            <w:tblPr>
              <w:tblStyle w:val="21"/>
              <w:tblW w:w="8527" w:type="dxa"/>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8" w:type="dxa"/>
                <w:bottom w:w="0" w:type="dxa"/>
                <w:right w:w="108" w:type="dxa"/>
              </w:tblCellMar>
            </w:tblPr>
            <w:tblGrid>
              <w:gridCol w:w="1915"/>
              <w:gridCol w:w="2337"/>
              <w:gridCol w:w="4275"/>
            </w:tblGrid>
            <w:tr w14:paraId="074CAE0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0" w:type="dxa"/>
                  <w:gridSpan w:val="2"/>
                  <w:vAlign w:val="center"/>
                </w:tcPr>
                <w:p w14:paraId="0162B815">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参数</w:t>
                  </w:r>
                </w:p>
              </w:tc>
              <w:tc>
                <w:tcPr>
                  <w:tcW w:w="0" w:type="dxa"/>
                  <w:vAlign w:val="center"/>
                </w:tcPr>
                <w:p w14:paraId="433C9C80">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取值</w:t>
                  </w:r>
                </w:p>
              </w:tc>
            </w:tr>
            <w:tr w14:paraId="1CB7CEC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0" w:type="dxa"/>
                  <w:vMerge w:val="restart"/>
                  <w:vAlign w:val="center"/>
                </w:tcPr>
                <w:p w14:paraId="23BDD59B">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城市/农村选项</w:t>
                  </w:r>
                </w:p>
              </w:tc>
              <w:tc>
                <w:tcPr>
                  <w:tcW w:w="0" w:type="dxa"/>
                  <w:vAlign w:val="center"/>
                </w:tcPr>
                <w:p w14:paraId="44B86D94">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城市/农村</w:t>
                  </w:r>
                </w:p>
              </w:tc>
              <w:tc>
                <w:tcPr>
                  <w:tcW w:w="0" w:type="dxa"/>
                  <w:vAlign w:val="center"/>
                </w:tcPr>
                <w:p w14:paraId="7250B189">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城市</w:t>
                  </w:r>
                </w:p>
              </w:tc>
            </w:tr>
            <w:tr w14:paraId="5693895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0" w:type="dxa"/>
                  <w:vMerge w:val="continue"/>
                  <w:vAlign w:val="center"/>
                </w:tcPr>
                <w:p w14:paraId="528390DD">
                  <w:pPr>
                    <w:jc w:val="center"/>
                    <w:rPr>
                      <w:color w:val="0D0D0D" w:themeColor="text1" w:themeTint="F2"/>
                      <w:szCs w:val="21"/>
                      <w14:textFill>
                        <w14:solidFill>
                          <w14:schemeClr w14:val="tx1">
                            <w14:lumMod w14:val="95000"/>
                            <w14:lumOff w14:val="5000"/>
                          </w14:schemeClr>
                        </w14:solidFill>
                      </w14:textFill>
                    </w:rPr>
                  </w:pPr>
                </w:p>
              </w:tc>
              <w:tc>
                <w:tcPr>
                  <w:tcW w:w="0" w:type="dxa"/>
                  <w:vAlign w:val="center"/>
                </w:tcPr>
                <w:p w14:paraId="1C594475">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人口数(城市人口数)</w:t>
                  </w:r>
                </w:p>
              </w:tc>
              <w:tc>
                <w:tcPr>
                  <w:tcW w:w="0" w:type="dxa"/>
                  <w:vAlign w:val="center"/>
                </w:tcPr>
                <w:p w14:paraId="27A3EBA3">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3316300</w:t>
                  </w:r>
                </w:p>
              </w:tc>
            </w:tr>
            <w:tr w14:paraId="77286C5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0" w:type="dxa"/>
                  <w:gridSpan w:val="2"/>
                  <w:vAlign w:val="center"/>
                </w:tcPr>
                <w:p w14:paraId="75094A49">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最高环境温度</w:t>
                  </w:r>
                </w:p>
              </w:tc>
              <w:tc>
                <w:tcPr>
                  <w:tcW w:w="0" w:type="dxa"/>
                  <w:vAlign w:val="center"/>
                </w:tcPr>
                <w:p w14:paraId="0073D7BF">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37.8</w:t>
                  </w:r>
                </w:p>
              </w:tc>
            </w:tr>
            <w:tr w14:paraId="68B770F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0" w:type="dxa"/>
                  <w:gridSpan w:val="2"/>
                  <w:vAlign w:val="center"/>
                </w:tcPr>
                <w:p w14:paraId="64D20B8B">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最低环境温度</w:t>
                  </w:r>
                </w:p>
              </w:tc>
              <w:tc>
                <w:tcPr>
                  <w:tcW w:w="0" w:type="dxa"/>
                  <w:vAlign w:val="center"/>
                </w:tcPr>
                <w:p w14:paraId="6911BE1E">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1.4</w:t>
                  </w:r>
                </w:p>
              </w:tc>
            </w:tr>
            <w:tr w14:paraId="36FCDE9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0" w:type="dxa"/>
                  <w:gridSpan w:val="2"/>
                  <w:vAlign w:val="center"/>
                </w:tcPr>
                <w:p w14:paraId="6074CAE7">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土地利用类型</w:t>
                  </w:r>
                </w:p>
              </w:tc>
              <w:tc>
                <w:tcPr>
                  <w:tcW w:w="0" w:type="dxa"/>
                  <w:vAlign w:val="center"/>
                </w:tcPr>
                <w:p w14:paraId="7B98FBB2">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城市</w:t>
                  </w:r>
                </w:p>
              </w:tc>
            </w:tr>
            <w:tr w14:paraId="79DEA82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0" w:type="dxa"/>
                  <w:gridSpan w:val="2"/>
                  <w:vAlign w:val="center"/>
                </w:tcPr>
                <w:p w14:paraId="1DF320BE">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区域湿度条件</w:t>
                  </w:r>
                </w:p>
              </w:tc>
              <w:tc>
                <w:tcPr>
                  <w:tcW w:w="0" w:type="dxa"/>
                  <w:vAlign w:val="center"/>
                </w:tcPr>
                <w:p w14:paraId="133BD81E">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潮湿</w:t>
                  </w:r>
                </w:p>
              </w:tc>
            </w:tr>
            <w:tr w14:paraId="6AD3A9F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0" w:type="dxa"/>
                  <w:vMerge w:val="restart"/>
                  <w:vAlign w:val="center"/>
                </w:tcPr>
                <w:p w14:paraId="6DE4BA6D">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是否考虑地形</w:t>
                  </w:r>
                </w:p>
              </w:tc>
              <w:tc>
                <w:tcPr>
                  <w:tcW w:w="0" w:type="dxa"/>
                  <w:vAlign w:val="center"/>
                </w:tcPr>
                <w:p w14:paraId="7AD0C987">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考虑地形</w:t>
                  </w:r>
                </w:p>
              </w:tc>
              <w:tc>
                <w:tcPr>
                  <w:tcW w:w="0" w:type="dxa"/>
                  <w:vAlign w:val="center"/>
                </w:tcPr>
                <w:p w14:paraId="36D02978">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否</w:t>
                  </w:r>
                </w:p>
              </w:tc>
            </w:tr>
            <w:tr w14:paraId="1EE5EAE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0" w:type="dxa"/>
                  <w:vMerge w:val="continue"/>
                  <w:vAlign w:val="center"/>
                </w:tcPr>
                <w:p w14:paraId="552BA272">
                  <w:pPr>
                    <w:jc w:val="center"/>
                    <w:rPr>
                      <w:color w:val="0D0D0D" w:themeColor="text1" w:themeTint="F2"/>
                      <w:szCs w:val="21"/>
                      <w14:textFill>
                        <w14:solidFill>
                          <w14:schemeClr w14:val="tx1">
                            <w14:lumMod w14:val="95000"/>
                            <w14:lumOff w14:val="5000"/>
                          </w14:schemeClr>
                        </w14:solidFill>
                      </w14:textFill>
                    </w:rPr>
                  </w:pPr>
                </w:p>
              </w:tc>
              <w:tc>
                <w:tcPr>
                  <w:tcW w:w="0" w:type="dxa"/>
                  <w:vAlign w:val="center"/>
                </w:tcPr>
                <w:p w14:paraId="0603E13C">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地形数据分辨率(m)</w:t>
                  </w:r>
                </w:p>
              </w:tc>
              <w:tc>
                <w:tcPr>
                  <w:tcW w:w="0" w:type="dxa"/>
                  <w:vAlign w:val="center"/>
                </w:tcPr>
                <w:p w14:paraId="5DE46AE6">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w:t>
                  </w:r>
                </w:p>
              </w:tc>
            </w:tr>
            <w:tr w14:paraId="0A6E90E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0" w:type="dxa"/>
                  <w:vMerge w:val="restart"/>
                  <w:vAlign w:val="center"/>
                </w:tcPr>
                <w:p w14:paraId="757232C1">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是否考虑岸线熏烟</w:t>
                  </w:r>
                </w:p>
              </w:tc>
              <w:tc>
                <w:tcPr>
                  <w:tcW w:w="0" w:type="dxa"/>
                  <w:vAlign w:val="center"/>
                </w:tcPr>
                <w:p w14:paraId="3911F9D8">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考虑岸线熏烟</w:t>
                  </w:r>
                </w:p>
              </w:tc>
              <w:tc>
                <w:tcPr>
                  <w:tcW w:w="0" w:type="dxa"/>
                  <w:vAlign w:val="center"/>
                </w:tcPr>
                <w:p w14:paraId="01AAA452">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否</w:t>
                  </w:r>
                </w:p>
              </w:tc>
            </w:tr>
            <w:tr w14:paraId="5B0E299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0" w:type="dxa"/>
                  <w:vMerge w:val="continue"/>
                  <w:vAlign w:val="center"/>
                </w:tcPr>
                <w:p w14:paraId="4EB95006">
                  <w:pPr>
                    <w:jc w:val="center"/>
                    <w:rPr>
                      <w:color w:val="0D0D0D" w:themeColor="text1" w:themeTint="F2"/>
                      <w:szCs w:val="21"/>
                      <w14:textFill>
                        <w14:solidFill>
                          <w14:schemeClr w14:val="tx1">
                            <w14:lumMod w14:val="95000"/>
                            <w14:lumOff w14:val="5000"/>
                          </w14:schemeClr>
                        </w14:solidFill>
                      </w14:textFill>
                    </w:rPr>
                  </w:pPr>
                </w:p>
              </w:tc>
              <w:tc>
                <w:tcPr>
                  <w:tcW w:w="0" w:type="dxa"/>
                  <w:vAlign w:val="center"/>
                </w:tcPr>
                <w:p w14:paraId="363FD4CE">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岸线距离/m</w:t>
                  </w:r>
                </w:p>
              </w:tc>
              <w:tc>
                <w:tcPr>
                  <w:tcW w:w="0" w:type="dxa"/>
                  <w:vAlign w:val="center"/>
                </w:tcPr>
                <w:p w14:paraId="49D3BD33">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w:t>
                  </w:r>
                </w:p>
              </w:tc>
            </w:tr>
            <w:tr w14:paraId="5A52818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0" w:type="dxa"/>
                  <w:vMerge w:val="continue"/>
                  <w:vAlign w:val="center"/>
                </w:tcPr>
                <w:p w14:paraId="495F4EF1">
                  <w:pPr>
                    <w:jc w:val="center"/>
                    <w:rPr>
                      <w:color w:val="0D0D0D" w:themeColor="text1" w:themeTint="F2"/>
                      <w:szCs w:val="21"/>
                      <w14:textFill>
                        <w14:solidFill>
                          <w14:schemeClr w14:val="tx1">
                            <w14:lumMod w14:val="95000"/>
                            <w14:lumOff w14:val="5000"/>
                          </w14:schemeClr>
                        </w14:solidFill>
                      </w14:textFill>
                    </w:rPr>
                  </w:pPr>
                </w:p>
              </w:tc>
              <w:tc>
                <w:tcPr>
                  <w:tcW w:w="0" w:type="dxa"/>
                  <w:vAlign w:val="center"/>
                </w:tcPr>
                <w:p w14:paraId="68644465">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岸线方向/°</w:t>
                  </w:r>
                </w:p>
              </w:tc>
              <w:tc>
                <w:tcPr>
                  <w:tcW w:w="0" w:type="dxa"/>
                  <w:vAlign w:val="center"/>
                </w:tcPr>
                <w:p w14:paraId="69A0D684">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w:t>
                  </w:r>
                </w:p>
              </w:tc>
            </w:tr>
          </w:tbl>
          <w:p w14:paraId="13DAE00F">
            <w:pPr>
              <w:adjustRightInd w:val="0"/>
              <w:snapToGrid w:val="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表4-12  估算结果一览表</w:t>
            </w:r>
          </w:p>
          <w:tbl>
            <w:tblPr>
              <w:tblStyle w:val="21"/>
              <w:tblW w:w="5000" w:type="pct"/>
              <w:tblInd w:w="0" w:type="dxa"/>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8" w:type="dxa"/>
                <w:bottom w:w="0" w:type="dxa"/>
                <w:right w:w="108" w:type="dxa"/>
              </w:tblCellMar>
            </w:tblPr>
            <w:tblGrid>
              <w:gridCol w:w="1378"/>
              <w:gridCol w:w="1431"/>
              <w:gridCol w:w="992"/>
              <w:gridCol w:w="1390"/>
              <w:gridCol w:w="955"/>
              <w:gridCol w:w="1344"/>
              <w:gridCol w:w="976"/>
            </w:tblGrid>
            <w:tr w14:paraId="7FE484D8">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814" w:type="pct"/>
                  <w:vMerge w:val="restart"/>
                  <w:vAlign w:val="center"/>
                </w:tcPr>
                <w:p w14:paraId="4ED257CB">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下风向距离</w:t>
                  </w:r>
                </w:p>
              </w:tc>
              <w:tc>
                <w:tcPr>
                  <w:tcW w:w="4186" w:type="pct"/>
                  <w:gridSpan w:val="6"/>
                  <w:vAlign w:val="center"/>
                </w:tcPr>
                <w:p w14:paraId="767EF75C">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生产</w:t>
                  </w:r>
                  <w:r>
                    <w:rPr>
                      <w:color w:val="0D0D0D" w:themeColor="text1" w:themeTint="F2"/>
                      <w:szCs w:val="21"/>
                      <w:u w:val="single"/>
                      <w14:textFill>
                        <w14:solidFill>
                          <w14:schemeClr w14:val="tx1">
                            <w14:lumMod w14:val="95000"/>
                            <w14:lumOff w14:val="5000"/>
                          </w14:schemeClr>
                        </w14:solidFill>
                      </w14:textFill>
                    </w:rPr>
                    <w:t>车间</w:t>
                  </w:r>
                </w:p>
              </w:tc>
            </w:tr>
            <w:tr w14:paraId="4AFA3B59">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814" w:type="pct"/>
                  <w:vMerge w:val="continue"/>
                  <w:vAlign w:val="center"/>
                </w:tcPr>
                <w:p w14:paraId="7CC95F8E">
                  <w:pPr>
                    <w:jc w:val="center"/>
                    <w:rPr>
                      <w:color w:val="0D0D0D" w:themeColor="text1" w:themeTint="F2"/>
                      <w:szCs w:val="21"/>
                      <w:u w:val="single"/>
                      <w14:textFill>
                        <w14:solidFill>
                          <w14:schemeClr w14:val="tx1">
                            <w14:lumMod w14:val="95000"/>
                            <w14:lumOff w14:val="5000"/>
                          </w14:schemeClr>
                        </w14:solidFill>
                      </w14:textFill>
                    </w:rPr>
                  </w:pPr>
                </w:p>
              </w:tc>
              <w:tc>
                <w:tcPr>
                  <w:tcW w:w="845" w:type="pct"/>
                  <w:vAlign w:val="center"/>
                </w:tcPr>
                <w:p w14:paraId="5463CBFC">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NMHC浓度(μg/m</w:t>
                  </w:r>
                  <w:r>
                    <w:rPr>
                      <w:rFonts w:hint="eastAsia"/>
                      <w:color w:val="0D0D0D" w:themeColor="text1" w:themeTint="F2"/>
                      <w:szCs w:val="21"/>
                      <w:u w:val="single"/>
                      <w:vertAlign w:val="superscript"/>
                      <w14:textFill>
                        <w14:solidFill>
                          <w14:schemeClr w14:val="tx1">
                            <w14:lumMod w14:val="95000"/>
                            <w14:lumOff w14:val="5000"/>
                          </w14:schemeClr>
                        </w14:solidFill>
                      </w14:textFill>
                    </w:rPr>
                    <w:t>3</w:t>
                  </w:r>
                  <w:r>
                    <w:rPr>
                      <w:color w:val="0D0D0D" w:themeColor="text1" w:themeTint="F2"/>
                      <w:szCs w:val="21"/>
                      <w:u w:val="single"/>
                      <w14:textFill>
                        <w14:solidFill>
                          <w14:schemeClr w14:val="tx1">
                            <w14:lumMod w14:val="95000"/>
                            <w14:lumOff w14:val="5000"/>
                          </w14:schemeClr>
                        </w14:solidFill>
                      </w14:textFill>
                    </w:rPr>
                    <w:t>)</w:t>
                  </w:r>
                </w:p>
              </w:tc>
              <w:tc>
                <w:tcPr>
                  <w:tcW w:w="586" w:type="pct"/>
                  <w:vAlign w:val="center"/>
                </w:tcPr>
                <w:p w14:paraId="13957710">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NMHC占标率(%)</w:t>
                  </w:r>
                </w:p>
              </w:tc>
              <w:tc>
                <w:tcPr>
                  <w:tcW w:w="821" w:type="pct"/>
                  <w:vAlign w:val="center"/>
                </w:tcPr>
                <w:p w14:paraId="68056598">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二甲苯</w:t>
                  </w:r>
                  <w:r>
                    <w:rPr>
                      <w:color w:val="0D0D0D" w:themeColor="text1" w:themeTint="F2"/>
                      <w:szCs w:val="21"/>
                      <w:u w:val="single"/>
                      <w14:textFill>
                        <w14:solidFill>
                          <w14:schemeClr w14:val="tx1">
                            <w14:lumMod w14:val="95000"/>
                            <w14:lumOff w14:val="5000"/>
                          </w14:schemeClr>
                        </w14:solidFill>
                      </w14:textFill>
                    </w:rPr>
                    <w:t>浓度(μg/m</w:t>
                  </w:r>
                  <w:r>
                    <w:rPr>
                      <w:rFonts w:hint="eastAsia"/>
                      <w:color w:val="0D0D0D" w:themeColor="text1" w:themeTint="F2"/>
                      <w:szCs w:val="21"/>
                      <w:u w:val="single"/>
                      <w:vertAlign w:val="superscript"/>
                      <w14:textFill>
                        <w14:solidFill>
                          <w14:schemeClr w14:val="tx1">
                            <w14:lumMod w14:val="95000"/>
                            <w14:lumOff w14:val="5000"/>
                          </w14:schemeClr>
                        </w14:solidFill>
                      </w14:textFill>
                    </w:rPr>
                    <w:t>3</w:t>
                  </w:r>
                  <w:r>
                    <w:rPr>
                      <w:color w:val="0D0D0D" w:themeColor="text1" w:themeTint="F2"/>
                      <w:szCs w:val="21"/>
                      <w:u w:val="single"/>
                      <w14:textFill>
                        <w14:solidFill>
                          <w14:schemeClr w14:val="tx1">
                            <w14:lumMod w14:val="95000"/>
                            <w14:lumOff w14:val="5000"/>
                          </w14:schemeClr>
                        </w14:solidFill>
                      </w14:textFill>
                    </w:rPr>
                    <w:t>)</w:t>
                  </w:r>
                </w:p>
              </w:tc>
              <w:tc>
                <w:tcPr>
                  <w:tcW w:w="564" w:type="pct"/>
                  <w:vAlign w:val="center"/>
                </w:tcPr>
                <w:p w14:paraId="32176EAE">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二甲苯</w:t>
                  </w:r>
                  <w:r>
                    <w:rPr>
                      <w:color w:val="0D0D0D" w:themeColor="text1" w:themeTint="F2"/>
                      <w:szCs w:val="21"/>
                      <w:u w:val="single"/>
                      <w14:textFill>
                        <w14:solidFill>
                          <w14:schemeClr w14:val="tx1">
                            <w14:lumMod w14:val="95000"/>
                            <w14:lumOff w14:val="5000"/>
                          </w14:schemeClr>
                        </w14:solidFill>
                      </w14:textFill>
                    </w:rPr>
                    <w:t>占标率(%)</w:t>
                  </w:r>
                </w:p>
              </w:tc>
              <w:tc>
                <w:tcPr>
                  <w:tcW w:w="794" w:type="pct"/>
                  <w:vAlign w:val="center"/>
                </w:tcPr>
                <w:p w14:paraId="47FDE9B8">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TSP</w:t>
                  </w:r>
                  <w:r>
                    <w:rPr>
                      <w:color w:val="0D0D0D" w:themeColor="text1" w:themeTint="F2"/>
                      <w:szCs w:val="21"/>
                      <w:u w:val="single"/>
                      <w14:textFill>
                        <w14:solidFill>
                          <w14:schemeClr w14:val="tx1">
                            <w14:lumMod w14:val="95000"/>
                            <w14:lumOff w14:val="5000"/>
                          </w14:schemeClr>
                        </w14:solidFill>
                      </w14:textFill>
                    </w:rPr>
                    <w:t>浓度(μg/m</w:t>
                  </w:r>
                  <w:r>
                    <w:rPr>
                      <w:rFonts w:hint="eastAsia"/>
                      <w:color w:val="0D0D0D" w:themeColor="text1" w:themeTint="F2"/>
                      <w:szCs w:val="21"/>
                      <w:u w:val="single"/>
                      <w:vertAlign w:val="superscript"/>
                      <w14:textFill>
                        <w14:solidFill>
                          <w14:schemeClr w14:val="tx1">
                            <w14:lumMod w14:val="95000"/>
                            <w14:lumOff w14:val="5000"/>
                          </w14:schemeClr>
                        </w14:solidFill>
                      </w14:textFill>
                    </w:rPr>
                    <w:t>3</w:t>
                  </w:r>
                  <w:r>
                    <w:rPr>
                      <w:color w:val="0D0D0D" w:themeColor="text1" w:themeTint="F2"/>
                      <w:szCs w:val="21"/>
                      <w:u w:val="single"/>
                      <w14:textFill>
                        <w14:solidFill>
                          <w14:schemeClr w14:val="tx1">
                            <w14:lumMod w14:val="95000"/>
                            <w14:lumOff w14:val="5000"/>
                          </w14:schemeClr>
                        </w14:solidFill>
                      </w14:textFill>
                    </w:rPr>
                    <w:t>)</w:t>
                  </w:r>
                </w:p>
              </w:tc>
              <w:tc>
                <w:tcPr>
                  <w:tcW w:w="576" w:type="pct"/>
                  <w:vAlign w:val="center"/>
                </w:tcPr>
                <w:p w14:paraId="72FC0FE2">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TSP</w:t>
                  </w:r>
                  <w:r>
                    <w:rPr>
                      <w:color w:val="0D0D0D" w:themeColor="text1" w:themeTint="F2"/>
                      <w:szCs w:val="21"/>
                      <w:u w:val="single"/>
                      <w14:textFill>
                        <w14:solidFill>
                          <w14:schemeClr w14:val="tx1">
                            <w14:lumMod w14:val="95000"/>
                            <w14:lumOff w14:val="5000"/>
                          </w14:schemeClr>
                        </w14:solidFill>
                      </w14:textFill>
                    </w:rPr>
                    <w:t>占标率(%)</w:t>
                  </w:r>
                </w:p>
              </w:tc>
            </w:tr>
            <w:tr w14:paraId="4B696AB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814" w:type="pct"/>
                  <w:vAlign w:val="center"/>
                </w:tcPr>
                <w:p w14:paraId="7CC3B50C">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50</w:t>
                  </w:r>
                </w:p>
              </w:tc>
              <w:tc>
                <w:tcPr>
                  <w:tcW w:w="845" w:type="pct"/>
                  <w:vAlign w:val="center"/>
                </w:tcPr>
                <w:p w14:paraId="7B0586E4">
                  <w:pPr>
                    <w:jc w:val="center"/>
                    <w:rPr>
                      <w:color w:val="0D0D0D" w:themeColor="text1" w:themeTint="F2"/>
                      <w:szCs w:val="21"/>
                      <w:u w:val="single"/>
                      <w14:textFill>
                        <w14:solidFill>
                          <w14:schemeClr w14:val="tx1">
                            <w14:lumMod w14:val="95000"/>
                            <w14:lumOff w14:val="5000"/>
                          </w14:schemeClr>
                        </w14:solidFill>
                      </w14:textFill>
                    </w:rPr>
                  </w:pPr>
                  <w:r>
                    <w:rPr>
                      <w:szCs w:val="21"/>
                    </w:rPr>
                    <w:t>10.616492</w:t>
                  </w:r>
                </w:p>
              </w:tc>
              <w:tc>
                <w:tcPr>
                  <w:tcW w:w="586" w:type="pct"/>
                  <w:vAlign w:val="center"/>
                </w:tcPr>
                <w:p w14:paraId="1E14CAA6">
                  <w:pPr>
                    <w:jc w:val="center"/>
                    <w:rPr>
                      <w:color w:val="0D0D0D" w:themeColor="text1" w:themeTint="F2"/>
                      <w:szCs w:val="21"/>
                      <w:u w:val="single"/>
                      <w14:textFill>
                        <w14:solidFill>
                          <w14:schemeClr w14:val="tx1">
                            <w14:lumMod w14:val="95000"/>
                            <w14:lumOff w14:val="5000"/>
                          </w14:schemeClr>
                        </w14:solidFill>
                      </w14:textFill>
                    </w:rPr>
                  </w:pPr>
                  <w:r>
                    <w:rPr>
                      <w:szCs w:val="21"/>
                    </w:rPr>
                    <w:t>0.53</w:t>
                  </w:r>
                </w:p>
              </w:tc>
              <w:tc>
                <w:tcPr>
                  <w:tcW w:w="821" w:type="pct"/>
                  <w:vAlign w:val="center"/>
                </w:tcPr>
                <w:p w14:paraId="1EAEF27C">
                  <w:pPr>
                    <w:jc w:val="center"/>
                    <w:rPr>
                      <w:color w:val="0D0D0D" w:themeColor="text1" w:themeTint="F2"/>
                      <w:szCs w:val="21"/>
                      <w:u w:val="single"/>
                      <w14:textFill>
                        <w14:solidFill>
                          <w14:schemeClr w14:val="tx1">
                            <w14:lumMod w14:val="95000"/>
                            <w14:lumOff w14:val="5000"/>
                          </w14:schemeClr>
                        </w14:solidFill>
                      </w14:textFill>
                    </w:rPr>
                  </w:pPr>
                  <w:r>
                    <w:rPr>
                      <w:szCs w:val="21"/>
                    </w:rPr>
                    <w:t>8.042797</w:t>
                  </w:r>
                </w:p>
              </w:tc>
              <w:tc>
                <w:tcPr>
                  <w:tcW w:w="564" w:type="pct"/>
                  <w:vAlign w:val="center"/>
                </w:tcPr>
                <w:p w14:paraId="38995105">
                  <w:pPr>
                    <w:jc w:val="center"/>
                    <w:rPr>
                      <w:color w:val="0D0D0D" w:themeColor="text1" w:themeTint="F2"/>
                      <w:szCs w:val="21"/>
                      <w:u w:val="single"/>
                      <w14:textFill>
                        <w14:solidFill>
                          <w14:schemeClr w14:val="tx1">
                            <w14:lumMod w14:val="95000"/>
                            <w14:lumOff w14:val="5000"/>
                          </w14:schemeClr>
                        </w14:solidFill>
                      </w14:textFill>
                    </w:rPr>
                  </w:pPr>
                  <w:r>
                    <w:rPr>
                      <w:szCs w:val="21"/>
                    </w:rPr>
                    <w:t>4.02</w:t>
                  </w:r>
                </w:p>
              </w:tc>
              <w:tc>
                <w:tcPr>
                  <w:tcW w:w="794" w:type="pct"/>
                  <w:vAlign w:val="center"/>
                </w:tcPr>
                <w:p w14:paraId="6CC5FBB7">
                  <w:pPr>
                    <w:jc w:val="center"/>
                    <w:rPr>
                      <w:color w:val="0D0D0D" w:themeColor="text1" w:themeTint="F2"/>
                      <w:szCs w:val="21"/>
                      <w:u w:val="single"/>
                      <w14:textFill>
                        <w14:solidFill>
                          <w14:schemeClr w14:val="tx1">
                            <w14:lumMod w14:val="95000"/>
                            <w14:lumOff w14:val="5000"/>
                          </w14:schemeClr>
                        </w14:solidFill>
                      </w14:textFill>
                    </w:rPr>
                  </w:pPr>
                  <w:r>
                    <w:rPr>
                      <w:szCs w:val="21"/>
                    </w:rPr>
                    <w:t>18.981000</w:t>
                  </w:r>
                </w:p>
              </w:tc>
              <w:tc>
                <w:tcPr>
                  <w:tcW w:w="576" w:type="pct"/>
                  <w:vAlign w:val="center"/>
                </w:tcPr>
                <w:p w14:paraId="02567F97">
                  <w:pPr>
                    <w:jc w:val="center"/>
                    <w:rPr>
                      <w:color w:val="0D0D0D" w:themeColor="text1" w:themeTint="F2"/>
                      <w:szCs w:val="21"/>
                      <w:u w:val="single"/>
                      <w14:textFill>
                        <w14:solidFill>
                          <w14:schemeClr w14:val="tx1">
                            <w14:lumMod w14:val="95000"/>
                            <w14:lumOff w14:val="5000"/>
                          </w14:schemeClr>
                        </w14:solidFill>
                      </w14:textFill>
                    </w:rPr>
                  </w:pPr>
                  <w:r>
                    <w:rPr>
                      <w:szCs w:val="21"/>
                    </w:rPr>
                    <w:t>2.11</w:t>
                  </w:r>
                </w:p>
              </w:tc>
            </w:tr>
            <w:tr w14:paraId="3C872A4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814" w:type="pct"/>
                  <w:vAlign w:val="center"/>
                </w:tcPr>
                <w:p w14:paraId="2630DF48">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100</w:t>
                  </w:r>
                </w:p>
              </w:tc>
              <w:tc>
                <w:tcPr>
                  <w:tcW w:w="845" w:type="pct"/>
                  <w:vAlign w:val="center"/>
                </w:tcPr>
                <w:p w14:paraId="3BF298FC">
                  <w:pPr>
                    <w:jc w:val="center"/>
                    <w:rPr>
                      <w:color w:val="0D0D0D" w:themeColor="text1" w:themeTint="F2"/>
                      <w:szCs w:val="21"/>
                      <w:u w:val="single"/>
                      <w14:textFill>
                        <w14:solidFill>
                          <w14:schemeClr w14:val="tx1">
                            <w14:lumMod w14:val="95000"/>
                            <w14:lumOff w14:val="5000"/>
                          </w14:schemeClr>
                        </w14:solidFill>
                      </w14:textFill>
                    </w:rPr>
                  </w:pPr>
                  <w:r>
                    <w:rPr>
                      <w:szCs w:val="21"/>
                    </w:rPr>
                    <w:t>7.154847</w:t>
                  </w:r>
                </w:p>
              </w:tc>
              <w:tc>
                <w:tcPr>
                  <w:tcW w:w="586" w:type="pct"/>
                  <w:vAlign w:val="center"/>
                </w:tcPr>
                <w:p w14:paraId="64E3CE7E">
                  <w:pPr>
                    <w:jc w:val="center"/>
                    <w:rPr>
                      <w:color w:val="0D0D0D" w:themeColor="text1" w:themeTint="F2"/>
                      <w:szCs w:val="21"/>
                      <w:u w:val="single"/>
                      <w14:textFill>
                        <w14:solidFill>
                          <w14:schemeClr w14:val="tx1">
                            <w14:lumMod w14:val="95000"/>
                            <w14:lumOff w14:val="5000"/>
                          </w14:schemeClr>
                        </w14:solidFill>
                      </w14:textFill>
                    </w:rPr>
                  </w:pPr>
                  <w:r>
                    <w:rPr>
                      <w:szCs w:val="21"/>
                    </w:rPr>
                    <w:t>0.36</w:t>
                  </w:r>
                </w:p>
              </w:tc>
              <w:tc>
                <w:tcPr>
                  <w:tcW w:w="821" w:type="pct"/>
                  <w:vAlign w:val="center"/>
                </w:tcPr>
                <w:p w14:paraId="1275948A">
                  <w:pPr>
                    <w:jc w:val="center"/>
                    <w:rPr>
                      <w:color w:val="0D0D0D" w:themeColor="text1" w:themeTint="F2"/>
                      <w:szCs w:val="21"/>
                      <w:u w:val="single"/>
                      <w14:textFill>
                        <w14:solidFill>
                          <w14:schemeClr w14:val="tx1">
                            <w14:lumMod w14:val="95000"/>
                            <w14:lumOff w14:val="5000"/>
                          </w14:schemeClr>
                        </w14:solidFill>
                      </w14:textFill>
                    </w:rPr>
                  </w:pPr>
                  <w:r>
                    <w:rPr>
                      <w:szCs w:val="21"/>
                    </w:rPr>
                    <w:t>5.420339</w:t>
                  </w:r>
                </w:p>
              </w:tc>
              <w:tc>
                <w:tcPr>
                  <w:tcW w:w="564" w:type="pct"/>
                  <w:vAlign w:val="center"/>
                </w:tcPr>
                <w:p w14:paraId="43D020AA">
                  <w:pPr>
                    <w:jc w:val="center"/>
                    <w:rPr>
                      <w:color w:val="0D0D0D" w:themeColor="text1" w:themeTint="F2"/>
                      <w:szCs w:val="21"/>
                      <w:u w:val="single"/>
                      <w14:textFill>
                        <w14:solidFill>
                          <w14:schemeClr w14:val="tx1">
                            <w14:lumMod w14:val="95000"/>
                            <w14:lumOff w14:val="5000"/>
                          </w14:schemeClr>
                        </w14:solidFill>
                      </w14:textFill>
                    </w:rPr>
                  </w:pPr>
                  <w:r>
                    <w:rPr>
                      <w:szCs w:val="21"/>
                    </w:rPr>
                    <w:t>2.71</w:t>
                  </w:r>
                </w:p>
              </w:tc>
              <w:tc>
                <w:tcPr>
                  <w:tcW w:w="794" w:type="pct"/>
                  <w:vAlign w:val="center"/>
                </w:tcPr>
                <w:p w14:paraId="2281EBE2">
                  <w:pPr>
                    <w:jc w:val="center"/>
                    <w:rPr>
                      <w:color w:val="0D0D0D" w:themeColor="text1" w:themeTint="F2"/>
                      <w:szCs w:val="21"/>
                      <w:u w:val="single"/>
                      <w14:textFill>
                        <w14:solidFill>
                          <w14:schemeClr w14:val="tx1">
                            <w14:lumMod w14:val="95000"/>
                            <w14:lumOff w14:val="5000"/>
                          </w14:schemeClr>
                        </w14:solidFill>
                      </w14:textFill>
                    </w:rPr>
                  </w:pPr>
                  <w:r>
                    <w:rPr>
                      <w:szCs w:val="21"/>
                    </w:rPr>
                    <w:t>12.792000</w:t>
                  </w:r>
                </w:p>
              </w:tc>
              <w:tc>
                <w:tcPr>
                  <w:tcW w:w="576" w:type="pct"/>
                  <w:vAlign w:val="center"/>
                </w:tcPr>
                <w:p w14:paraId="6D42F392">
                  <w:pPr>
                    <w:jc w:val="center"/>
                    <w:rPr>
                      <w:color w:val="0D0D0D" w:themeColor="text1" w:themeTint="F2"/>
                      <w:szCs w:val="21"/>
                      <w:u w:val="single"/>
                      <w14:textFill>
                        <w14:solidFill>
                          <w14:schemeClr w14:val="tx1">
                            <w14:lumMod w14:val="95000"/>
                            <w14:lumOff w14:val="5000"/>
                          </w14:schemeClr>
                        </w14:solidFill>
                      </w14:textFill>
                    </w:rPr>
                  </w:pPr>
                  <w:r>
                    <w:rPr>
                      <w:szCs w:val="21"/>
                    </w:rPr>
                    <w:t>1.42</w:t>
                  </w:r>
                </w:p>
              </w:tc>
            </w:tr>
            <w:tr w14:paraId="250007E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814" w:type="pct"/>
                  <w:vAlign w:val="center"/>
                </w:tcPr>
                <w:p w14:paraId="286D40DB">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200</w:t>
                  </w:r>
                </w:p>
              </w:tc>
              <w:tc>
                <w:tcPr>
                  <w:tcW w:w="845" w:type="pct"/>
                  <w:vAlign w:val="center"/>
                </w:tcPr>
                <w:p w14:paraId="025DD659">
                  <w:pPr>
                    <w:jc w:val="center"/>
                    <w:rPr>
                      <w:color w:val="0D0D0D" w:themeColor="text1" w:themeTint="F2"/>
                      <w:szCs w:val="21"/>
                      <w:u w:val="single"/>
                      <w14:textFill>
                        <w14:solidFill>
                          <w14:schemeClr w14:val="tx1">
                            <w14:lumMod w14:val="95000"/>
                            <w14:lumOff w14:val="5000"/>
                          </w14:schemeClr>
                        </w14:solidFill>
                      </w14:textFill>
                    </w:rPr>
                  </w:pPr>
                  <w:r>
                    <w:rPr>
                      <w:szCs w:val="21"/>
                    </w:rPr>
                    <w:t>3.049032</w:t>
                  </w:r>
                </w:p>
              </w:tc>
              <w:tc>
                <w:tcPr>
                  <w:tcW w:w="586" w:type="pct"/>
                  <w:vAlign w:val="center"/>
                </w:tcPr>
                <w:p w14:paraId="64F4BE11">
                  <w:pPr>
                    <w:jc w:val="center"/>
                    <w:rPr>
                      <w:color w:val="0D0D0D" w:themeColor="text1" w:themeTint="F2"/>
                      <w:szCs w:val="21"/>
                      <w:u w:val="single"/>
                      <w14:textFill>
                        <w14:solidFill>
                          <w14:schemeClr w14:val="tx1">
                            <w14:lumMod w14:val="95000"/>
                            <w14:lumOff w14:val="5000"/>
                          </w14:schemeClr>
                        </w14:solidFill>
                      </w14:textFill>
                    </w:rPr>
                  </w:pPr>
                  <w:r>
                    <w:rPr>
                      <w:szCs w:val="21"/>
                    </w:rPr>
                    <w:t>0.15</w:t>
                  </w:r>
                </w:p>
              </w:tc>
              <w:tc>
                <w:tcPr>
                  <w:tcW w:w="821" w:type="pct"/>
                  <w:vAlign w:val="center"/>
                </w:tcPr>
                <w:p w14:paraId="1C2C72B0">
                  <w:pPr>
                    <w:jc w:val="center"/>
                    <w:rPr>
                      <w:color w:val="0D0D0D" w:themeColor="text1" w:themeTint="F2"/>
                      <w:szCs w:val="21"/>
                      <w:u w:val="single"/>
                      <w14:textFill>
                        <w14:solidFill>
                          <w14:schemeClr w14:val="tx1">
                            <w14:lumMod w14:val="95000"/>
                            <w14:lumOff w14:val="5000"/>
                          </w14:schemeClr>
                        </w14:solidFill>
                      </w14:textFill>
                    </w:rPr>
                  </w:pPr>
                  <w:r>
                    <w:rPr>
                      <w:szCs w:val="21"/>
                    </w:rPr>
                    <w:t>2.309873</w:t>
                  </w:r>
                </w:p>
              </w:tc>
              <w:tc>
                <w:tcPr>
                  <w:tcW w:w="564" w:type="pct"/>
                  <w:vAlign w:val="center"/>
                </w:tcPr>
                <w:p w14:paraId="7038929E">
                  <w:pPr>
                    <w:jc w:val="center"/>
                    <w:rPr>
                      <w:color w:val="0D0D0D" w:themeColor="text1" w:themeTint="F2"/>
                      <w:szCs w:val="21"/>
                      <w:u w:val="single"/>
                      <w14:textFill>
                        <w14:solidFill>
                          <w14:schemeClr w14:val="tx1">
                            <w14:lumMod w14:val="95000"/>
                            <w14:lumOff w14:val="5000"/>
                          </w14:schemeClr>
                        </w14:solidFill>
                      </w14:textFill>
                    </w:rPr>
                  </w:pPr>
                  <w:r>
                    <w:rPr>
                      <w:szCs w:val="21"/>
                    </w:rPr>
                    <w:t>1.15</w:t>
                  </w:r>
                </w:p>
              </w:tc>
              <w:tc>
                <w:tcPr>
                  <w:tcW w:w="794" w:type="pct"/>
                  <w:vAlign w:val="center"/>
                </w:tcPr>
                <w:p w14:paraId="455D9895">
                  <w:pPr>
                    <w:jc w:val="center"/>
                    <w:rPr>
                      <w:color w:val="0D0D0D" w:themeColor="text1" w:themeTint="F2"/>
                      <w:szCs w:val="21"/>
                      <w:u w:val="single"/>
                      <w14:textFill>
                        <w14:solidFill>
                          <w14:schemeClr w14:val="tx1">
                            <w14:lumMod w14:val="95000"/>
                            <w14:lumOff w14:val="5000"/>
                          </w14:schemeClr>
                        </w14:solidFill>
                      </w14:textFill>
                    </w:rPr>
                  </w:pPr>
                  <w:r>
                    <w:rPr>
                      <w:szCs w:val="21"/>
                    </w:rPr>
                    <w:t>5.451300</w:t>
                  </w:r>
                </w:p>
              </w:tc>
              <w:tc>
                <w:tcPr>
                  <w:tcW w:w="576" w:type="pct"/>
                  <w:vAlign w:val="center"/>
                </w:tcPr>
                <w:p w14:paraId="32B3563C">
                  <w:pPr>
                    <w:jc w:val="center"/>
                    <w:rPr>
                      <w:color w:val="0D0D0D" w:themeColor="text1" w:themeTint="F2"/>
                      <w:szCs w:val="21"/>
                      <w:u w:val="single"/>
                      <w14:textFill>
                        <w14:solidFill>
                          <w14:schemeClr w14:val="tx1">
                            <w14:lumMod w14:val="95000"/>
                            <w14:lumOff w14:val="5000"/>
                          </w14:schemeClr>
                        </w14:solidFill>
                      </w14:textFill>
                    </w:rPr>
                  </w:pPr>
                  <w:r>
                    <w:rPr>
                      <w:szCs w:val="21"/>
                    </w:rPr>
                    <w:t>0.61</w:t>
                  </w:r>
                </w:p>
              </w:tc>
            </w:tr>
            <w:tr w14:paraId="243D7A7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814" w:type="pct"/>
                  <w:vAlign w:val="center"/>
                </w:tcPr>
                <w:p w14:paraId="0D3CD78F">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300</w:t>
                  </w:r>
                </w:p>
              </w:tc>
              <w:tc>
                <w:tcPr>
                  <w:tcW w:w="845" w:type="pct"/>
                  <w:vAlign w:val="center"/>
                </w:tcPr>
                <w:p w14:paraId="72262EDC">
                  <w:pPr>
                    <w:jc w:val="center"/>
                    <w:rPr>
                      <w:color w:val="0D0D0D" w:themeColor="text1" w:themeTint="F2"/>
                      <w:szCs w:val="21"/>
                      <w:u w:val="single"/>
                      <w14:textFill>
                        <w14:solidFill>
                          <w14:schemeClr w14:val="tx1">
                            <w14:lumMod w14:val="95000"/>
                            <w14:lumOff w14:val="5000"/>
                          </w14:schemeClr>
                        </w14:solidFill>
                      </w14:textFill>
                    </w:rPr>
                  </w:pPr>
                  <w:r>
                    <w:rPr>
                      <w:szCs w:val="21"/>
                    </w:rPr>
                    <w:t>1.787090</w:t>
                  </w:r>
                </w:p>
              </w:tc>
              <w:tc>
                <w:tcPr>
                  <w:tcW w:w="586" w:type="pct"/>
                  <w:vAlign w:val="center"/>
                </w:tcPr>
                <w:p w14:paraId="3DE0AAAE">
                  <w:pPr>
                    <w:jc w:val="center"/>
                    <w:rPr>
                      <w:color w:val="0D0D0D" w:themeColor="text1" w:themeTint="F2"/>
                      <w:szCs w:val="21"/>
                      <w:u w:val="single"/>
                      <w14:textFill>
                        <w14:solidFill>
                          <w14:schemeClr w14:val="tx1">
                            <w14:lumMod w14:val="95000"/>
                            <w14:lumOff w14:val="5000"/>
                          </w14:schemeClr>
                        </w14:solidFill>
                      </w14:textFill>
                    </w:rPr>
                  </w:pPr>
                  <w:r>
                    <w:rPr>
                      <w:szCs w:val="21"/>
                    </w:rPr>
                    <w:t>0.09</w:t>
                  </w:r>
                </w:p>
              </w:tc>
              <w:tc>
                <w:tcPr>
                  <w:tcW w:w="821" w:type="pct"/>
                  <w:vAlign w:val="center"/>
                </w:tcPr>
                <w:p w14:paraId="6F009951">
                  <w:pPr>
                    <w:jc w:val="center"/>
                    <w:rPr>
                      <w:color w:val="0D0D0D" w:themeColor="text1" w:themeTint="F2"/>
                      <w:szCs w:val="21"/>
                      <w:u w:val="single"/>
                      <w14:textFill>
                        <w14:solidFill>
                          <w14:schemeClr w14:val="tx1">
                            <w14:lumMod w14:val="95000"/>
                            <w14:lumOff w14:val="5000"/>
                          </w14:schemeClr>
                        </w14:solidFill>
                      </w14:textFill>
                    </w:rPr>
                  </w:pPr>
                  <w:r>
                    <w:rPr>
                      <w:szCs w:val="21"/>
                    </w:rPr>
                    <w:t>1.353856</w:t>
                  </w:r>
                </w:p>
              </w:tc>
              <w:tc>
                <w:tcPr>
                  <w:tcW w:w="564" w:type="pct"/>
                  <w:vAlign w:val="center"/>
                </w:tcPr>
                <w:p w14:paraId="0506BCE7">
                  <w:pPr>
                    <w:jc w:val="center"/>
                    <w:rPr>
                      <w:color w:val="0D0D0D" w:themeColor="text1" w:themeTint="F2"/>
                      <w:szCs w:val="21"/>
                      <w:u w:val="single"/>
                      <w14:textFill>
                        <w14:solidFill>
                          <w14:schemeClr w14:val="tx1">
                            <w14:lumMod w14:val="95000"/>
                            <w14:lumOff w14:val="5000"/>
                          </w14:schemeClr>
                        </w14:solidFill>
                      </w14:textFill>
                    </w:rPr>
                  </w:pPr>
                  <w:r>
                    <w:rPr>
                      <w:szCs w:val="21"/>
                    </w:rPr>
                    <w:t>0.68</w:t>
                  </w:r>
                </w:p>
              </w:tc>
              <w:tc>
                <w:tcPr>
                  <w:tcW w:w="794" w:type="pct"/>
                  <w:vAlign w:val="center"/>
                </w:tcPr>
                <w:p w14:paraId="6E89A2C9">
                  <w:pPr>
                    <w:jc w:val="center"/>
                    <w:rPr>
                      <w:color w:val="0D0D0D" w:themeColor="text1" w:themeTint="F2"/>
                      <w:szCs w:val="21"/>
                      <w:u w:val="single"/>
                      <w14:textFill>
                        <w14:solidFill>
                          <w14:schemeClr w14:val="tx1">
                            <w14:lumMod w14:val="95000"/>
                            <w14:lumOff w14:val="5000"/>
                          </w14:schemeClr>
                        </w14:solidFill>
                      </w14:textFill>
                    </w:rPr>
                  </w:pPr>
                  <w:r>
                    <w:rPr>
                      <w:szCs w:val="21"/>
                    </w:rPr>
                    <w:t>3.195100</w:t>
                  </w:r>
                </w:p>
              </w:tc>
              <w:tc>
                <w:tcPr>
                  <w:tcW w:w="576" w:type="pct"/>
                  <w:vAlign w:val="center"/>
                </w:tcPr>
                <w:p w14:paraId="3136F40E">
                  <w:pPr>
                    <w:jc w:val="center"/>
                    <w:rPr>
                      <w:color w:val="0D0D0D" w:themeColor="text1" w:themeTint="F2"/>
                      <w:szCs w:val="21"/>
                      <w:u w:val="single"/>
                      <w14:textFill>
                        <w14:solidFill>
                          <w14:schemeClr w14:val="tx1">
                            <w14:lumMod w14:val="95000"/>
                            <w14:lumOff w14:val="5000"/>
                          </w14:schemeClr>
                        </w14:solidFill>
                      </w14:textFill>
                    </w:rPr>
                  </w:pPr>
                  <w:r>
                    <w:rPr>
                      <w:szCs w:val="21"/>
                    </w:rPr>
                    <w:t>0.36</w:t>
                  </w:r>
                </w:p>
              </w:tc>
            </w:tr>
            <w:tr w14:paraId="31A16C2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814" w:type="pct"/>
                  <w:vAlign w:val="center"/>
                </w:tcPr>
                <w:p w14:paraId="658F84E9">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400</w:t>
                  </w:r>
                </w:p>
              </w:tc>
              <w:tc>
                <w:tcPr>
                  <w:tcW w:w="845" w:type="pct"/>
                  <w:vAlign w:val="center"/>
                </w:tcPr>
                <w:p w14:paraId="4DEAD781">
                  <w:pPr>
                    <w:jc w:val="center"/>
                    <w:rPr>
                      <w:color w:val="0D0D0D" w:themeColor="text1" w:themeTint="F2"/>
                      <w:szCs w:val="21"/>
                      <w:u w:val="single"/>
                      <w14:textFill>
                        <w14:solidFill>
                          <w14:schemeClr w14:val="tx1">
                            <w14:lumMod w14:val="95000"/>
                            <w14:lumOff w14:val="5000"/>
                          </w14:schemeClr>
                        </w14:solidFill>
                      </w14:textFill>
                    </w:rPr>
                  </w:pPr>
                  <w:r>
                    <w:rPr>
                      <w:szCs w:val="21"/>
                    </w:rPr>
                    <w:t>1.217644</w:t>
                  </w:r>
                </w:p>
              </w:tc>
              <w:tc>
                <w:tcPr>
                  <w:tcW w:w="586" w:type="pct"/>
                  <w:vAlign w:val="center"/>
                </w:tcPr>
                <w:p w14:paraId="455A492E">
                  <w:pPr>
                    <w:jc w:val="center"/>
                    <w:rPr>
                      <w:color w:val="0D0D0D" w:themeColor="text1" w:themeTint="F2"/>
                      <w:szCs w:val="21"/>
                      <w:u w:val="single"/>
                      <w14:textFill>
                        <w14:solidFill>
                          <w14:schemeClr w14:val="tx1">
                            <w14:lumMod w14:val="95000"/>
                            <w14:lumOff w14:val="5000"/>
                          </w14:schemeClr>
                        </w14:solidFill>
                      </w14:textFill>
                    </w:rPr>
                  </w:pPr>
                  <w:r>
                    <w:rPr>
                      <w:szCs w:val="21"/>
                    </w:rPr>
                    <w:t>0.06</w:t>
                  </w:r>
                </w:p>
              </w:tc>
              <w:tc>
                <w:tcPr>
                  <w:tcW w:w="821" w:type="pct"/>
                  <w:vAlign w:val="center"/>
                </w:tcPr>
                <w:p w14:paraId="33B630F8">
                  <w:pPr>
                    <w:jc w:val="center"/>
                    <w:rPr>
                      <w:color w:val="0D0D0D" w:themeColor="text1" w:themeTint="F2"/>
                      <w:szCs w:val="21"/>
                      <w:u w:val="single"/>
                      <w14:textFill>
                        <w14:solidFill>
                          <w14:schemeClr w14:val="tx1">
                            <w14:lumMod w14:val="95000"/>
                            <w14:lumOff w14:val="5000"/>
                          </w14:schemeClr>
                        </w14:solidFill>
                      </w14:textFill>
                    </w:rPr>
                  </w:pPr>
                  <w:r>
                    <w:rPr>
                      <w:szCs w:val="21"/>
                    </w:rPr>
                    <w:t>0.922458</w:t>
                  </w:r>
                </w:p>
              </w:tc>
              <w:tc>
                <w:tcPr>
                  <w:tcW w:w="564" w:type="pct"/>
                  <w:vAlign w:val="center"/>
                </w:tcPr>
                <w:p w14:paraId="6F8169F7">
                  <w:pPr>
                    <w:jc w:val="center"/>
                    <w:rPr>
                      <w:color w:val="0D0D0D" w:themeColor="text1" w:themeTint="F2"/>
                      <w:szCs w:val="21"/>
                      <w:u w:val="single"/>
                      <w14:textFill>
                        <w14:solidFill>
                          <w14:schemeClr w14:val="tx1">
                            <w14:lumMod w14:val="95000"/>
                            <w14:lumOff w14:val="5000"/>
                          </w14:schemeClr>
                        </w14:solidFill>
                      </w14:textFill>
                    </w:rPr>
                  </w:pPr>
                  <w:r>
                    <w:rPr>
                      <w:szCs w:val="21"/>
                    </w:rPr>
                    <w:t>0.46</w:t>
                  </w:r>
                </w:p>
              </w:tc>
              <w:tc>
                <w:tcPr>
                  <w:tcW w:w="794" w:type="pct"/>
                  <w:vAlign w:val="center"/>
                </w:tcPr>
                <w:p w14:paraId="52CB1AB2">
                  <w:pPr>
                    <w:jc w:val="center"/>
                    <w:rPr>
                      <w:color w:val="0D0D0D" w:themeColor="text1" w:themeTint="F2"/>
                      <w:szCs w:val="21"/>
                      <w:u w:val="single"/>
                      <w14:textFill>
                        <w14:solidFill>
                          <w14:schemeClr w14:val="tx1">
                            <w14:lumMod w14:val="95000"/>
                            <w14:lumOff w14:val="5000"/>
                          </w14:schemeClr>
                        </w14:solidFill>
                      </w14:textFill>
                    </w:rPr>
                  </w:pPr>
                  <w:r>
                    <w:rPr>
                      <w:szCs w:val="21"/>
                    </w:rPr>
                    <w:t>2.177000</w:t>
                  </w:r>
                </w:p>
              </w:tc>
              <w:tc>
                <w:tcPr>
                  <w:tcW w:w="576" w:type="pct"/>
                  <w:vAlign w:val="center"/>
                </w:tcPr>
                <w:p w14:paraId="54CC0324">
                  <w:pPr>
                    <w:jc w:val="center"/>
                    <w:rPr>
                      <w:color w:val="0D0D0D" w:themeColor="text1" w:themeTint="F2"/>
                      <w:szCs w:val="21"/>
                      <w:u w:val="single"/>
                      <w14:textFill>
                        <w14:solidFill>
                          <w14:schemeClr w14:val="tx1">
                            <w14:lumMod w14:val="95000"/>
                            <w14:lumOff w14:val="5000"/>
                          </w14:schemeClr>
                        </w14:solidFill>
                      </w14:textFill>
                    </w:rPr>
                  </w:pPr>
                  <w:r>
                    <w:rPr>
                      <w:szCs w:val="21"/>
                    </w:rPr>
                    <w:t>0.24</w:t>
                  </w:r>
                </w:p>
              </w:tc>
            </w:tr>
            <w:tr w14:paraId="1AEAAB9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814" w:type="pct"/>
                  <w:vAlign w:val="center"/>
                </w:tcPr>
                <w:p w14:paraId="18BFA3A3">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500</w:t>
                  </w:r>
                </w:p>
              </w:tc>
              <w:tc>
                <w:tcPr>
                  <w:tcW w:w="845" w:type="pct"/>
                  <w:vAlign w:val="center"/>
                </w:tcPr>
                <w:p w14:paraId="0AF55AEB">
                  <w:pPr>
                    <w:jc w:val="center"/>
                    <w:rPr>
                      <w:color w:val="0D0D0D" w:themeColor="text1" w:themeTint="F2"/>
                      <w:szCs w:val="21"/>
                      <w:u w:val="single"/>
                      <w14:textFill>
                        <w14:solidFill>
                          <w14:schemeClr w14:val="tx1">
                            <w14:lumMod w14:val="95000"/>
                            <w14:lumOff w14:val="5000"/>
                          </w14:schemeClr>
                        </w14:solidFill>
                      </w14:textFill>
                    </w:rPr>
                  </w:pPr>
                  <w:r>
                    <w:rPr>
                      <w:szCs w:val="21"/>
                    </w:rPr>
                    <w:t>0.902075</w:t>
                  </w:r>
                </w:p>
              </w:tc>
              <w:tc>
                <w:tcPr>
                  <w:tcW w:w="586" w:type="pct"/>
                  <w:vAlign w:val="center"/>
                </w:tcPr>
                <w:p w14:paraId="01AD8D6A">
                  <w:pPr>
                    <w:jc w:val="center"/>
                    <w:rPr>
                      <w:color w:val="0D0D0D" w:themeColor="text1" w:themeTint="F2"/>
                      <w:szCs w:val="21"/>
                      <w:u w:val="single"/>
                      <w14:textFill>
                        <w14:solidFill>
                          <w14:schemeClr w14:val="tx1">
                            <w14:lumMod w14:val="95000"/>
                            <w14:lumOff w14:val="5000"/>
                          </w14:schemeClr>
                        </w14:solidFill>
                      </w14:textFill>
                    </w:rPr>
                  </w:pPr>
                  <w:r>
                    <w:rPr>
                      <w:szCs w:val="21"/>
                    </w:rPr>
                    <w:t>0.05</w:t>
                  </w:r>
                </w:p>
              </w:tc>
              <w:tc>
                <w:tcPr>
                  <w:tcW w:w="821" w:type="pct"/>
                  <w:vAlign w:val="center"/>
                </w:tcPr>
                <w:p w14:paraId="7A16DD24">
                  <w:pPr>
                    <w:jc w:val="center"/>
                    <w:rPr>
                      <w:color w:val="0D0D0D" w:themeColor="text1" w:themeTint="F2"/>
                      <w:szCs w:val="21"/>
                      <w:u w:val="single"/>
                      <w14:textFill>
                        <w14:solidFill>
                          <w14:schemeClr w14:val="tx1">
                            <w14:lumMod w14:val="95000"/>
                            <w14:lumOff w14:val="5000"/>
                          </w14:schemeClr>
                        </w14:solidFill>
                      </w14:textFill>
                    </w:rPr>
                  </w:pPr>
                  <w:r>
                    <w:rPr>
                      <w:szCs w:val="21"/>
                    </w:rPr>
                    <w:t>0.683390</w:t>
                  </w:r>
                </w:p>
              </w:tc>
              <w:tc>
                <w:tcPr>
                  <w:tcW w:w="564" w:type="pct"/>
                  <w:vAlign w:val="center"/>
                </w:tcPr>
                <w:p w14:paraId="5A2EB2C7">
                  <w:pPr>
                    <w:jc w:val="center"/>
                    <w:rPr>
                      <w:color w:val="0D0D0D" w:themeColor="text1" w:themeTint="F2"/>
                      <w:szCs w:val="21"/>
                      <w:u w:val="single"/>
                      <w14:textFill>
                        <w14:solidFill>
                          <w14:schemeClr w14:val="tx1">
                            <w14:lumMod w14:val="95000"/>
                            <w14:lumOff w14:val="5000"/>
                          </w14:schemeClr>
                        </w14:solidFill>
                      </w14:textFill>
                    </w:rPr>
                  </w:pPr>
                  <w:r>
                    <w:rPr>
                      <w:szCs w:val="21"/>
                    </w:rPr>
                    <w:t>0.34</w:t>
                  </w:r>
                </w:p>
              </w:tc>
              <w:tc>
                <w:tcPr>
                  <w:tcW w:w="794" w:type="pct"/>
                  <w:vAlign w:val="center"/>
                </w:tcPr>
                <w:p w14:paraId="4C8D6112">
                  <w:pPr>
                    <w:jc w:val="center"/>
                    <w:rPr>
                      <w:color w:val="0D0D0D" w:themeColor="text1" w:themeTint="F2"/>
                      <w:szCs w:val="21"/>
                      <w:u w:val="single"/>
                      <w14:textFill>
                        <w14:solidFill>
                          <w14:schemeClr w14:val="tx1">
                            <w14:lumMod w14:val="95000"/>
                            <w14:lumOff w14:val="5000"/>
                          </w14:schemeClr>
                        </w14:solidFill>
                      </w14:textFill>
                    </w:rPr>
                  </w:pPr>
                  <w:r>
                    <w:rPr>
                      <w:szCs w:val="21"/>
                    </w:rPr>
                    <w:t>1.612800</w:t>
                  </w:r>
                </w:p>
              </w:tc>
              <w:tc>
                <w:tcPr>
                  <w:tcW w:w="576" w:type="pct"/>
                  <w:vAlign w:val="center"/>
                </w:tcPr>
                <w:p w14:paraId="66D1D524">
                  <w:pPr>
                    <w:jc w:val="center"/>
                    <w:rPr>
                      <w:color w:val="0D0D0D" w:themeColor="text1" w:themeTint="F2"/>
                      <w:szCs w:val="21"/>
                      <w:u w:val="single"/>
                      <w14:textFill>
                        <w14:solidFill>
                          <w14:schemeClr w14:val="tx1">
                            <w14:lumMod w14:val="95000"/>
                            <w14:lumOff w14:val="5000"/>
                          </w14:schemeClr>
                        </w14:solidFill>
                      </w14:textFill>
                    </w:rPr>
                  </w:pPr>
                  <w:r>
                    <w:rPr>
                      <w:szCs w:val="21"/>
                    </w:rPr>
                    <w:t>0.18</w:t>
                  </w:r>
                </w:p>
              </w:tc>
            </w:tr>
            <w:tr w14:paraId="3C22F7E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814" w:type="pct"/>
                  <w:vAlign w:val="center"/>
                </w:tcPr>
                <w:p w14:paraId="37C637DE">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下风向最大浓度</w:t>
                  </w:r>
                </w:p>
              </w:tc>
              <w:tc>
                <w:tcPr>
                  <w:tcW w:w="845" w:type="pct"/>
                  <w:vAlign w:val="center"/>
                </w:tcPr>
                <w:p w14:paraId="4A5A2254">
                  <w:pPr>
                    <w:jc w:val="center"/>
                    <w:rPr>
                      <w:color w:val="0D0D0D" w:themeColor="text1" w:themeTint="F2"/>
                      <w:szCs w:val="21"/>
                      <w:u w:val="single"/>
                      <w14:textFill>
                        <w14:solidFill>
                          <w14:schemeClr w14:val="tx1">
                            <w14:lumMod w14:val="95000"/>
                            <w14:lumOff w14:val="5000"/>
                          </w14:schemeClr>
                        </w14:solidFill>
                      </w14:textFill>
                    </w:rPr>
                  </w:pPr>
                  <w:r>
                    <w:rPr>
                      <w:szCs w:val="21"/>
                    </w:rPr>
                    <w:t>10.947610</w:t>
                  </w:r>
                </w:p>
              </w:tc>
              <w:tc>
                <w:tcPr>
                  <w:tcW w:w="586" w:type="pct"/>
                  <w:vAlign w:val="center"/>
                </w:tcPr>
                <w:p w14:paraId="7EE3D2D1">
                  <w:pPr>
                    <w:jc w:val="center"/>
                    <w:rPr>
                      <w:color w:val="0D0D0D" w:themeColor="text1" w:themeTint="F2"/>
                      <w:szCs w:val="21"/>
                      <w:u w:val="single"/>
                      <w14:textFill>
                        <w14:solidFill>
                          <w14:schemeClr w14:val="tx1">
                            <w14:lumMod w14:val="95000"/>
                            <w14:lumOff w14:val="5000"/>
                          </w14:schemeClr>
                        </w14:solidFill>
                      </w14:textFill>
                    </w:rPr>
                  </w:pPr>
                  <w:r>
                    <w:rPr>
                      <w:szCs w:val="21"/>
                    </w:rPr>
                    <w:t>0.55</w:t>
                  </w:r>
                </w:p>
              </w:tc>
              <w:tc>
                <w:tcPr>
                  <w:tcW w:w="821" w:type="pct"/>
                  <w:vAlign w:val="center"/>
                </w:tcPr>
                <w:p w14:paraId="051BA81F">
                  <w:pPr>
                    <w:jc w:val="center"/>
                    <w:rPr>
                      <w:color w:val="0D0D0D" w:themeColor="text1" w:themeTint="F2"/>
                      <w:szCs w:val="21"/>
                      <w:u w:val="single"/>
                      <w14:textFill>
                        <w14:solidFill>
                          <w14:schemeClr w14:val="tx1">
                            <w14:lumMod w14:val="95000"/>
                            <w14:lumOff w14:val="5000"/>
                          </w14:schemeClr>
                        </w14:solidFill>
                      </w14:textFill>
                    </w:rPr>
                  </w:pPr>
                  <w:r>
                    <w:rPr>
                      <w:szCs w:val="21"/>
                    </w:rPr>
                    <w:t>8.293644</w:t>
                  </w:r>
                </w:p>
              </w:tc>
              <w:tc>
                <w:tcPr>
                  <w:tcW w:w="564" w:type="pct"/>
                  <w:vAlign w:val="center"/>
                </w:tcPr>
                <w:p w14:paraId="110D5B0C">
                  <w:pPr>
                    <w:jc w:val="center"/>
                    <w:rPr>
                      <w:color w:val="0D0D0D" w:themeColor="text1" w:themeTint="F2"/>
                      <w:szCs w:val="21"/>
                      <w:u w:val="single"/>
                      <w14:textFill>
                        <w14:solidFill>
                          <w14:schemeClr w14:val="tx1">
                            <w14:lumMod w14:val="95000"/>
                            <w14:lumOff w14:val="5000"/>
                          </w14:schemeClr>
                        </w14:solidFill>
                      </w14:textFill>
                    </w:rPr>
                  </w:pPr>
                  <w:r>
                    <w:rPr>
                      <w:szCs w:val="21"/>
                    </w:rPr>
                    <w:t>4.15</w:t>
                  </w:r>
                </w:p>
              </w:tc>
              <w:tc>
                <w:tcPr>
                  <w:tcW w:w="794" w:type="pct"/>
                  <w:vAlign w:val="center"/>
                </w:tcPr>
                <w:p w14:paraId="486A8E29">
                  <w:pPr>
                    <w:jc w:val="center"/>
                    <w:rPr>
                      <w:color w:val="0D0D0D" w:themeColor="text1" w:themeTint="F2"/>
                      <w:szCs w:val="21"/>
                      <w:u w:val="single"/>
                      <w14:textFill>
                        <w14:solidFill>
                          <w14:schemeClr w14:val="tx1">
                            <w14:lumMod w14:val="95000"/>
                            <w14:lumOff w14:val="5000"/>
                          </w14:schemeClr>
                        </w14:solidFill>
                      </w14:textFill>
                    </w:rPr>
                  </w:pPr>
                  <w:r>
                    <w:rPr>
                      <w:szCs w:val="21"/>
                    </w:rPr>
                    <w:t>19.573000</w:t>
                  </w:r>
                </w:p>
              </w:tc>
              <w:tc>
                <w:tcPr>
                  <w:tcW w:w="576" w:type="pct"/>
                  <w:vAlign w:val="center"/>
                </w:tcPr>
                <w:p w14:paraId="3ADC9A94">
                  <w:pPr>
                    <w:jc w:val="center"/>
                    <w:rPr>
                      <w:color w:val="0D0D0D" w:themeColor="text1" w:themeTint="F2"/>
                      <w:szCs w:val="21"/>
                      <w:u w:val="single"/>
                      <w14:textFill>
                        <w14:solidFill>
                          <w14:schemeClr w14:val="tx1">
                            <w14:lumMod w14:val="95000"/>
                            <w14:lumOff w14:val="5000"/>
                          </w14:schemeClr>
                        </w14:solidFill>
                      </w14:textFill>
                    </w:rPr>
                  </w:pPr>
                  <w:r>
                    <w:rPr>
                      <w:szCs w:val="21"/>
                    </w:rPr>
                    <w:t>2.17</w:t>
                  </w:r>
                </w:p>
              </w:tc>
            </w:tr>
            <w:tr w14:paraId="1E2EE18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7" w:hRule="atLeast"/>
              </w:trPr>
              <w:tc>
                <w:tcPr>
                  <w:tcW w:w="814" w:type="pct"/>
                  <w:vAlign w:val="center"/>
                </w:tcPr>
                <w:p w14:paraId="248C63F5">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下风向最大浓度出现距离</w:t>
                  </w:r>
                </w:p>
              </w:tc>
              <w:tc>
                <w:tcPr>
                  <w:tcW w:w="845" w:type="pct"/>
                  <w:vAlign w:val="center"/>
                </w:tcPr>
                <w:p w14:paraId="38E37317">
                  <w:pPr>
                    <w:jc w:val="center"/>
                    <w:rPr>
                      <w:color w:val="0D0D0D" w:themeColor="text1" w:themeTint="F2"/>
                      <w:szCs w:val="21"/>
                      <w:u w:val="single"/>
                      <w14:textFill>
                        <w14:solidFill>
                          <w14:schemeClr w14:val="tx1">
                            <w14:lumMod w14:val="95000"/>
                            <w14:lumOff w14:val="5000"/>
                          </w14:schemeClr>
                        </w14:solidFill>
                      </w14:textFill>
                    </w:rPr>
                  </w:pPr>
                  <w:r>
                    <w:rPr>
                      <w:szCs w:val="21"/>
                    </w:rPr>
                    <w:t>56.0</w:t>
                  </w:r>
                </w:p>
              </w:tc>
              <w:tc>
                <w:tcPr>
                  <w:tcW w:w="586" w:type="pct"/>
                  <w:vAlign w:val="center"/>
                </w:tcPr>
                <w:p w14:paraId="08C2FEF8">
                  <w:pPr>
                    <w:jc w:val="center"/>
                    <w:rPr>
                      <w:color w:val="0D0D0D" w:themeColor="text1" w:themeTint="F2"/>
                      <w:szCs w:val="21"/>
                      <w:u w:val="single"/>
                      <w14:textFill>
                        <w14:solidFill>
                          <w14:schemeClr w14:val="tx1">
                            <w14:lumMod w14:val="95000"/>
                            <w14:lumOff w14:val="5000"/>
                          </w14:schemeClr>
                        </w14:solidFill>
                      </w14:textFill>
                    </w:rPr>
                  </w:pPr>
                  <w:r>
                    <w:rPr>
                      <w:szCs w:val="21"/>
                    </w:rPr>
                    <w:t>56.0</w:t>
                  </w:r>
                </w:p>
              </w:tc>
              <w:tc>
                <w:tcPr>
                  <w:tcW w:w="821" w:type="pct"/>
                  <w:vAlign w:val="center"/>
                </w:tcPr>
                <w:p w14:paraId="3BBC19C1">
                  <w:pPr>
                    <w:jc w:val="center"/>
                    <w:rPr>
                      <w:color w:val="0D0D0D" w:themeColor="text1" w:themeTint="F2"/>
                      <w:szCs w:val="21"/>
                      <w:u w:val="single"/>
                      <w14:textFill>
                        <w14:solidFill>
                          <w14:schemeClr w14:val="tx1">
                            <w14:lumMod w14:val="95000"/>
                            <w14:lumOff w14:val="5000"/>
                          </w14:schemeClr>
                        </w14:solidFill>
                      </w14:textFill>
                    </w:rPr>
                  </w:pPr>
                  <w:r>
                    <w:rPr>
                      <w:szCs w:val="21"/>
                    </w:rPr>
                    <w:t>56.0</w:t>
                  </w:r>
                </w:p>
              </w:tc>
              <w:tc>
                <w:tcPr>
                  <w:tcW w:w="564" w:type="pct"/>
                  <w:vAlign w:val="center"/>
                </w:tcPr>
                <w:p w14:paraId="3A34DAA7">
                  <w:pPr>
                    <w:jc w:val="center"/>
                    <w:rPr>
                      <w:color w:val="0D0D0D" w:themeColor="text1" w:themeTint="F2"/>
                      <w:szCs w:val="21"/>
                      <w:u w:val="single"/>
                      <w14:textFill>
                        <w14:solidFill>
                          <w14:schemeClr w14:val="tx1">
                            <w14:lumMod w14:val="95000"/>
                            <w14:lumOff w14:val="5000"/>
                          </w14:schemeClr>
                        </w14:solidFill>
                      </w14:textFill>
                    </w:rPr>
                  </w:pPr>
                  <w:r>
                    <w:rPr>
                      <w:szCs w:val="21"/>
                    </w:rPr>
                    <w:t>56.0</w:t>
                  </w:r>
                </w:p>
              </w:tc>
              <w:tc>
                <w:tcPr>
                  <w:tcW w:w="794" w:type="pct"/>
                  <w:vAlign w:val="center"/>
                </w:tcPr>
                <w:p w14:paraId="18B514D5">
                  <w:pPr>
                    <w:jc w:val="center"/>
                    <w:rPr>
                      <w:color w:val="0D0D0D" w:themeColor="text1" w:themeTint="F2"/>
                      <w:szCs w:val="21"/>
                      <w:u w:val="single"/>
                      <w14:textFill>
                        <w14:solidFill>
                          <w14:schemeClr w14:val="tx1">
                            <w14:lumMod w14:val="95000"/>
                            <w14:lumOff w14:val="5000"/>
                          </w14:schemeClr>
                        </w14:solidFill>
                      </w14:textFill>
                    </w:rPr>
                  </w:pPr>
                  <w:r>
                    <w:rPr>
                      <w:szCs w:val="21"/>
                    </w:rPr>
                    <w:t>56.0</w:t>
                  </w:r>
                </w:p>
              </w:tc>
              <w:tc>
                <w:tcPr>
                  <w:tcW w:w="576" w:type="pct"/>
                  <w:vAlign w:val="center"/>
                </w:tcPr>
                <w:p w14:paraId="75ECF2E3">
                  <w:pPr>
                    <w:jc w:val="center"/>
                    <w:rPr>
                      <w:color w:val="0D0D0D" w:themeColor="text1" w:themeTint="F2"/>
                      <w:szCs w:val="21"/>
                      <w:u w:val="single"/>
                      <w14:textFill>
                        <w14:solidFill>
                          <w14:schemeClr w14:val="tx1">
                            <w14:lumMod w14:val="95000"/>
                            <w14:lumOff w14:val="5000"/>
                          </w14:schemeClr>
                        </w14:solidFill>
                      </w14:textFill>
                    </w:rPr>
                  </w:pPr>
                  <w:r>
                    <w:rPr>
                      <w:szCs w:val="21"/>
                    </w:rPr>
                    <w:t>56.0</w:t>
                  </w:r>
                </w:p>
              </w:tc>
            </w:tr>
          </w:tbl>
          <w:p w14:paraId="76A372C1">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由上表估算结果可知，项目无组织排放的NMHC最大地面浓度值出现在污染源下风向56m处，最大落地浓度为10.947610μg/m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，二甲苯最大地面浓度值出现在污染源下风向56m处，最大落地浓度为8.293644μg/m³，TSP最大地面浓度值出现在污染源下风向56m处，最大地面浓度为19.573μg/m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，TSP、NMHC和二甲苯厂界浓度可满足《大气污染物综合排放标准》（GB16297-1996）表2无组织排放监控浓度限值（NMHC为4000μg/m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，二甲苯为1200μg/m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，TSP为1000μg/m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），厂房外NMHC浓度满足《挥发性有机物无组织排放控制标准》（GB37822-2019）表A.1厂区内VOCs无组织排放限值要求（NMHC为10000μg/m³）。</w:t>
            </w:r>
          </w:p>
          <w:p w14:paraId="7776484D">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综上所述，项目所在地</w:t>
            </w:r>
            <w:r>
              <w:rPr>
                <w:rFonts w:cs="宋体"/>
                <w:bCs/>
                <w:color w:val="0D0D0D" w:themeColor="text1" w:themeTint="F2"/>
                <w:spacing w:val="-10"/>
                <w:sz w:val="24"/>
                <w14:textFill>
                  <w14:solidFill>
                    <w14:schemeClr w14:val="tx1">
                      <w14:lumMod w14:val="95000"/>
                      <w14:lumOff w14:val="5000"/>
                    </w14:schemeClr>
                  </w14:solidFill>
                </w14:textFill>
              </w:rPr>
              <w:t>属于达标区</w:t>
            </w:r>
            <w:r>
              <w:rPr>
                <w:rFonts w:hint="eastAsia" w:cs="宋体"/>
                <w:bCs/>
                <w:color w:val="0D0D0D" w:themeColor="text1" w:themeTint="F2"/>
                <w:spacing w:val="-10"/>
                <w:sz w:val="24"/>
                <w14:textFill>
                  <w14:solidFill>
                    <w14:schemeClr w14:val="tx1">
                      <w14:lumMod w14:val="95000"/>
                      <w14:lumOff w14:val="5000"/>
                    </w14:schemeClr>
                  </w14:solidFill>
                </w14:textFill>
              </w:rPr>
              <w:t>，在采取上述大气污染防治措施后，各废气污染物可达标排放，废气排放对区域大气环境影响不大。</w:t>
            </w:r>
          </w:p>
          <w:p w14:paraId="7775B8DC">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二、废水</w:t>
            </w:r>
          </w:p>
          <w:p w14:paraId="7A41C1A9">
            <w:pPr>
              <w:spacing w:line="360" w:lineRule="auto"/>
              <w:ind w:firstLine="482" w:firstLineChars="200"/>
              <w:rPr>
                <w:rFonts w:cs="宋体"/>
                <w:b/>
                <w:color w:val="0D0D0D" w:themeColor="text1" w:themeTint="F2"/>
                <w:sz w:val="24"/>
                <w14:textFill>
                  <w14:solidFill>
                    <w14:schemeClr w14:val="tx1">
                      <w14:lumMod w14:val="95000"/>
                      <w14:lumOff w14:val="5000"/>
                    </w14:schemeClr>
                  </w14:solidFill>
                </w14:textFill>
              </w:rPr>
            </w:pPr>
            <w:r>
              <w:rPr>
                <w:rFonts w:hint="eastAsia" w:cs="宋体"/>
                <w:b/>
                <w:color w:val="0D0D0D" w:themeColor="text1" w:themeTint="F2"/>
                <w:sz w:val="24"/>
                <w14:textFill>
                  <w14:solidFill>
                    <w14:schemeClr w14:val="tx1">
                      <w14:lumMod w14:val="95000"/>
                      <w14:lumOff w14:val="5000"/>
                    </w14:schemeClr>
                  </w14:solidFill>
                </w14:textFill>
              </w:rPr>
              <w:t>1、</w:t>
            </w:r>
            <w:r>
              <w:rPr>
                <w:rFonts w:cs="宋体"/>
                <w:b/>
                <w:color w:val="0D0D0D" w:themeColor="text1" w:themeTint="F2"/>
                <w:sz w:val="24"/>
                <w14:textFill>
                  <w14:solidFill>
                    <w14:schemeClr w14:val="tx1">
                      <w14:lumMod w14:val="95000"/>
                      <w14:lumOff w14:val="5000"/>
                    </w14:schemeClr>
                  </w14:solidFill>
                </w14:textFill>
              </w:rPr>
              <w:t>水污染物源强分析</w:t>
            </w:r>
          </w:p>
          <w:p w14:paraId="47AF6668">
            <w:pPr>
              <w:adjustRightInd w:val="0"/>
              <w:snapToGrid w:val="0"/>
              <w:spacing w:line="360" w:lineRule="auto"/>
              <w:ind w:firstLine="480" w:firstLineChars="200"/>
              <w:rPr>
                <w:rFonts w:cs="宋体"/>
                <w:bCs/>
                <w:color w:val="0D0D0D" w:themeColor="text1" w:themeTint="F2"/>
                <w:sz w:val="24"/>
                <w14:textFill>
                  <w14:solidFill>
                    <w14:schemeClr w14:val="tx1">
                      <w14:lumMod w14:val="95000"/>
                      <w14:lumOff w14:val="5000"/>
                    </w14:schemeClr>
                  </w14:solidFill>
                </w14:textFill>
              </w:rPr>
            </w:pPr>
            <w:r>
              <w:rPr>
                <w:rFonts w:hint="eastAsia" w:cs="宋体"/>
                <w:bCs/>
                <w:color w:val="0D0D0D" w:themeColor="text1" w:themeTint="F2"/>
                <w:sz w:val="24"/>
                <w14:textFill>
                  <w14:solidFill>
                    <w14:schemeClr w14:val="tx1">
                      <w14:lumMod w14:val="95000"/>
                      <w14:lumOff w14:val="5000"/>
                    </w14:schemeClr>
                  </w14:solidFill>
                </w14:textFill>
              </w:rPr>
              <w:t>项目运营期无生产废水产生，废水为生活污水。</w:t>
            </w:r>
          </w:p>
          <w:p w14:paraId="2EF880EB">
            <w:pPr>
              <w:spacing w:line="360" w:lineRule="auto"/>
              <w:ind w:firstLine="480" w:firstLineChars="200"/>
              <w:rPr>
                <w:bCs/>
                <w:color w:val="0D0D0D" w:themeColor="text1" w:themeTint="F2"/>
                <w:sz w:val="24"/>
                <w14:textFill>
                  <w14:solidFill>
                    <w14:schemeClr w14:val="tx1">
                      <w14:lumMod w14:val="95000"/>
                      <w14:lumOff w14:val="5000"/>
                    </w14:schemeClr>
                  </w14:solidFill>
                </w14:textFill>
              </w:rPr>
            </w:pPr>
            <w:r>
              <w:rPr>
                <w:rFonts w:hint="eastAsia"/>
                <w:bCs/>
                <w:color w:val="0D0D0D" w:themeColor="text1" w:themeTint="F2"/>
                <w:sz w:val="24"/>
                <w14:textFill>
                  <w14:solidFill>
                    <w14:schemeClr w14:val="tx1">
                      <w14:lumMod w14:val="95000"/>
                      <w14:lumOff w14:val="5000"/>
                    </w14:schemeClr>
                  </w14:solidFill>
                </w14:textFill>
              </w:rPr>
              <w:t>（</w:t>
            </w:r>
            <w:r>
              <w:rPr>
                <w:bCs/>
                <w:color w:val="0D0D0D" w:themeColor="text1" w:themeTint="F2"/>
                <w:sz w:val="24"/>
                <w14:textFill>
                  <w14:solidFill>
                    <w14:schemeClr w14:val="tx1">
                      <w14:lumMod w14:val="95000"/>
                      <w14:lumOff w14:val="5000"/>
                    </w14:schemeClr>
                  </w14:solidFill>
                </w14:textFill>
              </w:rPr>
              <w:t>1</w:t>
            </w:r>
            <w:r>
              <w:rPr>
                <w:rFonts w:hint="eastAsia"/>
                <w:bCs/>
                <w:color w:val="0D0D0D" w:themeColor="text1" w:themeTint="F2"/>
                <w:sz w:val="24"/>
                <w14:textFill>
                  <w14:solidFill>
                    <w14:schemeClr w14:val="tx1">
                      <w14:lumMod w14:val="95000"/>
                      <w14:lumOff w14:val="5000"/>
                    </w14:schemeClr>
                  </w14:solidFill>
                </w14:textFill>
              </w:rPr>
              <w:t>）</w:t>
            </w:r>
            <w:r>
              <w:rPr>
                <w:bCs/>
                <w:color w:val="0D0D0D" w:themeColor="text1" w:themeTint="F2"/>
                <w:sz w:val="24"/>
                <w14:textFill>
                  <w14:solidFill>
                    <w14:schemeClr w14:val="tx1">
                      <w14:lumMod w14:val="95000"/>
                      <w14:lumOff w14:val="5000"/>
                    </w14:schemeClr>
                  </w14:solidFill>
                </w14:textFill>
              </w:rPr>
              <w:t>生活污水</w:t>
            </w:r>
          </w:p>
          <w:p w14:paraId="0E7688BF">
            <w:pPr>
              <w:adjustRightInd w:val="0"/>
              <w:snapToGrid w:val="0"/>
              <w:spacing w:line="360" w:lineRule="auto"/>
              <w:ind w:firstLine="480" w:firstLineChars="200"/>
              <w:rPr>
                <w:bCs/>
                <w:color w:val="0D0D0D" w:themeColor="text1" w:themeTint="F2"/>
                <w:sz w:val="24"/>
                <w14:textFill>
                  <w14:solidFill>
                    <w14:schemeClr w14:val="tx1">
                      <w14:lumMod w14:val="95000"/>
                      <w14:lumOff w14:val="5000"/>
                    </w14:schemeClr>
                  </w14:solidFill>
                </w14:textFill>
              </w:rPr>
            </w:pPr>
            <w:r>
              <w:rPr>
                <w:rFonts w:hint="eastAsia"/>
                <w:bCs/>
                <w:color w:val="0D0D0D" w:themeColor="text1" w:themeTint="F2"/>
                <w:sz w:val="24"/>
                <w14:textFill>
                  <w14:solidFill>
                    <w14:schemeClr w14:val="tx1">
                      <w14:lumMod w14:val="95000"/>
                      <w14:lumOff w14:val="5000"/>
                    </w14:schemeClr>
                  </w14:solidFill>
                </w14:textFill>
              </w:rPr>
              <w:t>由上文水平衡分析可知，项目</w:t>
            </w:r>
            <w:r>
              <w:rPr>
                <w:bCs/>
                <w:color w:val="0D0D0D" w:themeColor="text1" w:themeTint="F2"/>
                <w:sz w:val="24"/>
                <w14:textFill>
                  <w14:solidFill>
                    <w14:schemeClr w14:val="tx1">
                      <w14:lumMod w14:val="95000"/>
                      <w14:lumOff w14:val="5000"/>
                    </w14:schemeClr>
                  </w14:solidFill>
                </w14:textFill>
              </w:rPr>
              <w:t>生活污水产生量为</w:t>
            </w:r>
            <w:r>
              <w:rPr>
                <w:rFonts w:hint="eastAsia"/>
                <w:bCs/>
                <w:color w:val="0D0D0D" w:themeColor="text1" w:themeTint="F2"/>
                <w:sz w:val="24"/>
                <w14:textFill>
                  <w14:solidFill>
                    <w14:schemeClr w14:val="tx1">
                      <w14:lumMod w14:val="95000"/>
                      <w14:lumOff w14:val="5000"/>
                    </w14:schemeClr>
                  </w14:solidFill>
                </w14:textFill>
              </w:rPr>
              <w:t>3</w:t>
            </w:r>
            <w:r>
              <w:rPr>
                <w:bCs/>
                <w:color w:val="0D0D0D" w:themeColor="text1" w:themeTint="F2"/>
                <w:sz w:val="24"/>
                <w14:textFill>
                  <w14:solidFill>
                    <w14:schemeClr w14:val="tx1">
                      <w14:lumMod w14:val="95000"/>
                      <w14:lumOff w14:val="5000"/>
                    </w14:schemeClr>
                  </w14:solidFill>
                </w14:textFill>
              </w:rPr>
              <w:t>m</w:t>
            </w:r>
            <w:r>
              <w:rPr>
                <w:bCs/>
                <w:color w:val="0D0D0D" w:themeColor="text1" w:themeTint="F2"/>
                <w:sz w:val="24"/>
                <w:vertAlign w:val="superscript"/>
                <w14:textFill>
                  <w14:solidFill>
                    <w14:schemeClr w14:val="tx1">
                      <w14:lumMod w14:val="95000"/>
                      <w14:lumOff w14:val="5000"/>
                    </w14:schemeClr>
                  </w14:solidFill>
                </w14:textFill>
              </w:rPr>
              <w:t>3</w:t>
            </w:r>
            <w:r>
              <w:rPr>
                <w:bCs/>
                <w:color w:val="0D0D0D" w:themeColor="text1" w:themeTint="F2"/>
                <w:sz w:val="24"/>
                <w14:textFill>
                  <w14:solidFill>
                    <w14:schemeClr w14:val="tx1">
                      <w14:lumMod w14:val="95000"/>
                      <w14:lumOff w14:val="5000"/>
                    </w14:schemeClr>
                  </w14:solidFill>
                </w14:textFill>
              </w:rPr>
              <w:t>/d，</w:t>
            </w:r>
            <w:r>
              <w:rPr>
                <w:rFonts w:hint="eastAsia"/>
                <w:bCs/>
                <w:color w:val="0D0D0D" w:themeColor="text1" w:themeTint="F2"/>
                <w:sz w:val="24"/>
                <w14:textFill>
                  <w14:solidFill>
                    <w14:schemeClr w14:val="tx1">
                      <w14:lumMod w14:val="95000"/>
                      <w14:lumOff w14:val="5000"/>
                    </w14:schemeClr>
                  </w14:solidFill>
                </w14:textFill>
              </w:rPr>
              <w:t>900</w:t>
            </w:r>
            <w:r>
              <w:rPr>
                <w:bCs/>
                <w:color w:val="0D0D0D" w:themeColor="text1" w:themeTint="F2"/>
                <w:sz w:val="24"/>
                <w14:textFill>
                  <w14:solidFill>
                    <w14:schemeClr w14:val="tx1">
                      <w14:lumMod w14:val="95000"/>
                      <w14:lumOff w14:val="5000"/>
                    </w14:schemeClr>
                  </w14:solidFill>
                </w14:textFill>
              </w:rPr>
              <w:t>m</w:t>
            </w:r>
            <w:r>
              <w:rPr>
                <w:bCs/>
                <w:color w:val="0D0D0D" w:themeColor="text1" w:themeTint="F2"/>
                <w:sz w:val="24"/>
                <w:vertAlign w:val="superscript"/>
                <w14:textFill>
                  <w14:solidFill>
                    <w14:schemeClr w14:val="tx1">
                      <w14:lumMod w14:val="95000"/>
                      <w14:lumOff w14:val="5000"/>
                    </w14:schemeClr>
                  </w14:solidFill>
                </w14:textFill>
              </w:rPr>
              <w:t>3</w:t>
            </w:r>
            <w:r>
              <w:rPr>
                <w:bCs/>
                <w:color w:val="0D0D0D" w:themeColor="text1" w:themeTint="F2"/>
                <w:sz w:val="24"/>
                <w14:textFill>
                  <w14:solidFill>
                    <w14:schemeClr w14:val="tx1">
                      <w14:lumMod w14:val="95000"/>
                      <w14:lumOff w14:val="5000"/>
                    </w14:schemeClr>
                  </w14:solidFill>
                </w14:textFill>
              </w:rPr>
              <w:t>/a</w:t>
            </w:r>
            <w:r>
              <w:rPr>
                <w:rFonts w:hint="eastAsia"/>
                <w:bCs/>
                <w:color w:val="0D0D0D" w:themeColor="text1" w:themeTint="F2"/>
                <w:sz w:val="24"/>
                <w14:textFill>
                  <w14:solidFill>
                    <w14:schemeClr w14:val="tx1">
                      <w14:lumMod w14:val="95000"/>
                      <w14:lumOff w14:val="5000"/>
                    </w14:schemeClr>
                  </w14:solidFill>
                </w14:textFill>
              </w:rPr>
              <w:t>，</w:t>
            </w:r>
            <w:r>
              <w:rPr>
                <w:bCs/>
                <w:color w:val="0D0D0D" w:themeColor="text1" w:themeTint="F2"/>
                <w:sz w:val="24"/>
                <w14:textFill>
                  <w14:solidFill>
                    <w14:schemeClr w14:val="tx1">
                      <w14:lumMod w14:val="95000"/>
                      <w14:lumOff w14:val="5000"/>
                    </w14:schemeClr>
                  </w14:solidFill>
                </w14:textFill>
              </w:rPr>
              <w:t>主要污染物为COD、BOD</w:t>
            </w:r>
            <w:r>
              <w:rPr>
                <w:bCs/>
                <w:color w:val="0D0D0D" w:themeColor="text1" w:themeTint="F2"/>
                <w:sz w:val="24"/>
                <w:vertAlign w:val="subscript"/>
                <w14:textFill>
                  <w14:solidFill>
                    <w14:schemeClr w14:val="tx1">
                      <w14:lumMod w14:val="95000"/>
                      <w14:lumOff w14:val="5000"/>
                    </w14:schemeClr>
                  </w14:solidFill>
                </w14:textFill>
              </w:rPr>
              <w:t>5</w:t>
            </w:r>
            <w:r>
              <w:rPr>
                <w:rFonts w:hint="eastAsia"/>
                <w:bCs/>
                <w:color w:val="0D0D0D" w:themeColor="text1" w:themeTint="F2"/>
                <w:sz w:val="24"/>
                <w14:textFill>
                  <w14:solidFill>
                    <w14:schemeClr w14:val="tx1">
                      <w14:lumMod w14:val="95000"/>
                      <w14:lumOff w14:val="5000"/>
                    </w14:schemeClr>
                  </w14:solidFill>
                </w14:textFill>
              </w:rPr>
              <w:t>、S</w:t>
            </w:r>
            <w:r>
              <w:rPr>
                <w:bCs/>
                <w:color w:val="0D0D0D" w:themeColor="text1" w:themeTint="F2"/>
                <w:sz w:val="24"/>
                <w14:textFill>
                  <w14:solidFill>
                    <w14:schemeClr w14:val="tx1">
                      <w14:lumMod w14:val="95000"/>
                      <w14:lumOff w14:val="5000"/>
                    </w14:schemeClr>
                  </w14:solidFill>
                </w14:textFill>
              </w:rPr>
              <w:t>S</w:t>
            </w:r>
            <w:r>
              <w:rPr>
                <w:rFonts w:hint="eastAsia"/>
                <w:bCs/>
                <w:color w:val="0D0D0D" w:themeColor="text1" w:themeTint="F2"/>
                <w:sz w:val="24"/>
                <w14:textFill>
                  <w14:solidFill>
                    <w14:schemeClr w14:val="tx1">
                      <w14:lumMod w14:val="95000"/>
                      <w14:lumOff w14:val="5000"/>
                    </w14:schemeClr>
                  </w14:solidFill>
                </w14:textFill>
              </w:rPr>
              <w:t>、</w:t>
            </w:r>
            <w:r>
              <w:rPr>
                <w:rFonts w:hint="eastAsia"/>
                <w:color w:val="0D0D0D" w:themeColor="text1" w:themeTint="F2"/>
                <w:sz w:val="24"/>
                <w14:textFill>
                  <w14:solidFill>
                    <w14:schemeClr w14:val="tx1">
                      <w14:lumMod w14:val="95000"/>
                      <w14:lumOff w14:val="5000"/>
                    </w14:schemeClr>
                  </w14:solidFill>
                </w14:textFill>
              </w:rPr>
              <w:t>NH</w:t>
            </w:r>
            <w:r>
              <w:rPr>
                <w:rFonts w:hint="eastAsia"/>
                <w:color w:val="0D0D0D" w:themeColor="text1" w:themeTint="F2"/>
                <w:sz w:val="24"/>
                <w:vertAlign w:val="subscript"/>
                <w14:textFill>
                  <w14:solidFill>
                    <w14:schemeClr w14:val="tx1">
                      <w14:lumMod w14:val="95000"/>
                      <w14:lumOff w14:val="5000"/>
                    </w14:schemeClr>
                  </w14:solidFill>
                </w14:textFill>
              </w:rPr>
              <w:t>3</w:t>
            </w:r>
            <w:r>
              <w:rPr>
                <w:rFonts w:hint="eastAsia"/>
                <w:color w:val="0D0D0D" w:themeColor="text1" w:themeTint="F2"/>
                <w:sz w:val="24"/>
                <w14:textFill>
                  <w14:solidFill>
                    <w14:schemeClr w14:val="tx1">
                      <w14:lumMod w14:val="95000"/>
                      <w14:lumOff w14:val="5000"/>
                    </w14:schemeClr>
                  </w14:solidFill>
                </w14:textFill>
              </w:rPr>
              <w:t>-N和动植物油</w:t>
            </w:r>
            <w:r>
              <w:rPr>
                <w:bCs/>
                <w:color w:val="0D0D0D" w:themeColor="text1" w:themeTint="F2"/>
                <w:sz w:val="24"/>
                <w14:textFill>
                  <w14:solidFill>
                    <w14:schemeClr w14:val="tx1">
                      <w14:lumMod w14:val="95000"/>
                      <w14:lumOff w14:val="5000"/>
                    </w14:schemeClr>
                  </w14:solidFill>
                </w14:textFill>
              </w:rPr>
              <w:t>，</w:t>
            </w:r>
            <w:r>
              <w:rPr>
                <w:rFonts w:hint="eastAsia"/>
                <w:bCs/>
                <w:color w:val="0D0D0D" w:themeColor="text1" w:themeTint="F2"/>
                <w:sz w:val="24"/>
                <w14:textFill>
                  <w14:solidFill>
                    <w14:schemeClr w14:val="tx1">
                      <w14:lumMod w14:val="95000"/>
                      <w14:lumOff w14:val="5000"/>
                    </w14:schemeClr>
                  </w14:solidFill>
                </w14:textFill>
              </w:rPr>
              <w:t>生活污水经三级化粪池处理后排入园区市政污水管网，由钦州胜科水务有限公司污水处理厂进一步处理，不外排。</w:t>
            </w:r>
          </w:p>
          <w:p w14:paraId="6C3C297B">
            <w:pPr>
              <w:adjustRightInd w:val="0"/>
              <w:snapToGrid w:val="0"/>
              <w:spacing w:line="360" w:lineRule="auto"/>
              <w:ind w:firstLine="480" w:firstLineChars="200"/>
              <w:rPr>
                <w:bCs/>
                <w:color w:val="0D0D0D" w:themeColor="text1" w:themeTint="F2"/>
                <w:sz w:val="24"/>
                <w14:textFill>
                  <w14:solidFill>
                    <w14:schemeClr w14:val="tx1">
                      <w14:lumMod w14:val="95000"/>
                      <w14:lumOff w14:val="5000"/>
                    </w14:schemeClr>
                  </w14:solidFill>
                </w14:textFill>
              </w:rPr>
            </w:pPr>
            <w:r>
              <w:rPr>
                <w:rFonts w:hint="eastAsia"/>
                <w:bCs/>
                <w:color w:val="0D0D0D" w:themeColor="text1" w:themeTint="F2"/>
                <w:sz w:val="24"/>
                <w14:textFill>
                  <w14:solidFill>
                    <w14:schemeClr w14:val="tx1">
                      <w14:lumMod w14:val="95000"/>
                      <w14:lumOff w14:val="5000"/>
                    </w14:schemeClr>
                  </w14:solidFill>
                </w14:textFill>
              </w:rPr>
              <w:t>生</w:t>
            </w:r>
            <w:r>
              <w:rPr>
                <w:bCs/>
                <w:color w:val="0D0D0D" w:themeColor="text1" w:themeTint="F2"/>
                <w:sz w:val="24"/>
                <w14:textFill>
                  <w14:solidFill>
                    <w14:schemeClr w14:val="tx1">
                      <w14:lumMod w14:val="95000"/>
                      <w14:lumOff w14:val="5000"/>
                    </w14:schemeClr>
                  </w14:solidFill>
                </w14:textFill>
              </w:rPr>
              <w:t>活污水污染物浓度参照《环境影响评价工程师职业资格登记培训教材</w:t>
            </w:r>
            <w:r>
              <w:rPr>
                <w:rFonts w:hint="eastAsia"/>
                <w:bCs/>
                <w:color w:val="0D0D0D" w:themeColor="text1" w:themeTint="F2"/>
                <w:sz w:val="24"/>
                <w14:textFill>
                  <w14:solidFill>
                    <w14:schemeClr w14:val="tx1">
                      <w14:lumMod w14:val="95000"/>
                      <w14:lumOff w14:val="5000"/>
                    </w14:schemeClr>
                  </w14:solidFill>
                </w14:textFill>
              </w:rPr>
              <w:t>-</w:t>
            </w:r>
            <w:r>
              <w:rPr>
                <w:bCs/>
                <w:color w:val="0D0D0D" w:themeColor="text1" w:themeTint="F2"/>
                <w:sz w:val="24"/>
                <w14:textFill>
                  <w14:solidFill>
                    <w14:schemeClr w14:val="tx1">
                      <w14:lumMod w14:val="95000"/>
                      <w14:lumOff w14:val="5000"/>
                    </w14:schemeClr>
                  </w14:solidFill>
                </w14:textFill>
              </w:rPr>
              <w:t>社会区域类环境影响评价（2007版）》</w:t>
            </w:r>
            <w:r>
              <w:rPr>
                <w:rFonts w:hint="eastAsia"/>
                <w:bCs/>
                <w:color w:val="0D0D0D" w:themeColor="text1" w:themeTint="F2"/>
                <w:sz w:val="24"/>
                <w14:textFill>
                  <w14:solidFill>
                    <w14:schemeClr w14:val="tx1">
                      <w14:lumMod w14:val="95000"/>
                      <w14:lumOff w14:val="5000"/>
                    </w14:schemeClr>
                  </w14:solidFill>
                </w14:textFill>
              </w:rPr>
              <w:t>进行核算，根据《</w:t>
            </w:r>
            <w:r>
              <w:rPr>
                <w:bCs/>
                <w:color w:val="0D0D0D" w:themeColor="text1" w:themeTint="F2"/>
                <w:sz w:val="24"/>
                <w14:textFill>
                  <w14:solidFill>
                    <w14:schemeClr w14:val="tx1">
                      <w14:lumMod w14:val="95000"/>
                      <w14:lumOff w14:val="5000"/>
                    </w14:schemeClr>
                  </w14:solidFill>
                </w14:textFill>
              </w:rPr>
              <w:t>村镇生活污染防治最佳可行技术指南（试行）</w:t>
            </w:r>
            <w:r>
              <w:rPr>
                <w:rFonts w:hint="eastAsia"/>
                <w:bCs/>
                <w:color w:val="0D0D0D" w:themeColor="text1" w:themeTint="F2"/>
                <w:sz w:val="24"/>
                <w14:textFill>
                  <w14:solidFill>
                    <w14:schemeClr w14:val="tx1">
                      <w14:lumMod w14:val="95000"/>
                      <w14:lumOff w14:val="5000"/>
                    </w14:schemeClr>
                  </w14:solidFill>
                </w14:textFill>
              </w:rPr>
              <w:t>》（</w:t>
            </w:r>
            <w:r>
              <w:rPr>
                <w:bCs/>
                <w:color w:val="0D0D0D" w:themeColor="text1" w:themeTint="F2"/>
                <w:sz w:val="24"/>
                <w14:textFill>
                  <w14:solidFill>
                    <w14:schemeClr w14:val="tx1">
                      <w14:lumMod w14:val="95000"/>
                      <w14:lumOff w14:val="5000"/>
                    </w14:schemeClr>
                  </w14:solidFill>
                </w14:textFill>
              </w:rPr>
              <w:t>HJ-BAT-9</w:t>
            </w:r>
            <w:r>
              <w:rPr>
                <w:rFonts w:hint="eastAsia"/>
                <w:bCs/>
                <w:color w:val="0D0D0D" w:themeColor="text1" w:themeTint="F2"/>
                <w:sz w:val="24"/>
                <w14:textFill>
                  <w14:solidFill>
                    <w14:schemeClr w14:val="tx1">
                      <w14:lumMod w14:val="95000"/>
                      <w14:lumOff w14:val="5000"/>
                    </w14:schemeClr>
                  </w14:solidFill>
                </w14:textFill>
              </w:rPr>
              <w:t>）4</w:t>
            </w:r>
            <w:r>
              <w:rPr>
                <w:bCs/>
                <w:color w:val="0D0D0D" w:themeColor="text1" w:themeTint="F2"/>
                <w:sz w:val="24"/>
                <w14:textFill>
                  <w14:solidFill>
                    <w14:schemeClr w14:val="tx1">
                      <w14:lumMod w14:val="95000"/>
                      <w14:lumOff w14:val="5000"/>
                    </w14:schemeClr>
                  </w14:solidFill>
                </w14:textFill>
              </w:rPr>
              <w:t>.1.3</w:t>
            </w:r>
            <w:r>
              <w:rPr>
                <w:rFonts w:hint="eastAsia"/>
                <w:bCs/>
                <w:color w:val="0D0D0D" w:themeColor="text1" w:themeTint="F2"/>
                <w:sz w:val="24"/>
                <w14:textFill>
                  <w14:solidFill>
                    <w14:schemeClr w14:val="tx1">
                      <w14:lumMod w14:val="95000"/>
                      <w14:lumOff w14:val="5000"/>
                    </w14:schemeClr>
                  </w14:solidFill>
                </w14:textFill>
              </w:rPr>
              <w:t>及类比分析，</w:t>
            </w:r>
            <w:r>
              <w:rPr>
                <w:bCs/>
                <w:color w:val="0D0D0D" w:themeColor="text1" w:themeTint="F2"/>
                <w:sz w:val="24"/>
                <w14:textFill>
                  <w14:solidFill>
                    <w14:schemeClr w14:val="tx1">
                      <w14:lumMod w14:val="95000"/>
                      <w14:lumOff w14:val="5000"/>
                    </w14:schemeClr>
                  </w14:solidFill>
                </w14:textFill>
              </w:rPr>
              <w:t>化粪池对污染物的去除效率</w:t>
            </w:r>
            <w:r>
              <w:rPr>
                <w:rFonts w:hint="eastAsia"/>
                <w:bCs/>
                <w:color w:val="0D0D0D" w:themeColor="text1" w:themeTint="F2"/>
                <w:sz w:val="24"/>
                <w14:textFill>
                  <w14:solidFill>
                    <w14:schemeClr w14:val="tx1">
                      <w14:lumMod w14:val="95000"/>
                      <w14:lumOff w14:val="5000"/>
                    </w14:schemeClr>
                  </w14:solidFill>
                </w14:textFill>
              </w:rPr>
              <w:t>为</w:t>
            </w:r>
            <w:r>
              <w:rPr>
                <w:bCs/>
                <w:color w:val="0D0D0D" w:themeColor="text1" w:themeTint="F2"/>
                <w:sz w:val="24"/>
                <w14:textFill>
                  <w14:solidFill>
                    <w14:schemeClr w14:val="tx1">
                      <w14:lumMod w14:val="95000"/>
                      <w14:lumOff w14:val="5000"/>
                    </w14:schemeClr>
                  </w14:solidFill>
                </w14:textFill>
              </w:rPr>
              <w:t>COD40%，</w:t>
            </w:r>
            <w:r>
              <w:rPr>
                <w:rFonts w:hint="eastAsia"/>
                <w:bCs/>
                <w:color w:val="0D0D0D" w:themeColor="text1" w:themeTint="F2"/>
                <w:sz w:val="24"/>
                <w14:textFill>
                  <w14:solidFill>
                    <w14:schemeClr w14:val="tx1">
                      <w14:lumMod w14:val="95000"/>
                      <w14:lumOff w14:val="5000"/>
                    </w14:schemeClr>
                  </w14:solidFill>
                </w14:textFill>
              </w:rPr>
              <w:t>B</w:t>
            </w:r>
            <w:r>
              <w:rPr>
                <w:bCs/>
                <w:color w:val="0D0D0D" w:themeColor="text1" w:themeTint="F2"/>
                <w:sz w:val="24"/>
                <w14:textFill>
                  <w14:solidFill>
                    <w14:schemeClr w14:val="tx1">
                      <w14:lumMod w14:val="95000"/>
                      <w14:lumOff w14:val="5000"/>
                    </w14:schemeClr>
                  </w14:solidFill>
                </w14:textFill>
              </w:rPr>
              <w:t>OD</w:t>
            </w:r>
            <w:r>
              <w:rPr>
                <w:bCs/>
                <w:color w:val="0D0D0D" w:themeColor="text1" w:themeTint="F2"/>
                <w:sz w:val="24"/>
                <w:vertAlign w:val="subscript"/>
                <w14:textFill>
                  <w14:solidFill>
                    <w14:schemeClr w14:val="tx1">
                      <w14:lumMod w14:val="95000"/>
                      <w14:lumOff w14:val="5000"/>
                    </w14:schemeClr>
                  </w14:solidFill>
                </w14:textFill>
              </w:rPr>
              <w:t>5</w:t>
            </w:r>
            <w:r>
              <w:rPr>
                <w:bCs/>
                <w:color w:val="0D0D0D" w:themeColor="text1" w:themeTint="F2"/>
                <w:sz w:val="24"/>
                <w14:textFill>
                  <w14:solidFill>
                    <w14:schemeClr w14:val="tx1">
                      <w14:lumMod w14:val="95000"/>
                      <w14:lumOff w14:val="5000"/>
                    </w14:schemeClr>
                  </w14:solidFill>
                </w14:textFill>
              </w:rPr>
              <w:t>30%</w:t>
            </w:r>
            <w:r>
              <w:rPr>
                <w:rFonts w:hint="eastAsia"/>
                <w:bCs/>
                <w:color w:val="0D0D0D" w:themeColor="text1" w:themeTint="F2"/>
                <w:sz w:val="24"/>
                <w14:textFill>
                  <w14:solidFill>
                    <w14:schemeClr w14:val="tx1">
                      <w14:lumMod w14:val="95000"/>
                      <w14:lumOff w14:val="5000"/>
                    </w14:schemeClr>
                  </w14:solidFill>
                </w14:textFill>
              </w:rPr>
              <w:t>，</w:t>
            </w:r>
            <w:r>
              <w:rPr>
                <w:bCs/>
                <w:color w:val="0D0D0D" w:themeColor="text1" w:themeTint="F2"/>
                <w:sz w:val="24"/>
                <w14:textFill>
                  <w14:solidFill>
                    <w14:schemeClr w14:val="tx1">
                      <w14:lumMod w14:val="95000"/>
                      <w14:lumOff w14:val="5000"/>
                    </w14:schemeClr>
                  </w14:solidFill>
                </w14:textFill>
              </w:rPr>
              <w:t>SS60%，</w:t>
            </w:r>
            <w:r>
              <w:rPr>
                <w:rFonts w:hint="eastAsia"/>
                <w:bCs/>
                <w:color w:val="0D0D0D" w:themeColor="text1" w:themeTint="F2"/>
                <w:sz w:val="24"/>
                <w14:textFill>
                  <w14:solidFill>
                    <w14:schemeClr w14:val="tx1">
                      <w14:lumMod w14:val="95000"/>
                      <w14:lumOff w14:val="5000"/>
                    </w14:schemeClr>
                  </w14:solidFill>
                </w14:textFill>
              </w:rPr>
              <w:t>氨氮</w:t>
            </w:r>
            <w:r>
              <w:rPr>
                <w:bCs/>
                <w:color w:val="0D0D0D" w:themeColor="text1" w:themeTint="F2"/>
                <w:sz w:val="24"/>
                <w14:textFill>
                  <w14:solidFill>
                    <w14:schemeClr w14:val="tx1">
                      <w14:lumMod w14:val="95000"/>
                      <w14:lumOff w14:val="5000"/>
                    </w14:schemeClr>
                  </w14:solidFill>
                </w14:textFill>
              </w:rPr>
              <w:t>0%。</w:t>
            </w:r>
          </w:p>
          <w:p w14:paraId="7468C4E6">
            <w:pPr>
              <w:adjustRightInd w:val="0"/>
              <w:snapToGrid w:val="0"/>
              <w:spacing w:line="360" w:lineRule="auto"/>
              <w:ind w:firstLine="480" w:firstLineChars="200"/>
              <w:rPr>
                <w:bCs/>
                <w:color w:val="0D0D0D" w:themeColor="text1" w:themeTint="F2"/>
                <w:sz w:val="24"/>
                <w14:textFill>
                  <w14:solidFill>
                    <w14:schemeClr w14:val="tx1">
                      <w14:lumMod w14:val="95000"/>
                      <w14:lumOff w14:val="5000"/>
                    </w14:schemeClr>
                  </w14:solidFill>
                </w14:textFill>
              </w:rPr>
            </w:pPr>
            <w:r>
              <w:rPr>
                <w:rFonts w:hint="eastAsia"/>
                <w:bCs/>
                <w:color w:val="0D0D0D" w:themeColor="text1" w:themeTint="F2"/>
                <w:sz w:val="24"/>
                <w14:textFill>
                  <w14:solidFill>
                    <w14:schemeClr w14:val="tx1">
                      <w14:lumMod w14:val="95000"/>
                      <w14:lumOff w14:val="5000"/>
                    </w14:schemeClr>
                  </w14:solidFill>
                </w14:textFill>
              </w:rPr>
              <w:t>项目生活污水污染物源强核算详见表4</w:t>
            </w:r>
            <w:r>
              <w:rPr>
                <w:bCs/>
                <w:color w:val="0D0D0D" w:themeColor="text1" w:themeTint="F2"/>
                <w:sz w:val="24"/>
                <w14:textFill>
                  <w14:solidFill>
                    <w14:schemeClr w14:val="tx1">
                      <w14:lumMod w14:val="95000"/>
                      <w14:lumOff w14:val="5000"/>
                    </w14:schemeClr>
                  </w14:solidFill>
                </w14:textFill>
              </w:rPr>
              <w:t>-</w:t>
            </w:r>
            <w:r>
              <w:rPr>
                <w:rFonts w:hint="eastAsia"/>
                <w:bCs/>
                <w:color w:val="0D0D0D" w:themeColor="text1" w:themeTint="F2"/>
                <w:sz w:val="24"/>
                <w14:textFill>
                  <w14:solidFill>
                    <w14:schemeClr w14:val="tx1">
                      <w14:lumMod w14:val="95000"/>
                      <w14:lumOff w14:val="5000"/>
                    </w14:schemeClr>
                  </w14:solidFill>
                </w14:textFill>
              </w:rPr>
              <w:t>13。</w:t>
            </w:r>
          </w:p>
          <w:p w14:paraId="7256B0A0">
            <w:pPr>
              <w:adjustRightInd w:val="0"/>
              <w:snapToGrid w:val="0"/>
              <w:jc w:val="center"/>
              <w:rPr>
                <w:b/>
                <w:color w:val="0D0D0D" w:themeColor="text1" w:themeTint="F2"/>
                <w:szCs w:val="21"/>
                <w14:textFill>
                  <w14:solidFill>
                    <w14:schemeClr w14:val="tx1">
                      <w14:lumMod w14:val="95000"/>
                      <w14:lumOff w14:val="5000"/>
                    </w14:schemeClr>
                  </w14:solidFill>
                </w14:textFill>
              </w:rPr>
            </w:pPr>
            <w:r>
              <w:rPr>
                <w:rFonts w:hint="eastAsia"/>
                <w:b/>
                <w:color w:val="0D0D0D" w:themeColor="text1" w:themeTint="F2"/>
                <w:szCs w:val="21"/>
                <w14:textFill>
                  <w14:solidFill>
                    <w14:schemeClr w14:val="tx1">
                      <w14:lumMod w14:val="95000"/>
                      <w14:lumOff w14:val="5000"/>
                    </w14:schemeClr>
                  </w14:solidFill>
                </w14:textFill>
              </w:rPr>
              <w:t>表4-13</w:t>
            </w:r>
            <w:r>
              <w:rPr>
                <w:b/>
                <w:color w:val="0D0D0D" w:themeColor="text1" w:themeTint="F2"/>
                <w:szCs w:val="21"/>
                <w14:textFill>
                  <w14:solidFill>
                    <w14:schemeClr w14:val="tx1">
                      <w14:lumMod w14:val="95000"/>
                      <w14:lumOff w14:val="5000"/>
                    </w14:schemeClr>
                  </w14:solidFill>
                </w14:textFill>
              </w:rPr>
              <w:t xml:space="preserve">  </w:t>
            </w:r>
            <w:r>
              <w:rPr>
                <w:rFonts w:hint="eastAsia"/>
                <w:b/>
                <w:color w:val="0D0D0D" w:themeColor="text1" w:themeTint="F2"/>
                <w:szCs w:val="21"/>
                <w14:textFill>
                  <w14:solidFill>
                    <w14:schemeClr w14:val="tx1">
                      <w14:lumMod w14:val="95000"/>
                      <w14:lumOff w14:val="5000"/>
                    </w14:schemeClr>
                  </w14:solidFill>
                </w14:textFill>
              </w:rPr>
              <w:t>生活污水污染物源强核算一览表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51"/>
              <w:gridCol w:w="2513"/>
              <w:gridCol w:w="897"/>
              <w:gridCol w:w="949"/>
              <w:gridCol w:w="897"/>
              <w:gridCol w:w="1054"/>
            </w:tblGrid>
            <w:tr w14:paraId="7E8EC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1" w:type="pct"/>
                  <w:vMerge w:val="restart"/>
                  <w:vAlign w:val="center"/>
                </w:tcPr>
                <w:p w14:paraId="02C2DABF">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废水量（</w:t>
                  </w:r>
                  <w:r>
                    <w:rPr>
                      <w:bCs/>
                      <w:color w:val="0D0D0D" w:themeColor="text1" w:themeTint="F2"/>
                      <w:szCs w:val="21"/>
                      <w14:textFill>
                        <w14:solidFill>
                          <w14:schemeClr w14:val="tx1">
                            <w14:lumMod w14:val="95000"/>
                            <w14:lumOff w14:val="5000"/>
                          </w14:schemeClr>
                        </w14:solidFill>
                      </w14:textFill>
                    </w:rPr>
                    <w:t>m</w:t>
                  </w:r>
                  <w:r>
                    <w:rPr>
                      <w:bCs/>
                      <w:color w:val="0D0D0D" w:themeColor="text1" w:themeTint="F2"/>
                      <w:szCs w:val="21"/>
                      <w:vertAlign w:val="superscript"/>
                      <w14:textFill>
                        <w14:solidFill>
                          <w14:schemeClr w14:val="tx1">
                            <w14:lumMod w14:val="95000"/>
                            <w14:lumOff w14:val="5000"/>
                          </w14:schemeClr>
                        </w14:solidFill>
                      </w14:textFill>
                    </w:rPr>
                    <w:t>3</w:t>
                  </w:r>
                  <w:r>
                    <w:rPr>
                      <w:bCs/>
                      <w:color w:val="0D0D0D" w:themeColor="text1" w:themeTint="F2"/>
                      <w:szCs w:val="21"/>
                      <w14:textFill>
                        <w14:solidFill>
                          <w14:schemeClr w14:val="tx1">
                            <w14:lumMod w14:val="95000"/>
                            <w14:lumOff w14:val="5000"/>
                          </w14:schemeClr>
                        </w14:solidFill>
                      </w14:textFill>
                    </w:rPr>
                    <w:t>/a</w:t>
                  </w:r>
                  <w:r>
                    <w:rPr>
                      <w:rFonts w:hint="eastAsia"/>
                      <w:color w:val="0D0D0D" w:themeColor="text1" w:themeTint="F2"/>
                      <w:szCs w:val="21"/>
                      <w14:textFill>
                        <w14:solidFill>
                          <w14:schemeClr w14:val="tx1">
                            <w14:lumMod w14:val="95000"/>
                            <w14:lumOff w14:val="5000"/>
                          </w14:schemeClr>
                        </w14:solidFill>
                      </w14:textFill>
                    </w:rPr>
                    <w:t>）</w:t>
                  </w:r>
                </w:p>
              </w:tc>
              <w:tc>
                <w:tcPr>
                  <w:tcW w:w="1485" w:type="pct"/>
                  <w:vMerge w:val="restart"/>
                  <w:vAlign w:val="center"/>
                </w:tcPr>
                <w:p w14:paraId="084E852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项目</w:t>
                  </w:r>
                </w:p>
              </w:tc>
              <w:tc>
                <w:tcPr>
                  <w:tcW w:w="2245" w:type="pct"/>
                  <w:gridSpan w:val="4"/>
                  <w:vAlign w:val="center"/>
                </w:tcPr>
                <w:p w14:paraId="47576371">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污染物</w:t>
                  </w:r>
                </w:p>
              </w:tc>
            </w:tr>
            <w:tr w14:paraId="5FAF8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1" w:type="pct"/>
                  <w:vMerge w:val="continue"/>
                  <w:vAlign w:val="center"/>
                </w:tcPr>
                <w:p w14:paraId="464CD903">
                  <w:pPr>
                    <w:jc w:val="center"/>
                    <w:rPr>
                      <w:color w:val="0D0D0D" w:themeColor="text1" w:themeTint="F2"/>
                      <w:szCs w:val="21"/>
                      <w14:textFill>
                        <w14:solidFill>
                          <w14:schemeClr w14:val="tx1">
                            <w14:lumMod w14:val="95000"/>
                            <w14:lumOff w14:val="5000"/>
                          </w14:schemeClr>
                        </w14:solidFill>
                      </w14:textFill>
                    </w:rPr>
                  </w:pPr>
                </w:p>
              </w:tc>
              <w:tc>
                <w:tcPr>
                  <w:tcW w:w="1485" w:type="pct"/>
                  <w:vMerge w:val="continue"/>
                  <w:vAlign w:val="center"/>
                </w:tcPr>
                <w:p w14:paraId="0D2E2AEC">
                  <w:pPr>
                    <w:jc w:val="center"/>
                    <w:rPr>
                      <w:color w:val="0D0D0D" w:themeColor="text1" w:themeTint="F2"/>
                      <w:szCs w:val="21"/>
                      <w14:textFill>
                        <w14:solidFill>
                          <w14:schemeClr w14:val="tx1">
                            <w14:lumMod w14:val="95000"/>
                            <w14:lumOff w14:val="5000"/>
                          </w14:schemeClr>
                        </w14:solidFill>
                      </w14:textFill>
                    </w:rPr>
                  </w:pPr>
                </w:p>
              </w:tc>
              <w:tc>
                <w:tcPr>
                  <w:tcW w:w="530" w:type="pct"/>
                  <w:vAlign w:val="center"/>
                </w:tcPr>
                <w:p w14:paraId="3F31699D">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COD</w:t>
                  </w:r>
                </w:p>
              </w:tc>
              <w:tc>
                <w:tcPr>
                  <w:tcW w:w="561" w:type="pct"/>
                  <w:vAlign w:val="center"/>
                </w:tcPr>
                <w:p w14:paraId="65AD899E">
                  <w:pPr>
                    <w:jc w:val="center"/>
                    <w:rPr>
                      <w:color w:val="0D0D0D" w:themeColor="text1" w:themeTint="F2"/>
                      <w:szCs w:val="21"/>
                      <w:vertAlign w:val="subscript"/>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BOD</w:t>
                  </w:r>
                  <w:r>
                    <w:rPr>
                      <w:rFonts w:hint="eastAsia"/>
                      <w:color w:val="0D0D0D" w:themeColor="text1" w:themeTint="F2"/>
                      <w:szCs w:val="21"/>
                      <w:vertAlign w:val="subscript"/>
                      <w14:textFill>
                        <w14:solidFill>
                          <w14:schemeClr w14:val="tx1">
                            <w14:lumMod w14:val="95000"/>
                            <w14:lumOff w14:val="5000"/>
                          </w14:schemeClr>
                        </w14:solidFill>
                      </w14:textFill>
                    </w:rPr>
                    <w:t>5</w:t>
                  </w:r>
                </w:p>
              </w:tc>
              <w:tc>
                <w:tcPr>
                  <w:tcW w:w="530" w:type="pct"/>
                  <w:vAlign w:val="center"/>
                </w:tcPr>
                <w:p w14:paraId="4D856D9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SS</w:t>
                  </w:r>
                </w:p>
              </w:tc>
              <w:tc>
                <w:tcPr>
                  <w:tcW w:w="624" w:type="pct"/>
                  <w:vAlign w:val="center"/>
                </w:tcPr>
                <w:p w14:paraId="12C9B849">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NH</w:t>
                  </w:r>
                  <w:r>
                    <w:rPr>
                      <w:rFonts w:hint="eastAsia"/>
                      <w:color w:val="0D0D0D" w:themeColor="text1" w:themeTint="F2"/>
                      <w:szCs w:val="21"/>
                      <w:vertAlign w:val="subscript"/>
                      <w14:textFill>
                        <w14:solidFill>
                          <w14:schemeClr w14:val="tx1">
                            <w14:lumMod w14:val="95000"/>
                            <w14:lumOff w14:val="5000"/>
                          </w14:schemeClr>
                        </w14:solidFill>
                      </w14:textFill>
                    </w:rPr>
                    <w:t>3</w:t>
                  </w:r>
                  <w:r>
                    <w:rPr>
                      <w:rFonts w:hint="eastAsia"/>
                      <w:color w:val="0D0D0D" w:themeColor="text1" w:themeTint="F2"/>
                      <w:szCs w:val="21"/>
                      <w14:textFill>
                        <w14:solidFill>
                          <w14:schemeClr w14:val="tx1">
                            <w14:lumMod w14:val="95000"/>
                            <w14:lumOff w14:val="5000"/>
                          </w14:schemeClr>
                        </w14:solidFill>
                      </w14:textFill>
                    </w:rPr>
                    <w:t>-N</w:t>
                  </w:r>
                </w:p>
              </w:tc>
            </w:tr>
            <w:tr w14:paraId="0F368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1" w:type="pct"/>
                  <w:vMerge w:val="restart"/>
                  <w:vAlign w:val="center"/>
                </w:tcPr>
                <w:p w14:paraId="6B45CB05">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900</w:t>
                  </w:r>
                </w:p>
              </w:tc>
              <w:tc>
                <w:tcPr>
                  <w:tcW w:w="1485" w:type="pct"/>
                  <w:vAlign w:val="center"/>
                </w:tcPr>
                <w:p w14:paraId="6F8A76B3">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产生浓度（mg/L）</w:t>
                  </w:r>
                </w:p>
              </w:tc>
              <w:tc>
                <w:tcPr>
                  <w:tcW w:w="530" w:type="pct"/>
                  <w:vAlign w:val="center"/>
                </w:tcPr>
                <w:p w14:paraId="2DF8A2D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300</w:t>
                  </w:r>
                </w:p>
              </w:tc>
              <w:tc>
                <w:tcPr>
                  <w:tcW w:w="561" w:type="pct"/>
                  <w:vAlign w:val="center"/>
                </w:tcPr>
                <w:p w14:paraId="368C0F03">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200</w:t>
                  </w:r>
                </w:p>
              </w:tc>
              <w:tc>
                <w:tcPr>
                  <w:tcW w:w="530" w:type="pct"/>
                  <w:vAlign w:val="center"/>
                </w:tcPr>
                <w:p w14:paraId="3628B810">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200</w:t>
                  </w:r>
                </w:p>
              </w:tc>
              <w:tc>
                <w:tcPr>
                  <w:tcW w:w="624" w:type="pct"/>
                  <w:vAlign w:val="center"/>
                </w:tcPr>
                <w:p w14:paraId="532A0CB6">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30</w:t>
                  </w:r>
                </w:p>
              </w:tc>
            </w:tr>
            <w:tr w14:paraId="4C8F5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1" w:type="pct"/>
                  <w:vMerge w:val="continue"/>
                  <w:vAlign w:val="center"/>
                </w:tcPr>
                <w:p w14:paraId="39C805F5">
                  <w:pPr>
                    <w:jc w:val="center"/>
                    <w:rPr>
                      <w:color w:val="0D0D0D" w:themeColor="text1" w:themeTint="F2"/>
                      <w:szCs w:val="21"/>
                      <w14:textFill>
                        <w14:solidFill>
                          <w14:schemeClr w14:val="tx1">
                            <w14:lumMod w14:val="95000"/>
                            <w14:lumOff w14:val="5000"/>
                          </w14:schemeClr>
                        </w14:solidFill>
                      </w14:textFill>
                    </w:rPr>
                  </w:pPr>
                </w:p>
              </w:tc>
              <w:tc>
                <w:tcPr>
                  <w:tcW w:w="1485" w:type="pct"/>
                  <w:vAlign w:val="center"/>
                </w:tcPr>
                <w:p w14:paraId="49996C4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产生量（t/a）</w:t>
                  </w:r>
                </w:p>
              </w:tc>
              <w:tc>
                <w:tcPr>
                  <w:tcW w:w="530" w:type="pct"/>
                  <w:vAlign w:val="center"/>
                </w:tcPr>
                <w:p w14:paraId="1DDAFB2B">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0.27</w:t>
                  </w:r>
                </w:p>
              </w:tc>
              <w:tc>
                <w:tcPr>
                  <w:tcW w:w="561" w:type="pct"/>
                  <w:vAlign w:val="center"/>
                </w:tcPr>
                <w:p w14:paraId="74E2564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0.18</w:t>
                  </w:r>
                </w:p>
              </w:tc>
              <w:tc>
                <w:tcPr>
                  <w:tcW w:w="530" w:type="pct"/>
                  <w:vAlign w:val="center"/>
                </w:tcPr>
                <w:p w14:paraId="2A147101">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0.18</w:t>
                  </w:r>
                </w:p>
              </w:tc>
              <w:tc>
                <w:tcPr>
                  <w:tcW w:w="624" w:type="pct"/>
                  <w:vAlign w:val="center"/>
                </w:tcPr>
                <w:p w14:paraId="6D40086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0.03</w:t>
                  </w:r>
                </w:p>
              </w:tc>
            </w:tr>
            <w:tr w14:paraId="25BA4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1" w:type="pct"/>
                  <w:vMerge w:val="continue"/>
                  <w:vAlign w:val="center"/>
                </w:tcPr>
                <w:p w14:paraId="330FD5DA">
                  <w:pPr>
                    <w:jc w:val="center"/>
                    <w:rPr>
                      <w:color w:val="0D0D0D" w:themeColor="text1" w:themeTint="F2"/>
                      <w:szCs w:val="21"/>
                      <w14:textFill>
                        <w14:solidFill>
                          <w14:schemeClr w14:val="tx1">
                            <w14:lumMod w14:val="95000"/>
                            <w14:lumOff w14:val="5000"/>
                          </w14:schemeClr>
                        </w14:solidFill>
                      </w14:textFill>
                    </w:rPr>
                  </w:pPr>
                </w:p>
              </w:tc>
              <w:tc>
                <w:tcPr>
                  <w:tcW w:w="1485" w:type="pct"/>
                  <w:vAlign w:val="center"/>
                </w:tcPr>
                <w:p w14:paraId="018BD06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治理措施</w:t>
                  </w:r>
                </w:p>
              </w:tc>
              <w:tc>
                <w:tcPr>
                  <w:tcW w:w="2245" w:type="pct"/>
                  <w:gridSpan w:val="4"/>
                  <w:vAlign w:val="center"/>
                </w:tcPr>
                <w:p w14:paraId="6BC5FE50">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三级化粪池</w:t>
                  </w:r>
                </w:p>
              </w:tc>
            </w:tr>
            <w:tr w14:paraId="797FC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1" w:type="pct"/>
                  <w:vMerge w:val="continue"/>
                  <w:vAlign w:val="center"/>
                </w:tcPr>
                <w:p w14:paraId="75E442B6">
                  <w:pPr>
                    <w:jc w:val="center"/>
                    <w:rPr>
                      <w:color w:val="0D0D0D" w:themeColor="text1" w:themeTint="F2"/>
                      <w:szCs w:val="21"/>
                      <w14:textFill>
                        <w14:solidFill>
                          <w14:schemeClr w14:val="tx1">
                            <w14:lumMod w14:val="95000"/>
                            <w14:lumOff w14:val="5000"/>
                          </w14:schemeClr>
                        </w14:solidFill>
                      </w14:textFill>
                    </w:rPr>
                  </w:pPr>
                </w:p>
              </w:tc>
              <w:tc>
                <w:tcPr>
                  <w:tcW w:w="1485" w:type="pct"/>
                  <w:vAlign w:val="center"/>
                </w:tcPr>
                <w:p w14:paraId="50E0457D">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去除率</w:t>
                  </w:r>
                </w:p>
              </w:tc>
              <w:tc>
                <w:tcPr>
                  <w:tcW w:w="530" w:type="pct"/>
                  <w:shd w:val="clear" w:color="auto" w:fill="auto"/>
                  <w:vAlign w:val="center"/>
                </w:tcPr>
                <w:p w14:paraId="46D6B28A">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40</w:t>
                  </w:r>
                </w:p>
              </w:tc>
              <w:tc>
                <w:tcPr>
                  <w:tcW w:w="561" w:type="pct"/>
                  <w:shd w:val="clear" w:color="auto" w:fill="auto"/>
                  <w:vAlign w:val="center"/>
                </w:tcPr>
                <w:p w14:paraId="358C21B7">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30</w:t>
                  </w:r>
                </w:p>
              </w:tc>
              <w:tc>
                <w:tcPr>
                  <w:tcW w:w="530" w:type="pct"/>
                  <w:shd w:val="clear" w:color="auto" w:fill="auto"/>
                  <w:vAlign w:val="center"/>
                </w:tcPr>
                <w:p w14:paraId="5BF62B31">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60</w:t>
                  </w:r>
                </w:p>
              </w:tc>
              <w:tc>
                <w:tcPr>
                  <w:tcW w:w="624" w:type="pct"/>
                  <w:shd w:val="clear" w:color="auto" w:fill="auto"/>
                  <w:vAlign w:val="center"/>
                </w:tcPr>
                <w:p w14:paraId="0DE3DC1B">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0</w:t>
                  </w:r>
                </w:p>
              </w:tc>
            </w:tr>
            <w:tr w14:paraId="67B13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1" w:type="pct"/>
                  <w:vMerge w:val="continue"/>
                  <w:vAlign w:val="center"/>
                </w:tcPr>
                <w:p w14:paraId="352DBAE9">
                  <w:pPr>
                    <w:jc w:val="center"/>
                    <w:rPr>
                      <w:color w:val="0D0D0D" w:themeColor="text1" w:themeTint="F2"/>
                      <w:szCs w:val="21"/>
                      <w14:textFill>
                        <w14:solidFill>
                          <w14:schemeClr w14:val="tx1">
                            <w14:lumMod w14:val="95000"/>
                            <w14:lumOff w14:val="5000"/>
                          </w14:schemeClr>
                        </w14:solidFill>
                      </w14:textFill>
                    </w:rPr>
                  </w:pPr>
                </w:p>
              </w:tc>
              <w:tc>
                <w:tcPr>
                  <w:tcW w:w="1485" w:type="pct"/>
                  <w:vAlign w:val="center"/>
                </w:tcPr>
                <w:p w14:paraId="36685DF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排放浓度（mg/L）</w:t>
                  </w:r>
                </w:p>
              </w:tc>
              <w:tc>
                <w:tcPr>
                  <w:tcW w:w="530" w:type="pct"/>
                  <w:vAlign w:val="center"/>
                </w:tcPr>
                <w:p w14:paraId="5CEA17C9">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180</w:t>
                  </w:r>
                </w:p>
              </w:tc>
              <w:tc>
                <w:tcPr>
                  <w:tcW w:w="561" w:type="pct"/>
                  <w:vAlign w:val="center"/>
                </w:tcPr>
                <w:p w14:paraId="1B9F5D4D">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140</w:t>
                  </w:r>
                </w:p>
              </w:tc>
              <w:tc>
                <w:tcPr>
                  <w:tcW w:w="530" w:type="pct"/>
                  <w:vAlign w:val="center"/>
                </w:tcPr>
                <w:p w14:paraId="4BCB204C">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80</w:t>
                  </w:r>
                </w:p>
              </w:tc>
              <w:tc>
                <w:tcPr>
                  <w:tcW w:w="624" w:type="pct"/>
                  <w:vAlign w:val="center"/>
                </w:tcPr>
                <w:p w14:paraId="4AA2EED5">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30</w:t>
                  </w:r>
                </w:p>
              </w:tc>
            </w:tr>
            <w:tr w14:paraId="4AC8A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1" w:type="pct"/>
                  <w:vMerge w:val="continue"/>
                  <w:vAlign w:val="center"/>
                </w:tcPr>
                <w:p w14:paraId="14CF49CE">
                  <w:pPr>
                    <w:jc w:val="center"/>
                    <w:rPr>
                      <w:color w:val="0D0D0D" w:themeColor="text1" w:themeTint="F2"/>
                      <w:szCs w:val="21"/>
                      <w14:textFill>
                        <w14:solidFill>
                          <w14:schemeClr w14:val="tx1">
                            <w14:lumMod w14:val="95000"/>
                            <w14:lumOff w14:val="5000"/>
                          </w14:schemeClr>
                        </w14:solidFill>
                      </w14:textFill>
                    </w:rPr>
                  </w:pPr>
                </w:p>
              </w:tc>
              <w:tc>
                <w:tcPr>
                  <w:tcW w:w="1485" w:type="pct"/>
                  <w:vAlign w:val="center"/>
                </w:tcPr>
                <w:p w14:paraId="6F4F15E3">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排放量（t/a）</w:t>
                  </w:r>
                </w:p>
              </w:tc>
              <w:tc>
                <w:tcPr>
                  <w:tcW w:w="530" w:type="pct"/>
                  <w:vAlign w:val="center"/>
                </w:tcPr>
                <w:p w14:paraId="48078C31">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0.16</w:t>
                  </w:r>
                </w:p>
              </w:tc>
              <w:tc>
                <w:tcPr>
                  <w:tcW w:w="561" w:type="pct"/>
                  <w:vAlign w:val="center"/>
                </w:tcPr>
                <w:p w14:paraId="649A0ED6">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0.13</w:t>
                  </w:r>
                </w:p>
              </w:tc>
              <w:tc>
                <w:tcPr>
                  <w:tcW w:w="530" w:type="pct"/>
                  <w:vAlign w:val="center"/>
                </w:tcPr>
                <w:p w14:paraId="05381C2F">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0.07</w:t>
                  </w:r>
                </w:p>
              </w:tc>
              <w:tc>
                <w:tcPr>
                  <w:tcW w:w="624" w:type="pct"/>
                  <w:vAlign w:val="center"/>
                </w:tcPr>
                <w:p w14:paraId="549DF4E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0.03</w:t>
                  </w:r>
                </w:p>
              </w:tc>
            </w:tr>
            <w:tr w14:paraId="66EC1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1" w:type="pct"/>
                  <w:vMerge w:val="continue"/>
                  <w:vAlign w:val="center"/>
                </w:tcPr>
                <w:p w14:paraId="6A119A2C">
                  <w:pPr>
                    <w:jc w:val="center"/>
                    <w:rPr>
                      <w:color w:val="0D0D0D" w:themeColor="text1" w:themeTint="F2"/>
                      <w:szCs w:val="21"/>
                      <w14:textFill>
                        <w14:solidFill>
                          <w14:schemeClr w14:val="tx1">
                            <w14:lumMod w14:val="95000"/>
                            <w14:lumOff w14:val="5000"/>
                          </w14:schemeClr>
                        </w14:solidFill>
                      </w14:textFill>
                    </w:rPr>
                  </w:pPr>
                </w:p>
              </w:tc>
              <w:tc>
                <w:tcPr>
                  <w:tcW w:w="1485" w:type="pct"/>
                  <w:vAlign w:val="center"/>
                </w:tcPr>
                <w:p w14:paraId="4054764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外排标准（mg/L）</w:t>
                  </w:r>
                </w:p>
              </w:tc>
              <w:tc>
                <w:tcPr>
                  <w:tcW w:w="530" w:type="pct"/>
                  <w:vAlign w:val="center"/>
                </w:tcPr>
                <w:p w14:paraId="0349878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500</w:t>
                  </w:r>
                </w:p>
              </w:tc>
              <w:tc>
                <w:tcPr>
                  <w:tcW w:w="561" w:type="pct"/>
                  <w:vAlign w:val="center"/>
                </w:tcPr>
                <w:p w14:paraId="36E075A5">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300</w:t>
                  </w:r>
                </w:p>
              </w:tc>
              <w:tc>
                <w:tcPr>
                  <w:tcW w:w="530" w:type="pct"/>
                  <w:vAlign w:val="center"/>
                </w:tcPr>
                <w:p w14:paraId="5C0E189A">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250</w:t>
                  </w:r>
                </w:p>
              </w:tc>
              <w:tc>
                <w:tcPr>
                  <w:tcW w:w="624" w:type="pct"/>
                  <w:vAlign w:val="center"/>
                </w:tcPr>
                <w:p w14:paraId="23D2BEBD">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50</w:t>
                  </w:r>
                </w:p>
              </w:tc>
            </w:tr>
            <w:tr w14:paraId="0F857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1" w:type="pct"/>
                  <w:vMerge w:val="continue"/>
                  <w:vAlign w:val="center"/>
                </w:tcPr>
                <w:p w14:paraId="008A18AB">
                  <w:pPr>
                    <w:jc w:val="center"/>
                    <w:rPr>
                      <w:color w:val="0D0D0D" w:themeColor="text1" w:themeTint="F2"/>
                      <w:szCs w:val="21"/>
                      <w14:textFill>
                        <w14:solidFill>
                          <w14:schemeClr w14:val="tx1">
                            <w14:lumMod w14:val="95000"/>
                            <w14:lumOff w14:val="5000"/>
                          </w14:schemeClr>
                        </w14:solidFill>
                      </w14:textFill>
                    </w:rPr>
                  </w:pPr>
                </w:p>
              </w:tc>
              <w:tc>
                <w:tcPr>
                  <w:tcW w:w="1485" w:type="pct"/>
                  <w:vAlign w:val="center"/>
                </w:tcPr>
                <w:p w14:paraId="4CE0FF29">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达标性</w:t>
                  </w:r>
                </w:p>
              </w:tc>
              <w:tc>
                <w:tcPr>
                  <w:tcW w:w="530" w:type="pct"/>
                  <w:vAlign w:val="center"/>
                </w:tcPr>
                <w:p w14:paraId="6EA993B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达标</w:t>
                  </w:r>
                </w:p>
              </w:tc>
              <w:tc>
                <w:tcPr>
                  <w:tcW w:w="561" w:type="pct"/>
                  <w:vAlign w:val="center"/>
                </w:tcPr>
                <w:p w14:paraId="7A94FE9D">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达标</w:t>
                  </w:r>
                </w:p>
              </w:tc>
              <w:tc>
                <w:tcPr>
                  <w:tcW w:w="530" w:type="pct"/>
                  <w:vAlign w:val="center"/>
                </w:tcPr>
                <w:p w14:paraId="40F8C825">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达标</w:t>
                  </w:r>
                </w:p>
              </w:tc>
              <w:tc>
                <w:tcPr>
                  <w:tcW w:w="624" w:type="pct"/>
                  <w:vAlign w:val="center"/>
                </w:tcPr>
                <w:p w14:paraId="2322F7B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达标</w:t>
                  </w:r>
                </w:p>
              </w:tc>
            </w:tr>
          </w:tbl>
          <w:p w14:paraId="0C240E99">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由上表可知，项目生活污水经三级化粪池处理后，可满足《污水综合排放标准》（GB8978-1996）三级标准和钦州胜科水务有限公司污水处理厂进水水质要求限值中较严值。</w:t>
            </w:r>
          </w:p>
          <w:p w14:paraId="664B26F0">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2、</w:t>
            </w:r>
            <w:r>
              <w:rPr>
                <w:rFonts w:cs="宋体"/>
                <w:b/>
                <w:color w:val="0D0D0D" w:themeColor="text1" w:themeTint="F2"/>
                <w:spacing w:val="-10"/>
                <w:sz w:val="24"/>
                <w14:textFill>
                  <w14:solidFill>
                    <w14:schemeClr w14:val="tx1">
                      <w14:lumMod w14:val="95000"/>
                      <w14:lumOff w14:val="5000"/>
                    </w14:schemeClr>
                  </w14:solidFill>
                </w14:textFill>
              </w:rPr>
              <w:t>水污染防治措施及可行性</w:t>
            </w:r>
          </w:p>
          <w:p w14:paraId="622EF215">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化粪池是处理粪便并加以过滤沉淀的设备，其原理是固化物在池底分解，上层的水化物体，进入管道流走，防治了管道堵塞，给固化物体（粪便等垃圾）有充足的时间水解，污水首先由进水口排到第一格，在第一格里比重较大的固体物及寄生虫卵等物沉淀下来，开始初步的发酵分解，经第一格处理过的污水可分为三层：糊状粪皮、比较澄清的粪液和固体状的粪渣。经过初步分解的粪液流入第二格，而漂浮在上面的粪皮和沉积在下面的粪渣则留在第一格继续发酵。在第二格中，粪液继续发酵分解，虫卵继续下沉，病原体逐渐死亡，粪液得到进一步无害化，产生的粪皮和粪渣厚度比第一格显著减少，流入第三格的粪液一般已经腐熟，其中病菌和寄生虫卵已基本杀灭。第三格功能主要起暂时储存已基本无害的粪液作用。</w:t>
            </w:r>
          </w:p>
          <w:p w14:paraId="3E09F9A7">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三级化粪池为《村镇生活污染防治最佳可行技术指南（试行）》（HJ-BAT-9）中列明的可行性技术，因此，项目采取的生活污水处理措施可行。</w:t>
            </w:r>
          </w:p>
          <w:p w14:paraId="1FBB5655">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3、依托污水处理厂可行性分析</w:t>
            </w:r>
          </w:p>
          <w:p w14:paraId="06303FD3">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（1）污水处理厂介绍</w:t>
            </w:r>
          </w:p>
          <w:p w14:paraId="70176152">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钦州港经济技术开发区石化产业园配套园区污水处理厂为钦州胜科水务有限公司污水处理厂，由钦州胜科水务有限公司负责运营，位于钦州市钦州港经济技术开发区果鹰大道8号，服务范围为钦州港工业区西区，服务对象为钦州港区石化配套产业废水、酒精废水、化工废水和生活污水等，排污许可证编号为</w:t>
            </w:r>
            <w:r>
              <w:rPr>
                <w:rFonts w:cs="宋体"/>
                <w:bCs/>
                <w:color w:val="0D0D0D" w:themeColor="text1" w:themeTint="F2"/>
                <w:spacing w:val="-10"/>
                <w:sz w:val="24"/>
                <w:u w:val="single"/>
                <w14:textFill>
                  <w14:solidFill>
                    <w14:schemeClr w14:val="tx1">
                      <w14:lumMod w14:val="95000"/>
                      <w14:lumOff w14:val="5000"/>
                    </w14:schemeClr>
                  </w14:solidFill>
                </w14:textFill>
              </w:rPr>
              <w:t>91450700552252839D001Q</w:t>
            </w:r>
            <w:r>
              <w:rPr>
                <w:rFonts w:hint="eastAsia" w:cs="宋体"/>
                <w:bCs/>
                <w:color w:val="0D0D0D" w:themeColor="text1" w:themeTint="F2"/>
                <w:spacing w:val="-10"/>
                <w:sz w:val="24"/>
                <w:u w:val="single"/>
                <w14:textFill>
                  <w14:solidFill>
                    <w14:schemeClr w14:val="tx1">
                      <w14:lumMod w14:val="95000"/>
                      <w14:lumOff w14:val="5000"/>
                    </w14:schemeClr>
                  </w14:solidFill>
                </w14:textFill>
              </w:rPr>
              <w:t>。污水处理厂设计建设规模为3万m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/d，规模分为A部分和B部分，目前已建A部分1.5万m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/d污水处理规模，B部分未建设。A部分1.5万m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/d污水处理工程已于2013年1月投入运营，2020年进行提标改造，目前运营规模为1.5万m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/d，尾水达到《污水综合排放标准》（GB8978-1996）一级标准和《石油化学工业污染物排放标准》（GB31571-2015）排放标准后通过深海排放管道引至金鼓江污水深海排放区（GX069DIV排污区）A1排放口排放。</w:t>
            </w:r>
          </w:p>
          <w:p w14:paraId="0729C248">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（2）管网接纳可行性分析</w:t>
            </w:r>
          </w:p>
          <w:p w14:paraId="680EE7D2">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根据现场踏勘，项目所在区域已敷设污水管网，通过管网排至钦州胜科水务有限公司污水处理厂处理是可行的。</w:t>
            </w:r>
          </w:p>
          <w:p w14:paraId="1EE04ED0">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（3）水量分析</w:t>
            </w:r>
          </w:p>
          <w:p w14:paraId="5B9DE2A0">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经调查，目前钦州胜科水务有限公司污水处理厂已无处理容量，无法接收园区新增废水，根据该污水处理厂提供的资料，目前二期扩建工程正在开展前期工作，已在广西投资项目在线审批监管平台上取得《钦州港胜科污水处理厂提标改造工程备案证明》，项目代码为2411-450704-04-02-187077，预计2026年初建成投产。</w:t>
            </w:r>
          </w:p>
          <w:p w14:paraId="1E3C4E24">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项目为已建项目，生活污水排水已纳入钦州胜科水务有限公司污水处理厂现有处理规模中，生活污水排水量为900m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/a，最大日排水量为3m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3</w:t>
            </w:r>
            <w:r>
              <w:rPr>
                <w:rFonts w:hint="eastAsia" w:cs="宋体"/>
                <w:bCs/>
                <w:color w:val="0D0D0D" w:themeColor="text1" w:themeTint="F2"/>
                <w:spacing w:val="-10"/>
                <w:sz w:val="24"/>
                <w:u w:val="single"/>
                <w14:textFill>
                  <w14:solidFill>
                    <w14:schemeClr w14:val="tx1">
                      <w14:lumMod w14:val="95000"/>
                      <w14:lumOff w14:val="5000"/>
                    </w14:schemeClr>
                  </w14:solidFill>
                </w14:textFill>
              </w:rPr>
              <w:t>/d，占钦州胜科水务有限公司污水处理厂现有处理能力的0.02%，占比较小，项目排水量不会对钦州胜科水务有限公司污水处理厂造成冲击。</w:t>
            </w:r>
          </w:p>
          <w:p w14:paraId="0A8E86FC">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（4）水质分析</w:t>
            </w:r>
          </w:p>
          <w:p w14:paraId="76E508B8">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项目生活污水主要污染物为</w:t>
            </w:r>
            <w:r>
              <w:rPr>
                <w:bCs/>
                <w:color w:val="0D0D0D" w:themeColor="text1" w:themeTint="F2"/>
                <w:sz w:val="24"/>
                <w:u w:val="single"/>
                <w14:textFill>
                  <w14:solidFill>
                    <w14:schemeClr w14:val="tx1">
                      <w14:lumMod w14:val="95000"/>
                      <w14:lumOff w14:val="5000"/>
                    </w14:schemeClr>
                  </w14:solidFill>
                </w14:textFill>
              </w:rPr>
              <w:t>COD、</w:t>
            </w:r>
            <w:r>
              <w:rPr>
                <w:rFonts w:hint="eastAsia"/>
                <w:bCs/>
                <w:color w:val="0D0D0D" w:themeColor="text1" w:themeTint="F2"/>
                <w:sz w:val="24"/>
                <w:u w:val="single"/>
                <w14:textFill>
                  <w14:solidFill>
                    <w14:schemeClr w14:val="tx1">
                      <w14:lumMod w14:val="95000"/>
                      <w14:lumOff w14:val="5000"/>
                    </w14:schemeClr>
                  </w14:solidFill>
                </w14:textFill>
              </w:rPr>
              <w:t>BOD</w:t>
            </w:r>
            <w:r>
              <w:rPr>
                <w:rFonts w:hint="eastAsia"/>
                <w:bCs/>
                <w:color w:val="0D0D0D" w:themeColor="text1" w:themeTint="F2"/>
                <w:sz w:val="24"/>
                <w:u w:val="single"/>
                <w:vertAlign w:val="subscript"/>
                <w14:textFill>
                  <w14:solidFill>
                    <w14:schemeClr w14:val="tx1">
                      <w14:lumMod w14:val="95000"/>
                      <w14:lumOff w14:val="5000"/>
                    </w14:schemeClr>
                  </w14:solidFill>
                </w14:textFill>
              </w:rPr>
              <w:t>5</w:t>
            </w:r>
            <w:r>
              <w:rPr>
                <w:rFonts w:hint="eastAsia"/>
                <w:bCs/>
                <w:color w:val="0D0D0D" w:themeColor="text1" w:themeTint="F2"/>
                <w:sz w:val="24"/>
                <w:u w:val="single"/>
                <w14:textFill>
                  <w14:solidFill>
                    <w14:schemeClr w14:val="tx1">
                      <w14:lumMod w14:val="95000"/>
                      <w14:lumOff w14:val="5000"/>
                    </w14:schemeClr>
                  </w14:solidFill>
                </w14:textFill>
              </w:rPr>
              <w:t>、S</w:t>
            </w:r>
            <w:r>
              <w:rPr>
                <w:bCs/>
                <w:color w:val="0D0D0D" w:themeColor="text1" w:themeTint="F2"/>
                <w:sz w:val="24"/>
                <w:u w:val="single"/>
                <w14:textFill>
                  <w14:solidFill>
                    <w14:schemeClr w14:val="tx1">
                      <w14:lumMod w14:val="95000"/>
                      <w14:lumOff w14:val="5000"/>
                    </w14:schemeClr>
                  </w14:solidFill>
                </w14:textFill>
              </w:rPr>
              <w:t>S</w:t>
            </w:r>
            <w:r>
              <w:rPr>
                <w:rFonts w:hint="eastAsia"/>
                <w:bCs/>
                <w:color w:val="0D0D0D" w:themeColor="text1" w:themeTint="F2"/>
                <w:sz w:val="24"/>
                <w:u w:val="single"/>
                <w14:textFill>
                  <w14:solidFill>
                    <w14:schemeClr w14:val="tx1">
                      <w14:lumMod w14:val="95000"/>
                      <w14:lumOff w14:val="5000"/>
                    </w14:schemeClr>
                  </w14:solidFill>
                </w14:textFill>
              </w:rPr>
              <w:t>、NH</w:t>
            </w:r>
            <w:r>
              <w:rPr>
                <w:rFonts w:hint="eastAsia"/>
                <w:bCs/>
                <w:color w:val="0D0D0D" w:themeColor="text1" w:themeTint="F2"/>
                <w:sz w:val="24"/>
                <w:u w:val="single"/>
                <w:vertAlign w:val="subscript"/>
                <w14:textFill>
                  <w14:solidFill>
                    <w14:schemeClr w14:val="tx1">
                      <w14:lumMod w14:val="95000"/>
                      <w14:lumOff w14:val="5000"/>
                    </w14:schemeClr>
                  </w14:solidFill>
                </w14:textFill>
              </w:rPr>
              <w:t>3</w:t>
            </w:r>
            <w:r>
              <w:rPr>
                <w:rFonts w:hint="eastAsia"/>
                <w:bCs/>
                <w:color w:val="0D0D0D" w:themeColor="text1" w:themeTint="F2"/>
                <w:sz w:val="24"/>
                <w:u w:val="single"/>
                <w14:textFill>
                  <w14:solidFill>
                    <w14:schemeClr w14:val="tx1">
                      <w14:lumMod w14:val="95000"/>
                      <w14:lumOff w14:val="5000"/>
                    </w14:schemeClr>
                  </w14:solidFill>
                </w14:textFill>
              </w:rPr>
              <w:t>-N</w:t>
            </w:r>
            <w:r>
              <w:rPr>
                <w:rFonts w:hint="eastAsia"/>
                <w:color w:val="0D0D0D" w:themeColor="text1" w:themeTint="F2"/>
                <w:sz w:val="24"/>
                <w:u w:val="single"/>
                <w14:textFill>
                  <w14:solidFill>
                    <w14:schemeClr w14:val="tx1">
                      <w14:lumMod w14:val="95000"/>
                      <w14:lumOff w14:val="5000"/>
                    </w14:schemeClr>
                  </w14:solidFill>
                </w14:textFill>
              </w:rPr>
              <w:t>和动植物油</w:t>
            </w:r>
            <w:r>
              <w:rPr>
                <w:rFonts w:hint="eastAsia" w:cs="宋体"/>
                <w:bCs/>
                <w:color w:val="0D0D0D" w:themeColor="text1" w:themeTint="F2"/>
                <w:spacing w:val="-10"/>
                <w:sz w:val="24"/>
                <w:u w:val="single"/>
                <w14:textFill>
                  <w14:solidFill>
                    <w14:schemeClr w14:val="tx1">
                      <w14:lumMod w14:val="95000"/>
                      <w14:lumOff w14:val="5000"/>
                    </w14:schemeClr>
                  </w14:solidFill>
                </w14:textFill>
              </w:rPr>
              <w:t>，水质简单，不含</w:t>
            </w:r>
            <w:r>
              <w:rPr>
                <w:rFonts w:hint="eastAsia" w:cs="宋体"/>
                <w:bCs/>
                <w:color w:val="0D0D0D" w:themeColor="text1" w:themeTint="F2"/>
                <w:spacing w:val="-10"/>
                <w:sz w:val="24"/>
                <w:u w:val="single"/>
                <w:lang w:eastAsia="zh-CN"/>
                <w14:textFill>
                  <w14:solidFill>
                    <w14:schemeClr w14:val="tx1">
                      <w14:lumMod w14:val="95000"/>
                      <w14:lumOff w14:val="5000"/>
                    </w14:schemeClr>
                  </w14:solidFill>
                </w14:textFill>
              </w:rPr>
              <w:t>其他有毒</w:t>
            </w:r>
            <w:r>
              <w:rPr>
                <w:rFonts w:hint="eastAsia" w:cs="宋体"/>
                <w:bCs/>
                <w:color w:val="0D0D0D" w:themeColor="text1" w:themeTint="F2"/>
                <w:spacing w:val="-10"/>
                <w:sz w:val="24"/>
                <w:u w:val="single"/>
                <w14:textFill>
                  <w14:solidFill>
                    <w14:schemeClr w14:val="tx1">
                      <w14:lumMod w14:val="95000"/>
                      <w14:lumOff w14:val="5000"/>
                    </w14:schemeClr>
                  </w14:solidFill>
                </w14:textFill>
              </w:rPr>
              <w:t>有害物质，不会对钦州胜科水务有限公司污水处理厂污水处理工艺造成冲击。项目生活污水经三级化粪池处理后，可满足《污水综合排放标准》（GB8978-1996）三级标准和钦州胜科水务有限公司污水处理厂进水水质要求限值中较严值。因此，项目生活污水依托钦州胜科水务有限公司污水处理厂处理是可行的。</w:t>
            </w:r>
          </w:p>
          <w:p w14:paraId="32026187">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u w:val="single"/>
                <w14:textFill>
                  <w14:solidFill>
                    <w14:schemeClr w14:val="tx1">
                      <w14:lumMod w14:val="95000"/>
                      <w14:lumOff w14:val="5000"/>
                    </w14:schemeClr>
                  </w14:solidFill>
                </w14:textFill>
              </w:rPr>
              <w:t>综上，</w:t>
            </w:r>
            <w:r>
              <w:rPr>
                <w:rFonts w:hint="eastAsia"/>
                <w:bCs/>
                <w:color w:val="0D0D0D" w:themeColor="text1" w:themeTint="F2"/>
                <w:sz w:val="24"/>
                <w:u w:val="single"/>
                <w14:textFill>
                  <w14:solidFill>
                    <w14:schemeClr w14:val="tx1">
                      <w14:lumMod w14:val="95000"/>
                      <w14:lumOff w14:val="5000"/>
                    </w14:schemeClr>
                  </w14:solidFill>
                </w14:textFill>
              </w:rPr>
              <w:t>生活污水经三级化粪池处理后排入园区市政污水管网，由钦州胜科水务有限公司污水处理厂进一步处理，不外排</w:t>
            </w:r>
            <w:r>
              <w:rPr>
                <w:rFonts w:cs="宋体"/>
                <w:bCs/>
                <w:color w:val="0D0D0D" w:themeColor="text1" w:themeTint="F2"/>
                <w:spacing w:val="-10"/>
                <w:sz w:val="24"/>
                <w:u w:val="single"/>
                <w14:textFill>
                  <w14:solidFill>
                    <w14:schemeClr w14:val="tx1">
                      <w14:lumMod w14:val="95000"/>
                      <w14:lumOff w14:val="5000"/>
                    </w14:schemeClr>
                  </w14:solidFill>
                </w14:textFill>
              </w:rPr>
              <w:t>，对地表水环境影响不大。</w:t>
            </w:r>
          </w:p>
          <w:p w14:paraId="105DBD3A">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三、噪声</w:t>
            </w:r>
          </w:p>
          <w:p w14:paraId="77311AF5">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1、噪声源强及降噪措施</w:t>
            </w:r>
          </w:p>
          <w:p w14:paraId="31E40E62">
            <w:pPr>
              <w:spacing w:line="360" w:lineRule="auto"/>
              <w:ind w:firstLine="480" w:firstLineChars="200"/>
              <w:rPr>
                <w:bCs/>
                <w:color w:val="0D0D0D" w:themeColor="text1" w:themeTint="F2"/>
                <w:sz w:val="24"/>
                <w14:textFill>
                  <w14:solidFill>
                    <w14:schemeClr w14:val="tx1">
                      <w14:lumMod w14:val="95000"/>
                      <w14:lumOff w14:val="5000"/>
                    </w14:schemeClr>
                  </w14:solidFill>
                </w14:textFill>
              </w:rPr>
            </w:pPr>
            <w:r>
              <w:rPr>
                <w:rFonts w:hint="eastAsia"/>
                <w:bCs/>
                <w:color w:val="0D0D0D" w:themeColor="text1" w:themeTint="F2"/>
                <w:sz w:val="24"/>
                <w14:textFill>
                  <w14:solidFill>
                    <w14:schemeClr w14:val="tx1">
                      <w14:lumMod w14:val="95000"/>
                      <w14:lumOff w14:val="5000"/>
                    </w14:schemeClr>
                  </w14:solidFill>
                </w14:textFill>
              </w:rPr>
              <w:t>项目运营期产生的噪声主要来源于抛丸机、高压无气喷涂机和风机，经类比分析，</w:t>
            </w:r>
            <w:r>
              <w:rPr>
                <w:bCs/>
                <w:color w:val="0D0D0D" w:themeColor="text1" w:themeTint="F2"/>
                <w:sz w:val="24"/>
                <w14:textFill>
                  <w14:solidFill>
                    <w14:schemeClr w14:val="tx1">
                      <w14:lumMod w14:val="95000"/>
                      <w14:lumOff w14:val="5000"/>
                    </w14:schemeClr>
                  </w14:solidFill>
                </w14:textFill>
              </w:rPr>
              <w:t>噪声源强</w:t>
            </w:r>
            <w:r>
              <w:rPr>
                <w:rFonts w:hint="eastAsia"/>
                <w:bCs/>
                <w:color w:val="0D0D0D" w:themeColor="text1" w:themeTint="F2"/>
                <w:sz w:val="24"/>
                <w14:textFill>
                  <w14:solidFill>
                    <w14:schemeClr w14:val="tx1">
                      <w14:lumMod w14:val="95000"/>
                      <w14:lumOff w14:val="5000"/>
                    </w14:schemeClr>
                  </w14:solidFill>
                </w14:textFill>
              </w:rPr>
              <w:t>详</w:t>
            </w:r>
            <w:r>
              <w:rPr>
                <w:bCs/>
                <w:color w:val="0D0D0D" w:themeColor="text1" w:themeTint="F2"/>
                <w:sz w:val="24"/>
                <w14:textFill>
                  <w14:solidFill>
                    <w14:schemeClr w14:val="tx1">
                      <w14:lumMod w14:val="95000"/>
                      <w14:lumOff w14:val="5000"/>
                    </w14:schemeClr>
                  </w14:solidFill>
                </w14:textFill>
              </w:rPr>
              <w:t>见表</w:t>
            </w:r>
            <w:r>
              <w:rPr>
                <w:rFonts w:hint="eastAsia"/>
                <w:bCs/>
                <w:color w:val="0D0D0D" w:themeColor="text1" w:themeTint="F2"/>
                <w:sz w:val="24"/>
                <w14:textFill>
                  <w14:solidFill>
                    <w14:schemeClr w14:val="tx1">
                      <w14:lumMod w14:val="95000"/>
                      <w14:lumOff w14:val="5000"/>
                    </w14:schemeClr>
                  </w14:solidFill>
                </w14:textFill>
              </w:rPr>
              <w:t>4</w:t>
            </w:r>
            <w:r>
              <w:rPr>
                <w:bCs/>
                <w:color w:val="0D0D0D" w:themeColor="text1" w:themeTint="F2"/>
                <w:sz w:val="24"/>
                <w14:textFill>
                  <w14:solidFill>
                    <w14:schemeClr w14:val="tx1">
                      <w14:lumMod w14:val="95000"/>
                      <w14:lumOff w14:val="5000"/>
                    </w14:schemeClr>
                  </w14:solidFill>
                </w14:textFill>
              </w:rPr>
              <w:t>-</w:t>
            </w:r>
            <w:r>
              <w:rPr>
                <w:rFonts w:hint="eastAsia"/>
                <w:bCs/>
                <w:color w:val="0D0D0D" w:themeColor="text1" w:themeTint="F2"/>
                <w:sz w:val="24"/>
                <w14:textFill>
                  <w14:solidFill>
                    <w14:schemeClr w14:val="tx1">
                      <w14:lumMod w14:val="95000"/>
                      <w14:lumOff w14:val="5000"/>
                    </w14:schemeClr>
                  </w14:solidFill>
                </w14:textFill>
              </w:rPr>
              <w:t>14</w:t>
            </w:r>
            <w:r>
              <w:rPr>
                <w:bCs/>
                <w:color w:val="0D0D0D" w:themeColor="text1" w:themeTint="F2"/>
                <w:sz w:val="24"/>
                <w14:textFill>
                  <w14:solidFill>
                    <w14:schemeClr w14:val="tx1">
                      <w14:lumMod w14:val="95000"/>
                      <w14:lumOff w14:val="5000"/>
                    </w14:schemeClr>
                  </w14:solidFill>
                </w14:textFill>
              </w:rPr>
              <w:t>。</w:t>
            </w:r>
          </w:p>
          <w:p w14:paraId="1508964D">
            <w:pPr>
              <w:jc w:val="center"/>
              <w:rPr>
                <w:b/>
                <w:bCs/>
                <w:color w:val="0D0D0D" w:themeColor="text1" w:themeTint="F2"/>
                <w:szCs w:val="21"/>
                <w14:textFill>
                  <w14:solidFill>
                    <w14:schemeClr w14:val="tx1">
                      <w14:lumMod w14:val="95000"/>
                      <w14:lumOff w14:val="5000"/>
                    </w14:schemeClr>
                  </w14:solidFill>
                </w14:textFill>
              </w:rPr>
            </w:pPr>
            <w:r>
              <w:rPr>
                <w:b/>
                <w:bCs/>
                <w:color w:val="0D0D0D" w:themeColor="text1" w:themeTint="F2"/>
                <w:szCs w:val="21"/>
                <w14:textFill>
                  <w14:solidFill>
                    <w14:schemeClr w14:val="tx1">
                      <w14:lumMod w14:val="95000"/>
                      <w14:lumOff w14:val="5000"/>
                    </w14:schemeClr>
                  </w14:solidFill>
                </w14:textFill>
              </w:rPr>
              <w:t>表</w:t>
            </w:r>
            <w:r>
              <w:rPr>
                <w:rFonts w:hint="eastAsia"/>
                <w:b/>
                <w:bCs/>
                <w:color w:val="0D0D0D" w:themeColor="text1" w:themeTint="F2"/>
                <w:szCs w:val="21"/>
                <w14:textFill>
                  <w14:solidFill>
                    <w14:schemeClr w14:val="tx1">
                      <w14:lumMod w14:val="95000"/>
                      <w14:lumOff w14:val="5000"/>
                    </w14:schemeClr>
                  </w14:solidFill>
                </w14:textFill>
              </w:rPr>
              <w:t>4</w:t>
            </w:r>
            <w:r>
              <w:rPr>
                <w:b/>
                <w:bCs/>
                <w:color w:val="0D0D0D" w:themeColor="text1" w:themeTint="F2"/>
                <w:szCs w:val="21"/>
                <w14:textFill>
                  <w14:solidFill>
                    <w14:schemeClr w14:val="tx1">
                      <w14:lumMod w14:val="95000"/>
                      <w14:lumOff w14:val="5000"/>
                    </w14:schemeClr>
                  </w14:solidFill>
                </w14:textFill>
              </w:rPr>
              <w:t>-</w:t>
            </w:r>
            <w:r>
              <w:rPr>
                <w:rFonts w:hint="eastAsia"/>
                <w:b/>
                <w:bCs/>
                <w:color w:val="0D0D0D" w:themeColor="text1" w:themeTint="F2"/>
                <w:szCs w:val="21"/>
                <w14:textFill>
                  <w14:solidFill>
                    <w14:schemeClr w14:val="tx1">
                      <w14:lumMod w14:val="95000"/>
                      <w14:lumOff w14:val="5000"/>
                    </w14:schemeClr>
                  </w14:solidFill>
                </w14:textFill>
              </w:rPr>
              <w:t xml:space="preserve">14 </w:t>
            </w:r>
            <w:r>
              <w:rPr>
                <w:b/>
                <w:bCs/>
                <w:color w:val="0D0D0D" w:themeColor="text1" w:themeTint="F2"/>
                <w:szCs w:val="21"/>
                <w14:textFill>
                  <w14:solidFill>
                    <w14:schemeClr w14:val="tx1">
                      <w14:lumMod w14:val="95000"/>
                      <w14:lumOff w14:val="5000"/>
                    </w14:schemeClr>
                  </w14:solidFill>
                </w14:textFill>
              </w:rPr>
              <w:t xml:space="preserve"> 噪声源强一览表</w:t>
            </w:r>
          </w:p>
          <w:tbl>
            <w:tblPr>
              <w:tblStyle w:val="21"/>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17"/>
              <w:gridCol w:w="1328"/>
              <w:gridCol w:w="643"/>
              <w:gridCol w:w="569"/>
              <w:gridCol w:w="564"/>
              <w:gridCol w:w="599"/>
              <w:gridCol w:w="418"/>
              <w:gridCol w:w="501"/>
              <w:gridCol w:w="623"/>
              <w:gridCol w:w="572"/>
              <w:gridCol w:w="838"/>
              <w:gridCol w:w="760"/>
              <w:gridCol w:w="729"/>
            </w:tblGrid>
            <w:tr w14:paraId="645D5C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blHeader/>
                <w:jc w:val="center"/>
              </w:trPr>
              <w:tc>
                <w:tcPr>
                  <w:tcW w:w="188" w:type="pct"/>
                  <w:vMerge w:val="restart"/>
                  <w:vAlign w:val="center"/>
                </w:tcPr>
                <w:p w14:paraId="6DA28830">
                  <w:pPr>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建筑物名称</w:t>
                  </w:r>
                </w:p>
              </w:tc>
              <w:tc>
                <w:tcPr>
                  <w:tcW w:w="785" w:type="pct"/>
                  <w:vMerge w:val="restart"/>
                  <w:vAlign w:val="center"/>
                </w:tcPr>
                <w:p w14:paraId="0F4F7980">
                  <w:pPr>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声源名称</w:t>
                  </w:r>
                </w:p>
              </w:tc>
              <w:tc>
                <w:tcPr>
                  <w:tcW w:w="380" w:type="pct"/>
                  <w:vAlign w:val="center"/>
                </w:tcPr>
                <w:p w14:paraId="76F4D1E1">
                  <w:pPr>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声源源强</w:t>
                  </w:r>
                </w:p>
              </w:tc>
              <w:tc>
                <w:tcPr>
                  <w:tcW w:w="336" w:type="pct"/>
                  <w:vMerge w:val="restart"/>
                  <w:vAlign w:val="center"/>
                </w:tcPr>
                <w:p w14:paraId="29248F4A">
                  <w:pPr>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声源控制措施</w:t>
                  </w:r>
                </w:p>
              </w:tc>
              <w:tc>
                <w:tcPr>
                  <w:tcW w:w="934" w:type="pct"/>
                  <w:gridSpan w:val="3"/>
                  <w:vAlign w:val="center"/>
                </w:tcPr>
                <w:p w14:paraId="7A99C8BF">
                  <w:pPr>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空间相对位置/m</w:t>
                  </w:r>
                </w:p>
              </w:tc>
              <w:tc>
                <w:tcPr>
                  <w:tcW w:w="296" w:type="pct"/>
                  <w:vMerge w:val="restart"/>
                  <w:vAlign w:val="center"/>
                </w:tcPr>
                <w:p w14:paraId="78B7306F">
                  <w:pPr>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距室内边界距离/m</w:t>
                  </w:r>
                </w:p>
              </w:tc>
              <w:tc>
                <w:tcPr>
                  <w:tcW w:w="368" w:type="pct"/>
                  <w:vMerge w:val="restart"/>
                  <w:vAlign w:val="center"/>
                </w:tcPr>
                <w:p w14:paraId="26CA05A4">
                  <w:pPr>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室内边界声级/dB(A)</w:t>
                  </w:r>
                </w:p>
              </w:tc>
              <w:tc>
                <w:tcPr>
                  <w:tcW w:w="338" w:type="pct"/>
                  <w:vMerge w:val="restart"/>
                  <w:vAlign w:val="center"/>
                </w:tcPr>
                <w:p w14:paraId="2F472D09">
                  <w:pPr>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运行时段</w:t>
                  </w:r>
                </w:p>
              </w:tc>
              <w:tc>
                <w:tcPr>
                  <w:tcW w:w="495" w:type="pct"/>
                  <w:vMerge w:val="restart"/>
                  <w:vAlign w:val="center"/>
                </w:tcPr>
                <w:p w14:paraId="58977E8C">
                  <w:pPr>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建筑物插入损失/dB(A)</w:t>
                  </w:r>
                </w:p>
              </w:tc>
              <w:tc>
                <w:tcPr>
                  <w:tcW w:w="880" w:type="pct"/>
                  <w:gridSpan w:val="2"/>
                  <w:vAlign w:val="center"/>
                </w:tcPr>
                <w:p w14:paraId="46DE9740">
                  <w:pPr>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建筑物外噪声</w:t>
                  </w:r>
                </w:p>
              </w:tc>
            </w:tr>
            <w:tr w14:paraId="6D82F5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tblHeader/>
                <w:jc w:val="center"/>
              </w:trPr>
              <w:tc>
                <w:tcPr>
                  <w:tcW w:w="188" w:type="pct"/>
                  <w:vMerge w:val="continue"/>
                  <w:vAlign w:val="center"/>
                </w:tcPr>
                <w:p w14:paraId="6CB82372">
                  <w:pPr>
                    <w:jc w:val="center"/>
                    <w:rPr>
                      <w:bCs/>
                      <w:color w:val="0D0D0D" w:themeColor="text1" w:themeTint="F2"/>
                      <w:szCs w:val="21"/>
                      <w14:textFill>
                        <w14:solidFill>
                          <w14:schemeClr w14:val="tx1">
                            <w14:lumMod w14:val="95000"/>
                            <w14:lumOff w14:val="5000"/>
                          </w14:schemeClr>
                        </w14:solidFill>
                      </w14:textFill>
                    </w:rPr>
                  </w:pPr>
                </w:p>
              </w:tc>
              <w:tc>
                <w:tcPr>
                  <w:tcW w:w="785" w:type="pct"/>
                  <w:vMerge w:val="continue"/>
                  <w:vAlign w:val="center"/>
                </w:tcPr>
                <w:p w14:paraId="6F34AFC4">
                  <w:pPr>
                    <w:jc w:val="center"/>
                    <w:rPr>
                      <w:bCs/>
                      <w:color w:val="0D0D0D" w:themeColor="text1" w:themeTint="F2"/>
                      <w:szCs w:val="21"/>
                      <w14:textFill>
                        <w14:solidFill>
                          <w14:schemeClr w14:val="tx1">
                            <w14:lumMod w14:val="95000"/>
                            <w14:lumOff w14:val="5000"/>
                          </w14:schemeClr>
                        </w14:solidFill>
                      </w14:textFill>
                    </w:rPr>
                  </w:pPr>
                </w:p>
              </w:tc>
              <w:tc>
                <w:tcPr>
                  <w:tcW w:w="380" w:type="pct"/>
                  <w:vAlign w:val="center"/>
                </w:tcPr>
                <w:p w14:paraId="5347ED02">
                  <w:pPr>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声</w:t>
                  </w:r>
                  <w:r>
                    <w:rPr>
                      <w:rFonts w:hint="eastAsia"/>
                      <w:bCs/>
                      <w:color w:val="0D0D0D" w:themeColor="text1" w:themeTint="F2"/>
                      <w:szCs w:val="21"/>
                      <w14:textFill>
                        <w14:solidFill>
                          <w14:schemeClr w14:val="tx1">
                            <w14:lumMod w14:val="95000"/>
                            <w14:lumOff w14:val="5000"/>
                          </w14:schemeClr>
                        </w14:solidFill>
                      </w14:textFill>
                    </w:rPr>
                    <w:t>压级</w:t>
                  </w:r>
                </w:p>
                <w:p w14:paraId="095C5AD8">
                  <w:pPr>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/dB(A)</w:t>
                  </w:r>
                </w:p>
              </w:tc>
              <w:tc>
                <w:tcPr>
                  <w:tcW w:w="336" w:type="pct"/>
                  <w:vMerge w:val="continue"/>
                  <w:vAlign w:val="center"/>
                </w:tcPr>
                <w:p w14:paraId="3715C046">
                  <w:pPr>
                    <w:jc w:val="center"/>
                    <w:rPr>
                      <w:bCs/>
                      <w:color w:val="0D0D0D" w:themeColor="text1" w:themeTint="F2"/>
                      <w:szCs w:val="21"/>
                      <w14:textFill>
                        <w14:solidFill>
                          <w14:schemeClr w14:val="tx1">
                            <w14:lumMod w14:val="95000"/>
                            <w14:lumOff w14:val="5000"/>
                          </w14:schemeClr>
                        </w14:solidFill>
                      </w14:textFill>
                    </w:rPr>
                  </w:pPr>
                </w:p>
              </w:tc>
              <w:tc>
                <w:tcPr>
                  <w:tcW w:w="333" w:type="pct"/>
                  <w:vAlign w:val="center"/>
                </w:tcPr>
                <w:p w14:paraId="587E12EC">
                  <w:pPr>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X</w:t>
                  </w:r>
                </w:p>
              </w:tc>
              <w:tc>
                <w:tcPr>
                  <w:tcW w:w="354" w:type="pct"/>
                  <w:vAlign w:val="center"/>
                </w:tcPr>
                <w:p w14:paraId="77A8CB3C">
                  <w:pPr>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Y</w:t>
                  </w:r>
                </w:p>
              </w:tc>
              <w:tc>
                <w:tcPr>
                  <w:tcW w:w="247" w:type="pct"/>
                  <w:vAlign w:val="center"/>
                </w:tcPr>
                <w:p w14:paraId="2189C565">
                  <w:pPr>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Z</w:t>
                  </w:r>
                </w:p>
              </w:tc>
              <w:tc>
                <w:tcPr>
                  <w:tcW w:w="296" w:type="pct"/>
                  <w:vMerge w:val="continue"/>
                  <w:vAlign w:val="center"/>
                </w:tcPr>
                <w:p w14:paraId="3D666C43">
                  <w:pPr>
                    <w:jc w:val="center"/>
                    <w:rPr>
                      <w:bCs/>
                      <w:color w:val="0D0D0D" w:themeColor="text1" w:themeTint="F2"/>
                      <w:szCs w:val="21"/>
                      <w14:textFill>
                        <w14:solidFill>
                          <w14:schemeClr w14:val="tx1">
                            <w14:lumMod w14:val="95000"/>
                            <w14:lumOff w14:val="5000"/>
                          </w14:schemeClr>
                        </w14:solidFill>
                      </w14:textFill>
                    </w:rPr>
                  </w:pPr>
                </w:p>
              </w:tc>
              <w:tc>
                <w:tcPr>
                  <w:tcW w:w="368" w:type="pct"/>
                  <w:vMerge w:val="continue"/>
                  <w:vAlign w:val="center"/>
                </w:tcPr>
                <w:p w14:paraId="1D542580">
                  <w:pPr>
                    <w:jc w:val="center"/>
                    <w:rPr>
                      <w:bCs/>
                      <w:color w:val="0D0D0D" w:themeColor="text1" w:themeTint="F2"/>
                      <w:szCs w:val="21"/>
                      <w14:textFill>
                        <w14:solidFill>
                          <w14:schemeClr w14:val="tx1">
                            <w14:lumMod w14:val="95000"/>
                            <w14:lumOff w14:val="5000"/>
                          </w14:schemeClr>
                        </w14:solidFill>
                      </w14:textFill>
                    </w:rPr>
                  </w:pPr>
                </w:p>
              </w:tc>
              <w:tc>
                <w:tcPr>
                  <w:tcW w:w="338" w:type="pct"/>
                  <w:vMerge w:val="continue"/>
                  <w:vAlign w:val="center"/>
                </w:tcPr>
                <w:p w14:paraId="402F6D33">
                  <w:pPr>
                    <w:jc w:val="center"/>
                    <w:rPr>
                      <w:bCs/>
                      <w:color w:val="0D0D0D" w:themeColor="text1" w:themeTint="F2"/>
                      <w:szCs w:val="21"/>
                      <w14:textFill>
                        <w14:solidFill>
                          <w14:schemeClr w14:val="tx1">
                            <w14:lumMod w14:val="95000"/>
                            <w14:lumOff w14:val="5000"/>
                          </w14:schemeClr>
                        </w14:solidFill>
                      </w14:textFill>
                    </w:rPr>
                  </w:pPr>
                </w:p>
              </w:tc>
              <w:tc>
                <w:tcPr>
                  <w:tcW w:w="495" w:type="pct"/>
                  <w:vMerge w:val="continue"/>
                  <w:vAlign w:val="center"/>
                </w:tcPr>
                <w:p w14:paraId="767D253A">
                  <w:pPr>
                    <w:jc w:val="center"/>
                    <w:rPr>
                      <w:bCs/>
                      <w:color w:val="0D0D0D" w:themeColor="text1" w:themeTint="F2"/>
                      <w:szCs w:val="21"/>
                      <w14:textFill>
                        <w14:solidFill>
                          <w14:schemeClr w14:val="tx1">
                            <w14:lumMod w14:val="95000"/>
                            <w14:lumOff w14:val="5000"/>
                          </w14:schemeClr>
                        </w14:solidFill>
                      </w14:textFill>
                    </w:rPr>
                  </w:pPr>
                </w:p>
              </w:tc>
              <w:tc>
                <w:tcPr>
                  <w:tcW w:w="449" w:type="pct"/>
                  <w:vAlign w:val="center"/>
                </w:tcPr>
                <w:p w14:paraId="3A0A0AE5">
                  <w:pPr>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声压级/dB(A)</w:t>
                  </w:r>
                </w:p>
              </w:tc>
              <w:tc>
                <w:tcPr>
                  <w:tcW w:w="431" w:type="pct"/>
                  <w:vAlign w:val="center"/>
                </w:tcPr>
                <w:p w14:paraId="2E50D187">
                  <w:pPr>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建筑物外距离</w:t>
                  </w:r>
                </w:p>
              </w:tc>
            </w:tr>
            <w:tr w14:paraId="53CF77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97" w:hRule="atLeast"/>
                <w:jc w:val="center"/>
              </w:trPr>
              <w:tc>
                <w:tcPr>
                  <w:tcW w:w="188" w:type="pct"/>
                  <w:vMerge w:val="restart"/>
                  <w:vAlign w:val="center"/>
                </w:tcPr>
                <w:p w14:paraId="016A4900">
                  <w:pPr>
                    <w:pStyle w:val="48"/>
                    <w:spacing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color w:val="0D0D0D" w:themeColor="text1" w:themeTint="F2"/>
                      <w:sz w:val="21"/>
                      <w:szCs w:val="21"/>
                      <w:lang w:eastAsia="zh-CN"/>
                      <w14:textFill>
                        <w14:solidFill>
                          <w14:schemeClr w14:val="tx1">
                            <w14:lumMod w14:val="95000"/>
                            <w14:lumOff w14:val="5000"/>
                          </w14:schemeClr>
                        </w14:solidFill>
                      </w14:textFill>
                    </w:rPr>
                    <w:t>生产</w:t>
                  </w:r>
                </w:p>
                <w:p w14:paraId="657F443D">
                  <w:pPr>
                    <w:pStyle w:val="48"/>
                    <w:spacing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color w:val="0D0D0D" w:themeColor="text1" w:themeTint="F2"/>
                      <w:sz w:val="21"/>
                      <w:szCs w:val="21"/>
                      <w:lang w:eastAsia="zh-CN"/>
                      <w14:textFill>
                        <w14:solidFill>
                          <w14:schemeClr w14:val="tx1">
                            <w14:lumMod w14:val="95000"/>
                            <w14:lumOff w14:val="5000"/>
                          </w14:schemeClr>
                        </w14:solidFill>
                      </w14:textFill>
                    </w:rPr>
                    <w:t>车</w:t>
                  </w:r>
                </w:p>
                <w:p w14:paraId="5E69BDB0">
                  <w:pPr>
                    <w:pStyle w:val="48"/>
                    <w:spacing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color w:val="0D0D0D" w:themeColor="text1" w:themeTint="F2"/>
                      <w:sz w:val="21"/>
                      <w:szCs w:val="21"/>
                      <w:lang w:eastAsia="zh-CN"/>
                      <w14:textFill>
                        <w14:solidFill>
                          <w14:schemeClr w14:val="tx1">
                            <w14:lumMod w14:val="95000"/>
                            <w14:lumOff w14:val="5000"/>
                          </w14:schemeClr>
                        </w14:solidFill>
                      </w14:textFill>
                    </w:rPr>
                    <w:t>间</w:t>
                  </w:r>
                </w:p>
              </w:tc>
              <w:tc>
                <w:tcPr>
                  <w:tcW w:w="785" w:type="pct"/>
                  <w:shd w:val="clear" w:color="auto" w:fill="FFFFFF"/>
                  <w:vAlign w:val="center"/>
                </w:tcPr>
                <w:p w14:paraId="199EF2F7">
                  <w:pPr>
                    <w:pStyle w:val="48"/>
                    <w:spacing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cs="Arial"/>
                      <w:color w:val="0D0D0D" w:themeColor="text1" w:themeTint="F2"/>
                      <w:sz w:val="21"/>
                      <w:szCs w:val="21"/>
                      <w:lang w:eastAsia="zh-CN"/>
                      <w14:textFill>
                        <w14:solidFill>
                          <w14:schemeClr w14:val="tx1">
                            <w14:lumMod w14:val="95000"/>
                            <w14:lumOff w14:val="5000"/>
                          </w14:schemeClr>
                        </w14:solidFill>
                      </w14:textFill>
                    </w:rPr>
                    <w:t>抛丸机</w:t>
                  </w:r>
                </w:p>
              </w:tc>
              <w:tc>
                <w:tcPr>
                  <w:tcW w:w="380" w:type="pct"/>
                  <w:vAlign w:val="center"/>
                </w:tcPr>
                <w:p w14:paraId="01DBA209">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80</w:t>
                  </w:r>
                </w:p>
              </w:tc>
              <w:tc>
                <w:tcPr>
                  <w:tcW w:w="336" w:type="pct"/>
                  <w:vMerge w:val="restart"/>
                  <w:vAlign w:val="center"/>
                </w:tcPr>
                <w:p w14:paraId="61E3DE80">
                  <w:pPr>
                    <w:jc w:val="center"/>
                    <w:rPr>
                      <w:color w:val="0D0D0D" w:themeColor="text1" w:themeTint="F2"/>
                      <w:kern w:val="0"/>
                      <w:szCs w:val="21"/>
                      <w14:textFill>
                        <w14:solidFill>
                          <w14:schemeClr w14:val="tx1">
                            <w14:lumMod w14:val="95000"/>
                            <w14:lumOff w14:val="5000"/>
                          </w14:schemeClr>
                        </w14:solidFill>
                      </w14:textFill>
                    </w:rPr>
                  </w:pPr>
                  <w:r>
                    <w:rPr>
                      <w:color w:val="0D0D0D" w:themeColor="text1" w:themeTint="F2"/>
                      <w:kern w:val="0"/>
                      <w:szCs w:val="21"/>
                      <w14:textFill>
                        <w14:solidFill>
                          <w14:schemeClr w14:val="tx1">
                            <w14:lumMod w14:val="95000"/>
                            <w14:lumOff w14:val="5000"/>
                          </w14:schemeClr>
                        </w14:solidFill>
                      </w14:textFill>
                    </w:rPr>
                    <w:t>减震、隔声、</w:t>
                  </w:r>
                  <w:r>
                    <w:rPr>
                      <w:color w:val="0D0D0D" w:themeColor="text1" w:themeTint="F2"/>
                      <w:szCs w:val="21"/>
                      <w14:textFill>
                        <w14:solidFill>
                          <w14:schemeClr w14:val="tx1">
                            <w14:lumMod w14:val="95000"/>
                            <w14:lumOff w14:val="5000"/>
                          </w14:schemeClr>
                        </w14:solidFill>
                      </w14:textFill>
                    </w:rPr>
                    <w:t>选用低噪声设备等</w:t>
                  </w:r>
                </w:p>
              </w:tc>
              <w:tc>
                <w:tcPr>
                  <w:tcW w:w="333" w:type="pct"/>
                  <w:shd w:val="clear" w:color="auto" w:fill="FFFFFF"/>
                  <w:vAlign w:val="center"/>
                </w:tcPr>
                <w:p w14:paraId="7DDBCD49">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28.33</w:t>
                  </w:r>
                </w:p>
              </w:tc>
              <w:tc>
                <w:tcPr>
                  <w:tcW w:w="354" w:type="pct"/>
                  <w:shd w:val="clear" w:color="auto" w:fill="FFFFFF"/>
                  <w:vAlign w:val="center"/>
                </w:tcPr>
                <w:p w14:paraId="745F52DE">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209.74</w:t>
                  </w:r>
                </w:p>
              </w:tc>
              <w:tc>
                <w:tcPr>
                  <w:tcW w:w="247" w:type="pct"/>
                  <w:vAlign w:val="center"/>
                </w:tcPr>
                <w:p w14:paraId="07FAF77A">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p>
              </w:tc>
              <w:tc>
                <w:tcPr>
                  <w:tcW w:w="296" w:type="pct"/>
                  <w:shd w:val="clear" w:color="auto" w:fill="FFFFFF"/>
                  <w:vAlign w:val="center"/>
                </w:tcPr>
                <w:p w14:paraId="41F4BB4B">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5</w:t>
                  </w:r>
                  <w:r>
                    <w:rPr>
                      <w:rFonts w:cs="Arial"/>
                      <w:color w:val="0D0D0D" w:themeColor="text1" w:themeTint="F2"/>
                      <w:szCs w:val="21"/>
                      <w14:textFill>
                        <w14:solidFill>
                          <w14:schemeClr w14:val="tx1">
                            <w14:lumMod w14:val="95000"/>
                            <w14:lumOff w14:val="5000"/>
                          </w14:schemeClr>
                        </w14:solidFill>
                      </w14:textFill>
                    </w:rPr>
                    <w:t>.</w:t>
                  </w:r>
                  <w:r>
                    <w:rPr>
                      <w:rFonts w:hint="eastAsia" w:cs="Arial"/>
                      <w:color w:val="0D0D0D" w:themeColor="text1" w:themeTint="F2"/>
                      <w:szCs w:val="21"/>
                      <w14:textFill>
                        <w14:solidFill>
                          <w14:schemeClr w14:val="tx1">
                            <w14:lumMod w14:val="95000"/>
                            <w14:lumOff w14:val="5000"/>
                          </w14:schemeClr>
                        </w14:solidFill>
                      </w14:textFill>
                    </w:rPr>
                    <w:t>5</w:t>
                  </w:r>
                </w:p>
              </w:tc>
              <w:tc>
                <w:tcPr>
                  <w:tcW w:w="368" w:type="pct"/>
                  <w:shd w:val="clear" w:color="auto" w:fill="FFFFFF"/>
                  <w:vAlign w:val="center"/>
                </w:tcPr>
                <w:p w14:paraId="64C1FA05">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65.2</w:t>
                  </w:r>
                </w:p>
              </w:tc>
              <w:tc>
                <w:tcPr>
                  <w:tcW w:w="338" w:type="pct"/>
                  <w:vMerge w:val="restart"/>
                  <w:vAlign w:val="center"/>
                </w:tcPr>
                <w:p w14:paraId="00A1807D">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color w:val="0D0D0D" w:themeColor="text1" w:themeTint="F2"/>
                      <w:kern w:val="0"/>
                      <w:szCs w:val="21"/>
                      <w:lang w:bidi="ar"/>
                      <w14:textFill>
                        <w14:solidFill>
                          <w14:schemeClr w14:val="tx1">
                            <w14:lumMod w14:val="95000"/>
                            <w14:lumOff w14:val="5000"/>
                          </w14:schemeClr>
                        </w14:solidFill>
                      </w14:textFill>
                    </w:rPr>
                    <w:t>昼间</w:t>
                  </w:r>
                </w:p>
              </w:tc>
              <w:tc>
                <w:tcPr>
                  <w:tcW w:w="495" w:type="pct"/>
                  <w:vAlign w:val="center"/>
                </w:tcPr>
                <w:p w14:paraId="4ECAF9C0">
                  <w:pPr>
                    <w:widowControl/>
                    <w:jc w:val="center"/>
                    <w:textAlignment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20</w:t>
                  </w:r>
                </w:p>
              </w:tc>
              <w:tc>
                <w:tcPr>
                  <w:tcW w:w="449" w:type="pct"/>
                  <w:shd w:val="clear" w:color="auto" w:fill="FFFFFF"/>
                  <w:vAlign w:val="center"/>
                </w:tcPr>
                <w:p w14:paraId="5BDC1962">
                  <w:pPr>
                    <w:widowControl/>
                    <w:jc w:val="center"/>
                    <w:textAlignment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45.2</w:t>
                  </w:r>
                </w:p>
              </w:tc>
              <w:tc>
                <w:tcPr>
                  <w:tcW w:w="431" w:type="pct"/>
                  <w:vAlign w:val="center"/>
                </w:tcPr>
                <w:p w14:paraId="25C6B9B7">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r>
                    <w:rPr>
                      <w:rFonts w:hint="eastAsia"/>
                      <w:color w:val="0D0D0D" w:themeColor="text1" w:themeTint="F2"/>
                      <w:szCs w:val="21"/>
                      <w14:textFill>
                        <w14:solidFill>
                          <w14:schemeClr w14:val="tx1">
                            <w14:lumMod w14:val="95000"/>
                            <w14:lumOff w14:val="5000"/>
                          </w14:schemeClr>
                        </w14:solidFill>
                      </w14:textFill>
                    </w:rPr>
                    <w:t>m</w:t>
                  </w:r>
                </w:p>
              </w:tc>
            </w:tr>
            <w:tr w14:paraId="6E4475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8" w:type="pct"/>
                  <w:vMerge w:val="continue"/>
                  <w:vAlign w:val="center"/>
                </w:tcPr>
                <w:p w14:paraId="592DF0CC">
                  <w:pPr>
                    <w:pStyle w:val="48"/>
                    <w:spacing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85" w:type="pct"/>
                  <w:shd w:val="clear" w:color="auto" w:fill="FFFFFF"/>
                  <w:vAlign w:val="center"/>
                </w:tcPr>
                <w:p w14:paraId="527BA59D">
                  <w:pPr>
                    <w:pStyle w:val="48"/>
                    <w:spacing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cs="Arial"/>
                      <w:color w:val="0D0D0D" w:themeColor="text1" w:themeTint="F2"/>
                      <w:sz w:val="21"/>
                      <w:szCs w:val="21"/>
                      <w:lang w:eastAsia="zh-CN"/>
                      <w14:textFill>
                        <w14:solidFill>
                          <w14:schemeClr w14:val="tx1">
                            <w14:lumMod w14:val="95000"/>
                            <w14:lumOff w14:val="5000"/>
                          </w14:schemeClr>
                        </w14:solidFill>
                      </w14:textFill>
                    </w:rPr>
                    <w:t>1＃高压无气喷涂机</w:t>
                  </w:r>
                </w:p>
              </w:tc>
              <w:tc>
                <w:tcPr>
                  <w:tcW w:w="380" w:type="pct"/>
                  <w:vAlign w:val="center"/>
                </w:tcPr>
                <w:p w14:paraId="6C8D5A4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70</w:t>
                  </w:r>
                </w:p>
              </w:tc>
              <w:tc>
                <w:tcPr>
                  <w:tcW w:w="336" w:type="pct"/>
                  <w:vMerge w:val="continue"/>
                  <w:vAlign w:val="center"/>
                </w:tcPr>
                <w:p w14:paraId="05CCC191">
                  <w:pPr>
                    <w:jc w:val="center"/>
                    <w:rPr>
                      <w:color w:val="0D0D0D" w:themeColor="text1" w:themeTint="F2"/>
                      <w:szCs w:val="21"/>
                      <w14:textFill>
                        <w14:solidFill>
                          <w14:schemeClr w14:val="tx1">
                            <w14:lumMod w14:val="95000"/>
                            <w14:lumOff w14:val="5000"/>
                          </w14:schemeClr>
                        </w14:solidFill>
                      </w14:textFill>
                    </w:rPr>
                  </w:pPr>
                </w:p>
              </w:tc>
              <w:tc>
                <w:tcPr>
                  <w:tcW w:w="333" w:type="pct"/>
                  <w:shd w:val="clear" w:color="auto" w:fill="FFFFFF"/>
                  <w:vAlign w:val="center"/>
                </w:tcPr>
                <w:p w14:paraId="1B2A89A8">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22.01</w:t>
                  </w:r>
                </w:p>
              </w:tc>
              <w:tc>
                <w:tcPr>
                  <w:tcW w:w="354" w:type="pct"/>
                  <w:shd w:val="clear" w:color="auto" w:fill="FFFFFF"/>
                  <w:vAlign w:val="center"/>
                </w:tcPr>
                <w:p w14:paraId="49EFAB6D">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145.23</w:t>
                  </w:r>
                </w:p>
              </w:tc>
              <w:tc>
                <w:tcPr>
                  <w:tcW w:w="247" w:type="pct"/>
                  <w:vAlign w:val="center"/>
                </w:tcPr>
                <w:p w14:paraId="0A9053AF">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p>
              </w:tc>
              <w:tc>
                <w:tcPr>
                  <w:tcW w:w="296" w:type="pct"/>
                  <w:shd w:val="clear" w:color="auto" w:fill="FFFFFF"/>
                  <w:vAlign w:val="center"/>
                </w:tcPr>
                <w:p w14:paraId="5DE7274E">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5</w:t>
                  </w:r>
                  <w:r>
                    <w:rPr>
                      <w:rFonts w:cs="Arial"/>
                      <w:color w:val="0D0D0D" w:themeColor="text1" w:themeTint="F2"/>
                      <w:szCs w:val="21"/>
                      <w14:textFill>
                        <w14:solidFill>
                          <w14:schemeClr w14:val="tx1">
                            <w14:lumMod w14:val="95000"/>
                            <w14:lumOff w14:val="5000"/>
                          </w14:schemeClr>
                        </w14:solidFill>
                      </w14:textFill>
                    </w:rPr>
                    <w:t>.</w:t>
                  </w:r>
                  <w:r>
                    <w:rPr>
                      <w:rFonts w:hint="eastAsia" w:cs="Arial"/>
                      <w:color w:val="0D0D0D" w:themeColor="text1" w:themeTint="F2"/>
                      <w:szCs w:val="21"/>
                      <w14:textFill>
                        <w14:solidFill>
                          <w14:schemeClr w14:val="tx1">
                            <w14:lumMod w14:val="95000"/>
                            <w14:lumOff w14:val="5000"/>
                          </w14:schemeClr>
                        </w14:solidFill>
                      </w14:textFill>
                    </w:rPr>
                    <w:t>5</w:t>
                  </w:r>
                </w:p>
              </w:tc>
              <w:tc>
                <w:tcPr>
                  <w:tcW w:w="368" w:type="pct"/>
                  <w:shd w:val="clear" w:color="auto" w:fill="FFFFFF"/>
                  <w:vAlign w:val="center"/>
                </w:tcPr>
                <w:p w14:paraId="07DBC729">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55.2</w:t>
                  </w:r>
                </w:p>
              </w:tc>
              <w:tc>
                <w:tcPr>
                  <w:tcW w:w="338" w:type="pct"/>
                  <w:vMerge w:val="continue"/>
                  <w:vAlign w:val="center"/>
                </w:tcPr>
                <w:p w14:paraId="157431FC">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p>
              </w:tc>
              <w:tc>
                <w:tcPr>
                  <w:tcW w:w="495" w:type="pct"/>
                  <w:vAlign w:val="center"/>
                </w:tcPr>
                <w:p w14:paraId="25AE4BF8">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20</w:t>
                  </w:r>
                </w:p>
              </w:tc>
              <w:tc>
                <w:tcPr>
                  <w:tcW w:w="449" w:type="pct"/>
                  <w:shd w:val="clear" w:color="auto" w:fill="FFFFFF"/>
                  <w:vAlign w:val="center"/>
                </w:tcPr>
                <w:p w14:paraId="2AA51E25">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35.2</w:t>
                  </w:r>
                </w:p>
              </w:tc>
              <w:tc>
                <w:tcPr>
                  <w:tcW w:w="431" w:type="pct"/>
                  <w:vAlign w:val="center"/>
                </w:tcPr>
                <w:p w14:paraId="1B823BFF">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r>
                    <w:rPr>
                      <w:rFonts w:hint="eastAsia"/>
                      <w:color w:val="0D0D0D" w:themeColor="text1" w:themeTint="F2"/>
                      <w:szCs w:val="21"/>
                      <w14:textFill>
                        <w14:solidFill>
                          <w14:schemeClr w14:val="tx1">
                            <w14:lumMod w14:val="95000"/>
                            <w14:lumOff w14:val="5000"/>
                          </w14:schemeClr>
                        </w14:solidFill>
                      </w14:textFill>
                    </w:rPr>
                    <w:t>m</w:t>
                  </w:r>
                </w:p>
              </w:tc>
            </w:tr>
            <w:tr w14:paraId="064113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8" w:type="pct"/>
                  <w:vMerge w:val="continue"/>
                  <w:vAlign w:val="center"/>
                </w:tcPr>
                <w:p w14:paraId="36E2BA13">
                  <w:pPr>
                    <w:pStyle w:val="48"/>
                    <w:spacing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85" w:type="pct"/>
                  <w:shd w:val="clear" w:color="auto" w:fill="FFFFFF"/>
                </w:tcPr>
                <w:p w14:paraId="33092AF8">
                  <w:pPr>
                    <w:pStyle w:val="48"/>
                    <w:spacing w:line="240" w:lineRule="auto"/>
                    <w:ind w:firstLine="0" w:firstLineChars="0"/>
                    <w:jc w:val="center"/>
                    <w:rPr>
                      <w:rFonts w:ascii="Times New Roman" w:hAnsi="Times New Roman" w:cs="Arial"/>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cs="Arial"/>
                      <w:color w:val="0D0D0D" w:themeColor="text1" w:themeTint="F2"/>
                      <w:sz w:val="21"/>
                      <w:szCs w:val="21"/>
                      <w:lang w:eastAsia="zh-CN"/>
                      <w14:textFill>
                        <w14:solidFill>
                          <w14:schemeClr w14:val="tx1">
                            <w14:lumMod w14:val="95000"/>
                            <w14:lumOff w14:val="5000"/>
                          </w14:schemeClr>
                        </w14:solidFill>
                      </w14:textFill>
                    </w:rPr>
                    <w:t>2＃高压无气喷涂机</w:t>
                  </w:r>
                </w:p>
              </w:tc>
              <w:tc>
                <w:tcPr>
                  <w:tcW w:w="380" w:type="pct"/>
                  <w:vAlign w:val="center"/>
                </w:tcPr>
                <w:p w14:paraId="01C22B30">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70</w:t>
                  </w:r>
                </w:p>
              </w:tc>
              <w:tc>
                <w:tcPr>
                  <w:tcW w:w="336" w:type="pct"/>
                  <w:vMerge w:val="continue"/>
                  <w:vAlign w:val="center"/>
                </w:tcPr>
                <w:p w14:paraId="10FF81AB">
                  <w:pPr>
                    <w:jc w:val="center"/>
                    <w:rPr>
                      <w:color w:val="0D0D0D" w:themeColor="text1" w:themeTint="F2"/>
                      <w:szCs w:val="21"/>
                      <w14:textFill>
                        <w14:solidFill>
                          <w14:schemeClr w14:val="tx1">
                            <w14:lumMod w14:val="95000"/>
                            <w14:lumOff w14:val="5000"/>
                          </w14:schemeClr>
                        </w14:solidFill>
                      </w14:textFill>
                    </w:rPr>
                  </w:pPr>
                </w:p>
              </w:tc>
              <w:tc>
                <w:tcPr>
                  <w:tcW w:w="333" w:type="pct"/>
                  <w:shd w:val="clear" w:color="auto" w:fill="FFFFFF"/>
                  <w:vAlign w:val="center"/>
                </w:tcPr>
                <w:p w14:paraId="351E3D90">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22.8</w:t>
                  </w:r>
                </w:p>
              </w:tc>
              <w:tc>
                <w:tcPr>
                  <w:tcW w:w="354" w:type="pct"/>
                  <w:shd w:val="clear" w:color="auto" w:fill="FFFFFF"/>
                  <w:vAlign w:val="center"/>
                </w:tcPr>
                <w:p w14:paraId="642C8FE2">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145.13</w:t>
                  </w:r>
                </w:p>
              </w:tc>
              <w:tc>
                <w:tcPr>
                  <w:tcW w:w="247" w:type="pct"/>
                  <w:vAlign w:val="center"/>
                </w:tcPr>
                <w:p w14:paraId="1C98B163">
                  <w:pPr>
                    <w:widowControl/>
                    <w:jc w:val="center"/>
                    <w:textAlignment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p>
              </w:tc>
              <w:tc>
                <w:tcPr>
                  <w:tcW w:w="296" w:type="pct"/>
                  <w:shd w:val="clear" w:color="auto" w:fill="FFFFFF"/>
                  <w:vAlign w:val="center"/>
                </w:tcPr>
                <w:p w14:paraId="28D9E61A">
                  <w:pPr>
                    <w:widowControl/>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5.5</w:t>
                  </w:r>
                </w:p>
              </w:tc>
              <w:tc>
                <w:tcPr>
                  <w:tcW w:w="368" w:type="pct"/>
                  <w:shd w:val="clear" w:color="auto" w:fill="FFFFFF"/>
                  <w:vAlign w:val="center"/>
                </w:tcPr>
                <w:p w14:paraId="4A5D43B1">
                  <w:pPr>
                    <w:widowControl/>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55.2</w:t>
                  </w:r>
                </w:p>
              </w:tc>
              <w:tc>
                <w:tcPr>
                  <w:tcW w:w="338" w:type="pct"/>
                  <w:vMerge w:val="continue"/>
                  <w:vAlign w:val="center"/>
                </w:tcPr>
                <w:p w14:paraId="76FACBBE">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p>
              </w:tc>
              <w:tc>
                <w:tcPr>
                  <w:tcW w:w="495" w:type="pct"/>
                  <w:vAlign w:val="center"/>
                </w:tcPr>
                <w:p w14:paraId="0E672E30">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20</w:t>
                  </w:r>
                </w:p>
              </w:tc>
              <w:tc>
                <w:tcPr>
                  <w:tcW w:w="449" w:type="pct"/>
                  <w:shd w:val="clear" w:color="auto" w:fill="FFFFFF"/>
                  <w:vAlign w:val="center"/>
                </w:tcPr>
                <w:p w14:paraId="2763AC26">
                  <w:pPr>
                    <w:widowControl/>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35.2</w:t>
                  </w:r>
                </w:p>
              </w:tc>
              <w:tc>
                <w:tcPr>
                  <w:tcW w:w="431" w:type="pct"/>
                  <w:vAlign w:val="center"/>
                </w:tcPr>
                <w:p w14:paraId="35CFF6F0">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r>
                    <w:rPr>
                      <w:rFonts w:hint="eastAsia"/>
                      <w:color w:val="0D0D0D" w:themeColor="text1" w:themeTint="F2"/>
                      <w:szCs w:val="21"/>
                      <w14:textFill>
                        <w14:solidFill>
                          <w14:schemeClr w14:val="tx1">
                            <w14:lumMod w14:val="95000"/>
                            <w14:lumOff w14:val="5000"/>
                          </w14:schemeClr>
                        </w14:solidFill>
                      </w14:textFill>
                    </w:rPr>
                    <w:t>m</w:t>
                  </w:r>
                </w:p>
              </w:tc>
            </w:tr>
            <w:tr w14:paraId="1D884B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8" w:type="pct"/>
                  <w:vMerge w:val="continue"/>
                  <w:vAlign w:val="center"/>
                </w:tcPr>
                <w:p w14:paraId="4FBC9196">
                  <w:pPr>
                    <w:pStyle w:val="48"/>
                    <w:spacing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85" w:type="pct"/>
                  <w:shd w:val="clear" w:color="auto" w:fill="FFFFFF"/>
                </w:tcPr>
                <w:p w14:paraId="102A12A5">
                  <w:pPr>
                    <w:pStyle w:val="48"/>
                    <w:spacing w:line="240" w:lineRule="auto"/>
                    <w:ind w:firstLine="0" w:firstLineChars="0"/>
                    <w:jc w:val="center"/>
                    <w:rPr>
                      <w:rFonts w:ascii="Times New Roman" w:hAnsi="Times New Roman" w:cs="Arial"/>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cs="Arial"/>
                      <w:color w:val="0D0D0D" w:themeColor="text1" w:themeTint="F2"/>
                      <w:sz w:val="21"/>
                      <w:szCs w:val="21"/>
                      <w:lang w:eastAsia="zh-CN"/>
                      <w14:textFill>
                        <w14:solidFill>
                          <w14:schemeClr w14:val="tx1">
                            <w14:lumMod w14:val="95000"/>
                            <w14:lumOff w14:val="5000"/>
                          </w14:schemeClr>
                        </w14:solidFill>
                      </w14:textFill>
                    </w:rPr>
                    <w:t>3＃高压无气喷涂机</w:t>
                  </w:r>
                </w:p>
              </w:tc>
              <w:tc>
                <w:tcPr>
                  <w:tcW w:w="380" w:type="pct"/>
                  <w:vAlign w:val="center"/>
                </w:tcPr>
                <w:p w14:paraId="3919EDAD">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70</w:t>
                  </w:r>
                </w:p>
              </w:tc>
              <w:tc>
                <w:tcPr>
                  <w:tcW w:w="336" w:type="pct"/>
                  <w:vMerge w:val="continue"/>
                  <w:vAlign w:val="center"/>
                </w:tcPr>
                <w:p w14:paraId="32BFE65B">
                  <w:pPr>
                    <w:jc w:val="center"/>
                    <w:rPr>
                      <w:color w:val="0D0D0D" w:themeColor="text1" w:themeTint="F2"/>
                      <w:szCs w:val="21"/>
                      <w14:textFill>
                        <w14:solidFill>
                          <w14:schemeClr w14:val="tx1">
                            <w14:lumMod w14:val="95000"/>
                            <w14:lumOff w14:val="5000"/>
                          </w14:schemeClr>
                        </w14:solidFill>
                      </w14:textFill>
                    </w:rPr>
                  </w:pPr>
                </w:p>
              </w:tc>
              <w:tc>
                <w:tcPr>
                  <w:tcW w:w="333" w:type="pct"/>
                  <w:shd w:val="clear" w:color="auto" w:fill="FFFFFF"/>
                  <w:vAlign w:val="center"/>
                </w:tcPr>
                <w:p w14:paraId="06F5091A">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23.87</w:t>
                  </w:r>
                </w:p>
              </w:tc>
              <w:tc>
                <w:tcPr>
                  <w:tcW w:w="354" w:type="pct"/>
                  <w:shd w:val="clear" w:color="auto" w:fill="FFFFFF"/>
                  <w:vAlign w:val="center"/>
                </w:tcPr>
                <w:p w14:paraId="016AEE56">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145.03</w:t>
                  </w:r>
                </w:p>
              </w:tc>
              <w:tc>
                <w:tcPr>
                  <w:tcW w:w="247" w:type="pct"/>
                  <w:vAlign w:val="center"/>
                </w:tcPr>
                <w:p w14:paraId="7E45FC15">
                  <w:pPr>
                    <w:widowControl/>
                    <w:jc w:val="center"/>
                    <w:textAlignment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p>
              </w:tc>
              <w:tc>
                <w:tcPr>
                  <w:tcW w:w="296" w:type="pct"/>
                  <w:shd w:val="clear" w:color="auto" w:fill="FFFFFF"/>
                  <w:vAlign w:val="center"/>
                </w:tcPr>
                <w:p w14:paraId="5DE49D3A">
                  <w:pPr>
                    <w:widowControl/>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5.5</w:t>
                  </w:r>
                </w:p>
              </w:tc>
              <w:tc>
                <w:tcPr>
                  <w:tcW w:w="368" w:type="pct"/>
                  <w:shd w:val="clear" w:color="auto" w:fill="FFFFFF"/>
                  <w:vAlign w:val="center"/>
                </w:tcPr>
                <w:p w14:paraId="26709928">
                  <w:pPr>
                    <w:widowControl/>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55.2</w:t>
                  </w:r>
                </w:p>
              </w:tc>
              <w:tc>
                <w:tcPr>
                  <w:tcW w:w="338" w:type="pct"/>
                  <w:vMerge w:val="continue"/>
                  <w:vAlign w:val="center"/>
                </w:tcPr>
                <w:p w14:paraId="48B05A43">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p>
              </w:tc>
              <w:tc>
                <w:tcPr>
                  <w:tcW w:w="495" w:type="pct"/>
                  <w:vAlign w:val="center"/>
                </w:tcPr>
                <w:p w14:paraId="3083A82A">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20</w:t>
                  </w:r>
                </w:p>
              </w:tc>
              <w:tc>
                <w:tcPr>
                  <w:tcW w:w="449" w:type="pct"/>
                  <w:shd w:val="clear" w:color="auto" w:fill="FFFFFF"/>
                  <w:vAlign w:val="center"/>
                </w:tcPr>
                <w:p w14:paraId="45D71558">
                  <w:pPr>
                    <w:widowControl/>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35.2</w:t>
                  </w:r>
                </w:p>
              </w:tc>
              <w:tc>
                <w:tcPr>
                  <w:tcW w:w="431" w:type="pct"/>
                  <w:vAlign w:val="center"/>
                </w:tcPr>
                <w:p w14:paraId="675AB2C0">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r>
                    <w:rPr>
                      <w:rFonts w:hint="eastAsia"/>
                      <w:color w:val="0D0D0D" w:themeColor="text1" w:themeTint="F2"/>
                      <w:szCs w:val="21"/>
                      <w14:textFill>
                        <w14:solidFill>
                          <w14:schemeClr w14:val="tx1">
                            <w14:lumMod w14:val="95000"/>
                            <w14:lumOff w14:val="5000"/>
                          </w14:schemeClr>
                        </w14:solidFill>
                      </w14:textFill>
                    </w:rPr>
                    <w:t>m</w:t>
                  </w:r>
                </w:p>
              </w:tc>
            </w:tr>
            <w:tr w14:paraId="55D5B2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8" w:type="pct"/>
                  <w:vMerge w:val="continue"/>
                  <w:vAlign w:val="center"/>
                </w:tcPr>
                <w:p w14:paraId="7C929008">
                  <w:pPr>
                    <w:pStyle w:val="48"/>
                    <w:spacing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85" w:type="pct"/>
                  <w:shd w:val="clear" w:color="auto" w:fill="FFFFFF"/>
                </w:tcPr>
                <w:p w14:paraId="1DAC8249">
                  <w:pPr>
                    <w:pStyle w:val="48"/>
                    <w:spacing w:line="240" w:lineRule="auto"/>
                    <w:ind w:firstLine="0" w:firstLineChars="0"/>
                    <w:jc w:val="center"/>
                    <w:rPr>
                      <w:rFonts w:ascii="Times New Roman" w:hAnsi="Times New Roman" w:cs="Arial"/>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cs="Arial"/>
                      <w:color w:val="0D0D0D" w:themeColor="text1" w:themeTint="F2"/>
                      <w:sz w:val="21"/>
                      <w:szCs w:val="21"/>
                      <w:lang w:eastAsia="zh-CN"/>
                      <w14:textFill>
                        <w14:solidFill>
                          <w14:schemeClr w14:val="tx1">
                            <w14:lumMod w14:val="95000"/>
                            <w14:lumOff w14:val="5000"/>
                          </w14:schemeClr>
                        </w14:solidFill>
                      </w14:textFill>
                    </w:rPr>
                    <w:t>4＃高压无气喷涂机</w:t>
                  </w:r>
                </w:p>
              </w:tc>
              <w:tc>
                <w:tcPr>
                  <w:tcW w:w="380" w:type="pct"/>
                  <w:vAlign w:val="center"/>
                </w:tcPr>
                <w:p w14:paraId="7E0EFC43">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70</w:t>
                  </w:r>
                </w:p>
              </w:tc>
              <w:tc>
                <w:tcPr>
                  <w:tcW w:w="336" w:type="pct"/>
                  <w:vMerge w:val="continue"/>
                  <w:vAlign w:val="center"/>
                </w:tcPr>
                <w:p w14:paraId="1FF09D10">
                  <w:pPr>
                    <w:jc w:val="center"/>
                    <w:rPr>
                      <w:color w:val="0D0D0D" w:themeColor="text1" w:themeTint="F2"/>
                      <w:szCs w:val="21"/>
                      <w14:textFill>
                        <w14:solidFill>
                          <w14:schemeClr w14:val="tx1">
                            <w14:lumMod w14:val="95000"/>
                            <w14:lumOff w14:val="5000"/>
                          </w14:schemeClr>
                        </w14:solidFill>
                      </w14:textFill>
                    </w:rPr>
                  </w:pPr>
                </w:p>
              </w:tc>
              <w:tc>
                <w:tcPr>
                  <w:tcW w:w="333" w:type="pct"/>
                  <w:shd w:val="clear" w:color="auto" w:fill="FFFFFF"/>
                  <w:vAlign w:val="center"/>
                </w:tcPr>
                <w:p w14:paraId="6CC63910">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21.67</w:t>
                  </w:r>
                </w:p>
              </w:tc>
              <w:tc>
                <w:tcPr>
                  <w:tcW w:w="354" w:type="pct"/>
                  <w:shd w:val="clear" w:color="auto" w:fill="FFFFFF"/>
                  <w:vAlign w:val="center"/>
                </w:tcPr>
                <w:p w14:paraId="0B881B3E">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143.75</w:t>
                  </w:r>
                </w:p>
              </w:tc>
              <w:tc>
                <w:tcPr>
                  <w:tcW w:w="247" w:type="pct"/>
                  <w:vAlign w:val="center"/>
                </w:tcPr>
                <w:p w14:paraId="7F89D9E2">
                  <w:pPr>
                    <w:widowControl/>
                    <w:jc w:val="center"/>
                    <w:textAlignment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p>
              </w:tc>
              <w:tc>
                <w:tcPr>
                  <w:tcW w:w="296" w:type="pct"/>
                  <w:shd w:val="clear" w:color="auto" w:fill="FFFFFF"/>
                  <w:vAlign w:val="center"/>
                </w:tcPr>
                <w:p w14:paraId="6678B46D">
                  <w:pPr>
                    <w:widowControl/>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5.5</w:t>
                  </w:r>
                </w:p>
              </w:tc>
              <w:tc>
                <w:tcPr>
                  <w:tcW w:w="368" w:type="pct"/>
                  <w:shd w:val="clear" w:color="auto" w:fill="FFFFFF"/>
                  <w:vAlign w:val="center"/>
                </w:tcPr>
                <w:p w14:paraId="3FAEA738">
                  <w:pPr>
                    <w:widowControl/>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55.2</w:t>
                  </w:r>
                </w:p>
              </w:tc>
              <w:tc>
                <w:tcPr>
                  <w:tcW w:w="338" w:type="pct"/>
                  <w:vMerge w:val="continue"/>
                  <w:vAlign w:val="center"/>
                </w:tcPr>
                <w:p w14:paraId="2A51DF38">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p>
              </w:tc>
              <w:tc>
                <w:tcPr>
                  <w:tcW w:w="495" w:type="pct"/>
                  <w:vAlign w:val="center"/>
                </w:tcPr>
                <w:p w14:paraId="21ED32F3">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20</w:t>
                  </w:r>
                </w:p>
              </w:tc>
              <w:tc>
                <w:tcPr>
                  <w:tcW w:w="449" w:type="pct"/>
                  <w:shd w:val="clear" w:color="auto" w:fill="FFFFFF"/>
                  <w:vAlign w:val="center"/>
                </w:tcPr>
                <w:p w14:paraId="23C85252">
                  <w:pPr>
                    <w:widowControl/>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35.2</w:t>
                  </w:r>
                </w:p>
              </w:tc>
              <w:tc>
                <w:tcPr>
                  <w:tcW w:w="431" w:type="pct"/>
                  <w:vAlign w:val="center"/>
                </w:tcPr>
                <w:p w14:paraId="570AD68D">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r>
                    <w:rPr>
                      <w:rFonts w:hint="eastAsia"/>
                      <w:color w:val="0D0D0D" w:themeColor="text1" w:themeTint="F2"/>
                      <w:szCs w:val="21"/>
                      <w14:textFill>
                        <w14:solidFill>
                          <w14:schemeClr w14:val="tx1">
                            <w14:lumMod w14:val="95000"/>
                            <w14:lumOff w14:val="5000"/>
                          </w14:schemeClr>
                        </w14:solidFill>
                      </w14:textFill>
                    </w:rPr>
                    <w:t>m</w:t>
                  </w:r>
                </w:p>
              </w:tc>
            </w:tr>
            <w:tr w14:paraId="2F4C60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8" w:type="pct"/>
                  <w:vMerge w:val="continue"/>
                  <w:vAlign w:val="center"/>
                </w:tcPr>
                <w:p w14:paraId="242FBF22">
                  <w:pPr>
                    <w:pStyle w:val="48"/>
                    <w:spacing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85" w:type="pct"/>
                  <w:shd w:val="clear" w:color="auto" w:fill="FFFFFF"/>
                </w:tcPr>
                <w:p w14:paraId="56C43A37">
                  <w:pPr>
                    <w:pStyle w:val="48"/>
                    <w:spacing w:line="240" w:lineRule="auto"/>
                    <w:ind w:firstLine="0" w:firstLineChars="0"/>
                    <w:jc w:val="center"/>
                    <w:rPr>
                      <w:rFonts w:ascii="Times New Roman" w:hAnsi="Times New Roman" w:cs="Arial"/>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cs="Arial"/>
                      <w:color w:val="0D0D0D" w:themeColor="text1" w:themeTint="F2"/>
                      <w:sz w:val="21"/>
                      <w:szCs w:val="21"/>
                      <w:lang w:eastAsia="zh-CN"/>
                      <w14:textFill>
                        <w14:solidFill>
                          <w14:schemeClr w14:val="tx1">
                            <w14:lumMod w14:val="95000"/>
                            <w14:lumOff w14:val="5000"/>
                          </w14:schemeClr>
                        </w14:solidFill>
                      </w14:textFill>
                    </w:rPr>
                    <w:t>5＃高压无气喷涂机</w:t>
                  </w:r>
                </w:p>
              </w:tc>
              <w:tc>
                <w:tcPr>
                  <w:tcW w:w="380" w:type="pct"/>
                  <w:vAlign w:val="center"/>
                </w:tcPr>
                <w:p w14:paraId="40FA3908">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70</w:t>
                  </w:r>
                </w:p>
              </w:tc>
              <w:tc>
                <w:tcPr>
                  <w:tcW w:w="336" w:type="pct"/>
                  <w:vMerge w:val="continue"/>
                  <w:vAlign w:val="center"/>
                </w:tcPr>
                <w:p w14:paraId="5A6AB4B5">
                  <w:pPr>
                    <w:jc w:val="center"/>
                    <w:rPr>
                      <w:color w:val="0D0D0D" w:themeColor="text1" w:themeTint="F2"/>
                      <w:szCs w:val="21"/>
                      <w14:textFill>
                        <w14:solidFill>
                          <w14:schemeClr w14:val="tx1">
                            <w14:lumMod w14:val="95000"/>
                            <w14:lumOff w14:val="5000"/>
                          </w14:schemeClr>
                        </w14:solidFill>
                      </w14:textFill>
                    </w:rPr>
                  </w:pPr>
                </w:p>
              </w:tc>
              <w:tc>
                <w:tcPr>
                  <w:tcW w:w="333" w:type="pct"/>
                  <w:shd w:val="clear" w:color="auto" w:fill="FFFFFF"/>
                  <w:vAlign w:val="center"/>
                </w:tcPr>
                <w:p w14:paraId="4AA36490">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22.25</w:t>
                  </w:r>
                </w:p>
              </w:tc>
              <w:tc>
                <w:tcPr>
                  <w:tcW w:w="354" w:type="pct"/>
                  <w:shd w:val="clear" w:color="auto" w:fill="FFFFFF"/>
                  <w:vAlign w:val="center"/>
                </w:tcPr>
                <w:p w14:paraId="7955B5DC">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143.62</w:t>
                  </w:r>
                </w:p>
              </w:tc>
              <w:tc>
                <w:tcPr>
                  <w:tcW w:w="247" w:type="pct"/>
                  <w:vAlign w:val="center"/>
                </w:tcPr>
                <w:p w14:paraId="682EB90C">
                  <w:pPr>
                    <w:widowControl/>
                    <w:jc w:val="center"/>
                    <w:textAlignment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p>
              </w:tc>
              <w:tc>
                <w:tcPr>
                  <w:tcW w:w="296" w:type="pct"/>
                  <w:shd w:val="clear" w:color="auto" w:fill="FFFFFF"/>
                  <w:vAlign w:val="center"/>
                </w:tcPr>
                <w:p w14:paraId="637DF293">
                  <w:pPr>
                    <w:widowControl/>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5.5</w:t>
                  </w:r>
                </w:p>
              </w:tc>
              <w:tc>
                <w:tcPr>
                  <w:tcW w:w="368" w:type="pct"/>
                  <w:shd w:val="clear" w:color="auto" w:fill="FFFFFF"/>
                  <w:vAlign w:val="center"/>
                </w:tcPr>
                <w:p w14:paraId="71CFDCD9">
                  <w:pPr>
                    <w:widowControl/>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55.2</w:t>
                  </w:r>
                </w:p>
              </w:tc>
              <w:tc>
                <w:tcPr>
                  <w:tcW w:w="338" w:type="pct"/>
                  <w:vMerge w:val="continue"/>
                  <w:vAlign w:val="center"/>
                </w:tcPr>
                <w:p w14:paraId="4E585CCE">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p>
              </w:tc>
              <w:tc>
                <w:tcPr>
                  <w:tcW w:w="495" w:type="pct"/>
                  <w:vAlign w:val="center"/>
                </w:tcPr>
                <w:p w14:paraId="2EED1AF0">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20</w:t>
                  </w:r>
                </w:p>
              </w:tc>
              <w:tc>
                <w:tcPr>
                  <w:tcW w:w="449" w:type="pct"/>
                  <w:shd w:val="clear" w:color="auto" w:fill="FFFFFF"/>
                  <w:vAlign w:val="center"/>
                </w:tcPr>
                <w:p w14:paraId="592F2355">
                  <w:pPr>
                    <w:widowControl/>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35.2</w:t>
                  </w:r>
                </w:p>
              </w:tc>
              <w:tc>
                <w:tcPr>
                  <w:tcW w:w="431" w:type="pct"/>
                  <w:vAlign w:val="center"/>
                </w:tcPr>
                <w:p w14:paraId="006B4BED">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r>
                    <w:rPr>
                      <w:rFonts w:hint="eastAsia"/>
                      <w:color w:val="0D0D0D" w:themeColor="text1" w:themeTint="F2"/>
                      <w:szCs w:val="21"/>
                      <w14:textFill>
                        <w14:solidFill>
                          <w14:schemeClr w14:val="tx1">
                            <w14:lumMod w14:val="95000"/>
                            <w14:lumOff w14:val="5000"/>
                          </w14:schemeClr>
                        </w14:solidFill>
                      </w14:textFill>
                    </w:rPr>
                    <w:t>m</w:t>
                  </w:r>
                </w:p>
              </w:tc>
            </w:tr>
            <w:tr w14:paraId="09C718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8" w:type="pct"/>
                  <w:vMerge w:val="continue"/>
                  <w:vAlign w:val="center"/>
                </w:tcPr>
                <w:p w14:paraId="402B47B2">
                  <w:pPr>
                    <w:pStyle w:val="48"/>
                    <w:spacing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85" w:type="pct"/>
                  <w:shd w:val="clear" w:color="auto" w:fill="FFFFFF"/>
                </w:tcPr>
                <w:p w14:paraId="576A43CA">
                  <w:pPr>
                    <w:pStyle w:val="48"/>
                    <w:spacing w:line="240" w:lineRule="auto"/>
                    <w:ind w:firstLine="0" w:firstLineChars="0"/>
                    <w:jc w:val="center"/>
                    <w:rPr>
                      <w:rFonts w:ascii="Times New Roman" w:hAnsi="Times New Roman" w:cs="Arial"/>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cs="Arial"/>
                      <w:color w:val="0D0D0D" w:themeColor="text1" w:themeTint="F2"/>
                      <w:sz w:val="21"/>
                      <w:szCs w:val="21"/>
                      <w:lang w:eastAsia="zh-CN"/>
                      <w14:textFill>
                        <w14:solidFill>
                          <w14:schemeClr w14:val="tx1">
                            <w14:lumMod w14:val="95000"/>
                            <w14:lumOff w14:val="5000"/>
                          </w14:schemeClr>
                        </w14:solidFill>
                      </w14:textFill>
                    </w:rPr>
                    <w:t>6＃高压无气喷涂机</w:t>
                  </w:r>
                </w:p>
              </w:tc>
              <w:tc>
                <w:tcPr>
                  <w:tcW w:w="380" w:type="pct"/>
                  <w:vAlign w:val="center"/>
                </w:tcPr>
                <w:p w14:paraId="22B78B34">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70</w:t>
                  </w:r>
                </w:p>
              </w:tc>
              <w:tc>
                <w:tcPr>
                  <w:tcW w:w="336" w:type="pct"/>
                  <w:vMerge w:val="continue"/>
                  <w:vAlign w:val="center"/>
                </w:tcPr>
                <w:p w14:paraId="7664162A">
                  <w:pPr>
                    <w:jc w:val="center"/>
                    <w:rPr>
                      <w:color w:val="0D0D0D" w:themeColor="text1" w:themeTint="F2"/>
                      <w:szCs w:val="21"/>
                      <w14:textFill>
                        <w14:solidFill>
                          <w14:schemeClr w14:val="tx1">
                            <w14:lumMod w14:val="95000"/>
                            <w14:lumOff w14:val="5000"/>
                          </w14:schemeClr>
                        </w14:solidFill>
                      </w14:textFill>
                    </w:rPr>
                  </w:pPr>
                </w:p>
              </w:tc>
              <w:tc>
                <w:tcPr>
                  <w:tcW w:w="333" w:type="pct"/>
                  <w:shd w:val="clear" w:color="auto" w:fill="FFFFFF"/>
                  <w:vAlign w:val="center"/>
                </w:tcPr>
                <w:p w14:paraId="78B34603">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23.05</w:t>
                  </w:r>
                </w:p>
              </w:tc>
              <w:tc>
                <w:tcPr>
                  <w:tcW w:w="354" w:type="pct"/>
                  <w:shd w:val="clear" w:color="auto" w:fill="FFFFFF"/>
                  <w:vAlign w:val="center"/>
                </w:tcPr>
                <w:p w14:paraId="1091CB91">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143.51</w:t>
                  </w:r>
                </w:p>
              </w:tc>
              <w:tc>
                <w:tcPr>
                  <w:tcW w:w="247" w:type="pct"/>
                  <w:vAlign w:val="center"/>
                </w:tcPr>
                <w:p w14:paraId="443B317F">
                  <w:pPr>
                    <w:widowControl/>
                    <w:jc w:val="center"/>
                    <w:textAlignment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p>
              </w:tc>
              <w:tc>
                <w:tcPr>
                  <w:tcW w:w="296" w:type="pct"/>
                  <w:shd w:val="clear" w:color="auto" w:fill="FFFFFF"/>
                  <w:vAlign w:val="center"/>
                </w:tcPr>
                <w:p w14:paraId="2DE6BB57">
                  <w:pPr>
                    <w:widowControl/>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5.5</w:t>
                  </w:r>
                </w:p>
              </w:tc>
              <w:tc>
                <w:tcPr>
                  <w:tcW w:w="368" w:type="pct"/>
                  <w:shd w:val="clear" w:color="auto" w:fill="FFFFFF"/>
                  <w:vAlign w:val="center"/>
                </w:tcPr>
                <w:p w14:paraId="07ADC928">
                  <w:pPr>
                    <w:widowControl/>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55.2</w:t>
                  </w:r>
                </w:p>
              </w:tc>
              <w:tc>
                <w:tcPr>
                  <w:tcW w:w="338" w:type="pct"/>
                  <w:vMerge w:val="continue"/>
                  <w:vAlign w:val="center"/>
                </w:tcPr>
                <w:p w14:paraId="310AC120">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p>
              </w:tc>
              <w:tc>
                <w:tcPr>
                  <w:tcW w:w="495" w:type="pct"/>
                  <w:vAlign w:val="center"/>
                </w:tcPr>
                <w:p w14:paraId="049FA7F2">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20</w:t>
                  </w:r>
                </w:p>
              </w:tc>
              <w:tc>
                <w:tcPr>
                  <w:tcW w:w="449" w:type="pct"/>
                  <w:shd w:val="clear" w:color="auto" w:fill="FFFFFF"/>
                  <w:vAlign w:val="center"/>
                </w:tcPr>
                <w:p w14:paraId="7BFA8EAE">
                  <w:pPr>
                    <w:widowControl/>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35.2</w:t>
                  </w:r>
                </w:p>
              </w:tc>
              <w:tc>
                <w:tcPr>
                  <w:tcW w:w="431" w:type="pct"/>
                  <w:vAlign w:val="center"/>
                </w:tcPr>
                <w:p w14:paraId="5640AA03">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r>
                    <w:rPr>
                      <w:rFonts w:hint="eastAsia"/>
                      <w:color w:val="0D0D0D" w:themeColor="text1" w:themeTint="F2"/>
                      <w:szCs w:val="21"/>
                      <w14:textFill>
                        <w14:solidFill>
                          <w14:schemeClr w14:val="tx1">
                            <w14:lumMod w14:val="95000"/>
                            <w14:lumOff w14:val="5000"/>
                          </w14:schemeClr>
                        </w14:solidFill>
                      </w14:textFill>
                    </w:rPr>
                    <w:t>m</w:t>
                  </w:r>
                </w:p>
              </w:tc>
            </w:tr>
            <w:tr w14:paraId="207DD4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8" w:type="pct"/>
                  <w:vMerge w:val="continue"/>
                  <w:vAlign w:val="center"/>
                </w:tcPr>
                <w:p w14:paraId="233E4F33">
                  <w:pPr>
                    <w:pStyle w:val="48"/>
                    <w:spacing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85" w:type="pct"/>
                  <w:shd w:val="clear" w:color="auto" w:fill="FFFFFF"/>
                </w:tcPr>
                <w:p w14:paraId="287116FE">
                  <w:pPr>
                    <w:pStyle w:val="48"/>
                    <w:spacing w:line="240" w:lineRule="auto"/>
                    <w:ind w:firstLine="0" w:firstLineChars="0"/>
                    <w:jc w:val="center"/>
                    <w:rPr>
                      <w:rFonts w:ascii="Times New Roman" w:hAnsi="Times New Roman" w:cs="Arial"/>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cs="Arial"/>
                      <w:color w:val="0D0D0D" w:themeColor="text1" w:themeTint="F2"/>
                      <w:sz w:val="21"/>
                      <w:szCs w:val="21"/>
                      <w:lang w:eastAsia="zh-CN"/>
                      <w14:textFill>
                        <w14:solidFill>
                          <w14:schemeClr w14:val="tx1">
                            <w14:lumMod w14:val="95000"/>
                            <w14:lumOff w14:val="5000"/>
                          </w14:schemeClr>
                        </w14:solidFill>
                      </w14:textFill>
                    </w:rPr>
                    <w:t>1＃风机</w:t>
                  </w:r>
                </w:p>
              </w:tc>
              <w:tc>
                <w:tcPr>
                  <w:tcW w:w="380" w:type="pct"/>
                  <w:vAlign w:val="center"/>
                </w:tcPr>
                <w:p w14:paraId="158BE259">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85</w:t>
                  </w:r>
                </w:p>
              </w:tc>
              <w:tc>
                <w:tcPr>
                  <w:tcW w:w="336" w:type="pct"/>
                  <w:vMerge w:val="continue"/>
                  <w:vAlign w:val="center"/>
                </w:tcPr>
                <w:p w14:paraId="32771C2B">
                  <w:pPr>
                    <w:jc w:val="center"/>
                    <w:rPr>
                      <w:color w:val="0D0D0D" w:themeColor="text1" w:themeTint="F2"/>
                      <w:szCs w:val="21"/>
                      <w14:textFill>
                        <w14:solidFill>
                          <w14:schemeClr w14:val="tx1">
                            <w14:lumMod w14:val="95000"/>
                            <w14:lumOff w14:val="5000"/>
                          </w14:schemeClr>
                        </w14:solidFill>
                      </w14:textFill>
                    </w:rPr>
                  </w:pPr>
                </w:p>
              </w:tc>
              <w:tc>
                <w:tcPr>
                  <w:tcW w:w="333" w:type="pct"/>
                  <w:shd w:val="clear" w:color="auto" w:fill="FFFFFF"/>
                  <w:vAlign w:val="center"/>
                </w:tcPr>
                <w:p w14:paraId="1E805B11">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28.35</w:t>
                  </w:r>
                </w:p>
              </w:tc>
              <w:tc>
                <w:tcPr>
                  <w:tcW w:w="354" w:type="pct"/>
                  <w:shd w:val="clear" w:color="auto" w:fill="FFFFFF"/>
                  <w:vAlign w:val="center"/>
                </w:tcPr>
                <w:p w14:paraId="3D324C8E">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212.08</w:t>
                  </w:r>
                </w:p>
              </w:tc>
              <w:tc>
                <w:tcPr>
                  <w:tcW w:w="247" w:type="pct"/>
                  <w:vAlign w:val="center"/>
                </w:tcPr>
                <w:p w14:paraId="4DAFB1F6">
                  <w:pPr>
                    <w:widowControl/>
                    <w:jc w:val="center"/>
                    <w:textAlignment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w:t>
                  </w:r>
                </w:p>
              </w:tc>
              <w:tc>
                <w:tcPr>
                  <w:tcW w:w="296" w:type="pct"/>
                  <w:shd w:val="clear" w:color="auto" w:fill="FFFFFF"/>
                  <w:vAlign w:val="center"/>
                </w:tcPr>
                <w:p w14:paraId="684B040E">
                  <w:pPr>
                    <w:widowControl/>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5.5</w:t>
                  </w:r>
                </w:p>
              </w:tc>
              <w:tc>
                <w:tcPr>
                  <w:tcW w:w="368" w:type="pct"/>
                  <w:shd w:val="clear" w:color="auto" w:fill="FFFFFF"/>
                  <w:vAlign w:val="center"/>
                </w:tcPr>
                <w:p w14:paraId="20E77730">
                  <w:pPr>
                    <w:widowControl/>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70.2</w:t>
                  </w:r>
                </w:p>
              </w:tc>
              <w:tc>
                <w:tcPr>
                  <w:tcW w:w="338" w:type="pct"/>
                  <w:vMerge w:val="continue"/>
                  <w:vAlign w:val="center"/>
                </w:tcPr>
                <w:p w14:paraId="6AD427B4">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p>
              </w:tc>
              <w:tc>
                <w:tcPr>
                  <w:tcW w:w="495" w:type="pct"/>
                  <w:vAlign w:val="center"/>
                </w:tcPr>
                <w:p w14:paraId="6804183A">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20</w:t>
                  </w:r>
                </w:p>
              </w:tc>
              <w:tc>
                <w:tcPr>
                  <w:tcW w:w="449" w:type="pct"/>
                  <w:shd w:val="clear" w:color="auto" w:fill="FFFFFF"/>
                  <w:vAlign w:val="center"/>
                </w:tcPr>
                <w:p w14:paraId="00226262">
                  <w:pPr>
                    <w:widowControl/>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50.2</w:t>
                  </w:r>
                </w:p>
              </w:tc>
              <w:tc>
                <w:tcPr>
                  <w:tcW w:w="431" w:type="pct"/>
                  <w:vAlign w:val="center"/>
                </w:tcPr>
                <w:p w14:paraId="42250000">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r>
                    <w:rPr>
                      <w:rFonts w:hint="eastAsia"/>
                      <w:color w:val="0D0D0D" w:themeColor="text1" w:themeTint="F2"/>
                      <w:szCs w:val="21"/>
                      <w14:textFill>
                        <w14:solidFill>
                          <w14:schemeClr w14:val="tx1">
                            <w14:lumMod w14:val="95000"/>
                            <w14:lumOff w14:val="5000"/>
                          </w14:schemeClr>
                        </w14:solidFill>
                      </w14:textFill>
                    </w:rPr>
                    <w:t>m</w:t>
                  </w:r>
                </w:p>
              </w:tc>
            </w:tr>
            <w:tr w14:paraId="03ED19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88" w:type="pct"/>
                  <w:vMerge w:val="continue"/>
                  <w:vAlign w:val="center"/>
                </w:tcPr>
                <w:p w14:paraId="1F92D191">
                  <w:pPr>
                    <w:pStyle w:val="48"/>
                    <w:spacing w:line="240" w:lineRule="auto"/>
                    <w:ind w:firstLine="0" w:firstLineChars="0"/>
                    <w:jc w:val="center"/>
                    <w:rPr>
                      <w:rFonts w:ascii="Times New Roman" w:hAnsi="Times New Roman"/>
                      <w:color w:val="0D0D0D" w:themeColor="text1" w:themeTint="F2"/>
                      <w:sz w:val="21"/>
                      <w:szCs w:val="21"/>
                      <w:lang w:eastAsia="zh-CN"/>
                      <w14:textFill>
                        <w14:solidFill>
                          <w14:schemeClr w14:val="tx1">
                            <w14:lumMod w14:val="95000"/>
                            <w14:lumOff w14:val="5000"/>
                          </w14:schemeClr>
                        </w14:solidFill>
                      </w14:textFill>
                    </w:rPr>
                  </w:pPr>
                </w:p>
              </w:tc>
              <w:tc>
                <w:tcPr>
                  <w:tcW w:w="785" w:type="pct"/>
                  <w:shd w:val="clear" w:color="auto" w:fill="FFFFFF"/>
                </w:tcPr>
                <w:p w14:paraId="5E7E7AEB">
                  <w:pPr>
                    <w:pStyle w:val="48"/>
                    <w:spacing w:line="240" w:lineRule="auto"/>
                    <w:ind w:firstLine="0" w:firstLineChars="0"/>
                    <w:jc w:val="center"/>
                    <w:rPr>
                      <w:rFonts w:ascii="Times New Roman" w:hAnsi="Times New Roman" w:cs="Arial"/>
                      <w:color w:val="0D0D0D" w:themeColor="text1" w:themeTint="F2"/>
                      <w:sz w:val="21"/>
                      <w:szCs w:val="21"/>
                      <w:lang w:eastAsia="zh-CN"/>
                      <w14:textFill>
                        <w14:solidFill>
                          <w14:schemeClr w14:val="tx1">
                            <w14:lumMod w14:val="95000"/>
                            <w14:lumOff w14:val="5000"/>
                          </w14:schemeClr>
                        </w14:solidFill>
                      </w14:textFill>
                    </w:rPr>
                  </w:pPr>
                  <w:r>
                    <w:rPr>
                      <w:rFonts w:hint="eastAsia" w:ascii="Times New Roman" w:hAnsi="Times New Roman" w:cs="Arial"/>
                      <w:color w:val="0D0D0D" w:themeColor="text1" w:themeTint="F2"/>
                      <w:sz w:val="21"/>
                      <w:szCs w:val="21"/>
                      <w:lang w:eastAsia="zh-CN"/>
                      <w14:textFill>
                        <w14:solidFill>
                          <w14:schemeClr w14:val="tx1">
                            <w14:lumMod w14:val="95000"/>
                            <w14:lumOff w14:val="5000"/>
                          </w14:schemeClr>
                        </w14:solidFill>
                      </w14:textFill>
                    </w:rPr>
                    <w:t>2＃风机</w:t>
                  </w:r>
                </w:p>
              </w:tc>
              <w:tc>
                <w:tcPr>
                  <w:tcW w:w="380" w:type="pct"/>
                  <w:vAlign w:val="center"/>
                </w:tcPr>
                <w:p w14:paraId="353E8202">
                  <w:pPr>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85</w:t>
                  </w:r>
                </w:p>
              </w:tc>
              <w:tc>
                <w:tcPr>
                  <w:tcW w:w="336" w:type="pct"/>
                  <w:vMerge w:val="continue"/>
                  <w:vAlign w:val="center"/>
                </w:tcPr>
                <w:p w14:paraId="3A0E4B23">
                  <w:pPr>
                    <w:jc w:val="center"/>
                    <w:rPr>
                      <w:color w:val="0D0D0D" w:themeColor="text1" w:themeTint="F2"/>
                      <w:szCs w:val="21"/>
                      <w14:textFill>
                        <w14:solidFill>
                          <w14:schemeClr w14:val="tx1">
                            <w14:lumMod w14:val="95000"/>
                            <w14:lumOff w14:val="5000"/>
                          </w14:schemeClr>
                        </w14:solidFill>
                      </w14:textFill>
                    </w:rPr>
                  </w:pPr>
                </w:p>
              </w:tc>
              <w:tc>
                <w:tcPr>
                  <w:tcW w:w="333" w:type="pct"/>
                  <w:shd w:val="clear" w:color="auto" w:fill="FFFFFF"/>
                  <w:vAlign w:val="center"/>
                </w:tcPr>
                <w:p w14:paraId="51655156">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21.45</w:t>
                  </w:r>
                </w:p>
              </w:tc>
              <w:tc>
                <w:tcPr>
                  <w:tcW w:w="354" w:type="pct"/>
                  <w:shd w:val="clear" w:color="auto" w:fill="FFFFFF"/>
                  <w:vAlign w:val="center"/>
                </w:tcPr>
                <w:p w14:paraId="36EE1EFE">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144.5</w:t>
                  </w:r>
                </w:p>
              </w:tc>
              <w:tc>
                <w:tcPr>
                  <w:tcW w:w="247" w:type="pct"/>
                  <w:vAlign w:val="center"/>
                </w:tcPr>
                <w:p w14:paraId="6827CC70">
                  <w:pPr>
                    <w:widowControl/>
                    <w:jc w:val="center"/>
                    <w:textAlignment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1</w:t>
                  </w:r>
                </w:p>
              </w:tc>
              <w:tc>
                <w:tcPr>
                  <w:tcW w:w="296" w:type="pct"/>
                  <w:shd w:val="clear" w:color="auto" w:fill="FFFFFF"/>
                  <w:vAlign w:val="center"/>
                </w:tcPr>
                <w:p w14:paraId="59DAE08B">
                  <w:pPr>
                    <w:widowControl/>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5.5</w:t>
                  </w:r>
                </w:p>
              </w:tc>
              <w:tc>
                <w:tcPr>
                  <w:tcW w:w="368" w:type="pct"/>
                  <w:shd w:val="clear" w:color="auto" w:fill="FFFFFF"/>
                  <w:vAlign w:val="center"/>
                </w:tcPr>
                <w:p w14:paraId="3CE51800">
                  <w:pPr>
                    <w:widowControl/>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70.2</w:t>
                  </w:r>
                </w:p>
              </w:tc>
              <w:tc>
                <w:tcPr>
                  <w:tcW w:w="338" w:type="pct"/>
                  <w:vMerge w:val="continue"/>
                  <w:vAlign w:val="center"/>
                </w:tcPr>
                <w:p w14:paraId="3BD69A3B">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p>
              </w:tc>
              <w:tc>
                <w:tcPr>
                  <w:tcW w:w="495" w:type="pct"/>
                  <w:vAlign w:val="center"/>
                </w:tcPr>
                <w:p w14:paraId="32E7A84B">
                  <w:pPr>
                    <w:widowControl/>
                    <w:jc w:val="center"/>
                    <w:textAlignment w:val="center"/>
                    <w:rPr>
                      <w:color w:val="0D0D0D" w:themeColor="text1" w:themeTint="F2"/>
                      <w:kern w:val="0"/>
                      <w:szCs w:val="21"/>
                      <w:lang w:bidi="ar"/>
                      <w14:textFill>
                        <w14:solidFill>
                          <w14:schemeClr w14:val="tx1">
                            <w14:lumMod w14:val="95000"/>
                            <w14:lumOff w14:val="5000"/>
                          </w14:schemeClr>
                        </w14:solidFill>
                      </w14:textFill>
                    </w:rPr>
                  </w:pPr>
                  <w:r>
                    <w:rPr>
                      <w:rFonts w:hint="eastAsia"/>
                      <w:color w:val="0D0D0D" w:themeColor="text1" w:themeTint="F2"/>
                      <w:kern w:val="0"/>
                      <w:szCs w:val="21"/>
                      <w:lang w:bidi="ar"/>
                      <w14:textFill>
                        <w14:solidFill>
                          <w14:schemeClr w14:val="tx1">
                            <w14:lumMod w14:val="95000"/>
                            <w14:lumOff w14:val="5000"/>
                          </w14:schemeClr>
                        </w14:solidFill>
                      </w14:textFill>
                    </w:rPr>
                    <w:t>20</w:t>
                  </w:r>
                </w:p>
              </w:tc>
              <w:tc>
                <w:tcPr>
                  <w:tcW w:w="449" w:type="pct"/>
                  <w:shd w:val="clear" w:color="auto" w:fill="FFFFFF"/>
                  <w:vAlign w:val="center"/>
                </w:tcPr>
                <w:p w14:paraId="7C301D6F">
                  <w:pPr>
                    <w:widowControl/>
                    <w:jc w:val="center"/>
                    <w:textAlignment w:val="center"/>
                    <w:rPr>
                      <w:rFonts w:cs="Arial"/>
                      <w:color w:val="0D0D0D" w:themeColor="text1" w:themeTint="F2"/>
                      <w:szCs w:val="21"/>
                      <w14:textFill>
                        <w14:solidFill>
                          <w14:schemeClr w14:val="tx1">
                            <w14:lumMod w14:val="95000"/>
                            <w14:lumOff w14:val="5000"/>
                          </w14:schemeClr>
                        </w14:solidFill>
                      </w14:textFill>
                    </w:rPr>
                  </w:pPr>
                  <w:r>
                    <w:rPr>
                      <w:rFonts w:hint="eastAsia" w:cs="Arial"/>
                      <w:color w:val="0D0D0D" w:themeColor="text1" w:themeTint="F2"/>
                      <w:szCs w:val="21"/>
                      <w14:textFill>
                        <w14:solidFill>
                          <w14:schemeClr w14:val="tx1">
                            <w14:lumMod w14:val="95000"/>
                            <w14:lumOff w14:val="5000"/>
                          </w14:schemeClr>
                        </w14:solidFill>
                      </w14:textFill>
                    </w:rPr>
                    <w:t>50.2</w:t>
                  </w:r>
                </w:p>
              </w:tc>
              <w:tc>
                <w:tcPr>
                  <w:tcW w:w="431" w:type="pct"/>
                  <w:vAlign w:val="center"/>
                </w:tcPr>
                <w:p w14:paraId="5CE62382">
                  <w:pPr>
                    <w:jc w:val="center"/>
                    <w:rPr>
                      <w:color w:val="0D0D0D" w:themeColor="text1" w:themeTint="F2"/>
                      <w:szCs w:val="21"/>
                      <w14:textFill>
                        <w14:solidFill>
                          <w14:schemeClr w14:val="tx1">
                            <w14:lumMod w14:val="95000"/>
                            <w14:lumOff w14:val="5000"/>
                          </w14:schemeClr>
                        </w14:solidFill>
                      </w14:textFill>
                    </w:rPr>
                  </w:pPr>
                  <w:r>
                    <w:rPr>
                      <w:color w:val="0D0D0D" w:themeColor="text1" w:themeTint="F2"/>
                      <w:szCs w:val="21"/>
                      <w14:textFill>
                        <w14:solidFill>
                          <w14:schemeClr w14:val="tx1">
                            <w14:lumMod w14:val="95000"/>
                            <w14:lumOff w14:val="5000"/>
                          </w14:schemeClr>
                        </w14:solidFill>
                      </w14:textFill>
                    </w:rPr>
                    <w:t>1</w:t>
                  </w:r>
                  <w:r>
                    <w:rPr>
                      <w:rFonts w:hint="eastAsia"/>
                      <w:color w:val="0D0D0D" w:themeColor="text1" w:themeTint="F2"/>
                      <w:szCs w:val="21"/>
                      <w14:textFill>
                        <w14:solidFill>
                          <w14:schemeClr w14:val="tx1">
                            <w14:lumMod w14:val="95000"/>
                            <w14:lumOff w14:val="5000"/>
                          </w14:schemeClr>
                        </w14:solidFill>
                      </w14:textFill>
                    </w:rPr>
                    <w:t>m</w:t>
                  </w:r>
                </w:p>
              </w:tc>
            </w:tr>
            <w:tr w14:paraId="684744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00" w:type="pct"/>
                  <w:gridSpan w:val="13"/>
                  <w:vAlign w:val="center"/>
                </w:tcPr>
                <w:p w14:paraId="02A753D2">
                  <w:pP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注：表中坐标以厂界左下角（</w:t>
                  </w:r>
                  <w:r>
                    <w:rPr>
                      <w:color w:val="0D0D0D" w:themeColor="text1" w:themeTint="F2"/>
                      <w:szCs w:val="21"/>
                      <w14:textFill>
                        <w14:solidFill>
                          <w14:schemeClr w14:val="tx1">
                            <w14:lumMod w14:val="95000"/>
                            <w14:lumOff w14:val="5000"/>
                          </w14:schemeClr>
                        </w14:solidFill>
                      </w14:textFill>
                    </w:rPr>
                    <w:t>108.622694</w:t>
                  </w:r>
                  <w:r>
                    <w:rPr>
                      <w:rFonts w:hint="eastAsia"/>
                      <w:color w:val="0D0D0D" w:themeColor="text1" w:themeTint="F2"/>
                      <w:szCs w:val="21"/>
                      <w14:textFill>
                        <w14:solidFill>
                          <w14:schemeClr w14:val="tx1">
                            <w14:lumMod w14:val="95000"/>
                            <w14:lumOff w14:val="5000"/>
                          </w14:schemeClr>
                        </w14:solidFill>
                      </w14:textFill>
                    </w:rPr>
                    <w:t>，</w:t>
                  </w:r>
                  <w:r>
                    <w:rPr>
                      <w:color w:val="0D0D0D" w:themeColor="text1" w:themeTint="F2"/>
                      <w:szCs w:val="21"/>
                      <w14:textFill>
                        <w14:solidFill>
                          <w14:schemeClr w14:val="tx1">
                            <w14:lumMod w14:val="95000"/>
                            <w14:lumOff w14:val="5000"/>
                          </w14:schemeClr>
                        </w14:solidFill>
                      </w14:textFill>
                    </w:rPr>
                    <w:t>21.708272</w:t>
                  </w:r>
                  <w:r>
                    <w:rPr>
                      <w:rFonts w:hint="eastAsia"/>
                      <w:color w:val="0D0D0D" w:themeColor="text1" w:themeTint="F2"/>
                      <w:szCs w:val="21"/>
                      <w14:textFill>
                        <w14:solidFill>
                          <w14:schemeClr w14:val="tx1">
                            <w14:lumMod w14:val="95000"/>
                            <w14:lumOff w14:val="5000"/>
                          </w14:schemeClr>
                        </w14:solidFill>
                      </w14:textFill>
                    </w:rPr>
                    <w:t>）为坐标原点，正东向为X轴正方向，正北向为Y轴正方向</w:t>
                  </w:r>
                </w:p>
              </w:tc>
            </w:tr>
          </w:tbl>
          <w:p w14:paraId="37B7DC6E">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2、噪声影响及达标性分析</w:t>
            </w:r>
          </w:p>
          <w:p w14:paraId="4A7EF251">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项目噪声源为瞬时噪声，设备停止运转，噪声将随之消失。根据《环境影响评价技术导则  声环境》（HJ2.4-202</w:t>
            </w:r>
            <w:r>
              <w:rPr>
                <w:rFonts w:hint="eastAsia" w:cs="宋体"/>
                <w:bCs/>
                <w:color w:val="0D0D0D" w:themeColor="text1" w:themeTint="F2"/>
                <w:spacing w:val="-10"/>
                <w:sz w:val="24"/>
                <w14:textFill>
                  <w14:solidFill>
                    <w14:schemeClr w14:val="tx1">
                      <w14:lumMod w14:val="95000"/>
                      <w14:lumOff w14:val="5000"/>
                    </w14:schemeClr>
                  </w14:solidFill>
                </w14:textFill>
              </w:rPr>
              <w:t>1</w:t>
            </w:r>
            <w:r>
              <w:rPr>
                <w:rFonts w:cs="宋体"/>
                <w:bCs/>
                <w:color w:val="0D0D0D" w:themeColor="text1" w:themeTint="F2"/>
                <w:spacing w:val="-10"/>
                <w:sz w:val="24"/>
                <w14:textFill>
                  <w14:solidFill>
                    <w14:schemeClr w14:val="tx1">
                      <w14:lumMod w14:val="95000"/>
                      <w14:lumOff w14:val="5000"/>
                    </w14:schemeClr>
                  </w14:solidFill>
                </w14:textFill>
              </w:rPr>
              <w:t>），</w:t>
            </w:r>
            <w:r>
              <w:rPr>
                <w:rFonts w:hint="eastAsia" w:cs="宋体"/>
                <w:bCs/>
                <w:color w:val="0D0D0D" w:themeColor="text1" w:themeTint="F2"/>
                <w:spacing w:val="-10"/>
                <w:sz w:val="24"/>
                <w14:textFill>
                  <w14:solidFill>
                    <w14:schemeClr w14:val="tx1">
                      <w14:lumMod w14:val="95000"/>
                      <w14:lumOff w14:val="5000"/>
                    </w14:schemeClr>
                  </w14:solidFill>
                </w14:textFill>
              </w:rPr>
              <w:t>本次声环境影响预测主要采</w:t>
            </w:r>
            <w:r>
              <w:rPr>
                <w:rFonts w:cs="宋体"/>
                <w:bCs/>
                <w:color w:val="0D0D0D" w:themeColor="text1" w:themeTint="F2"/>
                <w:spacing w:val="-10"/>
                <w:sz w:val="24"/>
                <w14:textFill>
                  <w14:solidFill>
                    <w14:schemeClr w14:val="tx1">
                      <w14:lumMod w14:val="95000"/>
                      <w14:lumOff w14:val="5000"/>
                    </w14:schemeClr>
                  </w14:solidFill>
                </w14:textFill>
              </w:rPr>
              <w:t>用附录B中B.1</w:t>
            </w:r>
            <w:r>
              <w:rPr>
                <w:rFonts w:hint="eastAsia" w:cs="宋体"/>
                <w:bCs/>
                <w:color w:val="0D0D0D" w:themeColor="text1" w:themeTint="F2"/>
                <w:spacing w:val="-10"/>
                <w:sz w:val="24"/>
                <w14:textFill>
                  <w14:solidFill>
                    <w14:schemeClr w14:val="tx1">
                      <w14:lumMod w14:val="95000"/>
                      <w14:lumOff w14:val="5000"/>
                    </w14:schemeClr>
                  </w14:solidFill>
                </w14:textFill>
              </w:rPr>
              <w:t>工业噪声预测计算模型</w:t>
            </w:r>
            <w:r>
              <w:rPr>
                <w:rFonts w:cs="宋体"/>
                <w:bCs/>
                <w:color w:val="0D0D0D" w:themeColor="text1" w:themeTint="F2"/>
                <w:spacing w:val="-10"/>
                <w:sz w:val="24"/>
                <w14:textFill>
                  <w14:solidFill>
                    <w14:schemeClr w14:val="tx1">
                      <w14:lumMod w14:val="95000"/>
                      <w14:lumOff w14:val="5000"/>
                    </w14:schemeClr>
                  </w14:solidFill>
                </w14:textFill>
              </w:rPr>
              <w:t>。</w:t>
            </w:r>
          </w:p>
          <w:p w14:paraId="0322E326">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（1）</w:t>
            </w:r>
            <w:r>
              <w:rPr>
                <w:rFonts w:cs="宋体"/>
                <w:bCs/>
                <w:color w:val="0D0D0D" w:themeColor="text1" w:themeTint="F2"/>
                <w:spacing w:val="-10"/>
                <w:sz w:val="24"/>
                <w14:textFill>
                  <w14:solidFill>
                    <w14:schemeClr w14:val="tx1">
                      <w14:lumMod w14:val="95000"/>
                      <w14:lumOff w14:val="5000"/>
                    </w14:schemeClr>
                  </w14:solidFill>
                </w14:textFill>
              </w:rPr>
              <w:t>室内声源等效室外声源声功率级计算</w:t>
            </w:r>
          </w:p>
          <w:p w14:paraId="305B09A2">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声源位于室内，室内声源可采用等效室外声源声功率级法进行计算。</w:t>
            </w:r>
          </w:p>
          <w:p w14:paraId="6C70D47C">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设靠近开口处（或窗户）室内、室外某倍频带的声压级或A声级分别为L</w:t>
            </w:r>
            <w:r>
              <w:rPr>
                <w:rFonts w:cs="宋体"/>
                <w:bCs/>
                <w:color w:val="0D0D0D" w:themeColor="text1" w:themeTint="F2"/>
                <w:spacing w:val="-10"/>
                <w:sz w:val="24"/>
                <w:vertAlign w:val="subscript"/>
                <w14:textFill>
                  <w14:solidFill>
                    <w14:schemeClr w14:val="tx1">
                      <w14:lumMod w14:val="95000"/>
                      <w14:lumOff w14:val="5000"/>
                    </w14:schemeClr>
                  </w14:solidFill>
                </w14:textFill>
              </w:rPr>
              <w:t>P1</w:t>
            </w:r>
            <w:r>
              <w:rPr>
                <w:rFonts w:cs="宋体"/>
                <w:bCs/>
                <w:color w:val="0D0D0D" w:themeColor="text1" w:themeTint="F2"/>
                <w:spacing w:val="-10"/>
                <w:sz w:val="24"/>
                <w14:textFill>
                  <w14:solidFill>
                    <w14:schemeClr w14:val="tx1">
                      <w14:lumMod w14:val="95000"/>
                      <w14:lumOff w14:val="5000"/>
                    </w14:schemeClr>
                  </w14:solidFill>
                </w14:textFill>
              </w:rPr>
              <w:t>和L</w:t>
            </w:r>
            <w:r>
              <w:rPr>
                <w:rFonts w:cs="宋体"/>
                <w:bCs/>
                <w:color w:val="0D0D0D" w:themeColor="text1" w:themeTint="F2"/>
                <w:spacing w:val="-10"/>
                <w:sz w:val="24"/>
                <w:vertAlign w:val="subscript"/>
                <w14:textFill>
                  <w14:solidFill>
                    <w14:schemeClr w14:val="tx1">
                      <w14:lumMod w14:val="95000"/>
                      <w14:lumOff w14:val="5000"/>
                    </w14:schemeClr>
                  </w14:solidFill>
                </w14:textFill>
              </w:rPr>
              <w:t>P2</w:t>
            </w:r>
            <w:r>
              <w:rPr>
                <w:rFonts w:cs="宋体"/>
                <w:bCs/>
                <w:color w:val="0D0D0D" w:themeColor="text1" w:themeTint="F2"/>
                <w:spacing w:val="-10"/>
                <w:sz w:val="24"/>
                <w14:textFill>
                  <w14:solidFill>
                    <w14:schemeClr w14:val="tx1">
                      <w14:lumMod w14:val="95000"/>
                      <w14:lumOff w14:val="5000"/>
                    </w14:schemeClr>
                  </w14:solidFill>
                </w14:textFill>
              </w:rPr>
              <w:t>。若声源所在室内声场为近似扩散声场，则室外的倍频带声压级可按式（A.1）近似求出：</w:t>
            </w:r>
          </w:p>
          <w:p w14:paraId="3F949548">
            <w:pPr>
              <w:adjustRightInd w:val="0"/>
              <w:snapToGrid w:val="0"/>
              <w:spacing w:line="360" w:lineRule="auto"/>
              <w:jc w:val="center"/>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drawing>
                <wp:inline distT="0" distB="0" distL="0" distR="0">
                  <wp:extent cx="1460500" cy="149860"/>
                  <wp:effectExtent l="0" t="0" r="6350" b="254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1460500" cy="149860"/>
                          </a:xfrm>
                          <a:prstGeom prst="rect">
                            <a:avLst/>
                          </a:prstGeom>
                          <a:noFill/>
                          <a:ln>
                            <a:noFill/>
                          </a:ln>
                        </pic:spPr>
                      </pic:pic>
                    </a:graphicData>
                  </a:graphic>
                </wp:inline>
              </w:drawing>
            </w:r>
            <w:r>
              <w:rPr>
                <w:rFonts w:cs="宋体"/>
                <w:bCs/>
                <w:color w:val="0D0D0D" w:themeColor="text1" w:themeTint="F2"/>
                <w:spacing w:val="-10"/>
                <w:sz w:val="24"/>
                <w14:textFill>
                  <w14:solidFill>
                    <w14:schemeClr w14:val="tx1">
                      <w14:lumMod w14:val="95000"/>
                      <w14:lumOff w14:val="5000"/>
                    </w14:schemeClr>
                  </w14:solidFill>
                </w14:textFill>
              </w:rPr>
              <w:t xml:space="preserve">          式（A.1）</w:t>
            </w:r>
          </w:p>
          <w:p w14:paraId="5D3877D8">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式中：</w:t>
            </w:r>
          </w:p>
          <w:p w14:paraId="030DCBC5">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L</w:t>
            </w:r>
            <w:r>
              <w:rPr>
                <w:rFonts w:cs="宋体"/>
                <w:bCs/>
                <w:color w:val="0D0D0D" w:themeColor="text1" w:themeTint="F2"/>
                <w:spacing w:val="-10"/>
                <w:sz w:val="24"/>
                <w:vertAlign w:val="subscript"/>
                <w14:textFill>
                  <w14:solidFill>
                    <w14:schemeClr w14:val="tx1">
                      <w14:lumMod w14:val="95000"/>
                      <w14:lumOff w14:val="5000"/>
                    </w14:schemeClr>
                  </w14:solidFill>
                </w14:textFill>
              </w:rPr>
              <w:t>P1</w:t>
            </w:r>
            <w:r>
              <w:rPr>
                <w:rFonts w:cs="宋体"/>
                <w:bCs/>
                <w:color w:val="0D0D0D" w:themeColor="text1" w:themeTint="F2"/>
                <w:spacing w:val="-10"/>
                <w:sz w:val="24"/>
                <w14:textFill>
                  <w14:solidFill>
                    <w14:schemeClr w14:val="tx1">
                      <w14:lumMod w14:val="95000"/>
                      <w14:lumOff w14:val="5000"/>
                    </w14:schemeClr>
                  </w14:solidFill>
                </w14:textFill>
              </w:rPr>
              <w:t>——靠近开口处（或窗户）室内某倍频带的声压级或A声级，dB；</w:t>
            </w:r>
          </w:p>
          <w:p w14:paraId="5C608CC5">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L</w:t>
            </w:r>
            <w:r>
              <w:rPr>
                <w:rFonts w:cs="宋体"/>
                <w:bCs/>
                <w:color w:val="0D0D0D" w:themeColor="text1" w:themeTint="F2"/>
                <w:spacing w:val="-10"/>
                <w:sz w:val="24"/>
                <w:vertAlign w:val="subscript"/>
                <w14:textFill>
                  <w14:solidFill>
                    <w14:schemeClr w14:val="tx1">
                      <w14:lumMod w14:val="95000"/>
                      <w14:lumOff w14:val="5000"/>
                    </w14:schemeClr>
                  </w14:solidFill>
                </w14:textFill>
              </w:rPr>
              <w:t>P2</w:t>
            </w:r>
            <w:r>
              <w:rPr>
                <w:rFonts w:cs="宋体"/>
                <w:bCs/>
                <w:color w:val="0D0D0D" w:themeColor="text1" w:themeTint="F2"/>
                <w:spacing w:val="-10"/>
                <w:sz w:val="24"/>
                <w14:textFill>
                  <w14:solidFill>
                    <w14:schemeClr w14:val="tx1">
                      <w14:lumMod w14:val="95000"/>
                      <w14:lumOff w14:val="5000"/>
                    </w14:schemeClr>
                  </w14:solidFill>
                </w14:textFill>
              </w:rPr>
              <w:t>——靠近开口处（或窗户）室外某倍频带的声压级或A声级，dB；</w:t>
            </w:r>
          </w:p>
          <w:p w14:paraId="7979056D">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TL——隔墙（或窗户）倍频带或A声级的隔声量，dB。</w:t>
            </w:r>
          </w:p>
          <w:p w14:paraId="32D213D8">
            <w:pPr>
              <w:adjustRightInd w:val="0"/>
              <w:snapToGrid w:val="0"/>
              <w:jc w:val="center"/>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drawing>
                <wp:inline distT="0" distB="0" distL="0" distR="0">
                  <wp:extent cx="2490470" cy="1371600"/>
                  <wp:effectExtent l="0" t="0" r="508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2490470" cy="1371600"/>
                          </a:xfrm>
                          <a:prstGeom prst="rect">
                            <a:avLst/>
                          </a:prstGeom>
                          <a:noFill/>
                          <a:ln>
                            <a:noFill/>
                          </a:ln>
                        </pic:spPr>
                      </pic:pic>
                    </a:graphicData>
                  </a:graphic>
                </wp:inline>
              </w:drawing>
            </w:r>
          </w:p>
          <w:p w14:paraId="40501904">
            <w:pPr>
              <w:adjustRightInd w:val="0"/>
              <w:snapToGrid w:val="0"/>
              <w:jc w:val="center"/>
              <w:rPr>
                <w:rFonts w:cs="宋体"/>
                <w:b/>
                <w:bCs/>
                <w:color w:val="0D0D0D" w:themeColor="text1" w:themeTint="F2"/>
                <w:spacing w:val="-10"/>
                <w:szCs w:val="21"/>
                <w14:textFill>
                  <w14:solidFill>
                    <w14:schemeClr w14:val="tx1">
                      <w14:lumMod w14:val="95000"/>
                      <w14:lumOff w14:val="5000"/>
                    </w14:schemeClr>
                  </w14:solidFill>
                </w14:textFill>
              </w:rPr>
            </w:pPr>
            <w:r>
              <w:rPr>
                <w:rFonts w:cs="宋体"/>
                <w:b/>
                <w:bCs/>
                <w:color w:val="0D0D0D" w:themeColor="text1" w:themeTint="F2"/>
                <w:spacing w:val="-10"/>
                <w:szCs w:val="21"/>
                <w14:textFill>
                  <w14:solidFill>
                    <w14:schemeClr w14:val="tx1">
                      <w14:lumMod w14:val="95000"/>
                      <w14:lumOff w14:val="5000"/>
                    </w14:schemeClr>
                  </w14:solidFill>
                </w14:textFill>
              </w:rPr>
              <w:t>图4-</w:t>
            </w:r>
            <w:r>
              <w:rPr>
                <w:rFonts w:hint="eastAsia" w:cs="宋体"/>
                <w:b/>
                <w:bCs/>
                <w:color w:val="0D0D0D" w:themeColor="text1" w:themeTint="F2"/>
                <w:spacing w:val="-10"/>
                <w:szCs w:val="21"/>
                <w14:textFill>
                  <w14:solidFill>
                    <w14:schemeClr w14:val="tx1">
                      <w14:lumMod w14:val="95000"/>
                      <w14:lumOff w14:val="5000"/>
                    </w14:schemeClr>
                  </w14:solidFill>
                </w14:textFill>
              </w:rPr>
              <w:t>3</w:t>
            </w:r>
            <w:r>
              <w:rPr>
                <w:rFonts w:cs="宋体"/>
                <w:b/>
                <w:bCs/>
                <w:color w:val="0D0D0D" w:themeColor="text1" w:themeTint="F2"/>
                <w:spacing w:val="-10"/>
                <w:szCs w:val="21"/>
                <w14:textFill>
                  <w14:solidFill>
                    <w14:schemeClr w14:val="tx1">
                      <w14:lumMod w14:val="95000"/>
                      <w14:lumOff w14:val="5000"/>
                    </w14:schemeClr>
                  </w14:solidFill>
                </w14:textFill>
              </w:rPr>
              <w:t xml:space="preserve">  室内声源等效为室外声源图例</w:t>
            </w:r>
          </w:p>
          <w:p w14:paraId="5BDC763C">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也可按计算某一室内声源靠近围护结构处产生的倍频带声压级或A声级：</w:t>
            </w:r>
          </w:p>
          <w:p w14:paraId="33B0B616">
            <w:pPr>
              <w:adjustRightInd w:val="0"/>
              <w:snapToGrid w:val="0"/>
              <w:spacing w:before="120" w:beforeLines="50" w:line="360" w:lineRule="auto"/>
              <w:jc w:val="center"/>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drawing>
                <wp:inline distT="0" distB="0" distL="0" distR="0">
                  <wp:extent cx="1794510" cy="225425"/>
                  <wp:effectExtent l="0" t="0" r="0" b="317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1794510" cy="225425"/>
                          </a:xfrm>
                          <a:prstGeom prst="rect">
                            <a:avLst/>
                          </a:prstGeom>
                          <a:noFill/>
                          <a:ln>
                            <a:noFill/>
                          </a:ln>
                        </pic:spPr>
                      </pic:pic>
                    </a:graphicData>
                  </a:graphic>
                </wp:inline>
              </w:drawing>
            </w:r>
            <w:r>
              <w:rPr>
                <w:rFonts w:cs="宋体"/>
                <w:bCs/>
                <w:color w:val="0D0D0D" w:themeColor="text1" w:themeTint="F2"/>
                <w:spacing w:val="-10"/>
                <w:sz w:val="24"/>
                <w14:textFill>
                  <w14:solidFill>
                    <w14:schemeClr w14:val="tx1">
                      <w14:lumMod w14:val="95000"/>
                      <w14:lumOff w14:val="5000"/>
                    </w14:schemeClr>
                  </w14:solidFill>
                </w14:textFill>
              </w:rPr>
              <w:t xml:space="preserve">          式（A.2）</w:t>
            </w:r>
          </w:p>
          <w:p w14:paraId="099935DE">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式中：</w:t>
            </w:r>
          </w:p>
          <w:p w14:paraId="32617B60">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L</w:t>
            </w:r>
            <w:r>
              <w:rPr>
                <w:rFonts w:cs="宋体"/>
                <w:bCs/>
                <w:color w:val="0D0D0D" w:themeColor="text1" w:themeTint="F2"/>
                <w:spacing w:val="-10"/>
                <w:sz w:val="24"/>
                <w:vertAlign w:val="subscript"/>
                <w14:textFill>
                  <w14:solidFill>
                    <w14:schemeClr w14:val="tx1">
                      <w14:lumMod w14:val="95000"/>
                      <w14:lumOff w14:val="5000"/>
                    </w14:schemeClr>
                  </w14:solidFill>
                </w14:textFill>
              </w:rPr>
              <w:t>p1</w:t>
            </w:r>
            <w:r>
              <w:rPr>
                <w:rFonts w:cs="宋体"/>
                <w:bCs/>
                <w:color w:val="0D0D0D" w:themeColor="text1" w:themeTint="F2"/>
                <w:spacing w:val="-10"/>
                <w:sz w:val="24"/>
                <w14:textFill>
                  <w14:solidFill>
                    <w14:schemeClr w14:val="tx1">
                      <w14:lumMod w14:val="95000"/>
                      <w14:lumOff w14:val="5000"/>
                    </w14:schemeClr>
                  </w14:solidFill>
                </w14:textFill>
              </w:rPr>
              <w:t>——靠近开口处（或窗户）室内某倍频带的声压级或A声级，dB；</w:t>
            </w:r>
          </w:p>
          <w:p w14:paraId="21344D44">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L</w:t>
            </w:r>
            <w:r>
              <w:rPr>
                <w:rFonts w:cs="宋体"/>
                <w:bCs/>
                <w:color w:val="0D0D0D" w:themeColor="text1" w:themeTint="F2"/>
                <w:spacing w:val="-10"/>
                <w:sz w:val="24"/>
                <w:vertAlign w:val="subscript"/>
                <w14:textFill>
                  <w14:solidFill>
                    <w14:schemeClr w14:val="tx1">
                      <w14:lumMod w14:val="95000"/>
                      <w14:lumOff w14:val="5000"/>
                    </w14:schemeClr>
                  </w14:solidFill>
                </w14:textFill>
              </w:rPr>
              <w:t xml:space="preserve">w </w:t>
            </w:r>
            <w:r>
              <w:rPr>
                <w:rFonts w:cs="宋体"/>
                <w:bCs/>
                <w:color w:val="0D0D0D" w:themeColor="text1" w:themeTint="F2"/>
                <w:spacing w:val="-10"/>
                <w:sz w:val="24"/>
                <w14:textFill>
                  <w14:solidFill>
                    <w14:schemeClr w14:val="tx1">
                      <w14:lumMod w14:val="95000"/>
                      <w14:lumOff w14:val="5000"/>
                    </w14:schemeClr>
                  </w14:solidFill>
                </w14:textFill>
              </w:rPr>
              <w:t>——点声源声功率级（A计权或倍频带），dB；</w:t>
            </w:r>
          </w:p>
          <w:p w14:paraId="1A980C9F">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Q——指向性因数；通常对无指向性声源，当声源放在房间中心时，Q=1；当放在一面墙的中心时，Q=2；当放在两面墙夹角处时，Q=4；当放在三面墙夹角处时，Q=8；</w:t>
            </w:r>
          </w:p>
          <w:p w14:paraId="7EC3602C">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R——房间常数；R =Sα/(1-α)，S为房间内表面面积，m</w:t>
            </w:r>
            <w:r>
              <w:rPr>
                <w:rFonts w:cs="宋体"/>
                <w:bCs/>
                <w:color w:val="0D0D0D" w:themeColor="text1" w:themeTint="F2"/>
                <w:spacing w:val="-10"/>
                <w:sz w:val="24"/>
                <w:vertAlign w:val="superscript"/>
                <w14:textFill>
                  <w14:solidFill>
                    <w14:schemeClr w14:val="tx1">
                      <w14:lumMod w14:val="95000"/>
                      <w14:lumOff w14:val="5000"/>
                    </w14:schemeClr>
                  </w14:solidFill>
                </w14:textFill>
              </w:rPr>
              <w:t>2</w:t>
            </w:r>
            <w:r>
              <w:rPr>
                <w:rFonts w:cs="宋体"/>
                <w:bCs/>
                <w:color w:val="0D0D0D" w:themeColor="text1" w:themeTint="F2"/>
                <w:spacing w:val="-10"/>
                <w:sz w:val="24"/>
                <w14:textFill>
                  <w14:solidFill>
                    <w14:schemeClr w14:val="tx1">
                      <w14:lumMod w14:val="95000"/>
                      <w14:lumOff w14:val="5000"/>
                    </w14:schemeClr>
                  </w14:solidFill>
                </w14:textFill>
              </w:rPr>
              <w:t>；α为平均吸声系数；</w:t>
            </w:r>
          </w:p>
          <w:p w14:paraId="07876259">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r——声源到靠近围护结构某点处的距离，m；</w:t>
            </w:r>
          </w:p>
          <w:p w14:paraId="6FD4B616">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然后按式（A.3）计算出所有室内声源在围护结构处产生的i倍频带叠加声压级：</w:t>
            </w:r>
          </w:p>
          <w:p w14:paraId="4E5A6E51">
            <w:pPr>
              <w:adjustRightInd w:val="0"/>
              <w:snapToGrid w:val="0"/>
              <w:spacing w:line="360" w:lineRule="auto"/>
              <w:jc w:val="center"/>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drawing>
                <wp:inline distT="0" distB="0" distL="0" distR="0">
                  <wp:extent cx="1917700" cy="566420"/>
                  <wp:effectExtent l="0" t="0" r="6350" b="508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1917700" cy="566420"/>
                          </a:xfrm>
                          <a:prstGeom prst="rect">
                            <a:avLst/>
                          </a:prstGeom>
                          <a:noFill/>
                          <a:ln>
                            <a:noFill/>
                          </a:ln>
                        </pic:spPr>
                      </pic:pic>
                    </a:graphicData>
                  </a:graphic>
                </wp:inline>
              </w:drawing>
            </w:r>
            <w:r>
              <w:rPr>
                <w:rFonts w:hint="eastAsia" w:cs="宋体"/>
                <w:bCs/>
                <w:color w:val="0D0D0D" w:themeColor="text1" w:themeTint="F2"/>
                <w:spacing w:val="-10"/>
                <w:sz w:val="24"/>
                <w14:textFill>
                  <w14:solidFill>
                    <w14:schemeClr w14:val="tx1">
                      <w14:lumMod w14:val="95000"/>
                      <w14:lumOff w14:val="5000"/>
                    </w14:schemeClr>
                  </w14:solidFill>
                </w14:textFill>
              </w:rPr>
              <w:t xml:space="preserve"> </w:t>
            </w:r>
            <w:r>
              <w:rPr>
                <w:rFonts w:cs="宋体"/>
                <w:bCs/>
                <w:color w:val="0D0D0D" w:themeColor="text1" w:themeTint="F2"/>
                <w:spacing w:val="-10"/>
                <w:sz w:val="24"/>
                <w14:textFill>
                  <w14:solidFill>
                    <w14:schemeClr w14:val="tx1">
                      <w14:lumMod w14:val="95000"/>
                      <w14:lumOff w14:val="5000"/>
                    </w14:schemeClr>
                  </w14:solidFill>
                </w14:textFill>
              </w:rPr>
              <w:t xml:space="preserve">    式（A.3）</w:t>
            </w:r>
          </w:p>
          <w:p w14:paraId="3FA993F1">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式中：</w:t>
            </w:r>
          </w:p>
          <w:p w14:paraId="476A2AC0">
            <w:pPr>
              <w:adjustRightInd w:val="0"/>
              <w:snapToGrid w:val="0"/>
              <w:spacing w:line="360" w:lineRule="auto"/>
              <w:ind w:firstLine="440" w:firstLineChars="200"/>
              <w:rPr>
                <w:rFonts w:cs="宋体"/>
                <w:bCs/>
                <w:iCs/>
                <w:color w:val="0D0D0D" w:themeColor="text1" w:themeTint="F2"/>
                <w:spacing w:val="-10"/>
                <w:sz w:val="24"/>
                <w14:textFill>
                  <w14:solidFill>
                    <w14:schemeClr w14:val="tx1">
                      <w14:lumMod w14:val="95000"/>
                      <w14:lumOff w14:val="5000"/>
                    </w14:schemeClr>
                  </w14:solidFill>
                </w14:textFill>
              </w:rPr>
            </w:pPr>
            <w:r>
              <w:rPr>
                <w:rFonts w:cs="宋体"/>
                <w:bCs/>
                <w:iCs/>
                <w:color w:val="0D0D0D" w:themeColor="text1" w:themeTint="F2"/>
                <w:spacing w:val="-10"/>
                <w:sz w:val="24"/>
                <w14:textFill>
                  <w14:solidFill>
                    <w14:schemeClr w14:val="tx1">
                      <w14:lumMod w14:val="95000"/>
                      <w14:lumOff w14:val="5000"/>
                    </w14:schemeClr>
                  </w14:solidFill>
                </w14:textFill>
              </w:rPr>
              <w:t>L</w:t>
            </w:r>
            <w:r>
              <w:rPr>
                <w:rFonts w:cs="宋体"/>
                <w:bCs/>
                <w:iCs/>
                <w:color w:val="0D0D0D" w:themeColor="text1" w:themeTint="F2"/>
                <w:spacing w:val="-10"/>
                <w:sz w:val="24"/>
                <w:vertAlign w:val="subscript"/>
                <w14:textFill>
                  <w14:solidFill>
                    <w14:schemeClr w14:val="tx1">
                      <w14:lumMod w14:val="95000"/>
                      <w14:lumOff w14:val="5000"/>
                    </w14:schemeClr>
                  </w14:solidFill>
                </w14:textFill>
              </w:rPr>
              <w:t>p1i</w:t>
            </w:r>
            <w:r>
              <w:rPr>
                <w:rFonts w:cs="宋体"/>
                <w:bCs/>
                <w:iCs/>
                <w:color w:val="0D0D0D" w:themeColor="text1" w:themeTint="F2"/>
                <w:spacing w:val="-10"/>
                <w:sz w:val="24"/>
                <w14:textFill>
                  <w14:solidFill>
                    <w14:schemeClr w14:val="tx1">
                      <w14:lumMod w14:val="95000"/>
                      <w14:lumOff w14:val="5000"/>
                    </w14:schemeClr>
                  </w14:solidFill>
                </w14:textFill>
              </w:rPr>
              <w:t>(T)——靠近围护结构处室内N个声源i倍频带的叠加声压级，dB；</w:t>
            </w:r>
          </w:p>
          <w:p w14:paraId="3EE46D31">
            <w:pPr>
              <w:adjustRightInd w:val="0"/>
              <w:snapToGrid w:val="0"/>
              <w:spacing w:line="360" w:lineRule="auto"/>
              <w:ind w:firstLine="440" w:firstLineChars="200"/>
              <w:rPr>
                <w:rFonts w:cs="宋体"/>
                <w:bCs/>
                <w:iCs/>
                <w:color w:val="0D0D0D" w:themeColor="text1" w:themeTint="F2"/>
                <w:spacing w:val="-10"/>
                <w:sz w:val="24"/>
                <w14:textFill>
                  <w14:solidFill>
                    <w14:schemeClr w14:val="tx1">
                      <w14:lumMod w14:val="95000"/>
                      <w14:lumOff w14:val="5000"/>
                    </w14:schemeClr>
                  </w14:solidFill>
                </w14:textFill>
              </w:rPr>
            </w:pPr>
            <w:r>
              <w:rPr>
                <w:rFonts w:cs="宋体"/>
                <w:bCs/>
                <w:iCs/>
                <w:color w:val="0D0D0D" w:themeColor="text1" w:themeTint="F2"/>
                <w:spacing w:val="-10"/>
                <w:sz w:val="24"/>
                <w14:textFill>
                  <w14:solidFill>
                    <w14:schemeClr w14:val="tx1">
                      <w14:lumMod w14:val="95000"/>
                      <w14:lumOff w14:val="5000"/>
                    </w14:schemeClr>
                  </w14:solidFill>
                </w14:textFill>
              </w:rPr>
              <w:t>L</w:t>
            </w:r>
            <w:r>
              <w:rPr>
                <w:rFonts w:cs="宋体"/>
                <w:bCs/>
                <w:iCs/>
                <w:color w:val="0D0D0D" w:themeColor="text1" w:themeTint="F2"/>
                <w:spacing w:val="-10"/>
                <w:sz w:val="24"/>
                <w:vertAlign w:val="subscript"/>
                <w14:textFill>
                  <w14:solidFill>
                    <w14:schemeClr w14:val="tx1">
                      <w14:lumMod w14:val="95000"/>
                      <w14:lumOff w14:val="5000"/>
                    </w14:schemeClr>
                  </w14:solidFill>
                </w14:textFill>
              </w:rPr>
              <w:t>p1i</w:t>
            </w:r>
            <w:r>
              <w:rPr>
                <w:rFonts w:cs="宋体"/>
                <w:bCs/>
                <w:iCs/>
                <w:color w:val="0D0D0D" w:themeColor="text1" w:themeTint="F2"/>
                <w:spacing w:val="-10"/>
                <w:sz w:val="24"/>
                <w14:textFill>
                  <w14:solidFill>
                    <w14:schemeClr w14:val="tx1">
                      <w14:lumMod w14:val="95000"/>
                      <w14:lumOff w14:val="5000"/>
                    </w14:schemeClr>
                  </w14:solidFill>
                </w14:textFill>
              </w:rPr>
              <w:t>——室内j声源i倍频带的声压级，dB；</w:t>
            </w:r>
          </w:p>
          <w:p w14:paraId="72106DA8">
            <w:pPr>
              <w:adjustRightInd w:val="0"/>
              <w:snapToGrid w:val="0"/>
              <w:spacing w:line="360" w:lineRule="auto"/>
              <w:ind w:firstLine="440" w:firstLineChars="200"/>
              <w:rPr>
                <w:rFonts w:cs="宋体"/>
                <w:bCs/>
                <w:i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N——室内声源总数。</w:t>
            </w:r>
          </w:p>
          <w:p w14:paraId="7B4BC4F5">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在室内近似为扩散声场时，按式（A.4）计算出靠近室外围护结构处的声压级：</w:t>
            </w:r>
          </w:p>
          <w:p w14:paraId="24CFF6BF">
            <w:pPr>
              <w:adjustRightInd w:val="0"/>
              <w:snapToGrid w:val="0"/>
              <w:spacing w:line="360" w:lineRule="auto"/>
              <w:jc w:val="center"/>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drawing>
                <wp:inline distT="0" distB="0" distL="0" distR="0">
                  <wp:extent cx="2279015" cy="313690"/>
                  <wp:effectExtent l="0" t="0" r="698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2279015" cy="313690"/>
                          </a:xfrm>
                          <a:prstGeom prst="rect">
                            <a:avLst/>
                          </a:prstGeom>
                          <a:noFill/>
                          <a:ln>
                            <a:noFill/>
                          </a:ln>
                        </pic:spPr>
                      </pic:pic>
                    </a:graphicData>
                  </a:graphic>
                </wp:inline>
              </w:drawing>
            </w:r>
            <w:r>
              <w:rPr>
                <w:rFonts w:cs="宋体"/>
                <w:bCs/>
                <w:color w:val="0D0D0D" w:themeColor="text1" w:themeTint="F2"/>
                <w:spacing w:val="-10"/>
                <w:sz w:val="24"/>
                <w14:textFill>
                  <w14:solidFill>
                    <w14:schemeClr w14:val="tx1">
                      <w14:lumMod w14:val="95000"/>
                      <w14:lumOff w14:val="5000"/>
                    </w14:schemeClr>
                  </w14:solidFill>
                </w14:textFill>
              </w:rPr>
              <w:t xml:space="preserve">       式（A.4）</w:t>
            </w:r>
          </w:p>
          <w:p w14:paraId="49D30468">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式中：</w:t>
            </w:r>
          </w:p>
          <w:p w14:paraId="63A13CB4">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iCs/>
                <w:color w:val="0D0D0D" w:themeColor="text1" w:themeTint="F2"/>
                <w:spacing w:val="-10"/>
                <w:sz w:val="24"/>
                <w14:textFill>
                  <w14:solidFill>
                    <w14:schemeClr w14:val="tx1">
                      <w14:lumMod w14:val="95000"/>
                      <w14:lumOff w14:val="5000"/>
                    </w14:schemeClr>
                  </w14:solidFill>
                </w14:textFill>
              </w:rPr>
              <w:t>L</w:t>
            </w:r>
            <w:r>
              <w:rPr>
                <w:rFonts w:cs="宋体"/>
                <w:bCs/>
                <w:iCs/>
                <w:color w:val="0D0D0D" w:themeColor="text1" w:themeTint="F2"/>
                <w:spacing w:val="-10"/>
                <w:sz w:val="24"/>
                <w:vertAlign w:val="subscript"/>
                <w14:textFill>
                  <w14:solidFill>
                    <w14:schemeClr w14:val="tx1">
                      <w14:lumMod w14:val="95000"/>
                      <w14:lumOff w14:val="5000"/>
                    </w14:schemeClr>
                  </w14:solidFill>
                </w14:textFill>
              </w:rPr>
              <w:t>p2i</w:t>
            </w:r>
            <w:r>
              <w:rPr>
                <w:rFonts w:cs="宋体"/>
                <w:bCs/>
                <w:iCs/>
                <w:color w:val="0D0D0D" w:themeColor="text1" w:themeTint="F2"/>
                <w:spacing w:val="-10"/>
                <w:sz w:val="24"/>
                <w14:textFill>
                  <w14:solidFill>
                    <w14:schemeClr w14:val="tx1">
                      <w14:lumMod w14:val="95000"/>
                      <w14:lumOff w14:val="5000"/>
                    </w14:schemeClr>
                  </w14:solidFill>
                </w14:textFill>
              </w:rPr>
              <w:t>(T)</w:t>
            </w:r>
            <w:r>
              <w:rPr>
                <w:rFonts w:cs="宋体"/>
                <w:bCs/>
                <w:color w:val="0D0D0D" w:themeColor="text1" w:themeTint="F2"/>
                <w:spacing w:val="-10"/>
                <w:sz w:val="24"/>
                <w14:textFill>
                  <w14:solidFill>
                    <w14:schemeClr w14:val="tx1">
                      <w14:lumMod w14:val="95000"/>
                      <w14:lumOff w14:val="5000"/>
                    </w14:schemeClr>
                  </w14:solidFill>
                </w14:textFill>
              </w:rPr>
              <w:t>——靠近围护结构处室外N个声源i倍频带的叠加声压级，dB；</w:t>
            </w:r>
          </w:p>
          <w:p w14:paraId="05E3452C">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iCs/>
                <w:color w:val="0D0D0D" w:themeColor="text1" w:themeTint="F2"/>
                <w:spacing w:val="-10"/>
                <w:sz w:val="24"/>
                <w14:textFill>
                  <w14:solidFill>
                    <w14:schemeClr w14:val="tx1">
                      <w14:lumMod w14:val="95000"/>
                      <w14:lumOff w14:val="5000"/>
                    </w14:schemeClr>
                  </w14:solidFill>
                </w14:textFill>
              </w:rPr>
              <w:t>L</w:t>
            </w:r>
            <w:r>
              <w:rPr>
                <w:rFonts w:cs="宋体"/>
                <w:bCs/>
                <w:iCs/>
                <w:color w:val="0D0D0D" w:themeColor="text1" w:themeTint="F2"/>
                <w:spacing w:val="-10"/>
                <w:sz w:val="24"/>
                <w:vertAlign w:val="subscript"/>
                <w14:textFill>
                  <w14:solidFill>
                    <w14:schemeClr w14:val="tx1">
                      <w14:lumMod w14:val="95000"/>
                      <w14:lumOff w14:val="5000"/>
                    </w14:schemeClr>
                  </w14:solidFill>
                </w14:textFill>
              </w:rPr>
              <w:t>p1i</w:t>
            </w:r>
            <w:r>
              <w:rPr>
                <w:rFonts w:cs="宋体"/>
                <w:bCs/>
                <w:iCs/>
                <w:color w:val="0D0D0D" w:themeColor="text1" w:themeTint="F2"/>
                <w:spacing w:val="-10"/>
                <w:sz w:val="24"/>
                <w14:textFill>
                  <w14:solidFill>
                    <w14:schemeClr w14:val="tx1">
                      <w14:lumMod w14:val="95000"/>
                      <w14:lumOff w14:val="5000"/>
                    </w14:schemeClr>
                  </w14:solidFill>
                </w14:textFill>
              </w:rPr>
              <w:t>(T)</w:t>
            </w:r>
            <w:r>
              <w:rPr>
                <w:rFonts w:cs="宋体"/>
                <w:bCs/>
                <w:color w:val="0D0D0D" w:themeColor="text1" w:themeTint="F2"/>
                <w:spacing w:val="-10"/>
                <w:sz w:val="24"/>
                <w14:textFill>
                  <w14:solidFill>
                    <w14:schemeClr w14:val="tx1">
                      <w14:lumMod w14:val="95000"/>
                      <w14:lumOff w14:val="5000"/>
                    </w14:schemeClr>
                  </w14:solidFill>
                </w14:textFill>
              </w:rPr>
              <w:t>——室靠近围护结构处室内N个声源i倍频带的叠加声压级，dB；</w:t>
            </w:r>
          </w:p>
          <w:p w14:paraId="40DBE4C1">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iCs/>
                <w:color w:val="0D0D0D" w:themeColor="text1" w:themeTint="F2"/>
                <w:spacing w:val="-10"/>
                <w:sz w:val="24"/>
                <w14:textFill>
                  <w14:solidFill>
                    <w14:schemeClr w14:val="tx1">
                      <w14:lumMod w14:val="95000"/>
                      <w14:lumOff w14:val="5000"/>
                    </w14:schemeClr>
                  </w14:solidFill>
                </w14:textFill>
              </w:rPr>
              <w:t>TL</w:t>
            </w:r>
            <w:r>
              <w:rPr>
                <w:rFonts w:cs="宋体"/>
                <w:bCs/>
                <w:iCs/>
                <w:color w:val="0D0D0D" w:themeColor="text1" w:themeTint="F2"/>
                <w:spacing w:val="-10"/>
                <w:sz w:val="24"/>
                <w:vertAlign w:val="subscript"/>
                <w14:textFill>
                  <w14:solidFill>
                    <w14:schemeClr w14:val="tx1">
                      <w14:lumMod w14:val="95000"/>
                      <w14:lumOff w14:val="5000"/>
                    </w14:schemeClr>
                  </w14:solidFill>
                </w14:textFill>
              </w:rPr>
              <w:t>i</w:t>
            </w:r>
            <w:r>
              <w:rPr>
                <w:rFonts w:cs="宋体"/>
                <w:bCs/>
                <w:color w:val="0D0D0D" w:themeColor="text1" w:themeTint="F2"/>
                <w:spacing w:val="-10"/>
                <w:sz w:val="24"/>
                <w14:textFill>
                  <w14:solidFill>
                    <w14:schemeClr w14:val="tx1">
                      <w14:lumMod w14:val="95000"/>
                      <w14:lumOff w14:val="5000"/>
                    </w14:schemeClr>
                  </w14:solidFill>
                </w14:textFill>
              </w:rPr>
              <w:t>——围护结构i倍频带的隔声量，dB</w:t>
            </w:r>
            <w:r>
              <w:rPr>
                <w:rFonts w:hint="eastAsia" w:cs="宋体"/>
                <w:bCs/>
                <w:color w:val="0D0D0D" w:themeColor="text1" w:themeTint="F2"/>
                <w:spacing w:val="-10"/>
                <w:sz w:val="24"/>
                <w14:textFill>
                  <w14:solidFill>
                    <w14:schemeClr w14:val="tx1">
                      <w14:lumMod w14:val="95000"/>
                      <w14:lumOff w14:val="5000"/>
                    </w14:schemeClr>
                  </w14:solidFill>
                </w14:textFill>
              </w:rPr>
              <w:t>；</w:t>
            </w:r>
          </w:p>
          <w:p w14:paraId="4EE386FF">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然后按式（A.5）将室外声源的声压级和透过面积换算成等效的室外声源，计算出中心位置位于透声面积（S）处的等效声源的倍频带声功率级。</w:t>
            </w:r>
          </w:p>
          <w:p w14:paraId="09BEB809">
            <w:pPr>
              <w:adjustRightInd w:val="0"/>
              <w:snapToGrid w:val="0"/>
              <w:spacing w:line="360" w:lineRule="auto"/>
              <w:jc w:val="center"/>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drawing>
                <wp:inline distT="0" distB="0" distL="0" distR="0">
                  <wp:extent cx="1753870" cy="259080"/>
                  <wp:effectExtent l="0" t="0" r="0" b="762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1753870" cy="259080"/>
                          </a:xfrm>
                          <a:prstGeom prst="rect">
                            <a:avLst/>
                          </a:prstGeom>
                          <a:noFill/>
                          <a:ln>
                            <a:noFill/>
                          </a:ln>
                        </pic:spPr>
                      </pic:pic>
                    </a:graphicData>
                  </a:graphic>
                </wp:inline>
              </w:drawing>
            </w:r>
            <w:r>
              <w:rPr>
                <w:rFonts w:cs="宋体"/>
                <w:bCs/>
                <w:color w:val="0D0D0D" w:themeColor="text1" w:themeTint="F2"/>
                <w:spacing w:val="-10"/>
                <w:sz w:val="24"/>
                <w14:textFill>
                  <w14:solidFill>
                    <w14:schemeClr w14:val="tx1">
                      <w14:lumMod w14:val="95000"/>
                      <w14:lumOff w14:val="5000"/>
                    </w14:schemeClr>
                  </w14:solidFill>
                </w14:textFill>
              </w:rPr>
              <w:t xml:space="preserve">                   式（A.5）</w:t>
            </w:r>
          </w:p>
          <w:p w14:paraId="3190F8F5">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式中：</w:t>
            </w:r>
          </w:p>
          <w:p w14:paraId="58805564">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iCs/>
                <w:color w:val="0D0D0D" w:themeColor="text1" w:themeTint="F2"/>
                <w:spacing w:val="-10"/>
                <w:sz w:val="24"/>
                <w14:textFill>
                  <w14:solidFill>
                    <w14:schemeClr w14:val="tx1">
                      <w14:lumMod w14:val="95000"/>
                      <w14:lumOff w14:val="5000"/>
                    </w14:schemeClr>
                  </w14:solidFill>
                </w14:textFill>
              </w:rPr>
              <w:t>L</w:t>
            </w:r>
            <w:r>
              <w:rPr>
                <w:rFonts w:cs="宋体"/>
                <w:bCs/>
                <w:iCs/>
                <w:color w:val="0D0D0D" w:themeColor="text1" w:themeTint="F2"/>
                <w:spacing w:val="-10"/>
                <w:sz w:val="24"/>
                <w:vertAlign w:val="subscript"/>
                <w14:textFill>
                  <w14:solidFill>
                    <w14:schemeClr w14:val="tx1">
                      <w14:lumMod w14:val="95000"/>
                      <w14:lumOff w14:val="5000"/>
                    </w14:schemeClr>
                  </w14:solidFill>
                </w14:textFill>
              </w:rPr>
              <w:t>w</w:t>
            </w:r>
            <w:r>
              <w:rPr>
                <w:rFonts w:cs="宋体"/>
                <w:bCs/>
                <w:color w:val="0D0D0D" w:themeColor="text1" w:themeTint="F2"/>
                <w:spacing w:val="-10"/>
                <w:sz w:val="24"/>
                <w14:textFill>
                  <w14:solidFill>
                    <w14:schemeClr w14:val="tx1">
                      <w14:lumMod w14:val="95000"/>
                      <w14:lumOff w14:val="5000"/>
                    </w14:schemeClr>
                  </w14:solidFill>
                </w14:textFill>
              </w:rPr>
              <w:t>——中心位置位于透声面积（S）处的等效声源的倍频带声功率级，dB；</w:t>
            </w:r>
          </w:p>
          <w:p w14:paraId="05E0DA49">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iCs/>
                <w:color w:val="0D0D0D" w:themeColor="text1" w:themeTint="F2"/>
                <w:spacing w:val="-10"/>
                <w:sz w:val="24"/>
                <w14:textFill>
                  <w14:solidFill>
                    <w14:schemeClr w14:val="tx1">
                      <w14:lumMod w14:val="95000"/>
                      <w14:lumOff w14:val="5000"/>
                    </w14:schemeClr>
                  </w14:solidFill>
                </w14:textFill>
              </w:rPr>
              <w:t>L</w:t>
            </w:r>
            <w:r>
              <w:rPr>
                <w:rFonts w:cs="宋体"/>
                <w:bCs/>
                <w:iCs/>
                <w:color w:val="0D0D0D" w:themeColor="text1" w:themeTint="F2"/>
                <w:spacing w:val="-10"/>
                <w:sz w:val="24"/>
                <w:vertAlign w:val="subscript"/>
                <w14:textFill>
                  <w14:solidFill>
                    <w14:schemeClr w14:val="tx1">
                      <w14:lumMod w14:val="95000"/>
                      <w14:lumOff w14:val="5000"/>
                    </w14:schemeClr>
                  </w14:solidFill>
                </w14:textFill>
              </w:rPr>
              <w:t>p2</w:t>
            </w:r>
            <w:r>
              <w:rPr>
                <w:rFonts w:cs="宋体"/>
                <w:bCs/>
                <w:iCs/>
                <w:color w:val="0D0D0D" w:themeColor="text1" w:themeTint="F2"/>
                <w:spacing w:val="-10"/>
                <w:sz w:val="24"/>
                <w14:textFill>
                  <w14:solidFill>
                    <w14:schemeClr w14:val="tx1">
                      <w14:lumMod w14:val="95000"/>
                      <w14:lumOff w14:val="5000"/>
                    </w14:schemeClr>
                  </w14:solidFill>
                </w14:textFill>
              </w:rPr>
              <w:t>(T)</w:t>
            </w:r>
            <w:r>
              <w:rPr>
                <w:rFonts w:cs="宋体"/>
                <w:bCs/>
                <w:color w:val="0D0D0D" w:themeColor="text1" w:themeTint="F2"/>
                <w:spacing w:val="-10"/>
                <w:sz w:val="24"/>
                <w14:textFill>
                  <w14:solidFill>
                    <w14:schemeClr w14:val="tx1">
                      <w14:lumMod w14:val="95000"/>
                      <w14:lumOff w14:val="5000"/>
                    </w14:schemeClr>
                  </w14:solidFill>
                </w14:textFill>
              </w:rPr>
              <w:t>——靠近围护结构处室外声源的声压级，dB；</w:t>
            </w:r>
          </w:p>
          <w:p w14:paraId="26A1529F">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iCs/>
                <w:color w:val="0D0D0D" w:themeColor="text1" w:themeTint="F2"/>
                <w:spacing w:val="-10"/>
                <w:sz w:val="24"/>
                <w14:textFill>
                  <w14:solidFill>
                    <w14:schemeClr w14:val="tx1">
                      <w14:lumMod w14:val="95000"/>
                      <w14:lumOff w14:val="5000"/>
                    </w14:schemeClr>
                  </w14:solidFill>
                </w14:textFill>
              </w:rPr>
              <w:t>S</w:t>
            </w:r>
            <w:r>
              <w:rPr>
                <w:rFonts w:cs="宋体"/>
                <w:bCs/>
                <w:color w:val="0D0D0D" w:themeColor="text1" w:themeTint="F2"/>
                <w:spacing w:val="-10"/>
                <w:sz w:val="24"/>
                <w14:textFill>
                  <w14:solidFill>
                    <w14:schemeClr w14:val="tx1">
                      <w14:lumMod w14:val="95000"/>
                      <w14:lumOff w14:val="5000"/>
                    </w14:schemeClr>
                  </w14:solidFill>
                </w14:textFill>
              </w:rPr>
              <w:t>——透声面积，m</w:t>
            </w:r>
            <w:r>
              <w:rPr>
                <w:rFonts w:cs="宋体"/>
                <w:bCs/>
                <w:color w:val="0D0D0D" w:themeColor="text1" w:themeTint="F2"/>
                <w:spacing w:val="-10"/>
                <w:sz w:val="24"/>
                <w:vertAlign w:val="superscript"/>
                <w14:textFill>
                  <w14:solidFill>
                    <w14:schemeClr w14:val="tx1">
                      <w14:lumMod w14:val="95000"/>
                      <w14:lumOff w14:val="5000"/>
                    </w14:schemeClr>
                  </w14:solidFill>
                </w14:textFill>
              </w:rPr>
              <w:t>2</w:t>
            </w:r>
            <w:r>
              <w:rPr>
                <w:rFonts w:cs="宋体"/>
                <w:bCs/>
                <w:color w:val="0D0D0D" w:themeColor="text1" w:themeTint="F2"/>
                <w:spacing w:val="-10"/>
                <w:sz w:val="24"/>
                <w14:textFill>
                  <w14:solidFill>
                    <w14:schemeClr w14:val="tx1">
                      <w14:lumMod w14:val="95000"/>
                      <w14:lumOff w14:val="5000"/>
                    </w14:schemeClr>
                  </w14:solidFill>
                </w14:textFill>
              </w:rPr>
              <w:t>。</w:t>
            </w:r>
          </w:p>
          <w:p w14:paraId="15EB6C70">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然后按室外声源预测方法计算预测点处的A声级。</w:t>
            </w:r>
          </w:p>
          <w:p w14:paraId="03ABD3E4">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w:t>
            </w:r>
            <w:r>
              <w:rPr>
                <w:rFonts w:cs="宋体"/>
                <w:bCs/>
                <w:color w:val="0D0D0D" w:themeColor="text1" w:themeTint="F2"/>
                <w:spacing w:val="-10"/>
                <w:sz w:val="24"/>
                <w14:textFill>
                  <w14:solidFill>
                    <w14:schemeClr w14:val="tx1">
                      <w14:lumMod w14:val="95000"/>
                      <w14:lumOff w14:val="5000"/>
                    </w14:schemeClr>
                  </w14:solidFill>
                </w14:textFill>
              </w:rPr>
              <w:t>2</w:t>
            </w:r>
            <w:r>
              <w:rPr>
                <w:rFonts w:hint="eastAsia" w:cs="宋体"/>
                <w:bCs/>
                <w:color w:val="0D0D0D" w:themeColor="text1" w:themeTint="F2"/>
                <w:spacing w:val="-10"/>
                <w:sz w:val="24"/>
                <w14:textFill>
                  <w14:solidFill>
                    <w14:schemeClr w14:val="tx1">
                      <w14:lumMod w14:val="95000"/>
                      <w14:lumOff w14:val="5000"/>
                    </w14:schemeClr>
                  </w14:solidFill>
                </w14:textFill>
              </w:rPr>
              <w:t>）</w:t>
            </w:r>
            <w:r>
              <w:rPr>
                <w:rFonts w:cs="宋体"/>
                <w:bCs/>
                <w:color w:val="0D0D0D" w:themeColor="text1" w:themeTint="F2"/>
                <w:spacing w:val="-10"/>
                <w:sz w:val="24"/>
                <w14:textFill>
                  <w14:solidFill>
                    <w14:schemeClr w14:val="tx1">
                      <w14:lumMod w14:val="95000"/>
                      <w14:lumOff w14:val="5000"/>
                    </w14:schemeClr>
                  </w14:solidFill>
                </w14:textFill>
              </w:rPr>
              <w:t>工业企业噪声计算</w:t>
            </w:r>
          </w:p>
          <w:p w14:paraId="71EC8514">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设第i个室外声源在预测点产生的A声级为L</w:t>
            </w:r>
            <w:r>
              <w:rPr>
                <w:rFonts w:cs="宋体"/>
                <w:bCs/>
                <w:color w:val="0D0D0D" w:themeColor="text1" w:themeTint="F2"/>
                <w:spacing w:val="-10"/>
                <w:sz w:val="24"/>
                <w:vertAlign w:val="subscript"/>
                <w14:textFill>
                  <w14:solidFill>
                    <w14:schemeClr w14:val="tx1">
                      <w14:lumMod w14:val="95000"/>
                      <w14:lumOff w14:val="5000"/>
                    </w14:schemeClr>
                  </w14:solidFill>
                </w14:textFill>
              </w:rPr>
              <w:t>Ai</w:t>
            </w:r>
            <w:r>
              <w:rPr>
                <w:rFonts w:cs="宋体"/>
                <w:bCs/>
                <w:color w:val="0D0D0D" w:themeColor="text1" w:themeTint="F2"/>
                <w:spacing w:val="-10"/>
                <w:sz w:val="24"/>
                <w14:textFill>
                  <w14:solidFill>
                    <w14:schemeClr w14:val="tx1">
                      <w14:lumMod w14:val="95000"/>
                      <w14:lumOff w14:val="5000"/>
                    </w14:schemeClr>
                  </w14:solidFill>
                </w14:textFill>
              </w:rPr>
              <w:t>，在T时间内该声源工作时间为t</w:t>
            </w:r>
            <w:r>
              <w:rPr>
                <w:rFonts w:cs="宋体"/>
                <w:bCs/>
                <w:color w:val="0D0D0D" w:themeColor="text1" w:themeTint="F2"/>
                <w:spacing w:val="-10"/>
                <w:sz w:val="24"/>
                <w:vertAlign w:val="subscript"/>
                <w14:textFill>
                  <w14:solidFill>
                    <w14:schemeClr w14:val="tx1">
                      <w14:lumMod w14:val="95000"/>
                      <w14:lumOff w14:val="5000"/>
                    </w14:schemeClr>
                  </w14:solidFill>
                </w14:textFill>
              </w:rPr>
              <w:t>i</w:t>
            </w:r>
            <w:r>
              <w:rPr>
                <w:rFonts w:cs="宋体"/>
                <w:bCs/>
                <w:color w:val="0D0D0D" w:themeColor="text1" w:themeTint="F2"/>
                <w:spacing w:val="-10"/>
                <w:sz w:val="24"/>
                <w14:textFill>
                  <w14:solidFill>
                    <w14:schemeClr w14:val="tx1">
                      <w14:lumMod w14:val="95000"/>
                      <w14:lumOff w14:val="5000"/>
                    </w14:schemeClr>
                  </w14:solidFill>
                </w14:textFill>
              </w:rPr>
              <w:t>；第j个等效室外声源在预测点产生的A声级为L</w:t>
            </w:r>
            <w:r>
              <w:rPr>
                <w:rFonts w:cs="宋体"/>
                <w:bCs/>
                <w:color w:val="0D0D0D" w:themeColor="text1" w:themeTint="F2"/>
                <w:spacing w:val="-10"/>
                <w:sz w:val="24"/>
                <w:vertAlign w:val="subscript"/>
                <w14:textFill>
                  <w14:solidFill>
                    <w14:schemeClr w14:val="tx1">
                      <w14:lumMod w14:val="95000"/>
                      <w14:lumOff w14:val="5000"/>
                    </w14:schemeClr>
                  </w14:solidFill>
                </w14:textFill>
              </w:rPr>
              <w:t>Aj</w:t>
            </w:r>
            <w:r>
              <w:rPr>
                <w:rFonts w:cs="宋体"/>
                <w:bCs/>
                <w:color w:val="0D0D0D" w:themeColor="text1" w:themeTint="F2"/>
                <w:spacing w:val="-10"/>
                <w:sz w:val="24"/>
                <w14:textFill>
                  <w14:solidFill>
                    <w14:schemeClr w14:val="tx1">
                      <w14:lumMod w14:val="95000"/>
                      <w14:lumOff w14:val="5000"/>
                    </w14:schemeClr>
                  </w14:solidFill>
                </w14:textFill>
              </w:rPr>
              <w:t>，在T时间内该声源工作时间为t</w:t>
            </w:r>
            <w:r>
              <w:rPr>
                <w:rFonts w:cs="宋体"/>
                <w:bCs/>
                <w:color w:val="0D0D0D" w:themeColor="text1" w:themeTint="F2"/>
                <w:spacing w:val="-10"/>
                <w:sz w:val="24"/>
                <w:vertAlign w:val="subscript"/>
                <w14:textFill>
                  <w14:solidFill>
                    <w14:schemeClr w14:val="tx1">
                      <w14:lumMod w14:val="95000"/>
                      <w14:lumOff w14:val="5000"/>
                    </w14:schemeClr>
                  </w14:solidFill>
                </w14:textFill>
              </w:rPr>
              <w:t>j</w:t>
            </w:r>
            <w:r>
              <w:rPr>
                <w:rFonts w:cs="宋体"/>
                <w:bCs/>
                <w:color w:val="0D0D0D" w:themeColor="text1" w:themeTint="F2"/>
                <w:spacing w:val="-10"/>
                <w:sz w:val="24"/>
                <w14:textFill>
                  <w14:solidFill>
                    <w14:schemeClr w14:val="tx1">
                      <w14:lumMod w14:val="95000"/>
                      <w14:lumOff w14:val="5000"/>
                    </w14:schemeClr>
                  </w14:solidFill>
                </w14:textFill>
              </w:rPr>
              <w:t>，则拟建工程声源对预测点产生的贡献值（L</w:t>
            </w:r>
            <w:r>
              <w:rPr>
                <w:rFonts w:cs="宋体"/>
                <w:bCs/>
                <w:color w:val="0D0D0D" w:themeColor="text1" w:themeTint="F2"/>
                <w:spacing w:val="-10"/>
                <w:sz w:val="24"/>
                <w:vertAlign w:val="subscript"/>
                <w14:textFill>
                  <w14:solidFill>
                    <w14:schemeClr w14:val="tx1">
                      <w14:lumMod w14:val="95000"/>
                      <w14:lumOff w14:val="5000"/>
                    </w14:schemeClr>
                  </w14:solidFill>
                </w14:textFill>
              </w:rPr>
              <w:t>eqg</w:t>
            </w:r>
            <w:r>
              <w:rPr>
                <w:rFonts w:cs="宋体"/>
                <w:bCs/>
                <w:color w:val="0D0D0D" w:themeColor="text1" w:themeTint="F2"/>
                <w:spacing w:val="-10"/>
                <w:sz w:val="24"/>
                <w14:textFill>
                  <w14:solidFill>
                    <w14:schemeClr w14:val="tx1">
                      <w14:lumMod w14:val="95000"/>
                      <w14:lumOff w14:val="5000"/>
                    </w14:schemeClr>
                  </w14:solidFill>
                </w14:textFill>
              </w:rPr>
              <w:t>）为：</w:t>
            </w:r>
          </w:p>
          <w:p w14:paraId="19BA3366">
            <w:pPr>
              <w:adjustRightInd w:val="0"/>
              <w:snapToGrid w:val="0"/>
              <w:spacing w:line="360" w:lineRule="auto"/>
              <w:jc w:val="center"/>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drawing>
                <wp:inline distT="0" distB="0" distL="0" distR="0">
                  <wp:extent cx="2702560" cy="532130"/>
                  <wp:effectExtent l="0" t="0" r="2540" b="12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2702560" cy="532130"/>
                          </a:xfrm>
                          <a:prstGeom prst="rect">
                            <a:avLst/>
                          </a:prstGeom>
                          <a:noFill/>
                          <a:ln>
                            <a:noFill/>
                          </a:ln>
                        </pic:spPr>
                      </pic:pic>
                    </a:graphicData>
                  </a:graphic>
                </wp:inline>
              </w:drawing>
            </w:r>
          </w:p>
          <w:p w14:paraId="38533680">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式中：</w:t>
            </w:r>
          </w:p>
          <w:p w14:paraId="4228CD65">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L</w:t>
            </w:r>
            <w:r>
              <w:rPr>
                <w:rFonts w:cs="宋体"/>
                <w:bCs/>
                <w:color w:val="0D0D0D" w:themeColor="text1" w:themeTint="F2"/>
                <w:spacing w:val="-10"/>
                <w:sz w:val="24"/>
                <w:vertAlign w:val="subscript"/>
                <w14:textFill>
                  <w14:solidFill>
                    <w14:schemeClr w14:val="tx1">
                      <w14:lumMod w14:val="95000"/>
                      <w14:lumOff w14:val="5000"/>
                    </w14:schemeClr>
                  </w14:solidFill>
                </w14:textFill>
              </w:rPr>
              <w:t>eqg</w:t>
            </w:r>
            <w:r>
              <w:rPr>
                <w:rFonts w:cs="宋体"/>
                <w:bCs/>
                <w:color w:val="0D0D0D" w:themeColor="text1" w:themeTint="F2"/>
                <w:spacing w:val="-10"/>
                <w:sz w:val="24"/>
                <w14:textFill>
                  <w14:solidFill>
                    <w14:schemeClr w14:val="tx1">
                      <w14:lumMod w14:val="95000"/>
                      <w14:lumOff w14:val="5000"/>
                    </w14:schemeClr>
                  </w14:solidFill>
                </w14:textFill>
              </w:rPr>
              <w:t>——建设项目声源在预测点产生的噪声贡献值，dB；</w:t>
            </w:r>
          </w:p>
          <w:p w14:paraId="07AF2694">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T——用于计算等效声级的时间，s；</w:t>
            </w:r>
          </w:p>
          <w:p w14:paraId="7A2A271B">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N——室外声源个数；</w:t>
            </w:r>
          </w:p>
          <w:p w14:paraId="121596FF">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t</w:t>
            </w:r>
            <w:r>
              <w:rPr>
                <w:rFonts w:cs="宋体"/>
                <w:bCs/>
                <w:color w:val="0D0D0D" w:themeColor="text1" w:themeTint="F2"/>
                <w:spacing w:val="-10"/>
                <w:sz w:val="24"/>
                <w:vertAlign w:val="subscript"/>
                <w14:textFill>
                  <w14:solidFill>
                    <w14:schemeClr w14:val="tx1">
                      <w14:lumMod w14:val="95000"/>
                      <w14:lumOff w14:val="5000"/>
                    </w14:schemeClr>
                  </w14:solidFill>
                </w14:textFill>
              </w:rPr>
              <w:t>i</w:t>
            </w:r>
            <w:r>
              <w:rPr>
                <w:rFonts w:cs="宋体"/>
                <w:bCs/>
                <w:color w:val="0D0D0D" w:themeColor="text1" w:themeTint="F2"/>
                <w:spacing w:val="-10"/>
                <w:sz w:val="24"/>
                <w14:textFill>
                  <w14:solidFill>
                    <w14:schemeClr w14:val="tx1">
                      <w14:lumMod w14:val="95000"/>
                      <w14:lumOff w14:val="5000"/>
                    </w14:schemeClr>
                  </w14:solidFill>
                </w14:textFill>
              </w:rPr>
              <w:t>——在T时间内i声源工作时间，s；</w:t>
            </w:r>
          </w:p>
          <w:p w14:paraId="749CA81C">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M——等效室外声源个数；</w:t>
            </w:r>
          </w:p>
          <w:p w14:paraId="3BB16AF1">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t</w:t>
            </w:r>
            <w:r>
              <w:rPr>
                <w:rFonts w:cs="宋体"/>
                <w:bCs/>
                <w:color w:val="0D0D0D" w:themeColor="text1" w:themeTint="F2"/>
                <w:spacing w:val="-10"/>
                <w:sz w:val="24"/>
                <w:vertAlign w:val="subscript"/>
                <w14:textFill>
                  <w14:solidFill>
                    <w14:schemeClr w14:val="tx1">
                      <w14:lumMod w14:val="95000"/>
                      <w14:lumOff w14:val="5000"/>
                    </w14:schemeClr>
                  </w14:solidFill>
                </w14:textFill>
              </w:rPr>
              <w:t>j</w:t>
            </w:r>
            <w:r>
              <w:rPr>
                <w:rFonts w:cs="宋体"/>
                <w:bCs/>
                <w:color w:val="0D0D0D" w:themeColor="text1" w:themeTint="F2"/>
                <w:spacing w:val="-10"/>
                <w:sz w:val="24"/>
                <w14:textFill>
                  <w14:solidFill>
                    <w14:schemeClr w14:val="tx1">
                      <w14:lumMod w14:val="95000"/>
                      <w14:lumOff w14:val="5000"/>
                    </w14:schemeClr>
                  </w14:solidFill>
                </w14:textFill>
              </w:rPr>
              <w:t>——在T时间内j声源工作时间，s。</w:t>
            </w:r>
          </w:p>
          <w:p w14:paraId="20607964">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本次评价</w:t>
            </w:r>
            <w:r>
              <w:rPr>
                <w:rFonts w:cs="宋体"/>
                <w:bCs/>
                <w:color w:val="0D0D0D" w:themeColor="text1" w:themeTint="F2"/>
                <w:spacing w:val="-10"/>
                <w:sz w:val="24"/>
                <w14:textFill>
                  <w14:solidFill>
                    <w14:schemeClr w14:val="tx1">
                      <w14:lumMod w14:val="95000"/>
                      <w14:lumOff w14:val="5000"/>
                    </w14:schemeClr>
                  </w14:solidFill>
                </w14:textFill>
              </w:rPr>
              <w:t>选择项目厂界外1m作为噪声预测评价点，</w:t>
            </w:r>
            <w:r>
              <w:rPr>
                <w:rFonts w:hint="eastAsia" w:cs="宋体"/>
                <w:bCs/>
                <w:color w:val="0D0D0D" w:themeColor="text1" w:themeTint="F2"/>
                <w:spacing w:val="-10"/>
                <w:sz w:val="24"/>
                <w14:textFill>
                  <w14:solidFill>
                    <w14:schemeClr w14:val="tx1">
                      <w14:lumMod w14:val="95000"/>
                      <w14:lumOff w14:val="5000"/>
                    </w14:schemeClr>
                  </w14:solidFill>
                </w14:textFill>
              </w:rPr>
              <w:t>由于项目夜间不运营，本次预测仅对昼间噪声进行预测，</w:t>
            </w:r>
            <w:r>
              <w:rPr>
                <w:rFonts w:cs="宋体"/>
                <w:bCs/>
                <w:color w:val="0D0D0D" w:themeColor="text1" w:themeTint="F2"/>
                <w:spacing w:val="-10"/>
                <w:sz w:val="24"/>
                <w14:textFill>
                  <w14:solidFill>
                    <w14:schemeClr w14:val="tx1">
                      <w14:lumMod w14:val="95000"/>
                      <w14:lumOff w14:val="5000"/>
                    </w14:schemeClr>
                  </w14:solidFill>
                </w14:textFill>
              </w:rPr>
              <w:t>项目厂界噪声预测结果与达标</w:t>
            </w:r>
            <w:r>
              <w:rPr>
                <w:rFonts w:hint="eastAsia" w:cs="宋体"/>
                <w:bCs/>
                <w:color w:val="0D0D0D" w:themeColor="text1" w:themeTint="F2"/>
                <w:spacing w:val="-10"/>
                <w:sz w:val="24"/>
                <w14:textFill>
                  <w14:solidFill>
                    <w14:schemeClr w14:val="tx1">
                      <w14:lumMod w14:val="95000"/>
                      <w14:lumOff w14:val="5000"/>
                    </w14:schemeClr>
                  </w14:solidFill>
                </w14:textFill>
              </w:rPr>
              <w:t>情况</w:t>
            </w:r>
            <w:r>
              <w:rPr>
                <w:rFonts w:cs="宋体"/>
                <w:bCs/>
                <w:color w:val="0D0D0D" w:themeColor="text1" w:themeTint="F2"/>
                <w:spacing w:val="-10"/>
                <w:sz w:val="24"/>
                <w14:textFill>
                  <w14:solidFill>
                    <w14:schemeClr w14:val="tx1">
                      <w14:lumMod w14:val="95000"/>
                      <w14:lumOff w14:val="5000"/>
                    </w14:schemeClr>
                  </w14:solidFill>
                </w14:textFill>
              </w:rPr>
              <w:t>分析</w:t>
            </w:r>
            <w:r>
              <w:rPr>
                <w:rFonts w:hint="eastAsia" w:cs="宋体"/>
                <w:bCs/>
                <w:color w:val="0D0D0D" w:themeColor="text1" w:themeTint="F2"/>
                <w:spacing w:val="-10"/>
                <w:sz w:val="24"/>
                <w14:textFill>
                  <w14:solidFill>
                    <w14:schemeClr w14:val="tx1">
                      <w14:lumMod w14:val="95000"/>
                      <w14:lumOff w14:val="5000"/>
                    </w14:schemeClr>
                  </w14:solidFill>
                </w14:textFill>
              </w:rPr>
              <w:t>详</w:t>
            </w:r>
            <w:r>
              <w:rPr>
                <w:rFonts w:cs="宋体"/>
                <w:bCs/>
                <w:color w:val="0D0D0D" w:themeColor="text1" w:themeTint="F2"/>
                <w:spacing w:val="-10"/>
                <w:sz w:val="24"/>
                <w14:textFill>
                  <w14:solidFill>
                    <w14:schemeClr w14:val="tx1">
                      <w14:lumMod w14:val="95000"/>
                      <w14:lumOff w14:val="5000"/>
                    </w14:schemeClr>
                  </w14:solidFill>
                </w14:textFill>
              </w:rPr>
              <w:t>见表</w:t>
            </w:r>
            <w:r>
              <w:rPr>
                <w:rFonts w:hint="eastAsia" w:cs="宋体"/>
                <w:bCs/>
                <w:color w:val="0D0D0D" w:themeColor="text1" w:themeTint="F2"/>
                <w:spacing w:val="-10"/>
                <w:sz w:val="24"/>
                <w14:textFill>
                  <w14:solidFill>
                    <w14:schemeClr w14:val="tx1">
                      <w14:lumMod w14:val="95000"/>
                      <w14:lumOff w14:val="5000"/>
                    </w14:schemeClr>
                  </w14:solidFill>
                </w14:textFill>
              </w:rPr>
              <w:t>4</w:t>
            </w:r>
            <w:r>
              <w:rPr>
                <w:rFonts w:cs="宋体"/>
                <w:bCs/>
                <w:color w:val="0D0D0D" w:themeColor="text1" w:themeTint="F2"/>
                <w:spacing w:val="-10"/>
                <w:sz w:val="24"/>
                <w14:textFill>
                  <w14:solidFill>
                    <w14:schemeClr w14:val="tx1">
                      <w14:lumMod w14:val="95000"/>
                      <w14:lumOff w14:val="5000"/>
                    </w14:schemeClr>
                  </w14:solidFill>
                </w14:textFill>
              </w:rPr>
              <w:t>-</w:t>
            </w:r>
            <w:r>
              <w:rPr>
                <w:rFonts w:hint="eastAsia" w:cs="宋体"/>
                <w:bCs/>
                <w:color w:val="0D0D0D" w:themeColor="text1" w:themeTint="F2"/>
                <w:spacing w:val="-10"/>
                <w:sz w:val="24"/>
                <w14:textFill>
                  <w14:solidFill>
                    <w14:schemeClr w14:val="tx1">
                      <w14:lumMod w14:val="95000"/>
                      <w14:lumOff w14:val="5000"/>
                    </w14:schemeClr>
                  </w14:solidFill>
                </w14:textFill>
              </w:rPr>
              <w:t>15</w:t>
            </w:r>
            <w:r>
              <w:rPr>
                <w:rFonts w:cs="宋体"/>
                <w:bCs/>
                <w:color w:val="0D0D0D" w:themeColor="text1" w:themeTint="F2"/>
                <w:spacing w:val="-10"/>
                <w:sz w:val="24"/>
                <w14:textFill>
                  <w14:solidFill>
                    <w14:schemeClr w14:val="tx1">
                      <w14:lumMod w14:val="95000"/>
                      <w14:lumOff w14:val="5000"/>
                    </w14:schemeClr>
                  </w14:solidFill>
                </w14:textFill>
              </w:rPr>
              <w:t>。</w:t>
            </w:r>
          </w:p>
          <w:p w14:paraId="603EC79A">
            <w:pPr>
              <w:adjustRightInd w:val="0"/>
              <w:snapToGrid w:val="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表4-15</w:t>
            </w:r>
            <w:r>
              <w:rPr>
                <w:rFonts w:cs="宋体"/>
                <w:b/>
                <w:color w:val="0D0D0D" w:themeColor="text1" w:themeTint="F2"/>
                <w:spacing w:val="-10"/>
                <w:szCs w:val="21"/>
                <w14:textFill>
                  <w14:solidFill>
                    <w14:schemeClr w14:val="tx1">
                      <w14:lumMod w14:val="95000"/>
                      <w14:lumOff w14:val="5000"/>
                    </w14:schemeClr>
                  </w14:solidFill>
                </w14:textFill>
              </w:rPr>
              <w:t xml:space="preserve">  </w:t>
            </w:r>
            <w:r>
              <w:rPr>
                <w:rFonts w:hint="eastAsia" w:cs="宋体"/>
                <w:b/>
                <w:color w:val="0D0D0D" w:themeColor="text1" w:themeTint="F2"/>
                <w:spacing w:val="-10"/>
                <w:szCs w:val="21"/>
                <w14:textFill>
                  <w14:solidFill>
                    <w14:schemeClr w14:val="tx1">
                      <w14:lumMod w14:val="95000"/>
                      <w14:lumOff w14:val="5000"/>
                    </w14:schemeClr>
                  </w14:solidFill>
                </w14:textFill>
              </w:rPr>
              <w:t xml:space="preserve">噪声预测结果一览表 </w:t>
            </w:r>
            <w:r>
              <w:rPr>
                <w:rFonts w:cs="宋体"/>
                <w:b/>
                <w:color w:val="0D0D0D" w:themeColor="text1" w:themeTint="F2"/>
                <w:spacing w:val="-10"/>
                <w:szCs w:val="21"/>
                <w14:textFill>
                  <w14:solidFill>
                    <w14:schemeClr w14:val="tx1">
                      <w14:lumMod w14:val="95000"/>
                      <w14:lumOff w14:val="5000"/>
                    </w14:schemeClr>
                  </w14:solidFill>
                </w14:textFill>
              </w:rPr>
              <w:t xml:space="preserve"> </w:t>
            </w:r>
            <w:r>
              <w:rPr>
                <w:rFonts w:hint="eastAsia" w:cs="宋体"/>
                <w:b/>
                <w:color w:val="0D0D0D" w:themeColor="text1" w:themeTint="F2"/>
                <w:spacing w:val="-10"/>
                <w:szCs w:val="21"/>
                <w14:textFill>
                  <w14:solidFill>
                    <w14:schemeClr w14:val="tx1">
                      <w14:lumMod w14:val="95000"/>
                      <w14:lumOff w14:val="5000"/>
                    </w14:schemeClr>
                  </w14:solidFill>
                </w14:textFill>
              </w:rPr>
              <w:t>单位：d</w:t>
            </w:r>
            <w:r>
              <w:rPr>
                <w:rFonts w:cs="宋体"/>
                <w:b/>
                <w:color w:val="0D0D0D" w:themeColor="text1" w:themeTint="F2"/>
                <w:spacing w:val="-10"/>
                <w:szCs w:val="21"/>
                <w14:textFill>
                  <w14:solidFill>
                    <w14:schemeClr w14:val="tx1">
                      <w14:lumMod w14:val="95000"/>
                      <w14:lumOff w14:val="5000"/>
                    </w14:schemeClr>
                  </w14:solidFill>
                </w14:textFill>
              </w:rPr>
              <w:t>B</w:t>
            </w:r>
            <w:r>
              <w:rPr>
                <w:rFonts w:hint="eastAsia" w:cs="宋体"/>
                <w:b/>
                <w:color w:val="0D0D0D" w:themeColor="text1" w:themeTint="F2"/>
                <w:spacing w:val="-10"/>
                <w:szCs w:val="21"/>
                <w14:textFill>
                  <w14:solidFill>
                    <w14:schemeClr w14:val="tx1">
                      <w14:lumMod w14:val="95000"/>
                      <w14:lumOff w14:val="5000"/>
                    </w14:schemeClr>
                  </w14:solidFill>
                </w14:textFill>
              </w:rPr>
              <w:t>(A</w:t>
            </w:r>
            <w:r>
              <w:rPr>
                <w:rFonts w:cs="宋体"/>
                <w:b/>
                <w:color w:val="0D0D0D" w:themeColor="text1" w:themeTint="F2"/>
                <w:spacing w:val="-10"/>
                <w:szCs w:val="21"/>
                <w14:textFill>
                  <w14:solidFill>
                    <w14:schemeClr w14:val="tx1">
                      <w14:lumMod w14:val="95000"/>
                      <w14:lumOff w14:val="5000"/>
                    </w14:schemeClr>
                  </w14:solidFill>
                </w14:textFill>
              </w:rPr>
              <w:t>)</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13"/>
              <w:gridCol w:w="2116"/>
              <w:gridCol w:w="2116"/>
              <w:gridCol w:w="2116"/>
            </w:tblGrid>
            <w:tr w14:paraId="2AB74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249" w:type="pct"/>
                  <w:vAlign w:val="center"/>
                </w:tcPr>
                <w:p w14:paraId="637C4230">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预测位置</w:t>
                  </w:r>
                </w:p>
              </w:tc>
              <w:tc>
                <w:tcPr>
                  <w:tcW w:w="1250" w:type="pct"/>
                  <w:vAlign w:val="center"/>
                </w:tcPr>
                <w:p w14:paraId="31040880">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贡献值</w:t>
                  </w:r>
                </w:p>
              </w:tc>
              <w:tc>
                <w:tcPr>
                  <w:tcW w:w="1250" w:type="pct"/>
                  <w:vAlign w:val="center"/>
                </w:tcPr>
                <w:p w14:paraId="02C6E0E8">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执行标准</w:t>
                  </w:r>
                </w:p>
              </w:tc>
              <w:tc>
                <w:tcPr>
                  <w:tcW w:w="1250" w:type="pct"/>
                  <w:vAlign w:val="center"/>
                </w:tcPr>
                <w:p w14:paraId="22AEE5EC">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达标性</w:t>
                  </w:r>
                </w:p>
              </w:tc>
            </w:tr>
            <w:tr w14:paraId="1F34B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pct"/>
                  <w:vAlign w:val="center"/>
                </w:tcPr>
                <w:p w14:paraId="54207288">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东侧厂界</w:t>
                  </w:r>
                </w:p>
              </w:tc>
              <w:tc>
                <w:tcPr>
                  <w:tcW w:w="1250" w:type="pct"/>
                  <w:vAlign w:val="center"/>
                </w:tcPr>
                <w:p w14:paraId="7BD6B101">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54.55</w:t>
                  </w:r>
                </w:p>
              </w:tc>
              <w:tc>
                <w:tcPr>
                  <w:tcW w:w="1250" w:type="pct"/>
                  <w:vAlign w:val="center"/>
                </w:tcPr>
                <w:p w14:paraId="76517F40">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70</w:t>
                  </w:r>
                </w:p>
              </w:tc>
              <w:tc>
                <w:tcPr>
                  <w:tcW w:w="1250" w:type="pct"/>
                  <w:vAlign w:val="center"/>
                </w:tcPr>
                <w:p w14:paraId="2F8BBF40">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达标</w:t>
                  </w:r>
                </w:p>
              </w:tc>
            </w:tr>
            <w:tr w14:paraId="33D0C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pct"/>
                  <w:vAlign w:val="center"/>
                </w:tcPr>
                <w:p w14:paraId="455AEED3">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南侧厂界</w:t>
                  </w:r>
                </w:p>
              </w:tc>
              <w:tc>
                <w:tcPr>
                  <w:tcW w:w="1250" w:type="pct"/>
                  <w:vAlign w:val="center"/>
                </w:tcPr>
                <w:p w14:paraId="4C88F6BC">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40.53</w:t>
                  </w:r>
                </w:p>
              </w:tc>
              <w:tc>
                <w:tcPr>
                  <w:tcW w:w="1250" w:type="pct"/>
                  <w:vAlign w:val="center"/>
                </w:tcPr>
                <w:p w14:paraId="3D6E5B38">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70</w:t>
                  </w:r>
                </w:p>
              </w:tc>
              <w:tc>
                <w:tcPr>
                  <w:tcW w:w="1250" w:type="pct"/>
                  <w:vAlign w:val="center"/>
                </w:tcPr>
                <w:p w14:paraId="4DAE53C7">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达标</w:t>
                  </w:r>
                </w:p>
              </w:tc>
            </w:tr>
            <w:tr w14:paraId="3D1EA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pct"/>
                  <w:vAlign w:val="center"/>
                </w:tcPr>
                <w:p w14:paraId="6BF04027">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西侧厂界</w:t>
                  </w:r>
                </w:p>
              </w:tc>
              <w:tc>
                <w:tcPr>
                  <w:tcW w:w="1250" w:type="pct"/>
                  <w:vAlign w:val="center"/>
                </w:tcPr>
                <w:p w14:paraId="7ADA075C">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61.9</w:t>
                  </w:r>
                </w:p>
              </w:tc>
              <w:tc>
                <w:tcPr>
                  <w:tcW w:w="1250" w:type="pct"/>
                  <w:vAlign w:val="center"/>
                </w:tcPr>
                <w:p w14:paraId="1959438B">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65</w:t>
                  </w:r>
                </w:p>
              </w:tc>
              <w:tc>
                <w:tcPr>
                  <w:tcW w:w="1250" w:type="pct"/>
                  <w:vAlign w:val="center"/>
                </w:tcPr>
                <w:p w14:paraId="1080ED5C">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达标</w:t>
                  </w:r>
                </w:p>
              </w:tc>
            </w:tr>
            <w:tr w14:paraId="26A20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pct"/>
                  <w:vAlign w:val="center"/>
                </w:tcPr>
                <w:p w14:paraId="3E7FDB4B">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北侧厂界</w:t>
                  </w:r>
                </w:p>
              </w:tc>
              <w:tc>
                <w:tcPr>
                  <w:tcW w:w="1250" w:type="pct"/>
                  <w:vAlign w:val="center"/>
                </w:tcPr>
                <w:p w14:paraId="4A0CB4FF">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36.65</w:t>
                  </w:r>
                </w:p>
              </w:tc>
              <w:tc>
                <w:tcPr>
                  <w:tcW w:w="1250" w:type="pct"/>
                  <w:vAlign w:val="center"/>
                </w:tcPr>
                <w:p w14:paraId="648871ED">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65</w:t>
                  </w:r>
                </w:p>
              </w:tc>
              <w:tc>
                <w:tcPr>
                  <w:tcW w:w="1250" w:type="pct"/>
                  <w:vAlign w:val="center"/>
                </w:tcPr>
                <w:p w14:paraId="61878263">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达标</w:t>
                  </w:r>
                </w:p>
              </w:tc>
            </w:tr>
          </w:tbl>
          <w:p w14:paraId="096855C6">
            <w:pPr>
              <w:adjustRightInd w:val="0"/>
              <w:snapToGrid w:val="0"/>
              <w:rPr>
                <w:rFonts w:cs="宋体"/>
                <w:bCs/>
                <w:color w:val="0D0D0D" w:themeColor="text1" w:themeTint="F2"/>
                <w:spacing w:val="-10"/>
                <w:sz w:val="24"/>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drawing>
                <wp:inline distT="0" distB="0" distL="0" distR="0">
                  <wp:extent cx="5261610" cy="3750310"/>
                  <wp:effectExtent l="0" t="0" r="0" b="2540"/>
                  <wp:docPr id="21341153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115379" name="图片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272045" cy="3758083"/>
                          </a:xfrm>
                          <a:prstGeom prst="rect">
                            <a:avLst/>
                          </a:prstGeom>
                          <a:noFill/>
                          <a:ln>
                            <a:noFill/>
                          </a:ln>
                        </pic:spPr>
                      </pic:pic>
                    </a:graphicData>
                  </a:graphic>
                </wp:inline>
              </w:drawing>
            </w:r>
          </w:p>
          <w:p w14:paraId="1A20F21E">
            <w:pPr>
              <w:adjustRightInd w:val="0"/>
              <w:snapToGrid w:val="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图4-4  等声级曲线图</w:t>
            </w:r>
          </w:p>
          <w:p w14:paraId="1FD67224">
            <w:pPr>
              <w:adjustRightInd w:val="0"/>
              <w:snapToGrid w:val="0"/>
              <w:spacing w:line="360" w:lineRule="auto"/>
              <w:ind w:firstLine="440" w:firstLineChars="200"/>
              <w:rPr>
                <w:rFonts w:cs="宋体"/>
                <w:bCs/>
                <w:color w:val="0D0D0D" w:themeColor="text1" w:themeTint="F2"/>
                <w:kern w:val="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由上表可知，正常工况下，</w:t>
            </w:r>
            <w:r>
              <w:rPr>
                <w:rFonts w:cs="宋体"/>
                <w:bCs/>
                <w:color w:val="0D0D0D" w:themeColor="text1" w:themeTint="F2"/>
                <w:spacing w:val="-10"/>
                <w:sz w:val="24"/>
                <w14:textFill>
                  <w14:solidFill>
                    <w14:schemeClr w14:val="tx1">
                      <w14:lumMod w14:val="95000"/>
                      <w14:lumOff w14:val="5000"/>
                    </w14:schemeClr>
                  </w14:solidFill>
                </w14:textFill>
              </w:rPr>
              <w:t>项目运营期</w:t>
            </w:r>
            <w:r>
              <w:rPr>
                <w:rFonts w:hint="eastAsia" w:cs="宋体"/>
                <w:bCs/>
                <w:color w:val="0D0D0D" w:themeColor="text1" w:themeTint="F2"/>
                <w:spacing w:val="-10"/>
                <w:sz w:val="24"/>
                <w14:textFill>
                  <w14:solidFill>
                    <w14:schemeClr w14:val="tx1">
                      <w14:lumMod w14:val="95000"/>
                      <w14:lumOff w14:val="5000"/>
                    </w14:schemeClr>
                  </w14:solidFill>
                </w14:textFill>
              </w:rPr>
              <w:t>昼间</w:t>
            </w:r>
            <w:r>
              <w:rPr>
                <w:rFonts w:hint="eastAsia" w:cs="宋体"/>
                <w:bCs/>
                <w:color w:val="0D0D0D" w:themeColor="text1" w:themeTint="F2"/>
                <w:kern w:val="0"/>
                <w:sz w:val="24"/>
                <w14:textFill>
                  <w14:solidFill>
                    <w14:schemeClr w14:val="tx1">
                      <w14:lumMod w14:val="95000"/>
                      <w14:lumOff w14:val="5000"/>
                    </w14:schemeClr>
                  </w14:solidFill>
                </w14:textFill>
              </w:rPr>
              <w:t>北侧厂界和西侧</w:t>
            </w:r>
            <w:r>
              <w:rPr>
                <w:rFonts w:cs="宋体"/>
                <w:bCs/>
                <w:color w:val="0D0D0D" w:themeColor="text1" w:themeTint="F2"/>
                <w:kern w:val="0"/>
                <w:sz w:val="24"/>
                <w14:textFill>
                  <w14:solidFill>
                    <w14:schemeClr w14:val="tx1">
                      <w14:lumMod w14:val="95000"/>
                      <w14:lumOff w14:val="5000"/>
                    </w14:schemeClr>
                  </w14:solidFill>
                </w14:textFill>
              </w:rPr>
              <w:t>厂界</w:t>
            </w:r>
            <w:r>
              <w:rPr>
                <w:rFonts w:hint="eastAsia" w:cs="宋体"/>
                <w:bCs/>
                <w:color w:val="0D0D0D" w:themeColor="text1" w:themeTint="F2"/>
                <w:kern w:val="0"/>
                <w:sz w:val="24"/>
                <w14:textFill>
                  <w14:solidFill>
                    <w14:schemeClr w14:val="tx1">
                      <w14:lumMod w14:val="95000"/>
                      <w14:lumOff w14:val="5000"/>
                    </w14:schemeClr>
                  </w14:solidFill>
                </w14:textFill>
              </w:rPr>
              <w:t>噪声贡献值可满足</w:t>
            </w:r>
            <w:r>
              <w:rPr>
                <w:rFonts w:cs="宋体"/>
                <w:bCs/>
                <w:color w:val="0D0D0D" w:themeColor="text1" w:themeTint="F2"/>
                <w:kern w:val="0"/>
                <w:sz w:val="24"/>
                <w14:textFill>
                  <w14:solidFill>
                    <w14:schemeClr w14:val="tx1">
                      <w14:lumMod w14:val="95000"/>
                      <w14:lumOff w14:val="5000"/>
                    </w14:schemeClr>
                  </w14:solidFill>
                </w14:textFill>
              </w:rPr>
              <w:t>《工业企业厂界环境噪声排放标准》（GB12348-2008）</w:t>
            </w:r>
            <w:r>
              <w:rPr>
                <w:rFonts w:hint="eastAsia" w:cs="宋体"/>
                <w:bCs/>
                <w:color w:val="0D0D0D" w:themeColor="text1" w:themeTint="F2"/>
                <w:kern w:val="0"/>
                <w:sz w:val="24"/>
                <w14:textFill>
                  <w14:solidFill>
                    <w14:schemeClr w14:val="tx1">
                      <w14:lumMod w14:val="95000"/>
                      <w14:lumOff w14:val="5000"/>
                    </w14:schemeClr>
                  </w14:solidFill>
                </w14:textFill>
              </w:rPr>
              <w:t>3</w:t>
            </w:r>
            <w:r>
              <w:rPr>
                <w:rFonts w:cs="宋体"/>
                <w:bCs/>
                <w:color w:val="0D0D0D" w:themeColor="text1" w:themeTint="F2"/>
                <w:kern w:val="0"/>
                <w:sz w:val="24"/>
                <w14:textFill>
                  <w14:solidFill>
                    <w14:schemeClr w14:val="tx1">
                      <w14:lumMod w14:val="95000"/>
                      <w14:lumOff w14:val="5000"/>
                    </w14:schemeClr>
                  </w14:solidFill>
                </w14:textFill>
              </w:rPr>
              <w:t>类标准</w:t>
            </w:r>
            <w:r>
              <w:rPr>
                <w:rFonts w:hint="eastAsia" w:cs="宋体"/>
                <w:bCs/>
                <w:color w:val="0D0D0D" w:themeColor="text1" w:themeTint="F2"/>
                <w:kern w:val="0"/>
                <w:sz w:val="24"/>
                <w14:textFill>
                  <w14:solidFill>
                    <w14:schemeClr w14:val="tx1">
                      <w14:lumMod w14:val="95000"/>
                      <w14:lumOff w14:val="5000"/>
                    </w14:schemeClr>
                  </w14:solidFill>
                </w14:textFill>
              </w:rPr>
              <w:t>，南侧厂界和东侧厂界噪声贡献值可满足4类标准，项目50m范围内无声环境保护目标，运营期噪声对周边环境影响较小。</w:t>
            </w:r>
          </w:p>
          <w:p w14:paraId="68214F2B">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3、</w:t>
            </w:r>
            <w:r>
              <w:rPr>
                <w:rFonts w:cs="宋体"/>
                <w:b/>
                <w:color w:val="0D0D0D" w:themeColor="text1" w:themeTint="F2"/>
                <w:spacing w:val="-10"/>
                <w:sz w:val="24"/>
                <w14:textFill>
                  <w14:solidFill>
                    <w14:schemeClr w14:val="tx1">
                      <w14:lumMod w14:val="95000"/>
                      <w14:lumOff w14:val="5000"/>
                    </w14:schemeClr>
                  </w14:solidFill>
                </w14:textFill>
              </w:rPr>
              <w:t>噪声污染防治措施可行性分析</w:t>
            </w:r>
          </w:p>
          <w:p w14:paraId="60E7038E">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为了将噪声对周边环境的影响进一步降低，拟采取以下措施减轻噪声污染：</w:t>
            </w:r>
          </w:p>
          <w:p w14:paraId="031247E7">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（1）设备在选型上充分注意选择低噪声设备，同时采用减震等措施。</w:t>
            </w:r>
          </w:p>
          <w:p w14:paraId="6F5D0923">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（2）合理布局设备，减少噪声对周边环境的影响。</w:t>
            </w:r>
          </w:p>
          <w:p w14:paraId="5F346D19">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（3）加强车间的密封性，有效削减噪声对外界的贡献值，减少对周边环境的影响。</w:t>
            </w:r>
          </w:p>
          <w:p w14:paraId="5503B1B1">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（4）加强设备的日常维护与保养，定期对设备进行检修，防止不良工况下的故障噪声产生。</w:t>
            </w:r>
          </w:p>
          <w:p w14:paraId="5B71F5E2">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以上噪声防护措施容易实施，技术成熟可靠，投资费用较少，在经济上是可行的。</w:t>
            </w:r>
          </w:p>
          <w:p w14:paraId="3DF2CC46">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四、固体废物</w:t>
            </w:r>
          </w:p>
          <w:p w14:paraId="7FB766E2">
            <w:pPr>
              <w:adjustRightInd w:val="0"/>
              <w:snapToGrid w:val="0"/>
              <w:spacing w:line="360" w:lineRule="auto"/>
              <w:ind w:firstLine="482" w:firstLineChars="200"/>
              <w:rPr>
                <w:b/>
                <w:bCs/>
                <w:color w:val="0D0D0D" w:themeColor="text1" w:themeTint="F2"/>
                <w:sz w:val="24"/>
                <w14:textFill>
                  <w14:solidFill>
                    <w14:schemeClr w14:val="tx1">
                      <w14:lumMod w14:val="95000"/>
                      <w14:lumOff w14:val="5000"/>
                    </w14:schemeClr>
                  </w14:solidFill>
                </w14:textFill>
              </w:rPr>
            </w:pPr>
            <w:r>
              <w:rPr>
                <w:rFonts w:hint="eastAsia"/>
                <w:b/>
                <w:bCs/>
                <w:color w:val="0D0D0D" w:themeColor="text1" w:themeTint="F2"/>
                <w:sz w:val="24"/>
                <w14:textFill>
                  <w14:solidFill>
                    <w14:schemeClr w14:val="tx1">
                      <w14:lumMod w14:val="95000"/>
                      <w14:lumOff w14:val="5000"/>
                    </w14:schemeClr>
                  </w14:solidFill>
                </w14:textFill>
              </w:rPr>
              <w:t>1、固体废物源强分析</w:t>
            </w:r>
          </w:p>
          <w:p w14:paraId="63B95918">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（1）不合格钢材</w:t>
            </w:r>
          </w:p>
          <w:p w14:paraId="6CA7FA95">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项目钢材原料进厂后需进行检验，在此过程中会产生不合格钢材，根据建设单位提供的资料，不合格钢材产生量约占加工量的1‰，项目钢材年加工量为520t，即不合格钢材为0.52t，由厂家负责清运拉走并按规定进行处置，不在厂区暂存。</w:t>
            </w:r>
          </w:p>
          <w:p w14:paraId="2CD7DBE4">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根据《固体废物分类与代码目录》，废钢丸废物代码为</w:t>
            </w:r>
            <w:r>
              <w:rPr>
                <w:rFonts w:cs="宋体"/>
                <w:bCs/>
                <w:color w:val="0D0D0D" w:themeColor="text1" w:themeTint="F2"/>
                <w:spacing w:val="-10"/>
                <w:sz w:val="24"/>
                <w:u w:val="single"/>
                <w14:textFill>
                  <w14:solidFill>
                    <w14:schemeClr w14:val="tx1">
                      <w14:lumMod w14:val="95000"/>
                      <w14:lumOff w14:val="5000"/>
                    </w14:schemeClr>
                  </w14:solidFill>
                </w14:textFill>
              </w:rPr>
              <w:t>900-001-S17</w:t>
            </w:r>
            <w:r>
              <w:rPr>
                <w:rFonts w:hint="eastAsia" w:cs="宋体"/>
                <w:bCs/>
                <w:color w:val="0D0D0D" w:themeColor="text1" w:themeTint="F2"/>
                <w:spacing w:val="-10"/>
                <w:sz w:val="24"/>
                <w:u w:val="single"/>
                <w14:textFill>
                  <w14:solidFill>
                    <w14:schemeClr w14:val="tx1">
                      <w14:lumMod w14:val="95000"/>
                      <w14:lumOff w14:val="5000"/>
                    </w14:schemeClr>
                  </w14:solidFill>
                </w14:textFill>
              </w:rPr>
              <w:t>。</w:t>
            </w:r>
          </w:p>
          <w:p w14:paraId="530E1B98">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（2）废钢丸</w:t>
            </w:r>
          </w:p>
          <w:p w14:paraId="5F457A52">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抛丸工序钢丸长时间使用后会变形、磨损，从而粒径变小达不到除锈效果，因此需定期更换，更换频率约为2年1次，根据建设单位提供的资料，每平方米钢材抛丸处理通常需要消耗0.1~0.3kg钢丸，本次评价按0.2计，项目年加工钢材20000m</w:t>
            </w:r>
            <w:r>
              <w:rPr>
                <w:rFonts w:hint="eastAsia" w:cs="宋体"/>
                <w:bCs/>
                <w:color w:val="0D0D0D" w:themeColor="text1" w:themeTint="F2"/>
                <w:spacing w:val="-10"/>
                <w:sz w:val="24"/>
                <w:u w:val="single"/>
                <w:vertAlign w:val="superscript"/>
                <w14:textFill>
                  <w14:solidFill>
                    <w14:schemeClr w14:val="tx1">
                      <w14:lumMod w14:val="95000"/>
                      <w14:lumOff w14:val="5000"/>
                    </w14:schemeClr>
                  </w14:solidFill>
                </w14:textFill>
              </w:rPr>
              <w:t>2</w:t>
            </w:r>
            <w:r>
              <w:rPr>
                <w:rFonts w:hint="eastAsia" w:cs="宋体"/>
                <w:bCs/>
                <w:color w:val="0D0D0D" w:themeColor="text1" w:themeTint="F2"/>
                <w:spacing w:val="-10"/>
                <w:sz w:val="24"/>
                <w:u w:val="single"/>
                <w14:textFill>
                  <w14:solidFill>
                    <w14:schemeClr w14:val="tx1">
                      <w14:lumMod w14:val="95000"/>
                      <w14:lumOff w14:val="5000"/>
                    </w14:schemeClr>
                  </w14:solidFill>
                </w14:textFill>
              </w:rPr>
              <w:t>，废钢丸产生量为4t/a，收集后暂存在一般固废暂存间，外售第三方单位资源化利用。</w:t>
            </w:r>
          </w:p>
          <w:p w14:paraId="43B9218A">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根据《固体废物分类与代码目录》，废钢丸废物代码为</w:t>
            </w:r>
            <w:r>
              <w:rPr>
                <w:rFonts w:cs="宋体"/>
                <w:bCs/>
                <w:color w:val="0D0D0D" w:themeColor="text1" w:themeTint="F2"/>
                <w:spacing w:val="-10"/>
                <w:sz w:val="24"/>
                <w14:textFill>
                  <w14:solidFill>
                    <w14:schemeClr w14:val="tx1">
                      <w14:lumMod w14:val="95000"/>
                      <w14:lumOff w14:val="5000"/>
                    </w14:schemeClr>
                  </w14:solidFill>
                </w14:textFill>
              </w:rPr>
              <w:t>900-999-99</w:t>
            </w:r>
            <w:r>
              <w:rPr>
                <w:rFonts w:hint="eastAsia" w:cs="宋体"/>
                <w:bCs/>
                <w:color w:val="0D0D0D" w:themeColor="text1" w:themeTint="F2"/>
                <w:spacing w:val="-10"/>
                <w:sz w:val="24"/>
                <w14:textFill>
                  <w14:solidFill>
                    <w14:schemeClr w14:val="tx1">
                      <w14:lumMod w14:val="95000"/>
                      <w14:lumOff w14:val="5000"/>
                    </w14:schemeClr>
                  </w14:solidFill>
                </w14:textFill>
              </w:rPr>
              <w:t>。</w:t>
            </w:r>
          </w:p>
          <w:p w14:paraId="1B0B3BB5">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（3）除尘设备废滤芯</w:t>
            </w:r>
          </w:p>
          <w:p w14:paraId="57F5C27A">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项目电子脉冲滤芯式除尘器运行过程中会产生废滤芯，根据建设单位提供的资料，废滤芯每年定期更换，产生量约为0.1t/a。除尘设备废滤芯属于一般工业固体废物，暂存于一般固废暂存间，外售第三方单位资源化利用。</w:t>
            </w:r>
          </w:p>
          <w:p w14:paraId="6E4DD6F2">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根据《固体废物分类与代码目录》，除尘设备废滤芯废物代码为</w:t>
            </w:r>
            <w:r>
              <w:rPr>
                <w:rFonts w:cs="宋体"/>
                <w:bCs/>
                <w:color w:val="0D0D0D" w:themeColor="text1" w:themeTint="F2"/>
                <w:spacing w:val="-10"/>
                <w:sz w:val="24"/>
                <w:u w:val="single"/>
                <w14:textFill>
                  <w14:solidFill>
                    <w14:schemeClr w14:val="tx1">
                      <w14:lumMod w14:val="95000"/>
                      <w14:lumOff w14:val="5000"/>
                    </w14:schemeClr>
                  </w14:solidFill>
                </w14:textFill>
              </w:rPr>
              <w:t>900-009-S59</w:t>
            </w:r>
            <w:r>
              <w:rPr>
                <w:rFonts w:hint="eastAsia" w:cs="宋体"/>
                <w:bCs/>
                <w:color w:val="0D0D0D" w:themeColor="text1" w:themeTint="F2"/>
                <w:spacing w:val="-10"/>
                <w:sz w:val="24"/>
                <w:u w:val="single"/>
                <w14:textFill>
                  <w14:solidFill>
                    <w14:schemeClr w14:val="tx1">
                      <w14:lumMod w14:val="95000"/>
                      <w14:lumOff w14:val="5000"/>
                    </w14:schemeClr>
                  </w14:solidFill>
                </w14:textFill>
              </w:rPr>
              <w:t>。</w:t>
            </w:r>
          </w:p>
          <w:p w14:paraId="52A82C10">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（4）除尘器收集粉尘</w:t>
            </w:r>
          </w:p>
          <w:p w14:paraId="2A309963">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由上文分析可知，项目电子脉冲滤芯式除尘器收集的粉尘量为0.98t/a，除尘器收集粉尘属于一般工业固体废物，定期收集后使用专用容器暂存于一般固废暂存间，外售第三方单位资源化利用。</w:t>
            </w:r>
          </w:p>
          <w:p w14:paraId="2135E650">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根据《固体废物分类与代码目录》，除尘器收集粉尘废物代码为900-099-S59。</w:t>
            </w:r>
          </w:p>
          <w:p w14:paraId="22665F84">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（5）废油漆桶</w:t>
            </w:r>
          </w:p>
          <w:p w14:paraId="7B50F4BF">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项目喷涂工序会产生废油漆桶（含油漆桶和稀释剂桶），废油漆桶产生量为1.10t/a，核算情况详见表4-16。</w:t>
            </w:r>
          </w:p>
          <w:p w14:paraId="7B78F547">
            <w:pPr>
              <w:adjustRightInd w:val="0"/>
              <w:snapToGrid w:val="0"/>
              <w:jc w:val="center"/>
              <w:rPr>
                <w:rFonts w:cs="宋体"/>
                <w:b/>
                <w:color w:val="0D0D0D" w:themeColor="text1" w:themeTint="F2"/>
                <w:spacing w:val="-10"/>
                <w:szCs w:val="21"/>
                <w14:textFill>
                  <w14:solidFill>
                    <w14:schemeClr w14:val="tx1">
                      <w14:lumMod w14:val="95000"/>
                      <w14:lumOff w14:val="5000"/>
                    </w14:schemeClr>
                  </w14:solidFill>
                </w14:textFill>
              </w:rPr>
            </w:pPr>
            <w:r>
              <w:rPr>
                <w:rFonts w:cs="宋体"/>
                <w:b/>
                <w:color w:val="0D0D0D" w:themeColor="text1" w:themeTint="F2"/>
                <w:spacing w:val="-10"/>
                <w:szCs w:val="21"/>
                <w14:textFill>
                  <w14:solidFill>
                    <w14:schemeClr w14:val="tx1">
                      <w14:lumMod w14:val="95000"/>
                      <w14:lumOff w14:val="5000"/>
                    </w14:schemeClr>
                  </w14:solidFill>
                </w14:textFill>
              </w:rPr>
              <w:t>表</w:t>
            </w:r>
            <w:r>
              <w:rPr>
                <w:rFonts w:hint="eastAsia" w:cs="宋体"/>
                <w:b/>
                <w:color w:val="0D0D0D" w:themeColor="text1" w:themeTint="F2"/>
                <w:spacing w:val="-10"/>
                <w:szCs w:val="21"/>
                <w14:textFill>
                  <w14:solidFill>
                    <w14:schemeClr w14:val="tx1">
                      <w14:lumMod w14:val="95000"/>
                      <w14:lumOff w14:val="5000"/>
                    </w14:schemeClr>
                  </w14:solidFill>
                </w14:textFill>
              </w:rPr>
              <w:t xml:space="preserve">4-16  </w:t>
            </w:r>
            <w:r>
              <w:rPr>
                <w:rFonts w:cs="宋体"/>
                <w:b/>
                <w:color w:val="0D0D0D" w:themeColor="text1" w:themeTint="F2"/>
                <w:spacing w:val="-10"/>
                <w:szCs w:val="21"/>
                <w14:textFill>
                  <w14:solidFill>
                    <w14:schemeClr w14:val="tx1">
                      <w14:lumMod w14:val="95000"/>
                      <w14:lumOff w14:val="5000"/>
                    </w14:schemeClr>
                  </w14:solidFill>
                </w14:textFill>
              </w:rPr>
              <w:t>油漆桶核算情况一览表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0"/>
              <w:gridCol w:w="2630"/>
              <w:gridCol w:w="965"/>
              <w:gridCol w:w="1086"/>
              <w:gridCol w:w="1169"/>
              <w:gridCol w:w="1047"/>
              <w:gridCol w:w="884"/>
            </w:tblGrid>
            <w:tr w14:paraId="1F65B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2" w:type="pct"/>
                  <w:vAlign w:val="center"/>
                </w:tcPr>
                <w:p w14:paraId="166E8C3E">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序号</w:t>
                  </w:r>
                </w:p>
              </w:tc>
              <w:tc>
                <w:tcPr>
                  <w:tcW w:w="1554" w:type="pct"/>
                  <w:vAlign w:val="center"/>
                </w:tcPr>
                <w:p w14:paraId="2A06E983">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名称</w:t>
                  </w:r>
                </w:p>
              </w:tc>
              <w:tc>
                <w:tcPr>
                  <w:tcW w:w="570" w:type="pct"/>
                  <w:vAlign w:val="center"/>
                </w:tcPr>
                <w:p w14:paraId="4AD4640A">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使用量</w:t>
                  </w:r>
                </w:p>
                <w:p w14:paraId="663908E6">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（L/a）</w:t>
                  </w:r>
                </w:p>
              </w:tc>
              <w:tc>
                <w:tcPr>
                  <w:tcW w:w="642" w:type="pct"/>
                  <w:vAlign w:val="center"/>
                </w:tcPr>
                <w:p w14:paraId="7AD2426F">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规格</w:t>
                  </w:r>
                </w:p>
                <w:p w14:paraId="3517563E">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（L/桶）</w:t>
                  </w:r>
                </w:p>
              </w:tc>
              <w:tc>
                <w:tcPr>
                  <w:tcW w:w="691" w:type="pct"/>
                  <w:vAlign w:val="center"/>
                </w:tcPr>
                <w:p w14:paraId="29CFA9E0">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桶重</w:t>
                  </w:r>
                </w:p>
                <w:p w14:paraId="5B545792">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（kg/个）</w:t>
                  </w:r>
                </w:p>
              </w:tc>
              <w:tc>
                <w:tcPr>
                  <w:tcW w:w="619" w:type="pct"/>
                  <w:vAlign w:val="center"/>
                </w:tcPr>
                <w:p w14:paraId="647C3AD3">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数量</w:t>
                  </w:r>
                </w:p>
                <w:p w14:paraId="4DB06E14">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（个/a）</w:t>
                  </w:r>
                </w:p>
              </w:tc>
              <w:tc>
                <w:tcPr>
                  <w:tcW w:w="522" w:type="pct"/>
                  <w:vAlign w:val="center"/>
                </w:tcPr>
                <w:p w14:paraId="299F64F2">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重量</w:t>
                  </w:r>
                </w:p>
                <w:p w14:paraId="047BE0A4">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（t/a）</w:t>
                  </w:r>
                </w:p>
              </w:tc>
            </w:tr>
            <w:tr w14:paraId="65DC6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2" w:type="pct"/>
                  <w:vAlign w:val="center"/>
                </w:tcPr>
                <w:p w14:paraId="1B72E27E">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w:t>
                  </w:r>
                </w:p>
              </w:tc>
              <w:tc>
                <w:tcPr>
                  <w:tcW w:w="1554" w:type="pct"/>
                  <w:vAlign w:val="center"/>
                </w:tcPr>
                <w:p w14:paraId="2167AE94">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环氧富锌底漆组分A</w:t>
                  </w:r>
                </w:p>
              </w:tc>
              <w:tc>
                <w:tcPr>
                  <w:tcW w:w="570" w:type="pct"/>
                  <w:vAlign w:val="center"/>
                </w:tcPr>
                <w:p w14:paraId="21A11D17">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1444.79</w:t>
                  </w:r>
                </w:p>
              </w:tc>
              <w:tc>
                <w:tcPr>
                  <w:tcW w:w="642" w:type="pct"/>
                  <w:vAlign w:val="center"/>
                </w:tcPr>
                <w:p w14:paraId="3CE5AD1C">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7</w:t>
                  </w:r>
                </w:p>
              </w:tc>
              <w:tc>
                <w:tcPr>
                  <w:tcW w:w="691" w:type="pct"/>
                  <w:vAlign w:val="center"/>
                </w:tcPr>
                <w:p w14:paraId="522ED606">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1.5</w:t>
                  </w:r>
                </w:p>
              </w:tc>
              <w:tc>
                <w:tcPr>
                  <w:tcW w:w="619" w:type="pct"/>
                  <w:vAlign w:val="center"/>
                </w:tcPr>
                <w:p w14:paraId="69D58FA0">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szCs w:val="21"/>
                      <w:u w:val="single"/>
                    </w:rPr>
                    <w:t>207</w:t>
                  </w:r>
                </w:p>
              </w:tc>
              <w:tc>
                <w:tcPr>
                  <w:tcW w:w="522" w:type="pct"/>
                  <w:vAlign w:val="center"/>
                </w:tcPr>
                <w:p w14:paraId="40F3D919">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szCs w:val="21"/>
                      <w:u w:val="single"/>
                    </w:rPr>
                    <w:t>0.311</w:t>
                  </w:r>
                </w:p>
              </w:tc>
            </w:tr>
            <w:tr w14:paraId="0C5E6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2" w:type="pct"/>
                  <w:vAlign w:val="center"/>
                </w:tcPr>
                <w:p w14:paraId="52F93959">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2</w:t>
                  </w:r>
                </w:p>
              </w:tc>
              <w:tc>
                <w:tcPr>
                  <w:tcW w:w="1554" w:type="pct"/>
                  <w:vAlign w:val="center"/>
                </w:tcPr>
                <w:p w14:paraId="3E19E77F">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环氧富锌底漆组分B</w:t>
                  </w:r>
                </w:p>
              </w:tc>
              <w:tc>
                <w:tcPr>
                  <w:tcW w:w="570" w:type="pct"/>
                  <w:vAlign w:val="center"/>
                </w:tcPr>
                <w:p w14:paraId="02D2B6A7">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412.8</w:t>
                  </w:r>
                </w:p>
              </w:tc>
              <w:tc>
                <w:tcPr>
                  <w:tcW w:w="642" w:type="pct"/>
                  <w:vAlign w:val="center"/>
                </w:tcPr>
                <w:p w14:paraId="68B5CB07">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2</w:t>
                  </w:r>
                </w:p>
              </w:tc>
              <w:tc>
                <w:tcPr>
                  <w:tcW w:w="691" w:type="pct"/>
                  <w:vAlign w:val="center"/>
                </w:tcPr>
                <w:p w14:paraId="213ACBC0">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w:t>
                  </w:r>
                </w:p>
              </w:tc>
              <w:tc>
                <w:tcPr>
                  <w:tcW w:w="619" w:type="pct"/>
                  <w:vAlign w:val="center"/>
                </w:tcPr>
                <w:p w14:paraId="67A7470F">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szCs w:val="21"/>
                      <w:u w:val="single"/>
                    </w:rPr>
                    <w:t>207</w:t>
                  </w:r>
                </w:p>
              </w:tc>
              <w:tc>
                <w:tcPr>
                  <w:tcW w:w="522" w:type="pct"/>
                  <w:vAlign w:val="center"/>
                </w:tcPr>
                <w:p w14:paraId="175E0123">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szCs w:val="21"/>
                      <w:u w:val="single"/>
                    </w:rPr>
                    <w:t>0.207</w:t>
                  </w:r>
                </w:p>
              </w:tc>
            </w:tr>
            <w:tr w14:paraId="44BF3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2" w:type="pct"/>
                  <w:vAlign w:val="center"/>
                </w:tcPr>
                <w:p w14:paraId="1D32ACE2">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3</w:t>
                  </w:r>
                </w:p>
              </w:tc>
              <w:tc>
                <w:tcPr>
                  <w:tcW w:w="1554" w:type="pct"/>
                  <w:vAlign w:val="center"/>
                </w:tcPr>
                <w:p w14:paraId="3C1F1F1C">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环氧云铁中间漆组分A</w:t>
                  </w:r>
                </w:p>
              </w:tc>
              <w:tc>
                <w:tcPr>
                  <w:tcW w:w="570" w:type="pct"/>
                  <w:vAlign w:val="center"/>
                </w:tcPr>
                <w:p w14:paraId="10F95A2E">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1652.35</w:t>
                  </w:r>
                </w:p>
              </w:tc>
              <w:tc>
                <w:tcPr>
                  <w:tcW w:w="642" w:type="pct"/>
                  <w:vAlign w:val="center"/>
                </w:tcPr>
                <w:p w14:paraId="4905447E">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15</w:t>
                  </w:r>
                </w:p>
              </w:tc>
              <w:tc>
                <w:tcPr>
                  <w:tcW w:w="691" w:type="pct"/>
                  <w:vAlign w:val="center"/>
                </w:tcPr>
                <w:p w14:paraId="6A216EF0">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2.5</w:t>
                  </w:r>
                </w:p>
              </w:tc>
              <w:tc>
                <w:tcPr>
                  <w:tcW w:w="619" w:type="pct"/>
                  <w:vAlign w:val="center"/>
                </w:tcPr>
                <w:p w14:paraId="1FA9CCE0">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szCs w:val="21"/>
                      <w:u w:val="single"/>
                    </w:rPr>
                    <w:t>111</w:t>
                  </w:r>
                </w:p>
              </w:tc>
              <w:tc>
                <w:tcPr>
                  <w:tcW w:w="522" w:type="pct"/>
                  <w:vAlign w:val="center"/>
                </w:tcPr>
                <w:p w14:paraId="50255F20">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szCs w:val="21"/>
                      <w:u w:val="single"/>
                    </w:rPr>
                    <w:t>0.278</w:t>
                  </w:r>
                </w:p>
              </w:tc>
            </w:tr>
            <w:tr w14:paraId="27E02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2" w:type="pct"/>
                  <w:vAlign w:val="center"/>
                </w:tcPr>
                <w:p w14:paraId="4F547073">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4</w:t>
                  </w:r>
                </w:p>
              </w:tc>
              <w:tc>
                <w:tcPr>
                  <w:tcW w:w="1554" w:type="pct"/>
                  <w:vAlign w:val="center"/>
                </w:tcPr>
                <w:p w14:paraId="756AC0F8">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环氧云铁中间漆组分B</w:t>
                  </w:r>
                </w:p>
              </w:tc>
              <w:tc>
                <w:tcPr>
                  <w:tcW w:w="570" w:type="pct"/>
                  <w:vAlign w:val="center"/>
                </w:tcPr>
                <w:p w14:paraId="1B79D817">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330.47</w:t>
                  </w:r>
                </w:p>
              </w:tc>
              <w:tc>
                <w:tcPr>
                  <w:tcW w:w="642" w:type="pct"/>
                  <w:vAlign w:val="center"/>
                </w:tcPr>
                <w:p w14:paraId="2C63B6B5">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9</w:t>
                  </w:r>
                </w:p>
              </w:tc>
              <w:tc>
                <w:tcPr>
                  <w:tcW w:w="691" w:type="pct"/>
                  <w:vAlign w:val="center"/>
                </w:tcPr>
                <w:p w14:paraId="08651B1E">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1.5</w:t>
                  </w:r>
                </w:p>
              </w:tc>
              <w:tc>
                <w:tcPr>
                  <w:tcW w:w="619" w:type="pct"/>
                  <w:vAlign w:val="center"/>
                </w:tcPr>
                <w:p w14:paraId="29CE0DD0">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szCs w:val="21"/>
                      <w:u w:val="single"/>
                    </w:rPr>
                    <w:t>37</w:t>
                  </w:r>
                </w:p>
              </w:tc>
              <w:tc>
                <w:tcPr>
                  <w:tcW w:w="522" w:type="pct"/>
                  <w:vAlign w:val="center"/>
                </w:tcPr>
                <w:p w14:paraId="60F4BC14">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szCs w:val="21"/>
                      <w:u w:val="single"/>
                    </w:rPr>
                    <w:t>0.056</w:t>
                  </w:r>
                </w:p>
              </w:tc>
            </w:tr>
            <w:tr w14:paraId="267EF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2" w:type="pct"/>
                  <w:vAlign w:val="center"/>
                </w:tcPr>
                <w:p w14:paraId="2542D88C">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5</w:t>
                  </w:r>
                </w:p>
              </w:tc>
              <w:tc>
                <w:tcPr>
                  <w:tcW w:w="1554" w:type="pct"/>
                  <w:vAlign w:val="center"/>
                </w:tcPr>
                <w:p w14:paraId="107A315A">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无机硅酸富锌底漆组分A</w:t>
                  </w:r>
                </w:p>
              </w:tc>
              <w:tc>
                <w:tcPr>
                  <w:tcW w:w="570" w:type="pct"/>
                  <w:vAlign w:val="center"/>
                </w:tcPr>
                <w:p w14:paraId="3AC40FE7">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316.94</w:t>
                  </w:r>
                </w:p>
              </w:tc>
              <w:tc>
                <w:tcPr>
                  <w:tcW w:w="642" w:type="pct"/>
                  <w:vAlign w:val="center"/>
                </w:tcPr>
                <w:p w14:paraId="0EA2F254">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2.6</w:t>
                  </w:r>
                </w:p>
              </w:tc>
              <w:tc>
                <w:tcPr>
                  <w:tcW w:w="691" w:type="pct"/>
                  <w:vAlign w:val="center"/>
                </w:tcPr>
                <w:p w14:paraId="1C373917">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w:t>
                  </w:r>
                </w:p>
              </w:tc>
              <w:tc>
                <w:tcPr>
                  <w:tcW w:w="619" w:type="pct"/>
                  <w:vAlign w:val="center"/>
                </w:tcPr>
                <w:p w14:paraId="0D95E028">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szCs w:val="21"/>
                      <w:u w:val="single"/>
                    </w:rPr>
                    <w:t>122</w:t>
                  </w:r>
                </w:p>
              </w:tc>
              <w:tc>
                <w:tcPr>
                  <w:tcW w:w="522" w:type="pct"/>
                  <w:vAlign w:val="center"/>
                </w:tcPr>
                <w:p w14:paraId="49C505DE">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szCs w:val="21"/>
                      <w:u w:val="single"/>
                    </w:rPr>
                    <w:t>0.122</w:t>
                  </w:r>
                </w:p>
              </w:tc>
            </w:tr>
            <w:tr w14:paraId="5FF9D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2" w:type="pct"/>
                  <w:vAlign w:val="center"/>
                </w:tcPr>
                <w:p w14:paraId="42514CED">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6</w:t>
                  </w:r>
                </w:p>
              </w:tc>
              <w:tc>
                <w:tcPr>
                  <w:tcW w:w="1554" w:type="pct"/>
                  <w:vAlign w:val="center"/>
                </w:tcPr>
                <w:p w14:paraId="44010507">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无机硅酸富锌底漆组分B</w:t>
                  </w:r>
                </w:p>
              </w:tc>
              <w:tc>
                <w:tcPr>
                  <w:tcW w:w="570" w:type="pct"/>
                  <w:vAlign w:val="center"/>
                </w:tcPr>
                <w:p w14:paraId="762AAAB7">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91.56</w:t>
                  </w:r>
                </w:p>
              </w:tc>
              <w:tc>
                <w:tcPr>
                  <w:tcW w:w="642" w:type="pct"/>
                  <w:vAlign w:val="center"/>
                </w:tcPr>
                <w:p w14:paraId="5DE43221">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5</w:t>
                  </w:r>
                </w:p>
              </w:tc>
              <w:tc>
                <w:tcPr>
                  <w:tcW w:w="691" w:type="pct"/>
                  <w:vAlign w:val="center"/>
                </w:tcPr>
                <w:p w14:paraId="1663FB60">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w:t>
                  </w:r>
                </w:p>
              </w:tc>
              <w:tc>
                <w:tcPr>
                  <w:tcW w:w="619" w:type="pct"/>
                  <w:vAlign w:val="center"/>
                </w:tcPr>
                <w:p w14:paraId="14AF4E1F">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szCs w:val="21"/>
                      <w:u w:val="single"/>
                    </w:rPr>
                    <w:t>19</w:t>
                  </w:r>
                </w:p>
              </w:tc>
              <w:tc>
                <w:tcPr>
                  <w:tcW w:w="522" w:type="pct"/>
                  <w:vAlign w:val="center"/>
                </w:tcPr>
                <w:p w14:paraId="2454B03D">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szCs w:val="21"/>
                      <w:u w:val="single"/>
                    </w:rPr>
                    <w:t>0.019</w:t>
                  </w:r>
                </w:p>
              </w:tc>
            </w:tr>
            <w:tr w14:paraId="233AB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2" w:type="pct"/>
                  <w:vAlign w:val="center"/>
                </w:tcPr>
                <w:p w14:paraId="38847B48">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7</w:t>
                  </w:r>
                </w:p>
              </w:tc>
              <w:tc>
                <w:tcPr>
                  <w:tcW w:w="1554" w:type="pct"/>
                  <w:vAlign w:val="center"/>
                </w:tcPr>
                <w:p w14:paraId="4D7A468F">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有机硅耐高温铝粉漆</w:t>
                  </w:r>
                </w:p>
              </w:tc>
              <w:tc>
                <w:tcPr>
                  <w:tcW w:w="570" w:type="pct"/>
                  <w:vAlign w:val="center"/>
                </w:tcPr>
                <w:p w14:paraId="66F1A7C6">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300.12</w:t>
                  </w:r>
                </w:p>
              </w:tc>
              <w:tc>
                <w:tcPr>
                  <w:tcW w:w="642" w:type="pct"/>
                  <w:vAlign w:val="center"/>
                </w:tcPr>
                <w:p w14:paraId="5FBE503D">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5</w:t>
                  </w:r>
                </w:p>
              </w:tc>
              <w:tc>
                <w:tcPr>
                  <w:tcW w:w="691" w:type="pct"/>
                  <w:vAlign w:val="center"/>
                </w:tcPr>
                <w:p w14:paraId="231910EC">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w:t>
                  </w:r>
                </w:p>
              </w:tc>
              <w:tc>
                <w:tcPr>
                  <w:tcW w:w="619" w:type="pct"/>
                  <w:vAlign w:val="center"/>
                </w:tcPr>
                <w:p w14:paraId="13AB02A2">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szCs w:val="21"/>
                      <w:u w:val="single"/>
                    </w:rPr>
                    <w:t>61</w:t>
                  </w:r>
                </w:p>
              </w:tc>
              <w:tc>
                <w:tcPr>
                  <w:tcW w:w="522" w:type="pct"/>
                  <w:vAlign w:val="center"/>
                </w:tcPr>
                <w:p w14:paraId="2290AC9D">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szCs w:val="21"/>
                      <w:u w:val="single"/>
                    </w:rPr>
                    <w:t>0.061</w:t>
                  </w:r>
                </w:p>
              </w:tc>
            </w:tr>
            <w:tr w14:paraId="0FD51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2" w:type="pct"/>
                  <w:vAlign w:val="center"/>
                </w:tcPr>
                <w:p w14:paraId="3D9B4598">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8</w:t>
                  </w:r>
                </w:p>
              </w:tc>
              <w:tc>
                <w:tcPr>
                  <w:tcW w:w="1554" w:type="pct"/>
                  <w:vAlign w:val="center"/>
                </w:tcPr>
                <w:p w14:paraId="08C9BD00">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4号稀释剂</w:t>
                  </w:r>
                </w:p>
              </w:tc>
              <w:tc>
                <w:tcPr>
                  <w:tcW w:w="570" w:type="pct"/>
                  <w:vAlign w:val="center"/>
                </w:tcPr>
                <w:p w14:paraId="3E64683D">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20.43</w:t>
                  </w:r>
                </w:p>
              </w:tc>
              <w:tc>
                <w:tcPr>
                  <w:tcW w:w="642" w:type="pct"/>
                  <w:vAlign w:val="center"/>
                </w:tcPr>
                <w:p w14:paraId="2CFFD1B1">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5</w:t>
                  </w:r>
                </w:p>
              </w:tc>
              <w:tc>
                <w:tcPr>
                  <w:tcW w:w="691" w:type="pct"/>
                  <w:vAlign w:val="center"/>
                </w:tcPr>
                <w:p w14:paraId="6D1C2B7F">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w:t>
                  </w:r>
                </w:p>
              </w:tc>
              <w:tc>
                <w:tcPr>
                  <w:tcW w:w="619" w:type="pct"/>
                  <w:vAlign w:val="center"/>
                </w:tcPr>
                <w:p w14:paraId="6CBD89D1">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szCs w:val="21"/>
                      <w:u w:val="single"/>
                    </w:rPr>
                    <w:t>5</w:t>
                  </w:r>
                </w:p>
              </w:tc>
              <w:tc>
                <w:tcPr>
                  <w:tcW w:w="522" w:type="pct"/>
                  <w:vAlign w:val="center"/>
                </w:tcPr>
                <w:p w14:paraId="3E5CF94F">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szCs w:val="21"/>
                      <w:u w:val="single"/>
                    </w:rPr>
                    <w:t>0.005</w:t>
                  </w:r>
                </w:p>
              </w:tc>
            </w:tr>
            <w:tr w14:paraId="6864F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2" w:type="pct"/>
                  <w:vAlign w:val="center"/>
                </w:tcPr>
                <w:p w14:paraId="7801068D">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9</w:t>
                  </w:r>
                </w:p>
              </w:tc>
              <w:tc>
                <w:tcPr>
                  <w:tcW w:w="1554" w:type="pct"/>
                  <w:vAlign w:val="center"/>
                </w:tcPr>
                <w:p w14:paraId="5A653B31">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17号稀释剂</w:t>
                  </w:r>
                </w:p>
              </w:tc>
              <w:tc>
                <w:tcPr>
                  <w:tcW w:w="570" w:type="pct"/>
                  <w:vAlign w:val="center"/>
                </w:tcPr>
                <w:p w14:paraId="789CBD42">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192.02</w:t>
                  </w:r>
                </w:p>
              </w:tc>
              <w:tc>
                <w:tcPr>
                  <w:tcW w:w="642" w:type="pct"/>
                  <w:vAlign w:val="center"/>
                </w:tcPr>
                <w:p w14:paraId="301593D9">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5</w:t>
                  </w:r>
                </w:p>
              </w:tc>
              <w:tc>
                <w:tcPr>
                  <w:tcW w:w="691" w:type="pct"/>
                  <w:vAlign w:val="center"/>
                </w:tcPr>
                <w:p w14:paraId="46D5C3DF">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w:t>
                  </w:r>
                </w:p>
              </w:tc>
              <w:tc>
                <w:tcPr>
                  <w:tcW w:w="619" w:type="pct"/>
                  <w:vAlign w:val="center"/>
                </w:tcPr>
                <w:p w14:paraId="11C82C43">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szCs w:val="21"/>
                      <w:u w:val="single"/>
                    </w:rPr>
                    <w:t>39</w:t>
                  </w:r>
                </w:p>
              </w:tc>
              <w:tc>
                <w:tcPr>
                  <w:tcW w:w="522" w:type="pct"/>
                  <w:vAlign w:val="center"/>
                </w:tcPr>
                <w:p w14:paraId="4756CF8B">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szCs w:val="21"/>
                      <w:u w:val="single"/>
                    </w:rPr>
                    <w:t>0.039</w:t>
                  </w:r>
                </w:p>
              </w:tc>
            </w:tr>
            <w:tr w14:paraId="7D965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56" w:type="pct"/>
                  <w:gridSpan w:val="2"/>
                  <w:vAlign w:val="center"/>
                </w:tcPr>
                <w:p w14:paraId="5FD82B20">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合计</w:t>
                  </w:r>
                </w:p>
              </w:tc>
              <w:tc>
                <w:tcPr>
                  <w:tcW w:w="570" w:type="pct"/>
                  <w:vAlign w:val="center"/>
                </w:tcPr>
                <w:p w14:paraId="02FB4DFC">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4761.48</w:t>
                  </w:r>
                </w:p>
              </w:tc>
              <w:tc>
                <w:tcPr>
                  <w:tcW w:w="642" w:type="pct"/>
                  <w:vAlign w:val="center"/>
                </w:tcPr>
                <w:p w14:paraId="7DEB6A79">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691" w:type="pct"/>
                  <w:vAlign w:val="center"/>
                </w:tcPr>
                <w:p w14:paraId="4B60B16C">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w:t>
                  </w:r>
                </w:p>
              </w:tc>
              <w:tc>
                <w:tcPr>
                  <w:tcW w:w="619" w:type="pct"/>
                  <w:vAlign w:val="center"/>
                </w:tcPr>
                <w:p w14:paraId="57836AC1">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808</w:t>
                  </w:r>
                </w:p>
              </w:tc>
              <w:tc>
                <w:tcPr>
                  <w:tcW w:w="522" w:type="pct"/>
                  <w:vAlign w:val="center"/>
                </w:tcPr>
                <w:p w14:paraId="67A344E1">
                  <w:pPr>
                    <w:adjustRightInd w:val="0"/>
                    <w:snapToGrid w:val="0"/>
                    <w:jc w:val="center"/>
                    <w:rPr>
                      <w:rFonts w:cs="宋体"/>
                      <w:bCs/>
                      <w:color w:val="0D0D0D" w:themeColor="text1" w:themeTint="F2"/>
                      <w:spacing w:val="-10"/>
                      <w:szCs w:val="21"/>
                      <w:u w:val="single"/>
                      <w14:textFill>
                        <w14:solidFill>
                          <w14:schemeClr w14:val="tx1">
                            <w14:lumMod w14:val="95000"/>
                            <w14:lumOff w14:val="5000"/>
                          </w14:schemeClr>
                        </w14:solidFill>
                      </w14:textFill>
                    </w:rPr>
                  </w:pPr>
                  <w:r>
                    <w:rPr>
                      <w:rFonts w:hint="eastAsia" w:cs="宋体"/>
                      <w:bCs/>
                      <w:color w:val="0D0D0D" w:themeColor="text1" w:themeTint="F2"/>
                      <w:spacing w:val="-10"/>
                      <w:szCs w:val="21"/>
                      <w:u w:val="single"/>
                      <w14:textFill>
                        <w14:solidFill>
                          <w14:schemeClr w14:val="tx1">
                            <w14:lumMod w14:val="95000"/>
                            <w14:lumOff w14:val="5000"/>
                          </w14:schemeClr>
                        </w14:solidFill>
                      </w14:textFill>
                    </w:rPr>
                    <w:t>1.10</w:t>
                  </w:r>
                </w:p>
              </w:tc>
            </w:tr>
          </w:tbl>
          <w:p w14:paraId="4039FE42">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根据《国家危险废物名录（2025年版）》，废油漆桶属于危险废物，废物类别为HW49其他废物，废物代码为</w:t>
            </w:r>
            <w:r>
              <w:rPr>
                <w:rFonts w:cs="宋体"/>
                <w:bCs/>
                <w:color w:val="0D0D0D" w:themeColor="text1" w:themeTint="F2"/>
                <w:spacing w:val="-10"/>
                <w:sz w:val="24"/>
                <w14:textFill>
                  <w14:solidFill>
                    <w14:schemeClr w14:val="tx1">
                      <w14:lumMod w14:val="95000"/>
                      <w14:lumOff w14:val="5000"/>
                    </w14:schemeClr>
                  </w14:solidFill>
                </w14:textFill>
              </w:rPr>
              <w:t>900-041-49</w:t>
            </w:r>
            <w:r>
              <w:rPr>
                <w:rFonts w:hint="eastAsia" w:cs="宋体"/>
                <w:bCs/>
                <w:color w:val="0D0D0D" w:themeColor="text1" w:themeTint="F2"/>
                <w:spacing w:val="-10"/>
                <w:sz w:val="24"/>
                <w14:textFill>
                  <w14:solidFill>
                    <w14:schemeClr w14:val="tx1">
                      <w14:lumMod w14:val="95000"/>
                      <w14:lumOff w14:val="5000"/>
                    </w14:schemeClr>
                  </w14:solidFill>
                </w14:textFill>
              </w:rPr>
              <w:t>含有或者沾染毒性、感染性危险废物的废弃的包装物、容器、过滤吸附介质，收集后暂存于危废暂存间，委托有资质单位清运处置。</w:t>
            </w:r>
          </w:p>
          <w:p w14:paraId="42F42501">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（6）漆渣</w:t>
            </w:r>
          </w:p>
          <w:p w14:paraId="0FE4BE95">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项目漆渣主要产生于水帘柜和喷涂作业区地面，根据上文分析，水帘柜漆雾处理率为80%，本次评价将该部分按全部形成漆渣计，即水帘柜漆渣产生量为0.42t/a，喷涂作业区地面漆渣产生量为0.3t/a，总产生量为0.72t/a。</w:t>
            </w:r>
          </w:p>
          <w:p w14:paraId="25211AD6">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根据《国家危险废物名录（2025年版）》，漆渣属于危险废物，废物类别为HW12染料、涂料废物，废物代码为</w:t>
            </w:r>
            <w:r>
              <w:rPr>
                <w:rFonts w:cs="宋体"/>
                <w:bCs/>
                <w:color w:val="0D0D0D" w:themeColor="text1" w:themeTint="F2"/>
                <w:spacing w:val="-10"/>
                <w:sz w:val="24"/>
                <w:u w:val="single"/>
                <w14:textFill>
                  <w14:solidFill>
                    <w14:schemeClr w14:val="tx1">
                      <w14:lumMod w14:val="95000"/>
                      <w14:lumOff w14:val="5000"/>
                    </w14:schemeClr>
                  </w14:solidFill>
                </w14:textFill>
              </w:rPr>
              <w:t>900-252-12</w:t>
            </w:r>
            <w:r>
              <w:rPr>
                <w:rFonts w:hint="eastAsia" w:cs="宋体"/>
                <w:bCs/>
                <w:color w:val="0D0D0D" w:themeColor="text1" w:themeTint="F2"/>
                <w:spacing w:val="-10"/>
                <w:sz w:val="24"/>
                <w:u w:val="single"/>
                <w14:textFill>
                  <w14:solidFill>
                    <w14:schemeClr w14:val="tx1">
                      <w14:lumMod w14:val="95000"/>
                      <w14:lumOff w14:val="5000"/>
                    </w14:schemeClr>
                  </w14:solidFill>
                </w14:textFill>
              </w:rPr>
              <w:t>使用油漆（不包括水性漆）、有机溶剂进行喷漆、上漆过程中通过喷漆雾湿法捕集产生的漆渣、以及喷涂工位和管道清理过程产生的落地漆渣，使用专用容器收集后暂存于危废暂存间，委托有资质单位清运处置。</w:t>
            </w:r>
          </w:p>
          <w:p w14:paraId="45E44B30">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（7）废过滤棉</w:t>
            </w:r>
          </w:p>
          <w:p w14:paraId="41B0E2FF">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项目采用过滤棉对漆雾进行进一步处理，为保证废气处理效率，需要定期更换过滤棉，更换频率为每月1次，干式过滤器过滤棉填充量为10kg，年更换12次，年更换过滤棉120kg，合计0.12t/a，过滤棉吸附的漆雾量为0.11t/a，则废过滤棉（含吸附的漆雾）产生量为0.23t/a。</w:t>
            </w:r>
          </w:p>
          <w:p w14:paraId="1839F5C5">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根据《国家危险废物名录（2025年版）》，废过滤棉属于危险废物，废物类别为HW49其他废物，废物代码为</w:t>
            </w:r>
            <w:r>
              <w:rPr>
                <w:rFonts w:cs="宋体"/>
                <w:bCs/>
                <w:color w:val="0D0D0D" w:themeColor="text1" w:themeTint="F2"/>
                <w:spacing w:val="-10"/>
                <w:sz w:val="24"/>
                <w14:textFill>
                  <w14:solidFill>
                    <w14:schemeClr w14:val="tx1">
                      <w14:lumMod w14:val="95000"/>
                      <w14:lumOff w14:val="5000"/>
                    </w14:schemeClr>
                  </w14:solidFill>
                </w14:textFill>
              </w:rPr>
              <w:t>900-041-49</w:t>
            </w:r>
            <w:r>
              <w:rPr>
                <w:rFonts w:hint="eastAsia" w:cs="宋体"/>
                <w:bCs/>
                <w:color w:val="0D0D0D" w:themeColor="text1" w:themeTint="F2"/>
                <w:spacing w:val="-10"/>
                <w:sz w:val="24"/>
                <w14:textFill>
                  <w14:solidFill>
                    <w14:schemeClr w14:val="tx1">
                      <w14:lumMod w14:val="95000"/>
                      <w14:lumOff w14:val="5000"/>
                    </w14:schemeClr>
                  </w14:solidFill>
                </w14:textFill>
              </w:rPr>
              <w:t>含有或者沾染毒性、感染性危险废物的废弃的包装物、容器、过滤吸附介质，使用专用容器收集后暂存于危废暂存间，委托有资质单位清运处置。</w:t>
            </w:r>
          </w:p>
          <w:p w14:paraId="6F5360C3">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（8）废活性炭</w:t>
            </w:r>
          </w:p>
          <w:p w14:paraId="535BC42D">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项目有机废气经二级活性炭吸附脱附处理，活性炭需要根据过滤和吸附参数变化情况进行报废更换，吸附脱附装置的活性炭每6个月更换1次，确保其具有良好的吸附性。根据《广东省生态环境厅关于印发工业源挥发性有机物和氮氧化物减排量核算方法的通知》（粤环函〔2023〕538号），组合工艺中活性炭有机废气吸附量按废气的15%计，即0.22t/a。根据广东工业大学工程研究，活性炭吸附率为250g/kg活性炭，项目活性炭吸附脱附装置有机废气吸附量为0.22t/a，则活性炭使用量为0.88t/a。考虑到脱附再生后，活性炭可循环利用，活性炭更换量约为使用量的15%，即0.13t/a，废活性炭（含吸附的废气污染物）的产生量为0.35t/a。</w:t>
            </w:r>
          </w:p>
          <w:p w14:paraId="33955892">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根据《国家危险废物名录（2025年版）》，废活性炭属于危险废物，废物类别为</w:t>
            </w:r>
            <w:r>
              <w:rPr>
                <w:rFonts w:cs="宋体"/>
                <w:bCs/>
                <w:color w:val="0D0D0D" w:themeColor="text1" w:themeTint="F2"/>
                <w:spacing w:val="-10"/>
                <w:sz w:val="24"/>
                <w14:textFill>
                  <w14:solidFill>
                    <w14:schemeClr w14:val="tx1">
                      <w14:lumMod w14:val="95000"/>
                      <w14:lumOff w14:val="5000"/>
                    </w14:schemeClr>
                  </w14:solidFill>
                </w14:textFill>
              </w:rPr>
              <w:t>HW49</w:t>
            </w:r>
            <w:r>
              <w:rPr>
                <w:rFonts w:hint="eastAsia" w:cs="宋体"/>
                <w:bCs/>
                <w:color w:val="0D0D0D" w:themeColor="text1" w:themeTint="F2"/>
                <w:spacing w:val="-10"/>
                <w:sz w:val="24"/>
                <w14:textFill>
                  <w14:solidFill>
                    <w14:schemeClr w14:val="tx1">
                      <w14:lumMod w14:val="95000"/>
                      <w14:lumOff w14:val="5000"/>
                    </w14:schemeClr>
                  </w14:solidFill>
                </w14:textFill>
              </w:rPr>
              <w:t>其他废物，废物代码为</w:t>
            </w:r>
            <w:r>
              <w:rPr>
                <w:rFonts w:cs="宋体"/>
                <w:bCs/>
                <w:color w:val="0D0D0D" w:themeColor="text1" w:themeTint="F2"/>
                <w:spacing w:val="-10"/>
                <w:sz w:val="24"/>
                <w14:textFill>
                  <w14:solidFill>
                    <w14:schemeClr w14:val="tx1">
                      <w14:lumMod w14:val="95000"/>
                      <w14:lumOff w14:val="5000"/>
                    </w14:schemeClr>
                  </w14:solidFill>
                </w14:textFill>
              </w:rPr>
              <w:t>900-039-49</w:t>
            </w:r>
            <w:r>
              <w:rPr>
                <w:rFonts w:hint="eastAsia" w:cs="宋体"/>
                <w:bCs/>
                <w:color w:val="0D0D0D" w:themeColor="text1" w:themeTint="F2"/>
                <w:spacing w:val="-10"/>
                <w:sz w:val="24"/>
                <w14:textFill>
                  <w14:solidFill>
                    <w14:schemeClr w14:val="tx1">
                      <w14:lumMod w14:val="95000"/>
                      <w14:lumOff w14:val="5000"/>
                    </w14:schemeClr>
                  </w14:solidFill>
                </w14:textFill>
              </w:rPr>
              <w:t>烟气、VOCs治理过程（不包括餐饮行业油烟治理过程）产生的废活性炭，化学原料和化学制品脱色（不包括有机合成食品添加剂脱色）、除杂、净化过程产生的废活性炭（不包括900-405-06、772-005-18、261-053-29、265-002-29、384-003-29、387-001-29类危险废物），使用专用容器收集后暂存于危废暂存间，委托有资质单位清运处置。</w:t>
            </w:r>
          </w:p>
          <w:p w14:paraId="421399D7">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（9）废机油</w:t>
            </w:r>
          </w:p>
          <w:p w14:paraId="7440C197">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根据建设单位提供的资料，项目抛丸机定期维护，维护过程会产生废机油，产生量约为0.01t/a。</w:t>
            </w:r>
          </w:p>
          <w:p w14:paraId="5AA4533F">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根据《国家危险废物名录（2025年版）》，废机油属于危险废物，废物类别为HW08废矿物油与含矿物油废物，废物代码为</w:t>
            </w:r>
            <w:r>
              <w:rPr>
                <w:rFonts w:cs="宋体"/>
                <w:bCs/>
                <w:color w:val="0D0D0D" w:themeColor="text1" w:themeTint="F2"/>
                <w:spacing w:val="-10"/>
                <w:sz w:val="24"/>
                <w14:textFill>
                  <w14:solidFill>
                    <w14:schemeClr w14:val="tx1">
                      <w14:lumMod w14:val="95000"/>
                      <w14:lumOff w14:val="5000"/>
                    </w14:schemeClr>
                  </w14:solidFill>
                </w14:textFill>
              </w:rPr>
              <w:t>900-249-08</w:t>
            </w:r>
            <w:r>
              <w:rPr>
                <w:rFonts w:hint="eastAsia" w:cs="宋体"/>
                <w:bCs/>
                <w:color w:val="0D0D0D" w:themeColor="text1" w:themeTint="F2"/>
                <w:spacing w:val="-10"/>
                <w:sz w:val="24"/>
                <w14:textFill>
                  <w14:solidFill>
                    <w14:schemeClr w14:val="tx1">
                      <w14:lumMod w14:val="95000"/>
                      <w14:lumOff w14:val="5000"/>
                    </w14:schemeClr>
                  </w14:solidFill>
                </w14:textFill>
              </w:rPr>
              <w:t>其他生产、销售、使用过程中产生的废矿物油及沾染矿物油的废弃包装物，使用专用容器收集后暂存于危废暂存间，委托有资质单位清运处置。</w:t>
            </w:r>
          </w:p>
          <w:p w14:paraId="15009DB0">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（10）废含油抹布和劳保用品</w:t>
            </w:r>
          </w:p>
          <w:p w14:paraId="57F7EB96">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根据建设单位提供的资料，项目抛丸机定期维护过程会产生一定量的含油抹布和劳保用品，含油抹布和劳保用品产生量约为0.01t/a，本次评价要求对其进行分类收集。</w:t>
            </w:r>
          </w:p>
          <w:p w14:paraId="3B36FD46">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根据《国家危险废物名录（2025年版）》，含油抹布和劳保用品属于危险废物，废物类别为HW49其他废物，废物代码为</w:t>
            </w:r>
            <w:r>
              <w:rPr>
                <w:rFonts w:cs="宋体"/>
                <w:bCs/>
                <w:color w:val="0D0D0D" w:themeColor="text1" w:themeTint="F2"/>
                <w:spacing w:val="-10"/>
                <w:sz w:val="24"/>
                <w14:textFill>
                  <w14:solidFill>
                    <w14:schemeClr w14:val="tx1">
                      <w14:lumMod w14:val="95000"/>
                      <w14:lumOff w14:val="5000"/>
                    </w14:schemeClr>
                  </w14:solidFill>
                </w14:textFill>
              </w:rPr>
              <w:t>900-041-49</w:t>
            </w:r>
            <w:r>
              <w:rPr>
                <w:rFonts w:hint="eastAsia" w:cs="宋体"/>
                <w:bCs/>
                <w:color w:val="0D0D0D" w:themeColor="text1" w:themeTint="F2"/>
                <w:spacing w:val="-10"/>
                <w:sz w:val="24"/>
                <w14:textFill>
                  <w14:solidFill>
                    <w14:schemeClr w14:val="tx1">
                      <w14:lumMod w14:val="95000"/>
                      <w14:lumOff w14:val="5000"/>
                    </w14:schemeClr>
                  </w14:solidFill>
                </w14:textFill>
              </w:rPr>
              <w:t>含有或者沾染毒性、感染性危险废物的废弃的包装物、容器、过滤吸附介质，收集后暂存于危废暂存间，委托有资质单位清运处置。</w:t>
            </w:r>
          </w:p>
          <w:p w14:paraId="16B82EE3">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（11）生活垃圾</w:t>
            </w:r>
          </w:p>
          <w:p w14:paraId="32EB7B21">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项目</w:t>
            </w:r>
            <w:r>
              <w:rPr>
                <w:rFonts w:hint="eastAsia" w:cs="宋体"/>
                <w:bCs/>
                <w:color w:val="0D0D0D" w:themeColor="text1" w:themeTint="F2"/>
                <w:spacing w:val="-10"/>
                <w:sz w:val="24"/>
                <w14:textFill>
                  <w14:solidFill>
                    <w14:schemeClr w14:val="tx1">
                      <w14:lumMod w14:val="95000"/>
                      <w14:lumOff w14:val="5000"/>
                    </w14:schemeClr>
                  </w14:solidFill>
                </w14:textFill>
              </w:rPr>
              <w:t>劳动定员25</w:t>
            </w:r>
            <w:r>
              <w:rPr>
                <w:rFonts w:cs="宋体"/>
                <w:bCs/>
                <w:color w:val="0D0D0D" w:themeColor="text1" w:themeTint="F2"/>
                <w:spacing w:val="-10"/>
                <w:sz w:val="24"/>
                <w14:textFill>
                  <w14:solidFill>
                    <w14:schemeClr w14:val="tx1">
                      <w14:lumMod w14:val="95000"/>
                      <w14:lumOff w14:val="5000"/>
                    </w14:schemeClr>
                  </w14:solidFill>
                </w14:textFill>
              </w:rPr>
              <w:t>人，生活垃圾按0.5kg/人·d计</w:t>
            </w:r>
            <w:r>
              <w:rPr>
                <w:rFonts w:hint="eastAsia" w:cs="宋体"/>
                <w:bCs/>
                <w:color w:val="0D0D0D" w:themeColor="text1" w:themeTint="F2"/>
                <w:spacing w:val="-10"/>
                <w:sz w:val="24"/>
                <w14:textFill>
                  <w14:solidFill>
                    <w14:schemeClr w14:val="tx1">
                      <w14:lumMod w14:val="95000"/>
                      <w14:lumOff w14:val="5000"/>
                    </w14:schemeClr>
                  </w14:solidFill>
                </w14:textFill>
              </w:rPr>
              <w:t>，年作业时间为300天，</w:t>
            </w:r>
            <w:r>
              <w:rPr>
                <w:rFonts w:cs="宋体"/>
                <w:bCs/>
                <w:color w:val="0D0D0D" w:themeColor="text1" w:themeTint="F2"/>
                <w:spacing w:val="-10"/>
                <w:sz w:val="24"/>
                <w14:textFill>
                  <w14:solidFill>
                    <w14:schemeClr w14:val="tx1">
                      <w14:lumMod w14:val="95000"/>
                      <w14:lumOff w14:val="5000"/>
                    </w14:schemeClr>
                  </w14:solidFill>
                </w14:textFill>
              </w:rPr>
              <w:t>则生活垃圾</w:t>
            </w:r>
            <w:r>
              <w:rPr>
                <w:rFonts w:hint="eastAsia" w:cs="宋体"/>
                <w:bCs/>
                <w:color w:val="0D0D0D" w:themeColor="text1" w:themeTint="F2"/>
                <w:spacing w:val="-10"/>
                <w:sz w:val="24"/>
                <w14:textFill>
                  <w14:solidFill>
                    <w14:schemeClr w14:val="tx1">
                      <w14:lumMod w14:val="95000"/>
                      <w14:lumOff w14:val="5000"/>
                    </w14:schemeClr>
                  </w14:solidFill>
                </w14:textFill>
              </w:rPr>
              <w:t>产生</w:t>
            </w:r>
            <w:r>
              <w:rPr>
                <w:rFonts w:cs="宋体"/>
                <w:bCs/>
                <w:color w:val="0D0D0D" w:themeColor="text1" w:themeTint="F2"/>
                <w:spacing w:val="-10"/>
                <w:sz w:val="24"/>
                <w14:textFill>
                  <w14:solidFill>
                    <w14:schemeClr w14:val="tx1">
                      <w14:lumMod w14:val="95000"/>
                      <w14:lumOff w14:val="5000"/>
                    </w14:schemeClr>
                  </w14:solidFill>
                </w14:textFill>
              </w:rPr>
              <w:t>量为</w:t>
            </w:r>
            <w:r>
              <w:rPr>
                <w:rFonts w:hint="eastAsia" w:cs="宋体"/>
                <w:bCs/>
                <w:color w:val="0D0D0D" w:themeColor="text1" w:themeTint="F2"/>
                <w:spacing w:val="-10"/>
                <w:sz w:val="24"/>
                <w14:textFill>
                  <w14:solidFill>
                    <w14:schemeClr w14:val="tx1">
                      <w14:lumMod w14:val="95000"/>
                      <w14:lumOff w14:val="5000"/>
                    </w14:schemeClr>
                  </w14:solidFill>
                </w14:textFill>
              </w:rPr>
              <w:t>12.5</w:t>
            </w:r>
            <w:r>
              <w:rPr>
                <w:rFonts w:cs="宋体"/>
                <w:bCs/>
                <w:color w:val="0D0D0D" w:themeColor="text1" w:themeTint="F2"/>
                <w:spacing w:val="-10"/>
                <w:sz w:val="24"/>
                <w14:textFill>
                  <w14:solidFill>
                    <w14:schemeClr w14:val="tx1">
                      <w14:lumMod w14:val="95000"/>
                      <w14:lumOff w14:val="5000"/>
                    </w14:schemeClr>
                  </w14:solidFill>
                </w14:textFill>
              </w:rPr>
              <w:t>kg/d，</w:t>
            </w:r>
            <w:r>
              <w:rPr>
                <w:rFonts w:hint="eastAsia" w:cs="宋体"/>
                <w:bCs/>
                <w:color w:val="0D0D0D" w:themeColor="text1" w:themeTint="F2"/>
                <w:spacing w:val="-10"/>
                <w:sz w:val="24"/>
                <w14:textFill>
                  <w14:solidFill>
                    <w14:schemeClr w14:val="tx1">
                      <w14:lumMod w14:val="95000"/>
                      <w14:lumOff w14:val="5000"/>
                    </w14:schemeClr>
                  </w14:solidFill>
                </w14:textFill>
              </w:rPr>
              <w:t>3.75t</w:t>
            </w:r>
            <w:r>
              <w:rPr>
                <w:rFonts w:cs="宋体"/>
                <w:bCs/>
                <w:color w:val="0D0D0D" w:themeColor="text1" w:themeTint="F2"/>
                <w:spacing w:val="-10"/>
                <w:sz w:val="24"/>
                <w14:textFill>
                  <w14:solidFill>
                    <w14:schemeClr w14:val="tx1">
                      <w14:lumMod w14:val="95000"/>
                      <w14:lumOff w14:val="5000"/>
                    </w14:schemeClr>
                  </w14:solidFill>
                </w14:textFill>
              </w:rPr>
              <w:t>/a。生活垃圾</w:t>
            </w:r>
            <w:r>
              <w:rPr>
                <w:rFonts w:hint="eastAsia" w:cs="宋体"/>
                <w:bCs/>
                <w:color w:val="0D0D0D" w:themeColor="text1" w:themeTint="F2"/>
                <w:spacing w:val="-10"/>
                <w:sz w:val="24"/>
                <w14:textFill>
                  <w14:solidFill>
                    <w14:schemeClr w14:val="tx1">
                      <w14:lumMod w14:val="95000"/>
                      <w14:lumOff w14:val="5000"/>
                    </w14:schemeClr>
                  </w14:solidFill>
                </w14:textFill>
              </w:rPr>
              <w:t>集中分类</w:t>
            </w:r>
            <w:r>
              <w:rPr>
                <w:rFonts w:cs="宋体"/>
                <w:bCs/>
                <w:color w:val="0D0D0D" w:themeColor="text1" w:themeTint="F2"/>
                <w:spacing w:val="-10"/>
                <w:sz w:val="24"/>
                <w14:textFill>
                  <w14:solidFill>
                    <w14:schemeClr w14:val="tx1">
                      <w14:lumMod w14:val="95000"/>
                      <w14:lumOff w14:val="5000"/>
                    </w14:schemeClr>
                  </w14:solidFill>
                </w14:textFill>
              </w:rPr>
              <w:t>收集后</w:t>
            </w:r>
            <w:r>
              <w:rPr>
                <w:rFonts w:hint="eastAsia" w:cs="宋体"/>
                <w:bCs/>
                <w:color w:val="0D0D0D" w:themeColor="text1" w:themeTint="F2"/>
                <w:spacing w:val="-10"/>
                <w:sz w:val="24"/>
                <w14:textFill>
                  <w14:solidFill>
                    <w14:schemeClr w14:val="tx1">
                      <w14:lumMod w14:val="95000"/>
                      <w14:lumOff w14:val="5000"/>
                    </w14:schemeClr>
                  </w14:solidFill>
                </w14:textFill>
              </w:rPr>
              <w:t>交</w:t>
            </w:r>
            <w:r>
              <w:rPr>
                <w:rFonts w:cs="宋体"/>
                <w:bCs/>
                <w:color w:val="0D0D0D" w:themeColor="text1" w:themeTint="F2"/>
                <w:spacing w:val="-10"/>
                <w:sz w:val="24"/>
                <w14:textFill>
                  <w14:solidFill>
                    <w14:schemeClr w14:val="tx1">
                      <w14:lumMod w14:val="95000"/>
                      <w14:lumOff w14:val="5000"/>
                    </w14:schemeClr>
                  </w14:solidFill>
                </w14:textFill>
              </w:rPr>
              <w:t>由环卫部门</w:t>
            </w:r>
            <w:r>
              <w:rPr>
                <w:rFonts w:hint="eastAsia" w:cs="宋体"/>
                <w:bCs/>
                <w:color w:val="0D0D0D" w:themeColor="text1" w:themeTint="F2"/>
                <w:spacing w:val="-10"/>
                <w:sz w:val="24"/>
                <w14:textFill>
                  <w14:solidFill>
                    <w14:schemeClr w14:val="tx1">
                      <w14:lumMod w14:val="95000"/>
                      <w14:lumOff w14:val="5000"/>
                    </w14:schemeClr>
                  </w14:solidFill>
                </w14:textFill>
              </w:rPr>
              <w:t>清运处置。</w:t>
            </w:r>
          </w:p>
          <w:p w14:paraId="68AD1062">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项目固体废物鉴别分析汇总详见表4-17，项目危险废物汇总详见表4-18。</w:t>
            </w:r>
          </w:p>
          <w:p w14:paraId="0B093206">
            <w:pPr>
              <w:adjustRightInd w:val="0"/>
              <w:snapToGrid w:val="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表4-17</w:t>
            </w:r>
            <w:r>
              <w:rPr>
                <w:rFonts w:cs="宋体"/>
                <w:b/>
                <w:color w:val="0D0D0D" w:themeColor="text1" w:themeTint="F2"/>
                <w:spacing w:val="-10"/>
                <w:szCs w:val="21"/>
                <w14:textFill>
                  <w14:solidFill>
                    <w14:schemeClr w14:val="tx1">
                      <w14:lumMod w14:val="95000"/>
                      <w14:lumOff w14:val="5000"/>
                    </w14:schemeClr>
                  </w14:solidFill>
                </w14:textFill>
              </w:rPr>
              <w:t xml:space="preserve">  项目固体废物利用处置方式评价表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67"/>
              <w:gridCol w:w="1192"/>
              <w:gridCol w:w="955"/>
              <w:gridCol w:w="325"/>
              <w:gridCol w:w="526"/>
              <w:gridCol w:w="1129"/>
              <w:gridCol w:w="809"/>
              <w:gridCol w:w="828"/>
              <w:gridCol w:w="1530"/>
            </w:tblGrid>
            <w:tr w14:paraId="0BCBA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0" w:type="pct"/>
                  <w:vAlign w:val="center"/>
                </w:tcPr>
                <w:p w14:paraId="7AD0C586">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名称</w:t>
                  </w:r>
                </w:p>
              </w:tc>
              <w:tc>
                <w:tcPr>
                  <w:tcW w:w="704" w:type="pct"/>
                  <w:vAlign w:val="center"/>
                </w:tcPr>
                <w:p w14:paraId="3636B279">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类别/</w:t>
                  </w:r>
                </w:p>
                <w:p w14:paraId="6B698B1F">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代码</w:t>
                  </w:r>
                </w:p>
              </w:tc>
              <w:tc>
                <w:tcPr>
                  <w:tcW w:w="564" w:type="pct"/>
                  <w:vAlign w:val="center"/>
                </w:tcPr>
                <w:p w14:paraId="4B0B02D2">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产生量（t/a）</w:t>
                  </w:r>
                </w:p>
              </w:tc>
              <w:tc>
                <w:tcPr>
                  <w:tcW w:w="192" w:type="pct"/>
                  <w:vAlign w:val="center"/>
                </w:tcPr>
                <w:p w14:paraId="00781520">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产生</w:t>
                  </w:r>
                </w:p>
                <w:p w14:paraId="19CF1025">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工序</w:t>
                  </w:r>
                </w:p>
              </w:tc>
              <w:tc>
                <w:tcPr>
                  <w:tcW w:w="311" w:type="pct"/>
                  <w:vAlign w:val="center"/>
                </w:tcPr>
                <w:p w14:paraId="37AB12AA">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物理性状</w:t>
                  </w:r>
                </w:p>
              </w:tc>
              <w:tc>
                <w:tcPr>
                  <w:tcW w:w="667" w:type="pct"/>
                  <w:vAlign w:val="center"/>
                </w:tcPr>
                <w:p w14:paraId="38F7E414">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主要有毒有害物质名称</w:t>
                  </w:r>
                </w:p>
              </w:tc>
              <w:tc>
                <w:tcPr>
                  <w:tcW w:w="478" w:type="pct"/>
                  <w:vAlign w:val="center"/>
                </w:tcPr>
                <w:p w14:paraId="18F5AD08">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环境危险特性</w:t>
                  </w:r>
                </w:p>
              </w:tc>
              <w:tc>
                <w:tcPr>
                  <w:tcW w:w="489" w:type="pct"/>
                  <w:vAlign w:val="center"/>
                </w:tcPr>
                <w:p w14:paraId="23FBD69D">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暂存</w:t>
                  </w:r>
                </w:p>
                <w:p w14:paraId="0F64FC30">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方式</w:t>
                  </w:r>
                </w:p>
              </w:tc>
              <w:tc>
                <w:tcPr>
                  <w:tcW w:w="904" w:type="pct"/>
                  <w:vAlign w:val="center"/>
                </w:tcPr>
                <w:p w14:paraId="302B64ED">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处置方式</w:t>
                  </w:r>
                </w:p>
              </w:tc>
            </w:tr>
            <w:tr w14:paraId="0D3BF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0" w:type="pct"/>
                  <w:vAlign w:val="center"/>
                </w:tcPr>
                <w:p w14:paraId="1FC5F8AE">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不合格钢材</w:t>
                  </w:r>
                </w:p>
              </w:tc>
              <w:tc>
                <w:tcPr>
                  <w:tcW w:w="704" w:type="pct"/>
                  <w:vAlign w:val="center"/>
                </w:tcPr>
                <w:p w14:paraId="08E1EAAE">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900-001-S17</w:t>
                  </w:r>
                </w:p>
              </w:tc>
              <w:tc>
                <w:tcPr>
                  <w:tcW w:w="564" w:type="pct"/>
                  <w:vAlign w:val="center"/>
                </w:tcPr>
                <w:p w14:paraId="5DF4C2EA">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0.52</w:t>
                  </w:r>
                </w:p>
              </w:tc>
              <w:tc>
                <w:tcPr>
                  <w:tcW w:w="192" w:type="pct"/>
                  <w:vAlign w:val="center"/>
                </w:tcPr>
                <w:p w14:paraId="11E68392">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原辅料</w:t>
                  </w:r>
                </w:p>
              </w:tc>
              <w:tc>
                <w:tcPr>
                  <w:tcW w:w="311" w:type="pct"/>
                  <w:vAlign w:val="center"/>
                </w:tcPr>
                <w:p w14:paraId="5352357B">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固态</w:t>
                  </w:r>
                </w:p>
              </w:tc>
              <w:tc>
                <w:tcPr>
                  <w:tcW w:w="667" w:type="pct"/>
                  <w:vAlign w:val="center"/>
                </w:tcPr>
                <w:p w14:paraId="13DA876D">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无</w:t>
                  </w:r>
                </w:p>
              </w:tc>
              <w:tc>
                <w:tcPr>
                  <w:tcW w:w="478" w:type="pct"/>
                  <w:vAlign w:val="center"/>
                </w:tcPr>
                <w:p w14:paraId="418A2EF9">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无</w:t>
                  </w:r>
                </w:p>
              </w:tc>
              <w:tc>
                <w:tcPr>
                  <w:tcW w:w="489" w:type="pct"/>
                  <w:vAlign w:val="center"/>
                </w:tcPr>
                <w:p w14:paraId="6D38E025">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不暂存</w:t>
                  </w:r>
                </w:p>
              </w:tc>
              <w:tc>
                <w:tcPr>
                  <w:tcW w:w="904" w:type="pct"/>
                  <w:vAlign w:val="center"/>
                </w:tcPr>
                <w:p w14:paraId="39FBD58A">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厂家带走</w:t>
                  </w:r>
                </w:p>
              </w:tc>
            </w:tr>
            <w:tr w14:paraId="7187F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0" w:type="pct"/>
                  <w:vAlign w:val="center"/>
                </w:tcPr>
                <w:p w14:paraId="1DCA5283">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除尘设备废滤芯</w:t>
                  </w:r>
                </w:p>
              </w:tc>
              <w:tc>
                <w:tcPr>
                  <w:tcW w:w="704" w:type="pct"/>
                  <w:vAlign w:val="center"/>
                </w:tcPr>
                <w:p w14:paraId="75CC1BD7">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900-009-S59</w:t>
                  </w:r>
                </w:p>
              </w:tc>
              <w:tc>
                <w:tcPr>
                  <w:tcW w:w="564" w:type="pct"/>
                  <w:vAlign w:val="center"/>
                </w:tcPr>
                <w:p w14:paraId="32550669">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0.1</w:t>
                  </w:r>
                </w:p>
              </w:tc>
              <w:tc>
                <w:tcPr>
                  <w:tcW w:w="192" w:type="pct"/>
                  <w:vAlign w:val="center"/>
                </w:tcPr>
                <w:p w14:paraId="02E3B500">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废气处理</w:t>
                  </w:r>
                </w:p>
              </w:tc>
              <w:tc>
                <w:tcPr>
                  <w:tcW w:w="311" w:type="pct"/>
                  <w:vAlign w:val="center"/>
                </w:tcPr>
                <w:p w14:paraId="74A38615">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固态</w:t>
                  </w:r>
                </w:p>
              </w:tc>
              <w:tc>
                <w:tcPr>
                  <w:tcW w:w="667" w:type="pct"/>
                  <w:vAlign w:val="center"/>
                </w:tcPr>
                <w:p w14:paraId="405BBF9A">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无</w:t>
                  </w:r>
                </w:p>
              </w:tc>
              <w:tc>
                <w:tcPr>
                  <w:tcW w:w="478" w:type="pct"/>
                  <w:vAlign w:val="center"/>
                </w:tcPr>
                <w:p w14:paraId="1AD25DF9">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无</w:t>
                  </w:r>
                </w:p>
              </w:tc>
              <w:tc>
                <w:tcPr>
                  <w:tcW w:w="489" w:type="pct"/>
                  <w:vMerge w:val="restart"/>
                  <w:vAlign w:val="center"/>
                </w:tcPr>
                <w:p w14:paraId="136BE9EF">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一般固废暂存间</w:t>
                  </w:r>
                </w:p>
              </w:tc>
              <w:tc>
                <w:tcPr>
                  <w:tcW w:w="904" w:type="pct"/>
                  <w:vAlign w:val="center"/>
                </w:tcPr>
                <w:p w14:paraId="2DFA2C73">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外售</w:t>
                  </w:r>
                </w:p>
              </w:tc>
            </w:tr>
            <w:tr w14:paraId="4391B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0" w:type="pct"/>
                  <w:vAlign w:val="center"/>
                </w:tcPr>
                <w:p w14:paraId="04FC047F">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除尘器收集粉尘</w:t>
                  </w:r>
                </w:p>
              </w:tc>
              <w:tc>
                <w:tcPr>
                  <w:tcW w:w="704" w:type="pct"/>
                  <w:vAlign w:val="center"/>
                </w:tcPr>
                <w:p w14:paraId="5345312F">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900-099-S59</w:t>
                  </w:r>
                </w:p>
              </w:tc>
              <w:tc>
                <w:tcPr>
                  <w:tcW w:w="564" w:type="pct"/>
                  <w:vAlign w:val="center"/>
                </w:tcPr>
                <w:p w14:paraId="207CC8FE">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0.98</w:t>
                  </w:r>
                </w:p>
              </w:tc>
              <w:tc>
                <w:tcPr>
                  <w:tcW w:w="192" w:type="pct"/>
                  <w:vAlign w:val="center"/>
                </w:tcPr>
                <w:p w14:paraId="6E3787D8">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废气处理</w:t>
                  </w:r>
                </w:p>
              </w:tc>
              <w:tc>
                <w:tcPr>
                  <w:tcW w:w="311" w:type="pct"/>
                  <w:vAlign w:val="center"/>
                </w:tcPr>
                <w:p w14:paraId="636365EC">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固态</w:t>
                  </w:r>
                </w:p>
              </w:tc>
              <w:tc>
                <w:tcPr>
                  <w:tcW w:w="667" w:type="pct"/>
                  <w:vAlign w:val="center"/>
                </w:tcPr>
                <w:p w14:paraId="774A03B2">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无</w:t>
                  </w:r>
                </w:p>
              </w:tc>
              <w:tc>
                <w:tcPr>
                  <w:tcW w:w="478" w:type="pct"/>
                  <w:vAlign w:val="center"/>
                </w:tcPr>
                <w:p w14:paraId="6D7CB241">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无</w:t>
                  </w:r>
                </w:p>
              </w:tc>
              <w:tc>
                <w:tcPr>
                  <w:tcW w:w="489" w:type="pct"/>
                  <w:vMerge w:val="continue"/>
                  <w:vAlign w:val="center"/>
                </w:tcPr>
                <w:p w14:paraId="63CF6BB6">
                  <w:pPr>
                    <w:jc w:val="center"/>
                    <w:rPr>
                      <w:color w:val="0D0D0D" w:themeColor="text1" w:themeTint="F2"/>
                      <w:szCs w:val="21"/>
                      <w:u w:val="single"/>
                      <w14:textFill>
                        <w14:solidFill>
                          <w14:schemeClr w14:val="tx1">
                            <w14:lumMod w14:val="95000"/>
                            <w14:lumOff w14:val="5000"/>
                          </w14:schemeClr>
                        </w14:solidFill>
                      </w14:textFill>
                    </w:rPr>
                  </w:pPr>
                </w:p>
              </w:tc>
              <w:tc>
                <w:tcPr>
                  <w:tcW w:w="904" w:type="pct"/>
                  <w:vAlign w:val="center"/>
                </w:tcPr>
                <w:p w14:paraId="276407F3">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外售</w:t>
                  </w:r>
                </w:p>
              </w:tc>
            </w:tr>
            <w:tr w14:paraId="2C4E1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0" w:type="pct"/>
                  <w:vAlign w:val="center"/>
                </w:tcPr>
                <w:p w14:paraId="1EE0C819">
                  <w:pPr>
                    <w:jc w:val="center"/>
                    <w:rPr>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pacing w:val="-10"/>
                      <w:szCs w:val="21"/>
                      <w:u w:val="single"/>
                      <w14:textFill>
                        <w14:solidFill>
                          <w14:schemeClr w14:val="tx1">
                            <w14:lumMod w14:val="95000"/>
                            <w14:lumOff w14:val="5000"/>
                          </w14:schemeClr>
                        </w14:solidFill>
                      </w14:textFill>
                    </w:rPr>
                    <w:t>废钢丸</w:t>
                  </w:r>
                </w:p>
              </w:tc>
              <w:tc>
                <w:tcPr>
                  <w:tcW w:w="704" w:type="pct"/>
                  <w:vAlign w:val="center"/>
                </w:tcPr>
                <w:p w14:paraId="30691FBB">
                  <w:pPr>
                    <w:jc w:val="center"/>
                    <w:rPr>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pacing w:val="-10"/>
                      <w:szCs w:val="21"/>
                      <w:u w:val="single"/>
                      <w14:textFill>
                        <w14:solidFill>
                          <w14:schemeClr w14:val="tx1">
                            <w14:lumMod w14:val="95000"/>
                            <w14:lumOff w14:val="5000"/>
                          </w14:schemeClr>
                        </w14:solidFill>
                      </w14:textFill>
                    </w:rPr>
                    <w:t>900-999-99</w:t>
                  </w:r>
                </w:p>
              </w:tc>
              <w:tc>
                <w:tcPr>
                  <w:tcW w:w="564" w:type="pct"/>
                  <w:vAlign w:val="center"/>
                </w:tcPr>
                <w:p w14:paraId="4BF308B2">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4</w:t>
                  </w:r>
                </w:p>
              </w:tc>
              <w:tc>
                <w:tcPr>
                  <w:tcW w:w="192" w:type="pct"/>
                  <w:vAlign w:val="center"/>
                </w:tcPr>
                <w:p w14:paraId="45A1849B">
                  <w:pPr>
                    <w:jc w:val="center"/>
                    <w:rPr>
                      <w:color w:val="0D0D0D" w:themeColor="text1" w:themeTint="F2"/>
                      <w:szCs w:val="21"/>
                      <w:u w:val="single"/>
                      <w14:textFill>
                        <w14:solidFill>
                          <w14:schemeClr w14:val="tx1">
                            <w14:lumMod w14:val="95000"/>
                            <w14:lumOff w14:val="5000"/>
                          </w14:schemeClr>
                        </w14:solidFill>
                      </w14:textFill>
                    </w:rPr>
                  </w:pPr>
                  <w:r>
                    <w:rPr>
                      <w:rFonts w:hint="eastAsia" w:cs="宋体"/>
                      <w:color w:val="0D0D0D" w:themeColor="text1" w:themeTint="F2"/>
                      <w:szCs w:val="21"/>
                      <w:u w:val="single"/>
                      <w14:textFill>
                        <w14:solidFill>
                          <w14:schemeClr w14:val="tx1">
                            <w14:lumMod w14:val="95000"/>
                            <w14:lumOff w14:val="5000"/>
                          </w14:schemeClr>
                        </w14:solidFill>
                      </w14:textFill>
                    </w:rPr>
                    <w:t>抛丸</w:t>
                  </w:r>
                </w:p>
              </w:tc>
              <w:tc>
                <w:tcPr>
                  <w:tcW w:w="311" w:type="pct"/>
                  <w:vAlign w:val="center"/>
                </w:tcPr>
                <w:p w14:paraId="60691662">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固体</w:t>
                  </w:r>
                </w:p>
              </w:tc>
              <w:tc>
                <w:tcPr>
                  <w:tcW w:w="667" w:type="pct"/>
                  <w:vAlign w:val="center"/>
                </w:tcPr>
                <w:p w14:paraId="3A8C92E8">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无</w:t>
                  </w:r>
                </w:p>
              </w:tc>
              <w:tc>
                <w:tcPr>
                  <w:tcW w:w="478" w:type="pct"/>
                  <w:vAlign w:val="center"/>
                </w:tcPr>
                <w:p w14:paraId="3DEC97F0">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无</w:t>
                  </w:r>
                </w:p>
              </w:tc>
              <w:tc>
                <w:tcPr>
                  <w:tcW w:w="489" w:type="pct"/>
                  <w:vMerge w:val="continue"/>
                  <w:vAlign w:val="center"/>
                </w:tcPr>
                <w:p w14:paraId="388D9ADE">
                  <w:pPr>
                    <w:jc w:val="center"/>
                    <w:rPr>
                      <w:color w:val="0D0D0D" w:themeColor="text1" w:themeTint="F2"/>
                      <w:szCs w:val="21"/>
                      <w:u w:val="single"/>
                      <w14:textFill>
                        <w14:solidFill>
                          <w14:schemeClr w14:val="tx1">
                            <w14:lumMod w14:val="95000"/>
                            <w14:lumOff w14:val="5000"/>
                          </w14:schemeClr>
                        </w14:solidFill>
                      </w14:textFill>
                    </w:rPr>
                  </w:pPr>
                </w:p>
              </w:tc>
              <w:tc>
                <w:tcPr>
                  <w:tcW w:w="904" w:type="pct"/>
                  <w:vAlign w:val="center"/>
                </w:tcPr>
                <w:p w14:paraId="2B7B17D5">
                  <w:pPr>
                    <w:jc w:val="center"/>
                    <w:rPr>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pacing w:val="-10"/>
                      <w:szCs w:val="21"/>
                      <w:u w:val="single"/>
                      <w14:textFill>
                        <w14:solidFill>
                          <w14:schemeClr w14:val="tx1">
                            <w14:lumMod w14:val="95000"/>
                            <w14:lumOff w14:val="5000"/>
                          </w14:schemeClr>
                        </w14:solidFill>
                      </w14:textFill>
                    </w:rPr>
                    <w:t>外售</w:t>
                  </w:r>
                </w:p>
              </w:tc>
            </w:tr>
            <w:tr w14:paraId="0B314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0" w:type="pct"/>
                  <w:vAlign w:val="center"/>
                </w:tcPr>
                <w:p w14:paraId="49D8514E">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废油漆桶</w:t>
                  </w:r>
                </w:p>
              </w:tc>
              <w:tc>
                <w:tcPr>
                  <w:tcW w:w="704" w:type="pct"/>
                  <w:vAlign w:val="center"/>
                </w:tcPr>
                <w:p w14:paraId="0AB3E9EB">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900-041</w:t>
                  </w:r>
                  <w:r>
                    <w:rPr>
                      <w:rFonts w:hint="eastAsia"/>
                      <w:color w:val="0D0D0D" w:themeColor="text1" w:themeTint="F2"/>
                      <w:szCs w:val="21"/>
                      <w:u w:val="single"/>
                      <w14:textFill>
                        <w14:solidFill>
                          <w14:schemeClr w14:val="tx1">
                            <w14:lumMod w14:val="95000"/>
                            <w14:lumOff w14:val="5000"/>
                          </w14:schemeClr>
                        </w14:solidFill>
                      </w14:textFill>
                    </w:rPr>
                    <w:t>-</w:t>
                  </w:r>
                  <w:r>
                    <w:rPr>
                      <w:color w:val="0D0D0D" w:themeColor="text1" w:themeTint="F2"/>
                      <w:szCs w:val="21"/>
                      <w:u w:val="single"/>
                      <w14:textFill>
                        <w14:solidFill>
                          <w14:schemeClr w14:val="tx1">
                            <w14:lumMod w14:val="95000"/>
                            <w14:lumOff w14:val="5000"/>
                          </w14:schemeClr>
                        </w14:solidFill>
                      </w14:textFill>
                    </w:rPr>
                    <w:t>49</w:t>
                  </w:r>
                </w:p>
              </w:tc>
              <w:tc>
                <w:tcPr>
                  <w:tcW w:w="564" w:type="pct"/>
                  <w:vAlign w:val="center"/>
                </w:tcPr>
                <w:p w14:paraId="332181E9">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1.10</w:t>
                  </w:r>
                </w:p>
              </w:tc>
              <w:tc>
                <w:tcPr>
                  <w:tcW w:w="192" w:type="pct"/>
                  <w:vAlign w:val="center"/>
                </w:tcPr>
                <w:p w14:paraId="2781A18F">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喷涂</w:t>
                  </w:r>
                </w:p>
              </w:tc>
              <w:tc>
                <w:tcPr>
                  <w:tcW w:w="311" w:type="pct"/>
                  <w:vAlign w:val="center"/>
                </w:tcPr>
                <w:p w14:paraId="331FC397">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固体</w:t>
                  </w:r>
                </w:p>
              </w:tc>
              <w:tc>
                <w:tcPr>
                  <w:tcW w:w="667" w:type="pct"/>
                  <w:vAlign w:val="center"/>
                </w:tcPr>
                <w:p w14:paraId="649F4D1F">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废油漆</w:t>
                  </w:r>
                </w:p>
              </w:tc>
              <w:tc>
                <w:tcPr>
                  <w:tcW w:w="478" w:type="pct"/>
                  <w:vAlign w:val="center"/>
                </w:tcPr>
                <w:p w14:paraId="4E5E9339">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T/In</w:t>
                  </w:r>
                </w:p>
              </w:tc>
              <w:tc>
                <w:tcPr>
                  <w:tcW w:w="489" w:type="pct"/>
                  <w:vMerge w:val="restart"/>
                  <w:vAlign w:val="center"/>
                </w:tcPr>
                <w:p w14:paraId="1D42E04E">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危废暂存间</w:t>
                  </w:r>
                </w:p>
              </w:tc>
              <w:tc>
                <w:tcPr>
                  <w:tcW w:w="904" w:type="pct"/>
                  <w:vMerge w:val="restart"/>
                  <w:vAlign w:val="center"/>
                </w:tcPr>
                <w:p w14:paraId="29A3C7B6">
                  <w:pP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委托有资质单位清运处置</w:t>
                  </w:r>
                </w:p>
              </w:tc>
            </w:tr>
            <w:tr w14:paraId="128E37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0" w:type="pct"/>
                  <w:vAlign w:val="center"/>
                </w:tcPr>
                <w:p w14:paraId="2B5CC14C">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漆渣</w:t>
                  </w:r>
                </w:p>
              </w:tc>
              <w:tc>
                <w:tcPr>
                  <w:tcW w:w="704" w:type="pct"/>
                  <w:vAlign w:val="center"/>
                </w:tcPr>
                <w:p w14:paraId="20705954">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900-252-12</w:t>
                  </w:r>
                </w:p>
              </w:tc>
              <w:tc>
                <w:tcPr>
                  <w:tcW w:w="564" w:type="pct"/>
                  <w:vAlign w:val="center"/>
                </w:tcPr>
                <w:p w14:paraId="111FA164">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0.72</w:t>
                  </w:r>
                </w:p>
              </w:tc>
              <w:tc>
                <w:tcPr>
                  <w:tcW w:w="192" w:type="pct"/>
                  <w:vAlign w:val="center"/>
                </w:tcPr>
                <w:p w14:paraId="057F43D0">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喷涂</w:t>
                  </w:r>
                </w:p>
              </w:tc>
              <w:tc>
                <w:tcPr>
                  <w:tcW w:w="311" w:type="pct"/>
                  <w:vAlign w:val="center"/>
                </w:tcPr>
                <w:p w14:paraId="7E5924CD">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固体</w:t>
                  </w:r>
                </w:p>
              </w:tc>
              <w:tc>
                <w:tcPr>
                  <w:tcW w:w="667" w:type="pct"/>
                  <w:vAlign w:val="center"/>
                </w:tcPr>
                <w:p w14:paraId="3CE5CD0D">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废油漆</w:t>
                  </w:r>
                </w:p>
              </w:tc>
              <w:tc>
                <w:tcPr>
                  <w:tcW w:w="478" w:type="pct"/>
                  <w:vAlign w:val="center"/>
                </w:tcPr>
                <w:p w14:paraId="56F839DF">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T，I</w:t>
                  </w:r>
                </w:p>
              </w:tc>
              <w:tc>
                <w:tcPr>
                  <w:tcW w:w="489" w:type="pct"/>
                  <w:vMerge w:val="continue"/>
                  <w:vAlign w:val="center"/>
                </w:tcPr>
                <w:p w14:paraId="0BD10B2A">
                  <w:pPr>
                    <w:jc w:val="center"/>
                    <w:rPr>
                      <w:color w:val="0D0D0D" w:themeColor="text1" w:themeTint="F2"/>
                      <w:szCs w:val="21"/>
                      <w:u w:val="single"/>
                      <w14:textFill>
                        <w14:solidFill>
                          <w14:schemeClr w14:val="tx1">
                            <w14:lumMod w14:val="95000"/>
                            <w14:lumOff w14:val="5000"/>
                          </w14:schemeClr>
                        </w14:solidFill>
                      </w14:textFill>
                    </w:rPr>
                  </w:pPr>
                </w:p>
              </w:tc>
              <w:tc>
                <w:tcPr>
                  <w:tcW w:w="904" w:type="pct"/>
                  <w:vMerge w:val="continue"/>
                  <w:vAlign w:val="center"/>
                </w:tcPr>
                <w:p w14:paraId="6DA5F3FE">
                  <w:pPr>
                    <w:rPr>
                      <w:color w:val="0D0D0D" w:themeColor="text1" w:themeTint="F2"/>
                      <w:szCs w:val="21"/>
                      <w:u w:val="single"/>
                      <w14:textFill>
                        <w14:solidFill>
                          <w14:schemeClr w14:val="tx1">
                            <w14:lumMod w14:val="95000"/>
                            <w14:lumOff w14:val="5000"/>
                          </w14:schemeClr>
                        </w14:solidFill>
                      </w14:textFill>
                    </w:rPr>
                  </w:pPr>
                </w:p>
              </w:tc>
            </w:tr>
            <w:tr w14:paraId="1A097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0" w:type="pct"/>
                  <w:vAlign w:val="center"/>
                </w:tcPr>
                <w:p w14:paraId="5EEA8D7D">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废过滤棉</w:t>
                  </w:r>
                </w:p>
              </w:tc>
              <w:tc>
                <w:tcPr>
                  <w:tcW w:w="704" w:type="pct"/>
                  <w:vAlign w:val="center"/>
                </w:tcPr>
                <w:p w14:paraId="6742D7D7">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900-041</w:t>
                  </w:r>
                  <w:r>
                    <w:rPr>
                      <w:rFonts w:hint="eastAsia"/>
                      <w:color w:val="0D0D0D" w:themeColor="text1" w:themeTint="F2"/>
                      <w:szCs w:val="21"/>
                      <w:u w:val="single"/>
                      <w14:textFill>
                        <w14:solidFill>
                          <w14:schemeClr w14:val="tx1">
                            <w14:lumMod w14:val="95000"/>
                            <w14:lumOff w14:val="5000"/>
                          </w14:schemeClr>
                        </w14:solidFill>
                      </w14:textFill>
                    </w:rPr>
                    <w:t>-</w:t>
                  </w:r>
                  <w:r>
                    <w:rPr>
                      <w:color w:val="0D0D0D" w:themeColor="text1" w:themeTint="F2"/>
                      <w:szCs w:val="21"/>
                      <w:u w:val="single"/>
                      <w14:textFill>
                        <w14:solidFill>
                          <w14:schemeClr w14:val="tx1">
                            <w14:lumMod w14:val="95000"/>
                            <w14:lumOff w14:val="5000"/>
                          </w14:schemeClr>
                        </w14:solidFill>
                      </w14:textFill>
                    </w:rPr>
                    <w:t>49</w:t>
                  </w:r>
                </w:p>
              </w:tc>
              <w:tc>
                <w:tcPr>
                  <w:tcW w:w="564" w:type="pct"/>
                  <w:vAlign w:val="center"/>
                </w:tcPr>
                <w:p w14:paraId="0A5F2E5F">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0.23</w:t>
                  </w:r>
                </w:p>
              </w:tc>
              <w:tc>
                <w:tcPr>
                  <w:tcW w:w="192" w:type="pct"/>
                  <w:vAlign w:val="center"/>
                </w:tcPr>
                <w:p w14:paraId="0082AF22">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废气处理</w:t>
                  </w:r>
                </w:p>
              </w:tc>
              <w:tc>
                <w:tcPr>
                  <w:tcW w:w="311" w:type="pct"/>
                  <w:vAlign w:val="center"/>
                </w:tcPr>
                <w:p w14:paraId="30855CCE">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固体</w:t>
                  </w:r>
                </w:p>
              </w:tc>
              <w:tc>
                <w:tcPr>
                  <w:tcW w:w="667" w:type="pct"/>
                  <w:vAlign w:val="center"/>
                </w:tcPr>
                <w:p w14:paraId="0746202F">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废过滤棉</w:t>
                  </w:r>
                </w:p>
              </w:tc>
              <w:tc>
                <w:tcPr>
                  <w:tcW w:w="478" w:type="pct"/>
                  <w:vAlign w:val="center"/>
                </w:tcPr>
                <w:p w14:paraId="284D65C8">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T/In</w:t>
                  </w:r>
                </w:p>
              </w:tc>
              <w:tc>
                <w:tcPr>
                  <w:tcW w:w="489" w:type="pct"/>
                  <w:vMerge w:val="continue"/>
                  <w:vAlign w:val="center"/>
                </w:tcPr>
                <w:p w14:paraId="3C467C6A">
                  <w:pPr>
                    <w:jc w:val="center"/>
                    <w:rPr>
                      <w:color w:val="0D0D0D" w:themeColor="text1" w:themeTint="F2"/>
                      <w:szCs w:val="21"/>
                      <w:u w:val="single"/>
                      <w14:textFill>
                        <w14:solidFill>
                          <w14:schemeClr w14:val="tx1">
                            <w14:lumMod w14:val="95000"/>
                            <w14:lumOff w14:val="5000"/>
                          </w14:schemeClr>
                        </w14:solidFill>
                      </w14:textFill>
                    </w:rPr>
                  </w:pPr>
                </w:p>
              </w:tc>
              <w:tc>
                <w:tcPr>
                  <w:tcW w:w="904" w:type="pct"/>
                  <w:vMerge w:val="continue"/>
                  <w:vAlign w:val="center"/>
                </w:tcPr>
                <w:p w14:paraId="771FCD07">
                  <w:pPr>
                    <w:rPr>
                      <w:color w:val="0D0D0D" w:themeColor="text1" w:themeTint="F2"/>
                      <w:szCs w:val="21"/>
                      <w:u w:val="single"/>
                      <w14:textFill>
                        <w14:solidFill>
                          <w14:schemeClr w14:val="tx1">
                            <w14:lumMod w14:val="95000"/>
                            <w14:lumOff w14:val="5000"/>
                          </w14:schemeClr>
                        </w14:solidFill>
                      </w14:textFill>
                    </w:rPr>
                  </w:pPr>
                </w:p>
              </w:tc>
            </w:tr>
            <w:tr w14:paraId="2AF0E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0" w:type="pct"/>
                  <w:vAlign w:val="center"/>
                </w:tcPr>
                <w:p w14:paraId="3CF6015B">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废活性炭</w:t>
                  </w:r>
                </w:p>
              </w:tc>
              <w:tc>
                <w:tcPr>
                  <w:tcW w:w="704" w:type="pct"/>
                  <w:vAlign w:val="center"/>
                </w:tcPr>
                <w:p w14:paraId="449EE2F7">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900-039-49</w:t>
                  </w:r>
                </w:p>
              </w:tc>
              <w:tc>
                <w:tcPr>
                  <w:tcW w:w="564" w:type="pct"/>
                  <w:vAlign w:val="center"/>
                </w:tcPr>
                <w:p w14:paraId="1E75EE95">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0.35</w:t>
                  </w:r>
                </w:p>
              </w:tc>
              <w:tc>
                <w:tcPr>
                  <w:tcW w:w="192" w:type="pct"/>
                  <w:vAlign w:val="center"/>
                </w:tcPr>
                <w:p w14:paraId="2D4E7D3B">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废气处理</w:t>
                  </w:r>
                </w:p>
              </w:tc>
              <w:tc>
                <w:tcPr>
                  <w:tcW w:w="311" w:type="pct"/>
                  <w:vAlign w:val="center"/>
                </w:tcPr>
                <w:p w14:paraId="372715A1">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固体</w:t>
                  </w:r>
                </w:p>
              </w:tc>
              <w:tc>
                <w:tcPr>
                  <w:tcW w:w="667" w:type="pct"/>
                  <w:vAlign w:val="center"/>
                </w:tcPr>
                <w:p w14:paraId="7175891E">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废活性炭</w:t>
                  </w:r>
                </w:p>
              </w:tc>
              <w:tc>
                <w:tcPr>
                  <w:tcW w:w="478" w:type="pct"/>
                  <w:vAlign w:val="center"/>
                </w:tcPr>
                <w:p w14:paraId="451A369D">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T</w:t>
                  </w:r>
                </w:p>
              </w:tc>
              <w:tc>
                <w:tcPr>
                  <w:tcW w:w="489" w:type="pct"/>
                  <w:vMerge w:val="continue"/>
                  <w:vAlign w:val="center"/>
                </w:tcPr>
                <w:p w14:paraId="19AE0279">
                  <w:pPr>
                    <w:jc w:val="center"/>
                    <w:rPr>
                      <w:color w:val="0D0D0D" w:themeColor="text1" w:themeTint="F2"/>
                      <w:szCs w:val="21"/>
                      <w:u w:val="single"/>
                      <w14:textFill>
                        <w14:solidFill>
                          <w14:schemeClr w14:val="tx1">
                            <w14:lumMod w14:val="95000"/>
                            <w14:lumOff w14:val="5000"/>
                          </w14:schemeClr>
                        </w14:solidFill>
                      </w14:textFill>
                    </w:rPr>
                  </w:pPr>
                </w:p>
              </w:tc>
              <w:tc>
                <w:tcPr>
                  <w:tcW w:w="904" w:type="pct"/>
                  <w:vMerge w:val="continue"/>
                  <w:vAlign w:val="center"/>
                </w:tcPr>
                <w:p w14:paraId="43A1A2D7">
                  <w:pPr>
                    <w:rPr>
                      <w:color w:val="0D0D0D" w:themeColor="text1" w:themeTint="F2"/>
                      <w:szCs w:val="21"/>
                      <w:u w:val="single"/>
                      <w14:textFill>
                        <w14:solidFill>
                          <w14:schemeClr w14:val="tx1">
                            <w14:lumMod w14:val="95000"/>
                            <w14:lumOff w14:val="5000"/>
                          </w14:schemeClr>
                        </w14:solidFill>
                      </w14:textFill>
                    </w:rPr>
                  </w:pPr>
                </w:p>
              </w:tc>
            </w:tr>
            <w:tr w14:paraId="5FD6B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0" w:type="pct"/>
                  <w:vAlign w:val="center"/>
                </w:tcPr>
                <w:p w14:paraId="7EBBCC7B">
                  <w:pPr>
                    <w:jc w:val="center"/>
                    <w:rPr>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pacing w:val="-10"/>
                      <w:szCs w:val="21"/>
                      <w:u w:val="single"/>
                      <w14:textFill>
                        <w14:solidFill>
                          <w14:schemeClr w14:val="tx1">
                            <w14:lumMod w14:val="95000"/>
                            <w14:lumOff w14:val="5000"/>
                          </w14:schemeClr>
                        </w14:solidFill>
                      </w14:textFill>
                    </w:rPr>
                    <w:t>废机油</w:t>
                  </w:r>
                </w:p>
              </w:tc>
              <w:tc>
                <w:tcPr>
                  <w:tcW w:w="704" w:type="pct"/>
                  <w:vAlign w:val="center"/>
                </w:tcPr>
                <w:p w14:paraId="05A08665">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900-249-08</w:t>
                  </w:r>
                </w:p>
              </w:tc>
              <w:tc>
                <w:tcPr>
                  <w:tcW w:w="564" w:type="pct"/>
                  <w:vAlign w:val="center"/>
                </w:tcPr>
                <w:p w14:paraId="7A507FF8">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0.01</w:t>
                  </w:r>
                </w:p>
              </w:tc>
              <w:tc>
                <w:tcPr>
                  <w:tcW w:w="192" w:type="pct"/>
                  <w:vAlign w:val="center"/>
                </w:tcPr>
                <w:p w14:paraId="7D4A3E88">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设备维护</w:t>
                  </w:r>
                </w:p>
              </w:tc>
              <w:tc>
                <w:tcPr>
                  <w:tcW w:w="311" w:type="pct"/>
                  <w:vAlign w:val="center"/>
                </w:tcPr>
                <w:p w14:paraId="244DE7E9">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液态</w:t>
                  </w:r>
                </w:p>
              </w:tc>
              <w:tc>
                <w:tcPr>
                  <w:tcW w:w="667" w:type="pct"/>
                  <w:vAlign w:val="center"/>
                </w:tcPr>
                <w:p w14:paraId="5BC69CE6">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矿物油</w:t>
                  </w:r>
                </w:p>
              </w:tc>
              <w:tc>
                <w:tcPr>
                  <w:tcW w:w="478" w:type="pct"/>
                  <w:vAlign w:val="center"/>
                </w:tcPr>
                <w:p w14:paraId="6D7E19CA">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T，I</w:t>
                  </w:r>
                </w:p>
              </w:tc>
              <w:tc>
                <w:tcPr>
                  <w:tcW w:w="489" w:type="pct"/>
                  <w:vMerge w:val="continue"/>
                  <w:vAlign w:val="center"/>
                </w:tcPr>
                <w:p w14:paraId="19B04C5A">
                  <w:pPr>
                    <w:jc w:val="center"/>
                    <w:rPr>
                      <w:color w:val="0D0D0D" w:themeColor="text1" w:themeTint="F2"/>
                      <w:szCs w:val="21"/>
                      <w:u w:val="single"/>
                      <w14:textFill>
                        <w14:solidFill>
                          <w14:schemeClr w14:val="tx1">
                            <w14:lumMod w14:val="95000"/>
                            <w14:lumOff w14:val="5000"/>
                          </w14:schemeClr>
                        </w14:solidFill>
                      </w14:textFill>
                    </w:rPr>
                  </w:pPr>
                </w:p>
              </w:tc>
              <w:tc>
                <w:tcPr>
                  <w:tcW w:w="904" w:type="pct"/>
                  <w:vMerge w:val="continue"/>
                  <w:vAlign w:val="center"/>
                </w:tcPr>
                <w:p w14:paraId="1B6DD6D0">
                  <w:pPr>
                    <w:rPr>
                      <w:color w:val="0D0D0D" w:themeColor="text1" w:themeTint="F2"/>
                      <w:szCs w:val="21"/>
                      <w:u w:val="single"/>
                      <w14:textFill>
                        <w14:solidFill>
                          <w14:schemeClr w14:val="tx1">
                            <w14:lumMod w14:val="95000"/>
                            <w14:lumOff w14:val="5000"/>
                          </w14:schemeClr>
                        </w14:solidFill>
                      </w14:textFill>
                    </w:rPr>
                  </w:pPr>
                </w:p>
              </w:tc>
            </w:tr>
            <w:tr w14:paraId="4B299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0" w:type="pct"/>
                  <w:vAlign w:val="center"/>
                </w:tcPr>
                <w:p w14:paraId="4AA913E5">
                  <w:pPr>
                    <w:jc w:val="center"/>
                    <w:rPr>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pacing w:val="-10"/>
                      <w:szCs w:val="21"/>
                      <w:u w:val="single"/>
                      <w14:textFill>
                        <w14:solidFill>
                          <w14:schemeClr w14:val="tx1">
                            <w14:lumMod w14:val="95000"/>
                            <w14:lumOff w14:val="5000"/>
                          </w14:schemeClr>
                        </w14:solidFill>
                      </w14:textFill>
                    </w:rPr>
                    <w:t>废含油抹布和劳保用品</w:t>
                  </w:r>
                </w:p>
              </w:tc>
              <w:tc>
                <w:tcPr>
                  <w:tcW w:w="704" w:type="pct"/>
                  <w:vAlign w:val="center"/>
                </w:tcPr>
                <w:p w14:paraId="536D1540">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900-041-49</w:t>
                  </w:r>
                </w:p>
              </w:tc>
              <w:tc>
                <w:tcPr>
                  <w:tcW w:w="564" w:type="pct"/>
                  <w:vAlign w:val="center"/>
                </w:tcPr>
                <w:p w14:paraId="1AD52905">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0.01</w:t>
                  </w:r>
                </w:p>
              </w:tc>
              <w:tc>
                <w:tcPr>
                  <w:tcW w:w="192" w:type="pct"/>
                  <w:vAlign w:val="center"/>
                </w:tcPr>
                <w:p w14:paraId="7E936673">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设备维护</w:t>
                  </w:r>
                </w:p>
              </w:tc>
              <w:tc>
                <w:tcPr>
                  <w:tcW w:w="311" w:type="pct"/>
                  <w:vAlign w:val="center"/>
                </w:tcPr>
                <w:p w14:paraId="77CE4E79">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固体</w:t>
                  </w:r>
                </w:p>
              </w:tc>
              <w:tc>
                <w:tcPr>
                  <w:tcW w:w="667" w:type="pct"/>
                  <w:vAlign w:val="center"/>
                </w:tcPr>
                <w:p w14:paraId="40A56C2C">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矿物油</w:t>
                  </w:r>
                </w:p>
              </w:tc>
              <w:tc>
                <w:tcPr>
                  <w:tcW w:w="478" w:type="pct"/>
                  <w:vAlign w:val="center"/>
                </w:tcPr>
                <w:p w14:paraId="2533A356">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T/In</w:t>
                  </w:r>
                </w:p>
              </w:tc>
              <w:tc>
                <w:tcPr>
                  <w:tcW w:w="489" w:type="pct"/>
                  <w:vMerge w:val="continue"/>
                  <w:vAlign w:val="center"/>
                </w:tcPr>
                <w:p w14:paraId="490DDB6E">
                  <w:pPr>
                    <w:jc w:val="center"/>
                    <w:rPr>
                      <w:color w:val="0D0D0D" w:themeColor="text1" w:themeTint="F2"/>
                      <w:szCs w:val="21"/>
                      <w:u w:val="single"/>
                      <w14:textFill>
                        <w14:solidFill>
                          <w14:schemeClr w14:val="tx1">
                            <w14:lumMod w14:val="95000"/>
                            <w14:lumOff w14:val="5000"/>
                          </w14:schemeClr>
                        </w14:solidFill>
                      </w14:textFill>
                    </w:rPr>
                  </w:pPr>
                </w:p>
              </w:tc>
              <w:tc>
                <w:tcPr>
                  <w:tcW w:w="904" w:type="pct"/>
                  <w:vMerge w:val="continue"/>
                  <w:vAlign w:val="center"/>
                </w:tcPr>
                <w:p w14:paraId="33A7E5DA">
                  <w:pPr>
                    <w:rPr>
                      <w:color w:val="0D0D0D" w:themeColor="text1" w:themeTint="F2"/>
                      <w:szCs w:val="21"/>
                      <w:u w:val="single"/>
                      <w14:textFill>
                        <w14:solidFill>
                          <w14:schemeClr w14:val="tx1">
                            <w14:lumMod w14:val="95000"/>
                            <w14:lumOff w14:val="5000"/>
                          </w14:schemeClr>
                        </w14:solidFill>
                      </w14:textFill>
                    </w:rPr>
                  </w:pPr>
                </w:p>
              </w:tc>
            </w:tr>
            <w:tr w14:paraId="3B996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90" w:type="pct"/>
                  <w:vAlign w:val="center"/>
                </w:tcPr>
                <w:p w14:paraId="165F554E">
                  <w:pPr>
                    <w:jc w:val="center"/>
                    <w:rPr>
                      <w:bCs/>
                      <w:color w:val="0D0D0D" w:themeColor="text1" w:themeTint="F2"/>
                      <w:spacing w:val="-10"/>
                      <w:szCs w:val="21"/>
                      <w:u w:val="single"/>
                      <w14:textFill>
                        <w14:solidFill>
                          <w14:schemeClr w14:val="tx1">
                            <w14:lumMod w14:val="95000"/>
                            <w14:lumOff w14:val="5000"/>
                          </w14:schemeClr>
                        </w14:solidFill>
                      </w14:textFill>
                    </w:rPr>
                  </w:pPr>
                  <w:r>
                    <w:rPr>
                      <w:bCs/>
                      <w:color w:val="0D0D0D" w:themeColor="text1" w:themeTint="F2"/>
                      <w:spacing w:val="-10"/>
                      <w:szCs w:val="21"/>
                      <w:u w:val="single"/>
                      <w14:textFill>
                        <w14:solidFill>
                          <w14:schemeClr w14:val="tx1">
                            <w14:lumMod w14:val="95000"/>
                            <w14:lumOff w14:val="5000"/>
                          </w14:schemeClr>
                        </w14:solidFill>
                      </w14:textFill>
                    </w:rPr>
                    <w:t>生活垃圾</w:t>
                  </w:r>
                </w:p>
              </w:tc>
              <w:tc>
                <w:tcPr>
                  <w:tcW w:w="704" w:type="pct"/>
                  <w:vAlign w:val="center"/>
                </w:tcPr>
                <w:p w14:paraId="62583E71">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w:t>
                  </w:r>
                </w:p>
              </w:tc>
              <w:tc>
                <w:tcPr>
                  <w:tcW w:w="564" w:type="pct"/>
                  <w:vAlign w:val="center"/>
                </w:tcPr>
                <w:p w14:paraId="6E605C39">
                  <w:pPr>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3.75</w:t>
                  </w:r>
                </w:p>
              </w:tc>
              <w:tc>
                <w:tcPr>
                  <w:tcW w:w="192" w:type="pct"/>
                  <w:vAlign w:val="center"/>
                </w:tcPr>
                <w:p w14:paraId="01BEFB7C">
                  <w:pPr>
                    <w:contextualSpacing/>
                    <w:jc w:val="center"/>
                    <w:rPr>
                      <w:bCs/>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职工</w:t>
                  </w:r>
                </w:p>
              </w:tc>
              <w:tc>
                <w:tcPr>
                  <w:tcW w:w="311" w:type="pct"/>
                  <w:vAlign w:val="center"/>
                </w:tcPr>
                <w:p w14:paraId="16C2726E">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固体</w:t>
                  </w:r>
                </w:p>
              </w:tc>
              <w:tc>
                <w:tcPr>
                  <w:tcW w:w="667" w:type="pct"/>
                  <w:vAlign w:val="center"/>
                </w:tcPr>
                <w:p w14:paraId="3CACAA26">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无</w:t>
                  </w:r>
                </w:p>
              </w:tc>
              <w:tc>
                <w:tcPr>
                  <w:tcW w:w="478" w:type="pct"/>
                  <w:vAlign w:val="center"/>
                </w:tcPr>
                <w:p w14:paraId="47084986">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无</w:t>
                  </w:r>
                </w:p>
              </w:tc>
              <w:tc>
                <w:tcPr>
                  <w:tcW w:w="489" w:type="pct"/>
                  <w:vAlign w:val="center"/>
                </w:tcPr>
                <w:p w14:paraId="23F96BBA">
                  <w:pPr>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垃圾桶</w:t>
                  </w:r>
                </w:p>
              </w:tc>
              <w:tc>
                <w:tcPr>
                  <w:tcW w:w="904" w:type="pct"/>
                  <w:vAlign w:val="center"/>
                </w:tcPr>
                <w:p w14:paraId="32A69470">
                  <w:pP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集中收集后由环卫部门清运处置</w:t>
                  </w:r>
                </w:p>
              </w:tc>
            </w:tr>
          </w:tbl>
          <w:p w14:paraId="07EAD01D">
            <w:pPr>
              <w:adjustRightInd w:val="0"/>
              <w:snapToGrid w:val="0"/>
              <w:ind w:firstLine="382" w:firstLineChars="200"/>
              <w:jc w:val="center"/>
              <w:rPr>
                <w:rFonts w:cs="宋体"/>
                <w:b/>
                <w:bCs/>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表4-18</w:t>
            </w:r>
            <w:r>
              <w:rPr>
                <w:rFonts w:cs="宋体"/>
                <w:b/>
                <w:color w:val="0D0D0D" w:themeColor="text1" w:themeTint="F2"/>
                <w:spacing w:val="-10"/>
                <w:szCs w:val="21"/>
                <w14:textFill>
                  <w14:solidFill>
                    <w14:schemeClr w14:val="tx1">
                      <w14:lumMod w14:val="95000"/>
                      <w14:lumOff w14:val="5000"/>
                    </w14:schemeClr>
                  </w14:solidFill>
                </w14:textFill>
              </w:rPr>
              <w:t xml:space="preserve">  </w:t>
            </w:r>
            <w:r>
              <w:rPr>
                <w:rFonts w:hint="eastAsia" w:cs="宋体"/>
                <w:b/>
                <w:bCs/>
                <w:color w:val="0D0D0D" w:themeColor="text1" w:themeTint="F2"/>
                <w:spacing w:val="-10"/>
                <w:szCs w:val="21"/>
                <w14:textFill>
                  <w14:solidFill>
                    <w14:schemeClr w14:val="tx1">
                      <w14:lumMod w14:val="95000"/>
                      <w14:lumOff w14:val="5000"/>
                    </w14:schemeClr>
                  </w14:solidFill>
                </w14:textFill>
              </w:rPr>
              <w:t>项目危险废物汇总表</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3"/>
              <w:gridCol w:w="729"/>
              <w:gridCol w:w="895"/>
              <w:gridCol w:w="1150"/>
              <w:gridCol w:w="663"/>
              <w:gridCol w:w="647"/>
              <w:gridCol w:w="443"/>
              <w:gridCol w:w="524"/>
              <w:gridCol w:w="524"/>
              <w:gridCol w:w="524"/>
              <w:gridCol w:w="568"/>
              <w:gridCol w:w="1351"/>
            </w:tblGrid>
            <w:tr w14:paraId="20571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2" w:type="pct"/>
                  <w:shd w:val="clear" w:color="auto" w:fill="auto"/>
                  <w:vAlign w:val="center"/>
                </w:tcPr>
                <w:p w14:paraId="563EA2E7">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序号</w:t>
                  </w:r>
                </w:p>
              </w:tc>
              <w:tc>
                <w:tcPr>
                  <w:tcW w:w="451" w:type="pct"/>
                  <w:shd w:val="clear" w:color="auto" w:fill="auto"/>
                  <w:vAlign w:val="center"/>
                </w:tcPr>
                <w:p w14:paraId="3BFC64DD">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危险废物名称</w:t>
                  </w:r>
                </w:p>
              </w:tc>
              <w:tc>
                <w:tcPr>
                  <w:tcW w:w="549" w:type="pct"/>
                  <w:shd w:val="clear" w:color="auto" w:fill="auto"/>
                  <w:vAlign w:val="center"/>
                </w:tcPr>
                <w:p w14:paraId="5CB6502B">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危险废物类别</w:t>
                  </w:r>
                </w:p>
              </w:tc>
              <w:tc>
                <w:tcPr>
                  <w:tcW w:w="463" w:type="pct"/>
                  <w:shd w:val="clear" w:color="auto" w:fill="auto"/>
                  <w:vAlign w:val="center"/>
                </w:tcPr>
                <w:p w14:paraId="592E7250">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危险废物代码</w:t>
                  </w:r>
                </w:p>
              </w:tc>
              <w:tc>
                <w:tcPr>
                  <w:tcW w:w="412" w:type="pct"/>
                  <w:shd w:val="clear" w:color="auto" w:fill="auto"/>
                  <w:vAlign w:val="center"/>
                </w:tcPr>
                <w:p w14:paraId="65E44818">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产生量t</w:t>
                  </w:r>
                  <w:r>
                    <w:rPr>
                      <w:color w:val="0D0D0D" w:themeColor="text1" w:themeTint="F2"/>
                      <w:sz w:val="21"/>
                      <w:szCs w:val="21"/>
                      <w:u w:val="single"/>
                      <w:lang w:val="en-US"/>
                      <w14:textFill>
                        <w14:solidFill>
                          <w14:schemeClr w14:val="tx1">
                            <w14:lumMod w14:val="95000"/>
                            <w14:lumOff w14:val="5000"/>
                          </w14:schemeClr>
                        </w14:solidFill>
                      </w14:textFill>
                    </w:rPr>
                    <w:t>/a</w:t>
                  </w:r>
                </w:p>
              </w:tc>
              <w:tc>
                <w:tcPr>
                  <w:tcW w:w="402" w:type="pct"/>
                  <w:shd w:val="clear" w:color="auto" w:fill="auto"/>
                  <w:vAlign w:val="center"/>
                </w:tcPr>
                <w:p w14:paraId="01AEA32E">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产生工序及装置</w:t>
                  </w:r>
                </w:p>
              </w:tc>
              <w:tc>
                <w:tcPr>
                  <w:tcW w:w="281" w:type="pct"/>
                  <w:shd w:val="clear" w:color="auto" w:fill="auto"/>
                  <w:vAlign w:val="center"/>
                </w:tcPr>
                <w:p w14:paraId="23B6C2C0">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形态</w:t>
                  </w:r>
                </w:p>
              </w:tc>
              <w:tc>
                <w:tcPr>
                  <w:tcW w:w="329" w:type="pct"/>
                  <w:shd w:val="clear" w:color="auto" w:fill="auto"/>
                  <w:vAlign w:val="center"/>
                </w:tcPr>
                <w:p w14:paraId="355A0B95">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主要成分</w:t>
                  </w:r>
                </w:p>
              </w:tc>
              <w:tc>
                <w:tcPr>
                  <w:tcW w:w="329" w:type="pct"/>
                  <w:shd w:val="clear" w:color="auto" w:fill="auto"/>
                  <w:vAlign w:val="center"/>
                </w:tcPr>
                <w:p w14:paraId="5A7B16B7">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有害成分</w:t>
                  </w:r>
                </w:p>
              </w:tc>
              <w:tc>
                <w:tcPr>
                  <w:tcW w:w="329" w:type="pct"/>
                  <w:shd w:val="clear" w:color="auto" w:fill="auto"/>
                  <w:vAlign w:val="center"/>
                </w:tcPr>
                <w:p w14:paraId="3F233E2D">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产生周期</w:t>
                  </w:r>
                </w:p>
              </w:tc>
              <w:tc>
                <w:tcPr>
                  <w:tcW w:w="355" w:type="pct"/>
                  <w:shd w:val="clear" w:color="auto" w:fill="auto"/>
                  <w:vAlign w:val="center"/>
                </w:tcPr>
                <w:p w14:paraId="46151A11">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危险</w:t>
                  </w:r>
                </w:p>
                <w:p w14:paraId="3295D039">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特性</w:t>
                  </w:r>
                </w:p>
              </w:tc>
              <w:tc>
                <w:tcPr>
                  <w:tcW w:w="818" w:type="pct"/>
                  <w:shd w:val="clear" w:color="auto" w:fill="auto"/>
                  <w:vAlign w:val="center"/>
                </w:tcPr>
                <w:p w14:paraId="3861F093">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污染防治措施</w:t>
                  </w:r>
                </w:p>
              </w:tc>
            </w:tr>
            <w:tr w14:paraId="7EE4D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2" w:type="pct"/>
                  <w:shd w:val="clear" w:color="auto" w:fill="auto"/>
                  <w:vAlign w:val="center"/>
                </w:tcPr>
                <w:p w14:paraId="4828FE97">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1</w:t>
                  </w:r>
                </w:p>
              </w:tc>
              <w:tc>
                <w:tcPr>
                  <w:tcW w:w="451" w:type="pct"/>
                  <w:shd w:val="clear" w:color="auto" w:fill="auto"/>
                  <w:vAlign w:val="center"/>
                </w:tcPr>
                <w:p w14:paraId="67BBC796">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废油漆桶</w:t>
                  </w:r>
                </w:p>
              </w:tc>
              <w:tc>
                <w:tcPr>
                  <w:tcW w:w="549" w:type="pct"/>
                  <w:shd w:val="clear" w:color="auto" w:fill="auto"/>
                  <w:vAlign w:val="center"/>
                </w:tcPr>
                <w:p w14:paraId="29E4B271">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H</w:t>
                  </w:r>
                  <w:r>
                    <w:rPr>
                      <w:color w:val="0D0D0D" w:themeColor="text1" w:themeTint="F2"/>
                      <w:sz w:val="21"/>
                      <w:szCs w:val="21"/>
                      <w:u w:val="single"/>
                      <w:lang w:val="en-US"/>
                      <w14:textFill>
                        <w14:solidFill>
                          <w14:schemeClr w14:val="tx1">
                            <w14:lumMod w14:val="95000"/>
                            <w14:lumOff w14:val="5000"/>
                          </w14:schemeClr>
                        </w14:solidFill>
                      </w14:textFill>
                    </w:rPr>
                    <w:t>W</w:t>
                  </w:r>
                  <w:r>
                    <w:rPr>
                      <w:rFonts w:hint="eastAsia"/>
                      <w:color w:val="0D0D0D" w:themeColor="text1" w:themeTint="F2"/>
                      <w:sz w:val="21"/>
                      <w:szCs w:val="21"/>
                      <w:u w:val="single"/>
                      <w:lang w:val="en-US"/>
                      <w14:textFill>
                        <w14:solidFill>
                          <w14:schemeClr w14:val="tx1">
                            <w14:lumMod w14:val="95000"/>
                            <w14:lumOff w14:val="5000"/>
                          </w14:schemeClr>
                        </w14:solidFill>
                      </w14:textFill>
                    </w:rPr>
                    <w:t>49</w:t>
                  </w:r>
                </w:p>
              </w:tc>
              <w:tc>
                <w:tcPr>
                  <w:tcW w:w="463" w:type="pct"/>
                  <w:shd w:val="clear" w:color="auto" w:fill="auto"/>
                  <w:vAlign w:val="center"/>
                </w:tcPr>
                <w:p w14:paraId="459E5093">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900-041</w:t>
                  </w:r>
                  <w:r>
                    <w:rPr>
                      <w:rFonts w:hint="eastAsia"/>
                      <w:color w:val="0D0D0D" w:themeColor="text1" w:themeTint="F2"/>
                      <w:szCs w:val="21"/>
                      <w:u w:val="single"/>
                      <w14:textFill>
                        <w14:solidFill>
                          <w14:schemeClr w14:val="tx1">
                            <w14:lumMod w14:val="95000"/>
                            <w14:lumOff w14:val="5000"/>
                          </w14:schemeClr>
                        </w14:solidFill>
                      </w14:textFill>
                    </w:rPr>
                    <w:t>-</w:t>
                  </w:r>
                  <w:r>
                    <w:rPr>
                      <w:color w:val="0D0D0D" w:themeColor="text1" w:themeTint="F2"/>
                      <w:szCs w:val="21"/>
                      <w:u w:val="single"/>
                      <w14:textFill>
                        <w14:solidFill>
                          <w14:schemeClr w14:val="tx1">
                            <w14:lumMod w14:val="95000"/>
                            <w14:lumOff w14:val="5000"/>
                          </w14:schemeClr>
                        </w14:solidFill>
                      </w14:textFill>
                    </w:rPr>
                    <w:t>49</w:t>
                  </w:r>
                </w:p>
              </w:tc>
              <w:tc>
                <w:tcPr>
                  <w:tcW w:w="412" w:type="pct"/>
                  <w:shd w:val="clear" w:color="auto" w:fill="auto"/>
                  <w:vAlign w:val="center"/>
                </w:tcPr>
                <w:p w14:paraId="6585E1BB">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1.10</w:t>
                  </w:r>
                </w:p>
              </w:tc>
              <w:tc>
                <w:tcPr>
                  <w:tcW w:w="402" w:type="pct"/>
                  <w:shd w:val="clear" w:color="auto" w:fill="auto"/>
                  <w:vAlign w:val="center"/>
                </w:tcPr>
                <w:p w14:paraId="5C31A3F7">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喷涂</w:t>
                  </w:r>
                </w:p>
              </w:tc>
              <w:tc>
                <w:tcPr>
                  <w:tcW w:w="281" w:type="pct"/>
                  <w:shd w:val="clear" w:color="auto" w:fill="auto"/>
                  <w:vAlign w:val="center"/>
                </w:tcPr>
                <w:p w14:paraId="776C1D2F">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固体</w:t>
                  </w:r>
                </w:p>
              </w:tc>
              <w:tc>
                <w:tcPr>
                  <w:tcW w:w="329" w:type="pct"/>
                  <w:shd w:val="clear" w:color="auto" w:fill="auto"/>
                  <w:vAlign w:val="center"/>
                </w:tcPr>
                <w:p w14:paraId="09A887D8">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废油漆</w:t>
                  </w:r>
                </w:p>
              </w:tc>
              <w:tc>
                <w:tcPr>
                  <w:tcW w:w="329" w:type="pct"/>
                  <w:shd w:val="clear" w:color="auto" w:fill="auto"/>
                  <w:vAlign w:val="center"/>
                </w:tcPr>
                <w:p w14:paraId="21700F03">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废油漆</w:t>
                  </w:r>
                </w:p>
              </w:tc>
              <w:tc>
                <w:tcPr>
                  <w:tcW w:w="329" w:type="pct"/>
                  <w:shd w:val="clear" w:color="auto" w:fill="auto"/>
                  <w:vAlign w:val="center"/>
                </w:tcPr>
                <w:p w14:paraId="62FC99A4">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每天</w:t>
                  </w:r>
                </w:p>
              </w:tc>
              <w:tc>
                <w:tcPr>
                  <w:tcW w:w="355" w:type="pct"/>
                  <w:shd w:val="clear" w:color="auto" w:fill="auto"/>
                  <w:vAlign w:val="center"/>
                </w:tcPr>
                <w:p w14:paraId="0F9F0139">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T/In</w:t>
                  </w:r>
                </w:p>
              </w:tc>
              <w:tc>
                <w:tcPr>
                  <w:tcW w:w="818" w:type="pct"/>
                  <w:vMerge w:val="restart"/>
                  <w:shd w:val="clear" w:color="auto" w:fill="auto"/>
                  <w:vAlign w:val="center"/>
                </w:tcPr>
                <w:p w14:paraId="61FE969C">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暂存于</w:t>
                  </w:r>
                  <w:r>
                    <w:rPr>
                      <w:color w:val="0D0D0D" w:themeColor="text1" w:themeTint="F2"/>
                      <w:sz w:val="21"/>
                      <w:szCs w:val="21"/>
                      <w:u w:val="single"/>
                      <w:lang w:val="en-US"/>
                      <w14:textFill>
                        <w14:solidFill>
                          <w14:schemeClr w14:val="tx1">
                            <w14:lumMod w14:val="95000"/>
                            <w14:lumOff w14:val="5000"/>
                          </w14:schemeClr>
                        </w14:solidFill>
                      </w14:textFill>
                    </w:rPr>
                    <w:t>危废暂存间，</w:t>
                  </w:r>
                  <w:r>
                    <w:rPr>
                      <w:rFonts w:hint="eastAsia"/>
                      <w:color w:val="0D0D0D" w:themeColor="text1" w:themeTint="F2"/>
                      <w:sz w:val="21"/>
                      <w:szCs w:val="21"/>
                      <w:u w:val="single"/>
                      <w:lang w:val="en-US"/>
                      <w14:textFill>
                        <w14:solidFill>
                          <w14:schemeClr w14:val="tx1">
                            <w14:lumMod w14:val="95000"/>
                            <w14:lumOff w14:val="5000"/>
                          </w14:schemeClr>
                        </w14:solidFill>
                      </w14:textFill>
                    </w:rPr>
                    <w:t>委托</w:t>
                  </w:r>
                  <w:r>
                    <w:rPr>
                      <w:color w:val="0D0D0D" w:themeColor="text1" w:themeTint="F2"/>
                      <w:sz w:val="21"/>
                      <w:szCs w:val="21"/>
                      <w:u w:val="single"/>
                      <w:lang w:val="en-US"/>
                      <w14:textFill>
                        <w14:solidFill>
                          <w14:schemeClr w14:val="tx1">
                            <w14:lumMod w14:val="95000"/>
                            <w14:lumOff w14:val="5000"/>
                          </w14:schemeClr>
                        </w14:solidFill>
                      </w14:textFill>
                    </w:rPr>
                    <w:t>有资质单位</w:t>
                  </w:r>
                  <w:r>
                    <w:rPr>
                      <w:rFonts w:hint="eastAsia"/>
                      <w:color w:val="0D0D0D" w:themeColor="text1" w:themeTint="F2"/>
                      <w:sz w:val="21"/>
                      <w:szCs w:val="21"/>
                      <w:u w:val="single"/>
                      <w:lang w:val="en-US"/>
                      <w14:textFill>
                        <w14:solidFill>
                          <w14:schemeClr w14:val="tx1">
                            <w14:lumMod w14:val="95000"/>
                            <w14:lumOff w14:val="5000"/>
                          </w14:schemeClr>
                        </w14:solidFill>
                      </w14:textFill>
                    </w:rPr>
                    <w:t>清运</w:t>
                  </w:r>
                  <w:r>
                    <w:rPr>
                      <w:color w:val="0D0D0D" w:themeColor="text1" w:themeTint="F2"/>
                      <w:sz w:val="21"/>
                      <w:szCs w:val="21"/>
                      <w:u w:val="single"/>
                      <w:lang w:val="en-US"/>
                      <w14:textFill>
                        <w14:solidFill>
                          <w14:schemeClr w14:val="tx1">
                            <w14:lumMod w14:val="95000"/>
                            <w14:lumOff w14:val="5000"/>
                          </w14:schemeClr>
                        </w14:solidFill>
                      </w14:textFill>
                    </w:rPr>
                    <w:t>处置</w:t>
                  </w:r>
                </w:p>
              </w:tc>
            </w:tr>
            <w:tr w14:paraId="6FCE4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2" w:type="pct"/>
                  <w:shd w:val="clear" w:color="auto" w:fill="auto"/>
                  <w:vAlign w:val="center"/>
                </w:tcPr>
                <w:p w14:paraId="248D5841">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2</w:t>
                  </w:r>
                </w:p>
              </w:tc>
              <w:tc>
                <w:tcPr>
                  <w:tcW w:w="451" w:type="pct"/>
                  <w:shd w:val="clear" w:color="auto" w:fill="auto"/>
                  <w:vAlign w:val="center"/>
                </w:tcPr>
                <w:p w14:paraId="5D7F7CCB">
                  <w:pPr>
                    <w:pStyle w:val="52"/>
                    <w:spacing w:after="0"/>
                    <w:ind w:left="0" w:leftChars="0" w:firstLine="0"/>
                    <w:jc w:val="center"/>
                    <w:rPr>
                      <w:bCs/>
                      <w:color w:val="0D0D0D" w:themeColor="text1" w:themeTint="F2"/>
                      <w:sz w:val="21"/>
                      <w:szCs w:val="21"/>
                      <w:u w:val="single"/>
                      <w:lang w:val="en-US"/>
                      <w14:textFill>
                        <w14:solidFill>
                          <w14:schemeClr w14:val="tx1">
                            <w14:lumMod w14:val="95000"/>
                            <w14:lumOff w14:val="5000"/>
                          </w14:schemeClr>
                        </w14:solidFill>
                      </w14:textFill>
                    </w:rPr>
                  </w:pPr>
                  <w:r>
                    <w:rPr>
                      <w:color w:val="0D0D0D" w:themeColor="text1" w:themeTint="F2"/>
                      <w:szCs w:val="21"/>
                      <w:u w:val="single"/>
                      <w:lang w:val="en-US"/>
                      <w14:textFill>
                        <w14:solidFill>
                          <w14:schemeClr w14:val="tx1">
                            <w14:lumMod w14:val="95000"/>
                            <w14:lumOff w14:val="5000"/>
                          </w14:schemeClr>
                        </w14:solidFill>
                      </w14:textFill>
                    </w:rPr>
                    <w:t>漆渣</w:t>
                  </w:r>
                </w:p>
              </w:tc>
              <w:tc>
                <w:tcPr>
                  <w:tcW w:w="549" w:type="pct"/>
                  <w:shd w:val="clear" w:color="auto" w:fill="auto"/>
                  <w:vAlign w:val="center"/>
                </w:tcPr>
                <w:p w14:paraId="7EE36703">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H</w:t>
                  </w:r>
                  <w:r>
                    <w:rPr>
                      <w:color w:val="0D0D0D" w:themeColor="text1" w:themeTint="F2"/>
                      <w:sz w:val="21"/>
                      <w:szCs w:val="21"/>
                      <w:u w:val="single"/>
                      <w:lang w:val="en-US"/>
                      <w14:textFill>
                        <w14:solidFill>
                          <w14:schemeClr w14:val="tx1">
                            <w14:lumMod w14:val="95000"/>
                            <w14:lumOff w14:val="5000"/>
                          </w14:schemeClr>
                        </w14:solidFill>
                      </w14:textFill>
                    </w:rPr>
                    <w:t>W</w:t>
                  </w:r>
                  <w:r>
                    <w:rPr>
                      <w:rFonts w:hint="eastAsia"/>
                      <w:color w:val="0D0D0D" w:themeColor="text1" w:themeTint="F2"/>
                      <w:sz w:val="21"/>
                      <w:szCs w:val="21"/>
                      <w:u w:val="single"/>
                      <w:lang w:val="en-US"/>
                      <w14:textFill>
                        <w14:solidFill>
                          <w14:schemeClr w14:val="tx1">
                            <w14:lumMod w14:val="95000"/>
                            <w14:lumOff w14:val="5000"/>
                          </w14:schemeClr>
                        </w14:solidFill>
                      </w14:textFill>
                    </w:rPr>
                    <w:t>12</w:t>
                  </w:r>
                </w:p>
              </w:tc>
              <w:tc>
                <w:tcPr>
                  <w:tcW w:w="463" w:type="pct"/>
                  <w:shd w:val="clear" w:color="auto" w:fill="auto"/>
                  <w:vAlign w:val="center"/>
                </w:tcPr>
                <w:p w14:paraId="74F3D42D">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color w:val="0D0D0D" w:themeColor="text1" w:themeTint="F2"/>
                      <w:szCs w:val="21"/>
                      <w:u w:val="single"/>
                      <w:lang w:val="en-US"/>
                      <w14:textFill>
                        <w14:solidFill>
                          <w14:schemeClr w14:val="tx1">
                            <w14:lumMod w14:val="95000"/>
                            <w14:lumOff w14:val="5000"/>
                          </w14:schemeClr>
                        </w14:solidFill>
                      </w14:textFill>
                    </w:rPr>
                    <w:t>900-252-12</w:t>
                  </w:r>
                </w:p>
              </w:tc>
              <w:tc>
                <w:tcPr>
                  <w:tcW w:w="412" w:type="pct"/>
                  <w:shd w:val="clear" w:color="auto" w:fill="auto"/>
                  <w:vAlign w:val="center"/>
                </w:tcPr>
                <w:p w14:paraId="491FA660">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0.72</w:t>
                  </w:r>
                </w:p>
              </w:tc>
              <w:tc>
                <w:tcPr>
                  <w:tcW w:w="402" w:type="pct"/>
                  <w:shd w:val="clear" w:color="auto" w:fill="auto"/>
                  <w:vAlign w:val="center"/>
                </w:tcPr>
                <w:p w14:paraId="5E3E9D98">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喷涂</w:t>
                  </w:r>
                </w:p>
              </w:tc>
              <w:tc>
                <w:tcPr>
                  <w:tcW w:w="281" w:type="pct"/>
                  <w:shd w:val="clear" w:color="auto" w:fill="auto"/>
                  <w:vAlign w:val="center"/>
                </w:tcPr>
                <w:p w14:paraId="2330BF90">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固体</w:t>
                  </w:r>
                </w:p>
              </w:tc>
              <w:tc>
                <w:tcPr>
                  <w:tcW w:w="329" w:type="pct"/>
                  <w:shd w:val="clear" w:color="auto" w:fill="auto"/>
                  <w:vAlign w:val="center"/>
                </w:tcPr>
                <w:p w14:paraId="2031CE02">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废油漆</w:t>
                  </w:r>
                </w:p>
              </w:tc>
              <w:tc>
                <w:tcPr>
                  <w:tcW w:w="329" w:type="pct"/>
                  <w:shd w:val="clear" w:color="auto" w:fill="auto"/>
                  <w:vAlign w:val="center"/>
                </w:tcPr>
                <w:p w14:paraId="31B8DC46">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废油漆</w:t>
                  </w:r>
                </w:p>
              </w:tc>
              <w:tc>
                <w:tcPr>
                  <w:tcW w:w="329" w:type="pct"/>
                  <w:shd w:val="clear" w:color="auto" w:fill="auto"/>
                  <w:vAlign w:val="center"/>
                </w:tcPr>
                <w:p w14:paraId="1BE73017">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每天</w:t>
                  </w:r>
                </w:p>
              </w:tc>
              <w:tc>
                <w:tcPr>
                  <w:tcW w:w="355" w:type="pct"/>
                  <w:shd w:val="clear" w:color="auto" w:fill="auto"/>
                  <w:vAlign w:val="center"/>
                </w:tcPr>
                <w:p w14:paraId="0F2CA0D9">
                  <w:pPr>
                    <w:pStyle w:val="52"/>
                    <w:spacing w:after="0"/>
                    <w:ind w:left="0" w:leftChars="0" w:firstLine="0"/>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T，I</w:t>
                  </w:r>
                </w:p>
              </w:tc>
              <w:tc>
                <w:tcPr>
                  <w:tcW w:w="818" w:type="pct"/>
                  <w:vMerge w:val="continue"/>
                  <w:shd w:val="clear" w:color="auto" w:fill="auto"/>
                  <w:vAlign w:val="center"/>
                </w:tcPr>
                <w:p w14:paraId="3E236B0A">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p>
              </w:tc>
            </w:tr>
            <w:tr w14:paraId="72223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2" w:type="pct"/>
                  <w:shd w:val="clear" w:color="auto" w:fill="auto"/>
                  <w:vAlign w:val="center"/>
                </w:tcPr>
                <w:p w14:paraId="4DC730D7">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3</w:t>
                  </w:r>
                </w:p>
              </w:tc>
              <w:tc>
                <w:tcPr>
                  <w:tcW w:w="451" w:type="pct"/>
                  <w:shd w:val="clear" w:color="auto" w:fill="auto"/>
                  <w:vAlign w:val="center"/>
                </w:tcPr>
                <w:p w14:paraId="6DA97B0C">
                  <w:pPr>
                    <w:pStyle w:val="52"/>
                    <w:spacing w:after="0"/>
                    <w:ind w:left="0" w:leftChars="0" w:firstLine="0"/>
                    <w:jc w:val="center"/>
                    <w:rPr>
                      <w:bCs/>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废过滤棉</w:t>
                  </w:r>
                </w:p>
              </w:tc>
              <w:tc>
                <w:tcPr>
                  <w:tcW w:w="549" w:type="pct"/>
                  <w:shd w:val="clear" w:color="auto" w:fill="auto"/>
                  <w:vAlign w:val="center"/>
                </w:tcPr>
                <w:p w14:paraId="19E27E7D">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H</w:t>
                  </w:r>
                  <w:r>
                    <w:rPr>
                      <w:color w:val="0D0D0D" w:themeColor="text1" w:themeTint="F2"/>
                      <w:sz w:val="21"/>
                      <w:szCs w:val="21"/>
                      <w:u w:val="single"/>
                      <w:lang w:val="en-US"/>
                      <w14:textFill>
                        <w14:solidFill>
                          <w14:schemeClr w14:val="tx1">
                            <w14:lumMod w14:val="95000"/>
                            <w14:lumOff w14:val="5000"/>
                          </w14:schemeClr>
                        </w14:solidFill>
                      </w14:textFill>
                    </w:rPr>
                    <w:t>W</w:t>
                  </w:r>
                  <w:r>
                    <w:rPr>
                      <w:rFonts w:hint="eastAsia"/>
                      <w:color w:val="0D0D0D" w:themeColor="text1" w:themeTint="F2"/>
                      <w:sz w:val="21"/>
                      <w:szCs w:val="21"/>
                      <w:u w:val="single"/>
                      <w:lang w:val="en-US"/>
                      <w14:textFill>
                        <w14:solidFill>
                          <w14:schemeClr w14:val="tx1">
                            <w14:lumMod w14:val="95000"/>
                            <w14:lumOff w14:val="5000"/>
                          </w14:schemeClr>
                        </w14:solidFill>
                      </w14:textFill>
                    </w:rPr>
                    <w:t>49</w:t>
                  </w:r>
                </w:p>
              </w:tc>
              <w:tc>
                <w:tcPr>
                  <w:tcW w:w="463" w:type="pct"/>
                  <w:shd w:val="clear" w:color="auto" w:fill="auto"/>
                  <w:vAlign w:val="center"/>
                </w:tcPr>
                <w:p w14:paraId="211B3018">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900-041</w:t>
                  </w:r>
                  <w:r>
                    <w:rPr>
                      <w:rFonts w:hint="eastAsia"/>
                      <w:color w:val="0D0D0D" w:themeColor="text1" w:themeTint="F2"/>
                      <w:szCs w:val="21"/>
                      <w:u w:val="single"/>
                      <w14:textFill>
                        <w14:solidFill>
                          <w14:schemeClr w14:val="tx1">
                            <w14:lumMod w14:val="95000"/>
                            <w14:lumOff w14:val="5000"/>
                          </w14:schemeClr>
                        </w14:solidFill>
                      </w14:textFill>
                    </w:rPr>
                    <w:t>-</w:t>
                  </w:r>
                  <w:r>
                    <w:rPr>
                      <w:color w:val="0D0D0D" w:themeColor="text1" w:themeTint="F2"/>
                      <w:szCs w:val="21"/>
                      <w:u w:val="single"/>
                      <w14:textFill>
                        <w14:solidFill>
                          <w14:schemeClr w14:val="tx1">
                            <w14:lumMod w14:val="95000"/>
                            <w14:lumOff w14:val="5000"/>
                          </w14:schemeClr>
                        </w14:solidFill>
                      </w14:textFill>
                    </w:rPr>
                    <w:t>49</w:t>
                  </w:r>
                </w:p>
              </w:tc>
              <w:tc>
                <w:tcPr>
                  <w:tcW w:w="412" w:type="pct"/>
                  <w:shd w:val="clear" w:color="auto" w:fill="auto"/>
                  <w:vAlign w:val="center"/>
                </w:tcPr>
                <w:p w14:paraId="2B10C26A">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0.23</w:t>
                  </w:r>
                </w:p>
              </w:tc>
              <w:tc>
                <w:tcPr>
                  <w:tcW w:w="402" w:type="pct"/>
                  <w:shd w:val="clear" w:color="auto" w:fill="auto"/>
                  <w:vAlign w:val="center"/>
                </w:tcPr>
                <w:p w14:paraId="3CFF311A">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废气处理</w:t>
                  </w:r>
                </w:p>
              </w:tc>
              <w:tc>
                <w:tcPr>
                  <w:tcW w:w="281" w:type="pct"/>
                  <w:shd w:val="clear" w:color="auto" w:fill="auto"/>
                  <w:vAlign w:val="center"/>
                </w:tcPr>
                <w:p w14:paraId="250B8F0F">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固体</w:t>
                  </w:r>
                </w:p>
              </w:tc>
              <w:tc>
                <w:tcPr>
                  <w:tcW w:w="329" w:type="pct"/>
                  <w:shd w:val="clear" w:color="auto" w:fill="auto"/>
                  <w:vAlign w:val="center"/>
                </w:tcPr>
                <w:p w14:paraId="477BF968">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废过滤棉</w:t>
                  </w:r>
                </w:p>
              </w:tc>
              <w:tc>
                <w:tcPr>
                  <w:tcW w:w="329" w:type="pct"/>
                  <w:shd w:val="clear" w:color="auto" w:fill="auto"/>
                  <w:vAlign w:val="center"/>
                </w:tcPr>
                <w:p w14:paraId="7A1BE524">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废过滤棉</w:t>
                  </w:r>
                </w:p>
              </w:tc>
              <w:tc>
                <w:tcPr>
                  <w:tcW w:w="329" w:type="pct"/>
                  <w:shd w:val="clear" w:color="auto" w:fill="auto"/>
                  <w:vAlign w:val="center"/>
                </w:tcPr>
                <w:p w14:paraId="1B329888">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每年</w:t>
                  </w:r>
                </w:p>
              </w:tc>
              <w:tc>
                <w:tcPr>
                  <w:tcW w:w="355" w:type="pct"/>
                  <w:shd w:val="clear" w:color="auto" w:fill="auto"/>
                  <w:vAlign w:val="center"/>
                </w:tcPr>
                <w:p w14:paraId="7F125605">
                  <w:pPr>
                    <w:pStyle w:val="52"/>
                    <w:spacing w:after="0"/>
                    <w:ind w:left="0" w:leftChars="0" w:firstLine="0"/>
                    <w:jc w:val="center"/>
                    <w:rPr>
                      <w:color w:val="0D0D0D" w:themeColor="text1" w:themeTint="F2"/>
                      <w:szCs w:val="21"/>
                      <w:u w:val="single"/>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T/In</w:t>
                  </w:r>
                </w:p>
              </w:tc>
              <w:tc>
                <w:tcPr>
                  <w:tcW w:w="818" w:type="pct"/>
                  <w:vMerge w:val="continue"/>
                  <w:shd w:val="clear" w:color="auto" w:fill="auto"/>
                  <w:vAlign w:val="center"/>
                </w:tcPr>
                <w:p w14:paraId="7D7AFBFE">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p>
              </w:tc>
            </w:tr>
            <w:tr w14:paraId="05A3D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2" w:type="pct"/>
                  <w:shd w:val="clear" w:color="auto" w:fill="auto"/>
                  <w:vAlign w:val="center"/>
                </w:tcPr>
                <w:p w14:paraId="54B3BCE1">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4</w:t>
                  </w:r>
                </w:p>
              </w:tc>
              <w:tc>
                <w:tcPr>
                  <w:tcW w:w="451" w:type="pct"/>
                  <w:shd w:val="clear" w:color="auto" w:fill="auto"/>
                  <w:vAlign w:val="center"/>
                </w:tcPr>
                <w:p w14:paraId="0E61EBAB">
                  <w:pPr>
                    <w:pStyle w:val="52"/>
                    <w:spacing w:after="0"/>
                    <w:ind w:left="0" w:leftChars="0" w:firstLine="0"/>
                    <w:jc w:val="center"/>
                    <w:rPr>
                      <w:bCs/>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废活性炭</w:t>
                  </w:r>
                </w:p>
              </w:tc>
              <w:tc>
                <w:tcPr>
                  <w:tcW w:w="549" w:type="pct"/>
                  <w:shd w:val="clear" w:color="auto" w:fill="auto"/>
                  <w:vAlign w:val="center"/>
                </w:tcPr>
                <w:p w14:paraId="5D9AB01F">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H</w:t>
                  </w:r>
                  <w:r>
                    <w:rPr>
                      <w:color w:val="0D0D0D" w:themeColor="text1" w:themeTint="F2"/>
                      <w:sz w:val="21"/>
                      <w:szCs w:val="21"/>
                      <w:u w:val="single"/>
                      <w:lang w:val="en-US"/>
                      <w14:textFill>
                        <w14:solidFill>
                          <w14:schemeClr w14:val="tx1">
                            <w14:lumMod w14:val="95000"/>
                            <w14:lumOff w14:val="5000"/>
                          </w14:schemeClr>
                        </w14:solidFill>
                      </w14:textFill>
                    </w:rPr>
                    <w:t>W</w:t>
                  </w:r>
                  <w:r>
                    <w:rPr>
                      <w:rFonts w:hint="eastAsia"/>
                      <w:color w:val="0D0D0D" w:themeColor="text1" w:themeTint="F2"/>
                      <w:sz w:val="21"/>
                      <w:szCs w:val="21"/>
                      <w:u w:val="single"/>
                      <w:lang w:val="en-US"/>
                      <w14:textFill>
                        <w14:solidFill>
                          <w14:schemeClr w14:val="tx1">
                            <w14:lumMod w14:val="95000"/>
                            <w14:lumOff w14:val="5000"/>
                          </w14:schemeClr>
                        </w14:solidFill>
                      </w14:textFill>
                    </w:rPr>
                    <w:t>49</w:t>
                  </w:r>
                </w:p>
              </w:tc>
              <w:tc>
                <w:tcPr>
                  <w:tcW w:w="463" w:type="pct"/>
                  <w:shd w:val="clear" w:color="auto" w:fill="auto"/>
                  <w:vAlign w:val="center"/>
                </w:tcPr>
                <w:p w14:paraId="12638D86">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900-039-49</w:t>
                  </w:r>
                </w:p>
              </w:tc>
              <w:tc>
                <w:tcPr>
                  <w:tcW w:w="412" w:type="pct"/>
                  <w:shd w:val="clear" w:color="auto" w:fill="auto"/>
                  <w:vAlign w:val="center"/>
                </w:tcPr>
                <w:p w14:paraId="1039159D">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0.35</w:t>
                  </w:r>
                </w:p>
              </w:tc>
              <w:tc>
                <w:tcPr>
                  <w:tcW w:w="402" w:type="pct"/>
                  <w:shd w:val="clear" w:color="auto" w:fill="auto"/>
                  <w:vAlign w:val="center"/>
                </w:tcPr>
                <w:p w14:paraId="78FEE9E5">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废气处理</w:t>
                  </w:r>
                </w:p>
              </w:tc>
              <w:tc>
                <w:tcPr>
                  <w:tcW w:w="281" w:type="pct"/>
                  <w:shd w:val="clear" w:color="auto" w:fill="auto"/>
                  <w:vAlign w:val="center"/>
                </w:tcPr>
                <w:p w14:paraId="665FE96E">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固体</w:t>
                  </w:r>
                </w:p>
              </w:tc>
              <w:tc>
                <w:tcPr>
                  <w:tcW w:w="329" w:type="pct"/>
                  <w:shd w:val="clear" w:color="auto" w:fill="auto"/>
                  <w:vAlign w:val="center"/>
                </w:tcPr>
                <w:p w14:paraId="088B08E4">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废活性炭</w:t>
                  </w:r>
                </w:p>
              </w:tc>
              <w:tc>
                <w:tcPr>
                  <w:tcW w:w="329" w:type="pct"/>
                  <w:shd w:val="clear" w:color="auto" w:fill="auto"/>
                  <w:vAlign w:val="center"/>
                </w:tcPr>
                <w:p w14:paraId="58E0C3D4">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废活性炭</w:t>
                  </w:r>
                </w:p>
              </w:tc>
              <w:tc>
                <w:tcPr>
                  <w:tcW w:w="329" w:type="pct"/>
                  <w:shd w:val="clear" w:color="auto" w:fill="auto"/>
                  <w:vAlign w:val="center"/>
                </w:tcPr>
                <w:p w14:paraId="41C59447">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每年</w:t>
                  </w:r>
                </w:p>
              </w:tc>
              <w:tc>
                <w:tcPr>
                  <w:tcW w:w="355" w:type="pct"/>
                  <w:shd w:val="clear" w:color="auto" w:fill="auto"/>
                  <w:vAlign w:val="center"/>
                </w:tcPr>
                <w:p w14:paraId="53D62FB9">
                  <w:pPr>
                    <w:pStyle w:val="52"/>
                    <w:spacing w:after="0"/>
                    <w:ind w:left="0" w:leftChars="0" w:firstLine="0"/>
                    <w:jc w:val="center"/>
                    <w:rPr>
                      <w:color w:val="0D0D0D" w:themeColor="text1" w:themeTint="F2"/>
                      <w:szCs w:val="21"/>
                      <w:u w:val="single"/>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T</w:t>
                  </w:r>
                </w:p>
              </w:tc>
              <w:tc>
                <w:tcPr>
                  <w:tcW w:w="818" w:type="pct"/>
                  <w:vMerge w:val="continue"/>
                  <w:shd w:val="clear" w:color="auto" w:fill="auto"/>
                  <w:vAlign w:val="center"/>
                </w:tcPr>
                <w:p w14:paraId="5AF1B46E">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p>
              </w:tc>
            </w:tr>
            <w:tr w14:paraId="0C6A7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2" w:type="pct"/>
                  <w:shd w:val="clear" w:color="auto" w:fill="auto"/>
                  <w:vAlign w:val="center"/>
                </w:tcPr>
                <w:p w14:paraId="315B9EF7">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5</w:t>
                  </w:r>
                </w:p>
              </w:tc>
              <w:tc>
                <w:tcPr>
                  <w:tcW w:w="451" w:type="pct"/>
                  <w:shd w:val="clear" w:color="auto" w:fill="auto"/>
                  <w:vAlign w:val="center"/>
                </w:tcPr>
                <w:p w14:paraId="22EE4A8A">
                  <w:pPr>
                    <w:pStyle w:val="52"/>
                    <w:spacing w:after="0"/>
                    <w:ind w:left="0" w:leftChars="0" w:firstLine="0"/>
                    <w:jc w:val="center"/>
                    <w:rPr>
                      <w:rFonts w:cs="宋体"/>
                      <w:color w:val="0D0D0D" w:themeColor="text1" w:themeTint="F2"/>
                      <w:sz w:val="21"/>
                      <w:szCs w:val="21"/>
                      <w:u w:val="single"/>
                      <w14:textFill>
                        <w14:solidFill>
                          <w14:schemeClr w14:val="tx1">
                            <w14:lumMod w14:val="95000"/>
                            <w14:lumOff w14:val="5000"/>
                          </w14:schemeClr>
                        </w14:solidFill>
                      </w14:textFill>
                    </w:rPr>
                  </w:pPr>
                  <w:r>
                    <w:rPr>
                      <w:rFonts w:hint="eastAsia"/>
                      <w:bCs/>
                      <w:color w:val="0D0D0D" w:themeColor="text1" w:themeTint="F2"/>
                      <w:spacing w:val="-10"/>
                      <w:szCs w:val="21"/>
                      <w:u w:val="single"/>
                      <w14:textFill>
                        <w14:solidFill>
                          <w14:schemeClr w14:val="tx1">
                            <w14:lumMod w14:val="95000"/>
                            <w14:lumOff w14:val="5000"/>
                          </w14:schemeClr>
                        </w14:solidFill>
                      </w14:textFill>
                    </w:rPr>
                    <w:t>废机油</w:t>
                  </w:r>
                </w:p>
              </w:tc>
              <w:tc>
                <w:tcPr>
                  <w:tcW w:w="549" w:type="pct"/>
                  <w:shd w:val="clear" w:color="auto" w:fill="auto"/>
                  <w:vAlign w:val="center"/>
                </w:tcPr>
                <w:p w14:paraId="2AAE5DAF">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H</w:t>
                  </w:r>
                  <w:r>
                    <w:rPr>
                      <w:color w:val="0D0D0D" w:themeColor="text1" w:themeTint="F2"/>
                      <w:sz w:val="21"/>
                      <w:szCs w:val="21"/>
                      <w:u w:val="single"/>
                      <w:lang w:val="en-US"/>
                      <w14:textFill>
                        <w14:solidFill>
                          <w14:schemeClr w14:val="tx1">
                            <w14:lumMod w14:val="95000"/>
                            <w14:lumOff w14:val="5000"/>
                          </w14:schemeClr>
                        </w14:solidFill>
                      </w14:textFill>
                    </w:rPr>
                    <w:t>W</w:t>
                  </w:r>
                  <w:r>
                    <w:rPr>
                      <w:rFonts w:hint="eastAsia"/>
                      <w:color w:val="0D0D0D" w:themeColor="text1" w:themeTint="F2"/>
                      <w:sz w:val="21"/>
                      <w:szCs w:val="21"/>
                      <w:u w:val="single"/>
                      <w:lang w:val="en-US"/>
                      <w14:textFill>
                        <w14:solidFill>
                          <w14:schemeClr w14:val="tx1">
                            <w14:lumMod w14:val="95000"/>
                            <w14:lumOff w14:val="5000"/>
                          </w14:schemeClr>
                        </w14:solidFill>
                      </w14:textFill>
                    </w:rPr>
                    <w:t>49</w:t>
                  </w:r>
                </w:p>
              </w:tc>
              <w:tc>
                <w:tcPr>
                  <w:tcW w:w="463" w:type="pct"/>
                  <w:shd w:val="clear" w:color="auto" w:fill="auto"/>
                  <w:vAlign w:val="center"/>
                </w:tcPr>
                <w:p w14:paraId="7E4CDC56">
                  <w:pPr>
                    <w:pStyle w:val="52"/>
                    <w:spacing w:after="0"/>
                    <w:ind w:left="0" w:leftChars="0" w:firstLine="0"/>
                    <w:jc w:val="center"/>
                    <w:rPr>
                      <w:rFonts w:cs="宋体"/>
                      <w:color w:val="0D0D0D" w:themeColor="text1" w:themeTint="F2"/>
                      <w:spacing w:val="-10"/>
                      <w:sz w:val="21"/>
                      <w:szCs w:val="21"/>
                      <w:u w:val="single"/>
                      <w:lang w:val="en-US"/>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900-249-08</w:t>
                  </w:r>
                </w:p>
              </w:tc>
              <w:tc>
                <w:tcPr>
                  <w:tcW w:w="412" w:type="pct"/>
                  <w:shd w:val="clear" w:color="auto" w:fill="auto"/>
                  <w:vAlign w:val="center"/>
                </w:tcPr>
                <w:p w14:paraId="65ADC04F">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0.01</w:t>
                  </w:r>
                </w:p>
              </w:tc>
              <w:tc>
                <w:tcPr>
                  <w:tcW w:w="402" w:type="pct"/>
                  <w:shd w:val="clear" w:color="auto" w:fill="auto"/>
                  <w:vAlign w:val="center"/>
                </w:tcPr>
                <w:p w14:paraId="55B77449">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设备维护</w:t>
                  </w:r>
                </w:p>
              </w:tc>
              <w:tc>
                <w:tcPr>
                  <w:tcW w:w="281" w:type="pct"/>
                  <w:shd w:val="clear" w:color="auto" w:fill="auto"/>
                  <w:vAlign w:val="center"/>
                </w:tcPr>
                <w:p w14:paraId="79F4E956">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液态</w:t>
                  </w:r>
                </w:p>
              </w:tc>
              <w:tc>
                <w:tcPr>
                  <w:tcW w:w="329" w:type="pct"/>
                  <w:shd w:val="clear" w:color="auto" w:fill="auto"/>
                  <w:vAlign w:val="center"/>
                </w:tcPr>
                <w:p w14:paraId="43A879C2">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矿物油</w:t>
                  </w:r>
                </w:p>
              </w:tc>
              <w:tc>
                <w:tcPr>
                  <w:tcW w:w="329" w:type="pct"/>
                  <w:shd w:val="clear" w:color="auto" w:fill="auto"/>
                  <w:vAlign w:val="center"/>
                </w:tcPr>
                <w:p w14:paraId="3153E883">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矿物油</w:t>
                  </w:r>
                </w:p>
              </w:tc>
              <w:tc>
                <w:tcPr>
                  <w:tcW w:w="329" w:type="pct"/>
                  <w:shd w:val="clear" w:color="auto" w:fill="auto"/>
                  <w:vAlign w:val="center"/>
                </w:tcPr>
                <w:p w14:paraId="7B0BA5AE">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每天</w:t>
                  </w:r>
                </w:p>
              </w:tc>
              <w:tc>
                <w:tcPr>
                  <w:tcW w:w="355" w:type="pct"/>
                  <w:shd w:val="clear" w:color="auto" w:fill="auto"/>
                  <w:vAlign w:val="center"/>
                </w:tcPr>
                <w:p w14:paraId="08DFF7FB">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T，I</w:t>
                  </w:r>
                </w:p>
              </w:tc>
              <w:tc>
                <w:tcPr>
                  <w:tcW w:w="818" w:type="pct"/>
                  <w:vMerge w:val="continue"/>
                  <w:shd w:val="clear" w:color="auto" w:fill="auto"/>
                  <w:vAlign w:val="center"/>
                </w:tcPr>
                <w:p w14:paraId="1338FDBA">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p>
              </w:tc>
            </w:tr>
            <w:tr w14:paraId="193A3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2" w:type="pct"/>
                  <w:shd w:val="clear" w:color="auto" w:fill="auto"/>
                  <w:vAlign w:val="center"/>
                </w:tcPr>
                <w:p w14:paraId="6C2889E6">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6</w:t>
                  </w:r>
                </w:p>
              </w:tc>
              <w:tc>
                <w:tcPr>
                  <w:tcW w:w="451" w:type="pct"/>
                  <w:shd w:val="clear" w:color="auto" w:fill="auto"/>
                  <w:vAlign w:val="center"/>
                </w:tcPr>
                <w:p w14:paraId="6A3F382F">
                  <w:pPr>
                    <w:pStyle w:val="52"/>
                    <w:spacing w:after="0"/>
                    <w:ind w:left="0" w:leftChars="0" w:firstLine="0"/>
                    <w:jc w:val="center"/>
                    <w:rPr>
                      <w:rFonts w:cs="宋体"/>
                      <w:color w:val="0D0D0D" w:themeColor="text1" w:themeTint="F2"/>
                      <w:sz w:val="21"/>
                      <w:szCs w:val="21"/>
                      <w:u w:val="single"/>
                      <w14:textFill>
                        <w14:solidFill>
                          <w14:schemeClr w14:val="tx1">
                            <w14:lumMod w14:val="95000"/>
                            <w14:lumOff w14:val="5000"/>
                          </w14:schemeClr>
                        </w14:solidFill>
                      </w14:textFill>
                    </w:rPr>
                  </w:pPr>
                  <w:r>
                    <w:rPr>
                      <w:rFonts w:hint="eastAsia"/>
                      <w:bCs/>
                      <w:color w:val="0D0D0D" w:themeColor="text1" w:themeTint="F2"/>
                      <w:spacing w:val="-10"/>
                      <w:szCs w:val="21"/>
                      <w:u w:val="single"/>
                      <w14:textFill>
                        <w14:solidFill>
                          <w14:schemeClr w14:val="tx1">
                            <w14:lumMod w14:val="95000"/>
                            <w14:lumOff w14:val="5000"/>
                          </w14:schemeClr>
                        </w14:solidFill>
                      </w14:textFill>
                    </w:rPr>
                    <w:t>废含油抹布和劳保用品</w:t>
                  </w:r>
                </w:p>
              </w:tc>
              <w:tc>
                <w:tcPr>
                  <w:tcW w:w="549" w:type="pct"/>
                  <w:shd w:val="clear" w:color="auto" w:fill="auto"/>
                  <w:vAlign w:val="center"/>
                </w:tcPr>
                <w:p w14:paraId="165B5831">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H</w:t>
                  </w:r>
                  <w:r>
                    <w:rPr>
                      <w:color w:val="0D0D0D" w:themeColor="text1" w:themeTint="F2"/>
                      <w:sz w:val="21"/>
                      <w:szCs w:val="21"/>
                      <w:u w:val="single"/>
                      <w:lang w:val="en-US"/>
                      <w14:textFill>
                        <w14:solidFill>
                          <w14:schemeClr w14:val="tx1">
                            <w14:lumMod w14:val="95000"/>
                            <w14:lumOff w14:val="5000"/>
                          </w14:schemeClr>
                        </w14:solidFill>
                      </w14:textFill>
                    </w:rPr>
                    <w:t>W</w:t>
                  </w:r>
                  <w:r>
                    <w:rPr>
                      <w:rFonts w:hint="eastAsia"/>
                      <w:color w:val="0D0D0D" w:themeColor="text1" w:themeTint="F2"/>
                      <w:sz w:val="21"/>
                      <w:szCs w:val="21"/>
                      <w:u w:val="single"/>
                      <w:lang w:val="en-US"/>
                      <w14:textFill>
                        <w14:solidFill>
                          <w14:schemeClr w14:val="tx1">
                            <w14:lumMod w14:val="95000"/>
                            <w14:lumOff w14:val="5000"/>
                          </w14:schemeClr>
                        </w14:solidFill>
                      </w14:textFill>
                    </w:rPr>
                    <w:t>49</w:t>
                  </w:r>
                </w:p>
              </w:tc>
              <w:tc>
                <w:tcPr>
                  <w:tcW w:w="463" w:type="pct"/>
                  <w:shd w:val="clear" w:color="auto" w:fill="auto"/>
                  <w:vAlign w:val="center"/>
                </w:tcPr>
                <w:p w14:paraId="4952FF9B">
                  <w:pPr>
                    <w:pStyle w:val="52"/>
                    <w:spacing w:after="0"/>
                    <w:ind w:left="0" w:leftChars="0" w:firstLine="0"/>
                    <w:jc w:val="center"/>
                    <w:rPr>
                      <w:rFonts w:cs="宋体"/>
                      <w:color w:val="0D0D0D" w:themeColor="text1" w:themeTint="F2"/>
                      <w:spacing w:val="-10"/>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900-041-49</w:t>
                  </w:r>
                </w:p>
              </w:tc>
              <w:tc>
                <w:tcPr>
                  <w:tcW w:w="412" w:type="pct"/>
                  <w:shd w:val="clear" w:color="auto" w:fill="auto"/>
                  <w:vAlign w:val="center"/>
                </w:tcPr>
                <w:p w14:paraId="1024B2CE">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0.01</w:t>
                  </w:r>
                </w:p>
              </w:tc>
              <w:tc>
                <w:tcPr>
                  <w:tcW w:w="402" w:type="pct"/>
                  <w:shd w:val="clear" w:color="auto" w:fill="auto"/>
                  <w:vAlign w:val="center"/>
                </w:tcPr>
                <w:p w14:paraId="6AEC45FA">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设备维护</w:t>
                  </w:r>
                </w:p>
              </w:tc>
              <w:tc>
                <w:tcPr>
                  <w:tcW w:w="281" w:type="pct"/>
                  <w:shd w:val="clear" w:color="auto" w:fill="auto"/>
                  <w:vAlign w:val="center"/>
                </w:tcPr>
                <w:p w14:paraId="05456A0E">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固体</w:t>
                  </w:r>
                </w:p>
              </w:tc>
              <w:tc>
                <w:tcPr>
                  <w:tcW w:w="329" w:type="pct"/>
                  <w:shd w:val="clear" w:color="auto" w:fill="auto"/>
                  <w:vAlign w:val="center"/>
                </w:tcPr>
                <w:p w14:paraId="530253A8">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矿物油</w:t>
                  </w:r>
                </w:p>
              </w:tc>
              <w:tc>
                <w:tcPr>
                  <w:tcW w:w="329" w:type="pct"/>
                  <w:shd w:val="clear" w:color="auto" w:fill="auto"/>
                  <w:vAlign w:val="center"/>
                </w:tcPr>
                <w:p w14:paraId="1B503331">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Cs w:val="21"/>
                      <w:u w:val="single"/>
                      <w14:textFill>
                        <w14:solidFill>
                          <w14:schemeClr w14:val="tx1">
                            <w14:lumMod w14:val="95000"/>
                            <w14:lumOff w14:val="5000"/>
                          </w14:schemeClr>
                        </w14:solidFill>
                      </w14:textFill>
                    </w:rPr>
                    <w:t>矿物油</w:t>
                  </w:r>
                </w:p>
              </w:tc>
              <w:tc>
                <w:tcPr>
                  <w:tcW w:w="329" w:type="pct"/>
                  <w:shd w:val="clear" w:color="auto" w:fill="auto"/>
                  <w:vAlign w:val="center"/>
                </w:tcPr>
                <w:p w14:paraId="6EC8AC80">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rFonts w:hint="eastAsia"/>
                      <w:color w:val="0D0D0D" w:themeColor="text1" w:themeTint="F2"/>
                      <w:sz w:val="21"/>
                      <w:szCs w:val="21"/>
                      <w:u w:val="single"/>
                      <w:lang w:val="en-US"/>
                      <w14:textFill>
                        <w14:solidFill>
                          <w14:schemeClr w14:val="tx1">
                            <w14:lumMod w14:val="95000"/>
                            <w14:lumOff w14:val="5000"/>
                          </w14:schemeClr>
                        </w14:solidFill>
                      </w14:textFill>
                    </w:rPr>
                    <w:t>每天</w:t>
                  </w:r>
                </w:p>
              </w:tc>
              <w:tc>
                <w:tcPr>
                  <w:tcW w:w="355" w:type="pct"/>
                  <w:shd w:val="clear" w:color="auto" w:fill="auto"/>
                  <w:vAlign w:val="center"/>
                </w:tcPr>
                <w:p w14:paraId="238E9234">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r>
                    <w:rPr>
                      <w:color w:val="0D0D0D" w:themeColor="text1" w:themeTint="F2"/>
                      <w:szCs w:val="21"/>
                      <w:u w:val="single"/>
                      <w14:textFill>
                        <w14:solidFill>
                          <w14:schemeClr w14:val="tx1">
                            <w14:lumMod w14:val="95000"/>
                            <w14:lumOff w14:val="5000"/>
                          </w14:schemeClr>
                        </w14:solidFill>
                      </w14:textFill>
                    </w:rPr>
                    <w:t>T/In</w:t>
                  </w:r>
                </w:p>
              </w:tc>
              <w:tc>
                <w:tcPr>
                  <w:tcW w:w="818" w:type="pct"/>
                  <w:vMerge w:val="continue"/>
                  <w:shd w:val="clear" w:color="auto" w:fill="auto"/>
                  <w:vAlign w:val="center"/>
                </w:tcPr>
                <w:p w14:paraId="2F8B975A">
                  <w:pPr>
                    <w:pStyle w:val="52"/>
                    <w:spacing w:after="0"/>
                    <w:ind w:left="0" w:leftChars="0" w:firstLine="0"/>
                    <w:jc w:val="center"/>
                    <w:rPr>
                      <w:color w:val="0D0D0D" w:themeColor="text1" w:themeTint="F2"/>
                      <w:sz w:val="21"/>
                      <w:szCs w:val="21"/>
                      <w:u w:val="single"/>
                      <w:lang w:val="en-US"/>
                      <w14:textFill>
                        <w14:solidFill>
                          <w14:schemeClr w14:val="tx1">
                            <w14:lumMod w14:val="95000"/>
                            <w14:lumOff w14:val="5000"/>
                          </w14:schemeClr>
                        </w14:solidFill>
                      </w14:textFill>
                    </w:rPr>
                  </w:pPr>
                </w:p>
              </w:tc>
            </w:tr>
          </w:tbl>
          <w:p w14:paraId="6B9B5D37">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cs="宋体"/>
                <w:b/>
                <w:color w:val="0D0D0D" w:themeColor="text1" w:themeTint="F2"/>
                <w:spacing w:val="-10"/>
                <w:sz w:val="24"/>
                <w14:textFill>
                  <w14:solidFill>
                    <w14:schemeClr w14:val="tx1">
                      <w14:lumMod w14:val="95000"/>
                      <w14:lumOff w14:val="5000"/>
                    </w14:schemeClr>
                  </w14:solidFill>
                </w14:textFill>
              </w:rPr>
              <w:t>2</w:t>
            </w:r>
            <w:r>
              <w:rPr>
                <w:rFonts w:hint="eastAsia" w:cs="宋体"/>
                <w:b/>
                <w:color w:val="0D0D0D" w:themeColor="text1" w:themeTint="F2"/>
                <w:spacing w:val="-10"/>
                <w:sz w:val="24"/>
                <w14:textFill>
                  <w14:solidFill>
                    <w14:schemeClr w14:val="tx1">
                      <w14:lumMod w14:val="95000"/>
                      <w14:lumOff w14:val="5000"/>
                    </w14:schemeClr>
                  </w14:solidFill>
                </w14:textFill>
              </w:rPr>
              <w:t>、环境管理要求</w:t>
            </w:r>
          </w:p>
          <w:p w14:paraId="4253F02E">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（1）生活垃圾</w:t>
            </w:r>
          </w:p>
          <w:p w14:paraId="2931EF73">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生活垃圾</w:t>
            </w:r>
            <w:r>
              <w:rPr>
                <w:rFonts w:hint="eastAsia" w:cs="宋体"/>
                <w:bCs/>
                <w:color w:val="0D0D0D" w:themeColor="text1" w:themeTint="F2"/>
                <w:spacing w:val="-10"/>
                <w:sz w:val="24"/>
                <w14:textFill>
                  <w14:solidFill>
                    <w14:schemeClr w14:val="tx1">
                      <w14:lumMod w14:val="95000"/>
                      <w14:lumOff w14:val="5000"/>
                    </w14:schemeClr>
                  </w14:solidFill>
                </w14:textFill>
              </w:rPr>
              <w:t>分类集中</w:t>
            </w:r>
            <w:r>
              <w:rPr>
                <w:rFonts w:cs="宋体"/>
                <w:bCs/>
                <w:color w:val="0D0D0D" w:themeColor="text1" w:themeTint="F2"/>
                <w:spacing w:val="-10"/>
                <w:sz w:val="24"/>
                <w14:textFill>
                  <w14:solidFill>
                    <w14:schemeClr w14:val="tx1">
                      <w14:lumMod w14:val="95000"/>
                      <w14:lumOff w14:val="5000"/>
                    </w14:schemeClr>
                  </w14:solidFill>
                </w14:textFill>
              </w:rPr>
              <w:t>收集后</w:t>
            </w:r>
            <w:r>
              <w:rPr>
                <w:rFonts w:hint="eastAsia" w:cs="宋体"/>
                <w:bCs/>
                <w:color w:val="0D0D0D" w:themeColor="text1" w:themeTint="F2"/>
                <w:spacing w:val="-10"/>
                <w:sz w:val="24"/>
                <w14:textFill>
                  <w14:solidFill>
                    <w14:schemeClr w14:val="tx1">
                      <w14:lumMod w14:val="95000"/>
                      <w14:lumOff w14:val="5000"/>
                    </w14:schemeClr>
                  </w14:solidFill>
                </w14:textFill>
              </w:rPr>
              <w:t>交</w:t>
            </w:r>
            <w:r>
              <w:rPr>
                <w:rFonts w:cs="宋体"/>
                <w:bCs/>
                <w:color w:val="0D0D0D" w:themeColor="text1" w:themeTint="F2"/>
                <w:spacing w:val="-10"/>
                <w:sz w:val="24"/>
                <w14:textFill>
                  <w14:solidFill>
                    <w14:schemeClr w14:val="tx1">
                      <w14:lumMod w14:val="95000"/>
                      <w14:lumOff w14:val="5000"/>
                    </w14:schemeClr>
                  </w14:solidFill>
                </w14:textFill>
              </w:rPr>
              <w:t>由环卫部门</w:t>
            </w:r>
            <w:r>
              <w:rPr>
                <w:rFonts w:hint="eastAsia" w:cs="宋体"/>
                <w:bCs/>
                <w:color w:val="0D0D0D" w:themeColor="text1" w:themeTint="F2"/>
                <w:spacing w:val="-10"/>
                <w:sz w:val="24"/>
                <w14:textFill>
                  <w14:solidFill>
                    <w14:schemeClr w14:val="tx1">
                      <w14:lumMod w14:val="95000"/>
                      <w14:lumOff w14:val="5000"/>
                    </w14:schemeClr>
                  </w14:solidFill>
                </w14:textFill>
              </w:rPr>
              <w:t>清运处置</w:t>
            </w:r>
            <w:r>
              <w:rPr>
                <w:rFonts w:cs="宋体"/>
                <w:bCs/>
                <w:color w:val="0D0D0D" w:themeColor="text1" w:themeTint="F2"/>
                <w:spacing w:val="-10"/>
                <w:sz w:val="24"/>
                <w14:textFill>
                  <w14:solidFill>
                    <w14:schemeClr w14:val="tx1">
                      <w14:lumMod w14:val="95000"/>
                      <w14:lumOff w14:val="5000"/>
                    </w14:schemeClr>
                  </w14:solidFill>
                </w14:textFill>
              </w:rPr>
              <w:t>。</w:t>
            </w:r>
          </w:p>
          <w:p w14:paraId="48384408">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（2）一般工业固废</w:t>
            </w:r>
          </w:p>
          <w:p w14:paraId="3196B68E">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w:t>
            </w:r>
            <w:r>
              <w:rPr>
                <w:rFonts w:cs="宋体"/>
                <w:bCs/>
                <w:color w:val="0D0D0D" w:themeColor="text1" w:themeTint="F2"/>
                <w:spacing w:val="-10"/>
                <w:sz w:val="24"/>
                <w14:textFill>
                  <w14:solidFill>
                    <w14:schemeClr w14:val="tx1">
                      <w14:lumMod w14:val="95000"/>
                      <w14:lumOff w14:val="5000"/>
                    </w14:schemeClr>
                  </w14:solidFill>
                </w14:textFill>
              </w:rPr>
              <w:t>《中华人民共和国固体废物污染环境防治法》（2020年4月29日修订版），</w:t>
            </w:r>
            <w:r>
              <w:rPr>
                <w:rFonts w:hint="eastAsia" w:cs="宋体"/>
                <w:bCs/>
                <w:color w:val="0D0D0D" w:themeColor="text1" w:themeTint="F2"/>
                <w:spacing w:val="-10"/>
                <w:sz w:val="24"/>
                <w14:textFill>
                  <w14:solidFill>
                    <w14:schemeClr w14:val="tx1">
                      <w14:lumMod w14:val="95000"/>
                      <w14:lumOff w14:val="5000"/>
                    </w14:schemeClr>
                  </w14:solidFill>
                </w14:textFill>
              </w:rPr>
              <w:t>建设单位运营过程需</w:t>
            </w:r>
            <w:r>
              <w:rPr>
                <w:rFonts w:cs="宋体"/>
                <w:bCs/>
                <w:color w:val="0D0D0D" w:themeColor="text1" w:themeTint="F2"/>
                <w:spacing w:val="-10"/>
                <w:sz w:val="24"/>
                <w14:textFill>
                  <w14:solidFill>
                    <w14:schemeClr w14:val="tx1">
                      <w14:lumMod w14:val="95000"/>
                      <w14:lumOff w14:val="5000"/>
                    </w14:schemeClr>
                  </w14:solidFill>
                </w14:textFill>
              </w:rPr>
              <w:t>建立健全工业固体废物产生、收集、贮存、运输、利用、处置全过程的污染环境防治责任制度，建立工业固体废物管理台账，如实记录产生工业固体废物的种类、数量、流向、贮存、利用、处置等信息</w:t>
            </w:r>
            <w:r>
              <w:rPr>
                <w:rFonts w:hint="eastAsia" w:cs="宋体"/>
                <w:bCs/>
                <w:color w:val="0D0D0D" w:themeColor="text1" w:themeTint="F2"/>
                <w:spacing w:val="-10"/>
                <w:sz w:val="24"/>
                <w14:textFill>
                  <w14:solidFill>
                    <w14:schemeClr w14:val="tx1">
                      <w14:lumMod w14:val="95000"/>
                      <w14:lumOff w14:val="5000"/>
                    </w14:schemeClr>
                  </w14:solidFill>
                </w14:textFill>
              </w:rPr>
              <w:t>，</w:t>
            </w:r>
            <w:r>
              <w:rPr>
                <w:rFonts w:cs="宋体"/>
                <w:bCs/>
                <w:color w:val="0D0D0D" w:themeColor="text1" w:themeTint="F2"/>
                <w:spacing w:val="-10"/>
                <w:sz w:val="24"/>
                <w14:textFill>
                  <w14:solidFill>
                    <w14:schemeClr w14:val="tx1">
                      <w14:lumMod w14:val="95000"/>
                      <w14:lumOff w14:val="5000"/>
                    </w14:schemeClr>
                  </w14:solidFill>
                </w14:textFill>
              </w:rPr>
              <w:t>实现工业固体废物可追溯、可查询。应当对受托方的主体资格和技术能力进行核实，依法签订书面合同，在合同中约定污染防治要求。应当向所在地生态环境主管部门提供工业固体废物的种类、数量、流向、贮存、利用、处置等有关资料，以及减少工业固体废物产生、促进综合利用的具体措施，并执行排污许可管理制度的相关规定</w:t>
            </w:r>
            <w:r>
              <w:rPr>
                <w:rFonts w:hint="eastAsia" w:cs="宋体"/>
                <w:bCs/>
                <w:color w:val="0D0D0D" w:themeColor="text1" w:themeTint="F2"/>
                <w:spacing w:val="-10"/>
                <w:sz w:val="24"/>
                <w14:textFill>
                  <w14:solidFill>
                    <w14:schemeClr w14:val="tx1">
                      <w14:lumMod w14:val="95000"/>
                      <w14:lumOff w14:val="5000"/>
                    </w14:schemeClr>
                  </w14:solidFill>
                </w14:textFill>
              </w:rPr>
              <w:t>。</w:t>
            </w:r>
          </w:p>
          <w:p w14:paraId="7DE642A5">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w:t>
            </w:r>
            <w:r>
              <w:rPr>
                <w:rFonts w:cs="宋体"/>
                <w:bCs/>
                <w:color w:val="0D0D0D" w:themeColor="text1" w:themeTint="F2"/>
                <w:spacing w:val="-10"/>
                <w:sz w:val="24"/>
                <w14:textFill>
                  <w14:solidFill>
                    <w14:schemeClr w14:val="tx1">
                      <w14:lumMod w14:val="95000"/>
                      <w14:lumOff w14:val="5000"/>
                    </w14:schemeClr>
                  </w14:solidFill>
                </w14:textFill>
              </w:rPr>
              <w:t>一般</w:t>
            </w:r>
            <w:r>
              <w:rPr>
                <w:rFonts w:hint="eastAsia" w:cs="宋体"/>
                <w:bCs/>
                <w:color w:val="0D0D0D" w:themeColor="text1" w:themeTint="F2"/>
                <w:spacing w:val="-10"/>
                <w:sz w:val="24"/>
                <w14:textFill>
                  <w14:solidFill>
                    <w14:schemeClr w14:val="tx1">
                      <w14:lumMod w14:val="95000"/>
                      <w14:lumOff w14:val="5000"/>
                    </w14:schemeClr>
                  </w14:solidFill>
                </w14:textFill>
              </w:rPr>
              <w:t>固废暂存间</w:t>
            </w:r>
            <w:r>
              <w:rPr>
                <w:rFonts w:cs="宋体"/>
                <w:bCs/>
                <w:color w:val="0D0D0D" w:themeColor="text1" w:themeTint="F2"/>
                <w:spacing w:val="-10"/>
                <w:sz w:val="24"/>
                <w14:textFill>
                  <w14:solidFill>
                    <w14:schemeClr w14:val="tx1">
                      <w14:lumMod w14:val="95000"/>
                      <w14:lumOff w14:val="5000"/>
                    </w14:schemeClr>
                  </w14:solidFill>
                </w14:textFill>
              </w:rPr>
              <w:t>应</w:t>
            </w:r>
            <w:r>
              <w:rPr>
                <w:rFonts w:hint="eastAsia" w:cs="宋体"/>
                <w:bCs/>
                <w:color w:val="0D0D0D" w:themeColor="text1" w:themeTint="F2"/>
                <w:spacing w:val="-10"/>
                <w:sz w:val="24"/>
                <w14:textFill>
                  <w14:solidFill>
                    <w14:schemeClr w14:val="tx1">
                      <w14:lumMod w14:val="95000"/>
                      <w14:lumOff w14:val="5000"/>
                    </w14:schemeClr>
                  </w14:solidFill>
                </w14:textFill>
              </w:rPr>
              <w:t>参照</w:t>
            </w:r>
            <w:r>
              <w:rPr>
                <w:rFonts w:cs="宋体"/>
                <w:bCs/>
                <w:color w:val="0D0D0D" w:themeColor="text1" w:themeTint="F2"/>
                <w:spacing w:val="-10"/>
                <w:sz w:val="24"/>
                <w14:textFill>
                  <w14:solidFill>
                    <w14:schemeClr w14:val="tx1">
                      <w14:lumMod w14:val="95000"/>
                      <w14:lumOff w14:val="5000"/>
                    </w14:schemeClr>
                  </w14:solidFill>
                </w14:textFill>
              </w:rPr>
              <w:t>《一般工业固体废物贮存</w:t>
            </w:r>
            <w:r>
              <w:rPr>
                <w:rFonts w:hint="eastAsia" w:cs="宋体"/>
                <w:bCs/>
                <w:color w:val="0D0D0D" w:themeColor="text1" w:themeTint="F2"/>
                <w:spacing w:val="-10"/>
                <w:sz w:val="24"/>
                <w14:textFill>
                  <w14:solidFill>
                    <w14:schemeClr w14:val="tx1">
                      <w14:lumMod w14:val="95000"/>
                      <w14:lumOff w14:val="5000"/>
                    </w14:schemeClr>
                  </w14:solidFill>
                </w14:textFill>
              </w:rPr>
              <w:t>和填埋</w:t>
            </w:r>
            <w:r>
              <w:rPr>
                <w:rFonts w:cs="宋体"/>
                <w:bCs/>
                <w:color w:val="0D0D0D" w:themeColor="text1" w:themeTint="F2"/>
                <w:spacing w:val="-10"/>
                <w:sz w:val="24"/>
                <w14:textFill>
                  <w14:solidFill>
                    <w14:schemeClr w14:val="tx1">
                      <w14:lumMod w14:val="95000"/>
                      <w14:lumOff w14:val="5000"/>
                    </w14:schemeClr>
                  </w14:solidFill>
                </w14:textFill>
              </w:rPr>
              <w:t>污染控制标准》（GB18599-20</w:t>
            </w:r>
            <w:r>
              <w:rPr>
                <w:rFonts w:hint="eastAsia" w:cs="宋体"/>
                <w:bCs/>
                <w:color w:val="0D0D0D" w:themeColor="text1" w:themeTint="F2"/>
                <w:spacing w:val="-10"/>
                <w:sz w:val="24"/>
                <w14:textFill>
                  <w14:solidFill>
                    <w14:schemeClr w14:val="tx1">
                      <w14:lumMod w14:val="95000"/>
                      <w14:lumOff w14:val="5000"/>
                    </w14:schemeClr>
                  </w14:solidFill>
                </w14:textFill>
              </w:rPr>
              <w:t>20</w:t>
            </w:r>
            <w:r>
              <w:rPr>
                <w:rFonts w:cs="宋体"/>
                <w:bCs/>
                <w:color w:val="0D0D0D" w:themeColor="text1" w:themeTint="F2"/>
                <w:spacing w:val="-10"/>
                <w:sz w:val="24"/>
                <w14:textFill>
                  <w14:solidFill>
                    <w14:schemeClr w14:val="tx1">
                      <w14:lumMod w14:val="95000"/>
                      <w14:lumOff w14:val="5000"/>
                    </w14:schemeClr>
                  </w14:solidFill>
                </w14:textFill>
              </w:rPr>
              <w:t>）</w:t>
            </w:r>
            <w:r>
              <w:rPr>
                <w:rFonts w:hint="eastAsia" w:cs="宋体"/>
                <w:bCs/>
                <w:color w:val="0D0D0D" w:themeColor="text1" w:themeTint="F2"/>
                <w:spacing w:val="-10"/>
                <w:sz w:val="24"/>
                <w14:textFill>
                  <w14:solidFill>
                    <w14:schemeClr w14:val="tx1">
                      <w14:lumMod w14:val="95000"/>
                      <w14:lumOff w14:val="5000"/>
                    </w14:schemeClr>
                  </w14:solidFill>
                </w14:textFill>
              </w:rPr>
              <w:t>相关要求</w:t>
            </w:r>
            <w:r>
              <w:rPr>
                <w:rFonts w:cs="宋体"/>
                <w:bCs/>
                <w:color w:val="0D0D0D" w:themeColor="text1" w:themeTint="F2"/>
                <w:spacing w:val="-10"/>
                <w:sz w:val="24"/>
                <w14:textFill>
                  <w14:solidFill>
                    <w14:schemeClr w14:val="tx1">
                      <w14:lumMod w14:val="95000"/>
                      <w14:lumOff w14:val="5000"/>
                    </w14:schemeClr>
                  </w14:solidFill>
                </w14:textFill>
              </w:rPr>
              <w:t>进行建</w:t>
            </w:r>
            <w:r>
              <w:rPr>
                <w:rFonts w:hint="eastAsia" w:cs="宋体"/>
                <w:bCs/>
                <w:color w:val="0D0D0D" w:themeColor="text1" w:themeTint="F2"/>
                <w:spacing w:val="-10"/>
                <w:sz w:val="24"/>
                <w14:textFill>
                  <w14:solidFill>
                    <w14:schemeClr w14:val="tx1">
                      <w14:lumMod w14:val="95000"/>
                      <w14:lumOff w14:val="5000"/>
                    </w14:schemeClr>
                  </w14:solidFill>
                </w14:textFill>
              </w:rPr>
              <w:t>设。</w:t>
            </w:r>
            <w:r>
              <w:rPr>
                <w:rFonts w:cs="宋体"/>
                <w:bCs/>
                <w:color w:val="0D0D0D" w:themeColor="text1" w:themeTint="F2"/>
                <w:spacing w:val="-10"/>
                <w:sz w:val="24"/>
                <w14:textFill>
                  <w14:solidFill>
                    <w14:schemeClr w14:val="tx1">
                      <w14:lumMod w14:val="95000"/>
                      <w14:lumOff w14:val="5000"/>
                    </w14:schemeClr>
                  </w14:solidFill>
                </w14:textFill>
              </w:rPr>
              <w:t>项目对</w:t>
            </w:r>
            <w:r>
              <w:rPr>
                <w:rFonts w:hint="eastAsia" w:cs="宋体"/>
                <w:bCs/>
                <w:color w:val="0D0D0D" w:themeColor="text1" w:themeTint="F2"/>
                <w:spacing w:val="-10"/>
                <w:sz w:val="24"/>
                <w14:textFill>
                  <w14:solidFill>
                    <w14:schemeClr w14:val="tx1">
                      <w14:lumMod w14:val="95000"/>
                      <w14:lumOff w14:val="5000"/>
                    </w14:schemeClr>
                  </w14:solidFill>
                </w14:textFill>
              </w:rPr>
              <w:t>一般工业固体废物</w:t>
            </w:r>
            <w:r>
              <w:rPr>
                <w:rFonts w:cs="宋体"/>
                <w:bCs/>
                <w:color w:val="0D0D0D" w:themeColor="text1" w:themeTint="F2"/>
                <w:spacing w:val="-10"/>
                <w:sz w:val="24"/>
                <w14:textFill>
                  <w14:solidFill>
                    <w14:schemeClr w14:val="tx1">
                      <w14:lumMod w14:val="95000"/>
                      <w14:lumOff w14:val="5000"/>
                    </w14:schemeClr>
                  </w14:solidFill>
                </w14:textFill>
              </w:rPr>
              <w:t>的收集和暂存需采取</w:t>
            </w:r>
            <w:r>
              <w:rPr>
                <w:rFonts w:hint="eastAsia" w:cs="宋体"/>
                <w:bCs/>
                <w:color w:val="0D0D0D" w:themeColor="text1" w:themeTint="F2"/>
                <w:spacing w:val="-10"/>
                <w:sz w:val="24"/>
                <w14:textFill>
                  <w14:solidFill>
                    <w14:schemeClr w14:val="tx1">
                      <w14:lumMod w14:val="95000"/>
                      <w14:lumOff w14:val="5000"/>
                    </w14:schemeClr>
                  </w14:solidFill>
                </w14:textFill>
              </w:rPr>
              <w:t>以</w:t>
            </w:r>
            <w:r>
              <w:rPr>
                <w:rFonts w:cs="宋体"/>
                <w:bCs/>
                <w:color w:val="0D0D0D" w:themeColor="text1" w:themeTint="F2"/>
                <w:spacing w:val="-10"/>
                <w:sz w:val="24"/>
                <w14:textFill>
                  <w14:solidFill>
                    <w14:schemeClr w14:val="tx1">
                      <w14:lumMod w14:val="95000"/>
                      <w14:lumOff w14:val="5000"/>
                    </w14:schemeClr>
                  </w14:solidFill>
                </w14:textFill>
              </w:rPr>
              <w:t>下措施：</w:t>
            </w:r>
          </w:p>
          <w:p w14:paraId="0597A4B6">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①</w:t>
            </w:r>
            <w:r>
              <w:rPr>
                <w:rFonts w:cs="宋体"/>
                <w:bCs/>
                <w:color w:val="0D0D0D" w:themeColor="text1" w:themeTint="F2"/>
                <w:spacing w:val="-10"/>
                <w:sz w:val="24"/>
                <w14:textFill>
                  <w14:solidFill>
                    <w14:schemeClr w14:val="tx1">
                      <w14:lumMod w14:val="95000"/>
                      <w14:lumOff w14:val="5000"/>
                    </w14:schemeClr>
                  </w14:solidFill>
                </w14:textFill>
              </w:rPr>
              <w:t>一般工业固体废物分类收集</w:t>
            </w:r>
            <w:r>
              <w:rPr>
                <w:rFonts w:hint="eastAsia" w:cs="宋体"/>
                <w:bCs/>
                <w:color w:val="0D0D0D" w:themeColor="text1" w:themeTint="F2"/>
                <w:spacing w:val="-10"/>
                <w:sz w:val="24"/>
                <w14:textFill>
                  <w14:solidFill>
                    <w14:schemeClr w14:val="tx1">
                      <w14:lumMod w14:val="95000"/>
                      <w14:lumOff w14:val="5000"/>
                    </w14:schemeClr>
                  </w14:solidFill>
                </w14:textFill>
              </w:rPr>
              <w:t>、储存，</w:t>
            </w:r>
            <w:r>
              <w:rPr>
                <w:rFonts w:cs="宋体"/>
                <w:bCs/>
                <w:color w:val="0D0D0D" w:themeColor="text1" w:themeTint="F2"/>
                <w:spacing w:val="-10"/>
                <w:sz w:val="24"/>
                <w14:textFill>
                  <w14:solidFill>
                    <w14:schemeClr w14:val="tx1">
                      <w14:lumMod w14:val="95000"/>
                      <w14:lumOff w14:val="5000"/>
                    </w14:schemeClr>
                  </w14:solidFill>
                </w14:textFill>
              </w:rPr>
              <w:t>不</w:t>
            </w:r>
            <w:r>
              <w:rPr>
                <w:rFonts w:hint="eastAsia" w:cs="宋体"/>
                <w:bCs/>
                <w:color w:val="0D0D0D" w:themeColor="text1" w:themeTint="F2"/>
                <w:spacing w:val="-10"/>
                <w:sz w:val="24"/>
                <w14:textFill>
                  <w14:solidFill>
                    <w14:schemeClr w14:val="tx1">
                      <w14:lumMod w14:val="95000"/>
                      <w14:lumOff w14:val="5000"/>
                    </w14:schemeClr>
                  </w14:solidFill>
                </w14:textFill>
              </w:rPr>
              <w:t>将</w:t>
            </w:r>
            <w:r>
              <w:rPr>
                <w:rFonts w:cs="宋体"/>
                <w:bCs/>
                <w:color w:val="0D0D0D" w:themeColor="text1" w:themeTint="F2"/>
                <w:spacing w:val="-10"/>
                <w:sz w:val="24"/>
                <w14:textFill>
                  <w14:solidFill>
                    <w14:schemeClr w14:val="tx1">
                      <w14:lumMod w14:val="95000"/>
                      <w14:lumOff w14:val="5000"/>
                    </w14:schemeClr>
                  </w14:solidFill>
                </w14:textFill>
              </w:rPr>
              <w:t>生活垃圾</w:t>
            </w:r>
            <w:r>
              <w:rPr>
                <w:rFonts w:hint="eastAsia" w:cs="宋体"/>
                <w:bCs/>
                <w:color w:val="0D0D0D" w:themeColor="text1" w:themeTint="F2"/>
                <w:spacing w:val="-10"/>
                <w:sz w:val="24"/>
                <w14:textFill>
                  <w14:solidFill>
                    <w14:schemeClr w14:val="tx1">
                      <w14:lumMod w14:val="95000"/>
                      <w14:lumOff w14:val="5000"/>
                    </w14:schemeClr>
                  </w14:solidFill>
                </w14:textFill>
              </w:rPr>
              <w:t>和危险废物</w:t>
            </w:r>
            <w:r>
              <w:rPr>
                <w:rFonts w:cs="宋体"/>
                <w:bCs/>
                <w:color w:val="0D0D0D" w:themeColor="text1" w:themeTint="F2"/>
                <w:spacing w:val="-10"/>
                <w:sz w:val="24"/>
                <w14:textFill>
                  <w14:solidFill>
                    <w14:schemeClr w14:val="tx1">
                      <w14:lumMod w14:val="95000"/>
                      <w14:lumOff w14:val="5000"/>
                    </w14:schemeClr>
                  </w14:solidFill>
                </w14:textFill>
              </w:rPr>
              <w:t>混入。</w:t>
            </w:r>
          </w:p>
          <w:p w14:paraId="25969BD5">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②</w:t>
            </w:r>
            <w:r>
              <w:rPr>
                <w:rFonts w:cs="宋体"/>
                <w:bCs/>
                <w:color w:val="0D0D0D" w:themeColor="text1" w:themeTint="F2"/>
                <w:spacing w:val="-10"/>
                <w:sz w:val="24"/>
                <w14:textFill>
                  <w14:solidFill>
                    <w14:schemeClr w14:val="tx1">
                      <w14:lumMod w14:val="95000"/>
                      <w14:lumOff w14:val="5000"/>
                    </w14:schemeClr>
                  </w14:solidFill>
                </w14:textFill>
              </w:rPr>
              <w:t>尽量将可利用的一般工业固体废物回收、利用。</w:t>
            </w:r>
          </w:p>
          <w:p w14:paraId="08AE4E15">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③贮存过程应满足防渗漏、防雨淋、防扬尘等环境保护要求</w:t>
            </w:r>
          </w:p>
          <w:p w14:paraId="1DE4F952">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项目在生产车间设置</w:t>
            </w:r>
            <w:r>
              <w:rPr>
                <w:rFonts w:cs="宋体"/>
                <w:bCs/>
                <w:color w:val="0D0D0D" w:themeColor="text1" w:themeTint="F2"/>
                <w:spacing w:val="-10"/>
                <w:sz w:val="24"/>
                <w:u w:val="single"/>
                <w14:textFill>
                  <w14:solidFill>
                    <w14:schemeClr w14:val="tx1">
                      <w14:lumMod w14:val="95000"/>
                      <w14:lumOff w14:val="5000"/>
                    </w14:schemeClr>
                  </w14:solidFill>
                </w14:textFill>
              </w:rPr>
              <w:t>一般</w:t>
            </w:r>
            <w:r>
              <w:rPr>
                <w:rFonts w:hint="eastAsia" w:cs="宋体"/>
                <w:bCs/>
                <w:color w:val="0D0D0D" w:themeColor="text1" w:themeTint="F2"/>
                <w:spacing w:val="-10"/>
                <w:sz w:val="24"/>
                <w:u w:val="single"/>
                <w14:textFill>
                  <w14:solidFill>
                    <w14:schemeClr w14:val="tx1">
                      <w14:lumMod w14:val="95000"/>
                      <w14:lumOff w14:val="5000"/>
                    </w14:schemeClr>
                  </w14:solidFill>
                </w14:textFill>
              </w:rPr>
              <w:t>固废暂存间，占地面积为5</w:t>
            </w:r>
            <w:r>
              <w:rPr>
                <w:rFonts w:cs="宋体"/>
                <w:bCs/>
                <w:color w:val="0D0D0D" w:themeColor="text1" w:themeTint="F2"/>
                <w:spacing w:val="-10"/>
                <w:sz w:val="24"/>
                <w:u w:val="single"/>
                <w14:textFill>
                  <w14:solidFill>
                    <w14:schemeClr w14:val="tx1">
                      <w14:lumMod w14:val="95000"/>
                      <w14:lumOff w14:val="5000"/>
                    </w14:schemeClr>
                  </w14:solidFill>
                </w14:textFill>
              </w:rPr>
              <w:t>m</w:t>
            </w:r>
            <w:r>
              <w:rPr>
                <w:rFonts w:cs="宋体"/>
                <w:bCs/>
                <w:color w:val="0D0D0D" w:themeColor="text1" w:themeTint="F2"/>
                <w:spacing w:val="-10"/>
                <w:sz w:val="24"/>
                <w:u w:val="single"/>
                <w:vertAlign w:val="superscript"/>
                <w14:textFill>
                  <w14:solidFill>
                    <w14:schemeClr w14:val="tx1">
                      <w14:lumMod w14:val="95000"/>
                      <w14:lumOff w14:val="5000"/>
                    </w14:schemeClr>
                  </w14:solidFill>
                </w14:textFill>
              </w:rPr>
              <w:t>2</w:t>
            </w:r>
            <w:r>
              <w:rPr>
                <w:rFonts w:hint="eastAsia" w:cs="宋体"/>
                <w:bCs/>
                <w:color w:val="0D0D0D" w:themeColor="text1" w:themeTint="F2"/>
                <w:spacing w:val="-10"/>
                <w:sz w:val="24"/>
                <w:u w:val="single"/>
                <w14:textFill>
                  <w14:solidFill>
                    <w14:schemeClr w14:val="tx1">
                      <w14:lumMod w14:val="95000"/>
                      <w14:lumOff w14:val="5000"/>
                    </w14:schemeClr>
                  </w14:solidFill>
                </w14:textFill>
              </w:rPr>
              <w:t>，</w:t>
            </w:r>
            <w:r>
              <w:rPr>
                <w:rFonts w:cs="宋体"/>
                <w:bCs/>
                <w:color w:val="0D0D0D" w:themeColor="text1" w:themeTint="F2"/>
                <w:spacing w:val="-10"/>
                <w:sz w:val="24"/>
                <w:u w:val="single"/>
                <w14:textFill>
                  <w14:solidFill>
                    <w14:schemeClr w14:val="tx1">
                      <w14:lumMod w14:val="95000"/>
                      <w14:lumOff w14:val="5000"/>
                    </w14:schemeClr>
                  </w14:solidFill>
                </w14:textFill>
              </w:rPr>
              <w:t>最大临时贮存量约</w:t>
            </w:r>
            <w:r>
              <w:rPr>
                <w:rFonts w:hint="eastAsia" w:cs="宋体"/>
                <w:bCs/>
                <w:color w:val="0D0D0D" w:themeColor="text1" w:themeTint="F2"/>
                <w:spacing w:val="-10"/>
                <w:sz w:val="24"/>
                <w:u w:val="single"/>
                <w14:textFill>
                  <w14:solidFill>
                    <w14:schemeClr w14:val="tx1">
                      <w14:lumMod w14:val="95000"/>
                      <w14:lumOff w14:val="5000"/>
                    </w14:schemeClr>
                  </w14:solidFill>
                </w14:textFill>
              </w:rPr>
              <w:t>5</w:t>
            </w:r>
            <w:r>
              <w:rPr>
                <w:rFonts w:cs="宋体"/>
                <w:bCs/>
                <w:color w:val="0D0D0D" w:themeColor="text1" w:themeTint="F2"/>
                <w:spacing w:val="-10"/>
                <w:sz w:val="24"/>
                <w:u w:val="single"/>
                <w14:textFill>
                  <w14:solidFill>
                    <w14:schemeClr w14:val="tx1">
                      <w14:lumMod w14:val="95000"/>
                      <w14:lumOff w14:val="5000"/>
                    </w14:schemeClr>
                  </w14:solidFill>
                </w14:textFill>
              </w:rPr>
              <w:t>t，</w:t>
            </w:r>
            <w:r>
              <w:rPr>
                <w:rFonts w:hint="eastAsia" w:cs="宋体"/>
                <w:bCs/>
                <w:color w:val="0D0D0D" w:themeColor="text1" w:themeTint="F2"/>
                <w:spacing w:val="-10"/>
                <w:sz w:val="24"/>
                <w:u w:val="single"/>
                <w14:textFill>
                  <w14:solidFill>
                    <w14:schemeClr w14:val="tx1">
                      <w14:lumMod w14:val="95000"/>
                      <w14:lumOff w14:val="5000"/>
                    </w14:schemeClr>
                  </w14:solidFill>
                </w14:textFill>
              </w:rPr>
              <w:t>除尘设备废滤芯、除尘器收集粉尘和废钢丸产生量为5.08t/a，除尘设备废滤芯、除尘器收集粉尘和废钢丸</w:t>
            </w:r>
            <w:r>
              <w:rPr>
                <w:rFonts w:cs="宋体"/>
                <w:bCs/>
                <w:color w:val="0D0D0D" w:themeColor="text1" w:themeTint="F2"/>
                <w:spacing w:val="-10"/>
                <w:sz w:val="24"/>
                <w:u w:val="single"/>
                <w14:textFill>
                  <w14:solidFill>
                    <w14:schemeClr w14:val="tx1">
                      <w14:lumMod w14:val="95000"/>
                      <w14:lumOff w14:val="5000"/>
                    </w14:schemeClr>
                  </w14:solidFill>
                </w14:textFill>
              </w:rPr>
              <w:t>一般不长时间堆积</w:t>
            </w:r>
            <w:r>
              <w:rPr>
                <w:rFonts w:hint="eastAsia" w:cs="宋体"/>
                <w:bCs/>
                <w:color w:val="0D0D0D" w:themeColor="text1" w:themeTint="F2"/>
                <w:spacing w:val="-10"/>
                <w:sz w:val="24"/>
                <w:u w:val="single"/>
                <w14:textFill>
                  <w14:solidFill>
                    <w14:schemeClr w14:val="tx1">
                      <w14:lumMod w14:val="95000"/>
                      <w14:lumOff w14:val="5000"/>
                    </w14:schemeClr>
                  </w14:solidFill>
                </w14:textFill>
              </w:rPr>
              <w:t>，</w:t>
            </w:r>
            <w:r>
              <w:rPr>
                <w:rFonts w:cs="宋体"/>
                <w:bCs/>
                <w:color w:val="0D0D0D" w:themeColor="text1" w:themeTint="F2"/>
                <w:spacing w:val="-10"/>
                <w:sz w:val="24"/>
                <w:u w:val="single"/>
                <w14:textFill>
                  <w14:solidFill>
                    <w14:schemeClr w14:val="tx1">
                      <w14:lumMod w14:val="95000"/>
                      <w14:lumOff w14:val="5000"/>
                    </w14:schemeClr>
                  </w14:solidFill>
                </w14:textFill>
              </w:rPr>
              <w:t>及时</w:t>
            </w:r>
            <w:r>
              <w:rPr>
                <w:rFonts w:hint="eastAsia" w:cs="宋体"/>
                <w:bCs/>
                <w:color w:val="0D0D0D" w:themeColor="text1" w:themeTint="F2"/>
                <w:spacing w:val="-10"/>
                <w:sz w:val="24"/>
                <w:u w:val="single"/>
                <w14:textFill>
                  <w14:solidFill>
                    <w14:schemeClr w14:val="tx1">
                      <w14:lumMod w14:val="95000"/>
                      <w14:lumOff w14:val="5000"/>
                    </w14:schemeClr>
                  </w14:solidFill>
                </w14:textFill>
              </w:rPr>
              <w:t>外售第三方单位资源化利用，</w:t>
            </w:r>
            <w:r>
              <w:rPr>
                <w:rFonts w:cs="宋体"/>
                <w:bCs/>
                <w:color w:val="0D0D0D" w:themeColor="text1" w:themeTint="F2"/>
                <w:spacing w:val="-10"/>
                <w:sz w:val="24"/>
                <w:u w:val="single"/>
                <w14:textFill>
                  <w14:solidFill>
                    <w14:schemeClr w14:val="tx1">
                      <w14:lumMod w14:val="95000"/>
                      <w14:lumOff w14:val="5000"/>
                    </w14:schemeClr>
                  </w14:solidFill>
                </w14:textFill>
              </w:rPr>
              <w:t>因此，一般</w:t>
            </w:r>
            <w:r>
              <w:rPr>
                <w:rFonts w:hint="eastAsia" w:cs="宋体"/>
                <w:bCs/>
                <w:color w:val="0D0D0D" w:themeColor="text1" w:themeTint="F2"/>
                <w:spacing w:val="-10"/>
                <w:sz w:val="24"/>
                <w:u w:val="single"/>
                <w14:textFill>
                  <w14:solidFill>
                    <w14:schemeClr w14:val="tx1">
                      <w14:lumMod w14:val="95000"/>
                      <w14:lumOff w14:val="5000"/>
                    </w14:schemeClr>
                  </w14:solidFill>
                </w14:textFill>
              </w:rPr>
              <w:t>固废暂存间</w:t>
            </w:r>
            <w:r>
              <w:rPr>
                <w:rFonts w:cs="宋体"/>
                <w:bCs/>
                <w:color w:val="0D0D0D" w:themeColor="text1" w:themeTint="F2"/>
                <w:spacing w:val="-10"/>
                <w:sz w:val="24"/>
                <w:u w:val="single"/>
                <w14:textFill>
                  <w14:solidFill>
                    <w14:schemeClr w14:val="tx1">
                      <w14:lumMod w14:val="95000"/>
                      <w14:lumOff w14:val="5000"/>
                    </w14:schemeClr>
                  </w14:solidFill>
                </w14:textFill>
              </w:rPr>
              <w:t>可满足贮存</w:t>
            </w:r>
            <w:r>
              <w:rPr>
                <w:rFonts w:hint="eastAsia" w:cs="宋体"/>
                <w:bCs/>
                <w:color w:val="0D0D0D" w:themeColor="text1" w:themeTint="F2"/>
                <w:spacing w:val="-10"/>
                <w:sz w:val="24"/>
                <w:u w:val="single"/>
                <w14:textFill>
                  <w14:solidFill>
                    <w14:schemeClr w14:val="tx1">
                      <w14:lumMod w14:val="95000"/>
                      <w14:lumOff w14:val="5000"/>
                    </w14:schemeClr>
                  </w14:solidFill>
                </w14:textFill>
              </w:rPr>
              <w:t>需求</w:t>
            </w:r>
            <w:r>
              <w:rPr>
                <w:rFonts w:cs="宋体"/>
                <w:bCs/>
                <w:color w:val="0D0D0D" w:themeColor="text1" w:themeTint="F2"/>
                <w:spacing w:val="-10"/>
                <w:sz w:val="24"/>
                <w:u w:val="single"/>
                <w14:textFill>
                  <w14:solidFill>
                    <w14:schemeClr w14:val="tx1">
                      <w14:lumMod w14:val="95000"/>
                      <w14:lumOff w14:val="5000"/>
                    </w14:schemeClr>
                  </w14:solidFill>
                </w14:textFill>
              </w:rPr>
              <w:t>。</w:t>
            </w:r>
          </w:p>
          <w:p w14:paraId="743D8871">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（3）危险废物</w:t>
            </w:r>
          </w:p>
          <w:p w14:paraId="77A84617">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项目在生产车间设置1间危废暂存间，占地面积为5</w:t>
            </w:r>
            <w:r>
              <w:rPr>
                <w:rFonts w:cs="宋体"/>
                <w:bCs/>
                <w:color w:val="0D0D0D" w:themeColor="text1" w:themeTint="F2"/>
                <w:spacing w:val="-10"/>
                <w:sz w:val="24"/>
                <w:u w:val="single"/>
                <w14:textFill>
                  <w14:solidFill>
                    <w14:schemeClr w14:val="tx1">
                      <w14:lumMod w14:val="95000"/>
                      <w14:lumOff w14:val="5000"/>
                    </w14:schemeClr>
                  </w14:solidFill>
                </w14:textFill>
              </w:rPr>
              <w:t>m</w:t>
            </w:r>
            <w:r>
              <w:rPr>
                <w:rFonts w:cs="宋体"/>
                <w:bCs/>
                <w:color w:val="0D0D0D" w:themeColor="text1" w:themeTint="F2"/>
                <w:spacing w:val="-10"/>
                <w:sz w:val="24"/>
                <w:u w:val="single"/>
                <w:vertAlign w:val="superscript"/>
                <w14:textFill>
                  <w14:solidFill>
                    <w14:schemeClr w14:val="tx1">
                      <w14:lumMod w14:val="95000"/>
                      <w14:lumOff w14:val="5000"/>
                    </w14:schemeClr>
                  </w14:solidFill>
                </w14:textFill>
              </w:rPr>
              <w:t>2</w:t>
            </w:r>
            <w:r>
              <w:rPr>
                <w:rFonts w:hint="eastAsia" w:cs="宋体"/>
                <w:bCs/>
                <w:color w:val="0D0D0D" w:themeColor="text1" w:themeTint="F2"/>
                <w:spacing w:val="-10"/>
                <w:sz w:val="24"/>
                <w:u w:val="single"/>
                <w14:textFill>
                  <w14:solidFill>
                    <w14:schemeClr w14:val="tx1">
                      <w14:lumMod w14:val="95000"/>
                      <w14:lumOff w14:val="5000"/>
                    </w14:schemeClr>
                  </w14:solidFill>
                </w14:textFill>
              </w:rPr>
              <w:t>，</w:t>
            </w:r>
            <w:r>
              <w:rPr>
                <w:rFonts w:cs="宋体"/>
                <w:bCs/>
                <w:color w:val="0D0D0D" w:themeColor="text1" w:themeTint="F2"/>
                <w:spacing w:val="-10"/>
                <w:sz w:val="24"/>
                <w:u w:val="single"/>
                <w14:textFill>
                  <w14:solidFill>
                    <w14:schemeClr w14:val="tx1">
                      <w14:lumMod w14:val="95000"/>
                      <w14:lumOff w14:val="5000"/>
                    </w14:schemeClr>
                  </w14:solidFill>
                </w14:textFill>
              </w:rPr>
              <w:t>最大临时贮存量约</w:t>
            </w:r>
            <w:r>
              <w:rPr>
                <w:rFonts w:hint="eastAsia" w:cs="宋体"/>
                <w:bCs/>
                <w:color w:val="0D0D0D" w:themeColor="text1" w:themeTint="F2"/>
                <w:spacing w:val="-10"/>
                <w:sz w:val="24"/>
                <w:u w:val="single"/>
                <w14:textFill>
                  <w14:solidFill>
                    <w14:schemeClr w14:val="tx1">
                      <w14:lumMod w14:val="95000"/>
                      <w14:lumOff w14:val="5000"/>
                    </w14:schemeClr>
                  </w14:solidFill>
                </w14:textFill>
              </w:rPr>
              <w:t>5</w:t>
            </w:r>
            <w:r>
              <w:rPr>
                <w:rFonts w:cs="宋体"/>
                <w:bCs/>
                <w:color w:val="0D0D0D" w:themeColor="text1" w:themeTint="F2"/>
                <w:spacing w:val="-10"/>
                <w:sz w:val="24"/>
                <w:u w:val="single"/>
                <w14:textFill>
                  <w14:solidFill>
                    <w14:schemeClr w14:val="tx1">
                      <w14:lumMod w14:val="95000"/>
                      <w14:lumOff w14:val="5000"/>
                    </w14:schemeClr>
                  </w14:solidFill>
                </w14:textFill>
              </w:rPr>
              <w:t>t，项目危废产生</w:t>
            </w:r>
            <w:r>
              <w:rPr>
                <w:rFonts w:hint="eastAsia" w:cs="宋体"/>
                <w:bCs/>
                <w:color w:val="0D0D0D" w:themeColor="text1" w:themeTint="F2"/>
                <w:spacing w:val="-10"/>
                <w:sz w:val="24"/>
                <w:u w:val="single"/>
                <w14:textFill>
                  <w14:solidFill>
                    <w14:schemeClr w14:val="tx1">
                      <w14:lumMod w14:val="95000"/>
                      <w14:lumOff w14:val="5000"/>
                    </w14:schemeClr>
                  </w14:solidFill>
                </w14:textFill>
              </w:rPr>
              <w:t>总</w:t>
            </w:r>
            <w:r>
              <w:rPr>
                <w:rFonts w:cs="宋体"/>
                <w:bCs/>
                <w:color w:val="0D0D0D" w:themeColor="text1" w:themeTint="F2"/>
                <w:spacing w:val="-10"/>
                <w:sz w:val="24"/>
                <w:u w:val="single"/>
                <w14:textFill>
                  <w14:solidFill>
                    <w14:schemeClr w14:val="tx1">
                      <w14:lumMod w14:val="95000"/>
                      <w14:lumOff w14:val="5000"/>
                    </w14:schemeClr>
                  </w14:solidFill>
                </w14:textFill>
              </w:rPr>
              <w:t>量为</w:t>
            </w:r>
            <w:r>
              <w:rPr>
                <w:rFonts w:hint="eastAsia" w:cs="宋体"/>
                <w:bCs/>
                <w:color w:val="0D0D0D" w:themeColor="text1" w:themeTint="F2"/>
                <w:spacing w:val="-10"/>
                <w:sz w:val="24"/>
                <w:u w:val="single"/>
                <w14:textFill>
                  <w14:solidFill>
                    <w14:schemeClr w14:val="tx1">
                      <w14:lumMod w14:val="95000"/>
                      <w14:lumOff w14:val="5000"/>
                    </w14:schemeClr>
                  </w14:solidFill>
                </w14:textFill>
              </w:rPr>
              <w:t>2.42</w:t>
            </w:r>
            <w:r>
              <w:rPr>
                <w:rFonts w:cs="宋体"/>
                <w:bCs/>
                <w:color w:val="0D0D0D" w:themeColor="text1" w:themeTint="F2"/>
                <w:spacing w:val="-10"/>
                <w:sz w:val="24"/>
                <w:u w:val="single"/>
                <w14:textFill>
                  <w14:solidFill>
                    <w14:schemeClr w14:val="tx1">
                      <w14:lumMod w14:val="95000"/>
                      <w14:lumOff w14:val="5000"/>
                    </w14:schemeClr>
                  </w14:solidFill>
                </w14:textFill>
              </w:rPr>
              <w:t>t/a，</w:t>
            </w:r>
            <w:r>
              <w:rPr>
                <w:rFonts w:hint="eastAsia" w:cs="宋体"/>
                <w:bCs/>
                <w:color w:val="0D0D0D" w:themeColor="text1" w:themeTint="F2"/>
                <w:spacing w:val="-10"/>
                <w:sz w:val="24"/>
                <w:u w:val="single"/>
                <w14:textFill>
                  <w14:solidFill>
                    <w14:schemeClr w14:val="tx1">
                      <w14:lumMod w14:val="95000"/>
                      <w14:lumOff w14:val="5000"/>
                    </w14:schemeClr>
                  </w14:solidFill>
                </w14:textFill>
              </w:rPr>
              <w:t>危险废物</w:t>
            </w:r>
            <w:r>
              <w:rPr>
                <w:rFonts w:cs="宋体"/>
                <w:bCs/>
                <w:color w:val="0D0D0D" w:themeColor="text1" w:themeTint="F2"/>
                <w:spacing w:val="-10"/>
                <w:sz w:val="24"/>
                <w:u w:val="single"/>
                <w14:textFill>
                  <w14:solidFill>
                    <w14:schemeClr w14:val="tx1">
                      <w14:lumMod w14:val="95000"/>
                      <w14:lumOff w14:val="5000"/>
                    </w14:schemeClr>
                  </w14:solidFill>
                </w14:textFill>
              </w:rPr>
              <w:t>转运周期为</w:t>
            </w:r>
            <w:r>
              <w:rPr>
                <w:rFonts w:hint="eastAsia" w:cs="宋体"/>
                <w:bCs/>
                <w:color w:val="0D0D0D" w:themeColor="text1" w:themeTint="F2"/>
                <w:spacing w:val="-10"/>
                <w:sz w:val="24"/>
                <w:u w:val="single"/>
                <w14:textFill>
                  <w14:solidFill>
                    <w14:schemeClr w14:val="tx1">
                      <w14:lumMod w14:val="95000"/>
                      <w14:lumOff w14:val="5000"/>
                    </w14:schemeClr>
                  </w14:solidFill>
                </w14:textFill>
              </w:rPr>
              <w:t>一</w:t>
            </w:r>
            <w:r>
              <w:rPr>
                <w:rFonts w:cs="宋体"/>
                <w:bCs/>
                <w:color w:val="0D0D0D" w:themeColor="text1" w:themeTint="F2"/>
                <w:spacing w:val="-10"/>
                <w:sz w:val="24"/>
                <w:u w:val="single"/>
                <w14:textFill>
                  <w14:solidFill>
                    <w14:schemeClr w14:val="tx1">
                      <w14:lumMod w14:val="95000"/>
                      <w14:lumOff w14:val="5000"/>
                    </w14:schemeClr>
                  </w14:solidFill>
                </w14:textFill>
              </w:rPr>
              <w:t>年，危废最大暂存量为</w:t>
            </w:r>
            <w:r>
              <w:rPr>
                <w:rFonts w:hint="eastAsia" w:cs="宋体"/>
                <w:bCs/>
                <w:color w:val="0D0D0D" w:themeColor="text1" w:themeTint="F2"/>
                <w:spacing w:val="-10"/>
                <w:sz w:val="24"/>
                <w:u w:val="single"/>
                <w14:textFill>
                  <w14:solidFill>
                    <w14:schemeClr w14:val="tx1">
                      <w14:lumMod w14:val="95000"/>
                      <w14:lumOff w14:val="5000"/>
                    </w14:schemeClr>
                  </w14:solidFill>
                </w14:textFill>
              </w:rPr>
              <w:t>2.42</w:t>
            </w:r>
            <w:r>
              <w:rPr>
                <w:rFonts w:cs="宋体"/>
                <w:bCs/>
                <w:color w:val="0D0D0D" w:themeColor="text1" w:themeTint="F2"/>
                <w:spacing w:val="-10"/>
                <w:sz w:val="24"/>
                <w:u w:val="single"/>
                <w14:textFill>
                  <w14:solidFill>
                    <w14:schemeClr w14:val="tx1">
                      <w14:lumMod w14:val="95000"/>
                      <w14:lumOff w14:val="5000"/>
                    </w14:schemeClr>
                  </w14:solidFill>
                </w14:textFill>
              </w:rPr>
              <w:t>t/a，因此</w:t>
            </w:r>
            <w:r>
              <w:rPr>
                <w:rFonts w:hint="eastAsia" w:cs="宋体"/>
                <w:bCs/>
                <w:color w:val="0D0D0D" w:themeColor="text1" w:themeTint="F2"/>
                <w:spacing w:val="-10"/>
                <w:sz w:val="24"/>
                <w:u w:val="single"/>
                <w14:textFill>
                  <w14:solidFill>
                    <w14:schemeClr w14:val="tx1">
                      <w14:lumMod w14:val="95000"/>
                      <w14:lumOff w14:val="5000"/>
                    </w14:schemeClr>
                  </w14:solidFill>
                </w14:textFill>
              </w:rPr>
              <w:t>，危废暂存间</w:t>
            </w:r>
            <w:r>
              <w:rPr>
                <w:rFonts w:cs="宋体"/>
                <w:bCs/>
                <w:color w:val="0D0D0D" w:themeColor="text1" w:themeTint="F2"/>
                <w:spacing w:val="-10"/>
                <w:sz w:val="24"/>
                <w:u w:val="single"/>
                <w14:textFill>
                  <w14:solidFill>
                    <w14:schemeClr w14:val="tx1">
                      <w14:lumMod w14:val="95000"/>
                      <w14:lumOff w14:val="5000"/>
                    </w14:schemeClr>
                  </w14:solidFill>
                </w14:textFill>
              </w:rPr>
              <w:t>可满足贮存</w:t>
            </w:r>
            <w:r>
              <w:rPr>
                <w:rFonts w:hint="eastAsia" w:cs="宋体"/>
                <w:bCs/>
                <w:color w:val="0D0D0D" w:themeColor="text1" w:themeTint="F2"/>
                <w:spacing w:val="-10"/>
                <w:sz w:val="24"/>
                <w:u w:val="single"/>
                <w14:textFill>
                  <w14:solidFill>
                    <w14:schemeClr w14:val="tx1">
                      <w14:lumMod w14:val="95000"/>
                      <w14:lumOff w14:val="5000"/>
                    </w14:schemeClr>
                  </w14:solidFill>
                </w14:textFill>
              </w:rPr>
              <w:t>需求</w:t>
            </w:r>
            <w:r>
              <w:rPr>
                <w:rFonts w:cs="宋体"/>
                <w:bCs/>
                <w:color w:val="0D0D0D" w:themeColor="text1" w:themeTint="F2"/>
                <w:spacing w:val="-10"/>
                <w:sz w:val="24"/>
                <w:u w:val="single"/>
                <w14:textFill>
                  <w14:solidFill>
                    <w14:schemeClr w14:val="tx1">
                      <w14:lumMod w14:val="95000"/>
                      <w14:lumOff w14:val="5000"/>
                    </w14:schemeClr>
                  </w14:solidFill>
                </w14:textFill>
              </w:rPr>
              <w:t>。</w:t>
            </w:r>
          </w:p>
          <w:p w14:paraId="0D95E80E">
            <w:pPr>
              <w:adjustRightInd w:val="0"/>
              <w:snapToGrid w:val="0"/>
              <w:spacing w:line="360" w:lineRule="auto"/>
              <w:ind w:firstLine="442" w:firstLineChars="200"/>
              <w:rPr>
                <w:rFonts w:cs="宋体"/>
                <w:b/>
                <w:bCs/>
                <w:color w:val="0D0D0D" w:themeColor="text1" w:themeTint="F2"/>
                <w:spacing w:val="-10"/>
                <w:sz w:val="24"/>
                <w14:textFill>
                  <w14:solidFill>
                    <w14:schemeClr w14:val="tx1">
                      <w14:lumMod w14:val="95000"/>
                      <w14:lumOff w14:val="5000"/>
                    </w14:schemeClr>
                  </w14:solidFill>
                </w14:textFill>
              </w:rPr>
            </w:pPr>
            <w:r>
              <w:rPr>
                <w:rFonts w:hint="eastAsia" w:cs="宋体"/>
                <w:b/>
                <w:bCs/>
                <w:color w:val="0D0D0D" w:themeColor="text1" w:themeTint="F2"/>
                <w:spacing w:val="-10"/>
                <w:sz w:val="24"/>
                <w14:textFill>
                  <w14:solidFill>
                    <w14:schemeClr w14:val="tx1">
                      <w14:lumMod w14:val="95000"/>
                      <w14:lumOff w14:val="5000"/>
                    </w14:schemeClr>
                  </w14:solidFill>
                </w14:textFill>
              </w:rPr>
              <w:t>收集：</w:t>
            </w:r>
          </w:p>
          <w:p w14:paraId="4AF412C3">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项目运营期产生的</w:t>
            </w:r>
            <w:r>
              <w:rPr>
                <w:rFonts w:hint="eastAsia" w:cs="宋体"/>
                <w:bCs/>
                <w:color w:val="0D0D0D" w:themeColor="text1" w:themeTint="F2"/>
                <w:spacing w:val="-10"/>
                <w:sz w:val="24"/>
                <w14:textFill>
                  <w14:solidFill>
                    <w14:schemeClr w14:val="tx1">
                      <w14:lumMod w14:val="95000"/>
                      <w14:lumOff w14:val="5000"/>
                    </w14:schemeClr>
                  </w14:solidFill>
                </w14:textFill>
              </w:rPr>
              <w:t>危险废物</w:t>
            </w:r>
            <w:r>
              <w:rPr>
                <w:rFonts w:cs="宋体"/>
                <w:bCs/>
                <w:color w:val="0D0D0D" w:themeColor="text1" w:themeTint="F2"/>
                <w:spacing w:val="-10"/>
                <w:sz w:val="24"/>
                <w14:textFill>
                  <w14:solidFill>
                    <w14:schemeClr w14:val="tx1">
                      <w14:lumMod w14:val="95000"/>
                      <w14:lumOff w14:val="5000"/>
                    </w14:schemeClr>
                  </w14:solidFill>
                </w14:textFill>
              </w:rPr>
              <w:t>分类收集，用</w:t>
            </w:r>
            <w:r>
              <w:rPr>
                <w:rFonts w:hint="eastAsia" w:cs="宋体"/>
                <w:bCs/>
                <w:color w:val="0D0D0D" w:themeColor="text1" w:themeTint="F2"/>
                <w:spacing w:val="-10"/>
                <w:sz w:val="24"/>
                <w14:textFill>
                  <w14:solidFill>
                    <w14:schemeClr w14:val="tx1">
                      <w14:lumMod w14:val="95000"/>
                      <w14:lumOff w14:val="5000"/>
                    </w14:schemeClr>
                  </w14:solidFill>
                </w14:textFill>
              </w:rPr>
              <w:t>专用容器桶</w:t>
            </w:r>
            <w:r>
              <w:rPr>
                <w:rFonts w:cs="宋体"/>
                <w:bCs/>
                <w:color w:val="0D0D0D" w:themeColor="text1" w:themeTint="F2"/>
                <w:spacing w:val="-10"/>
                <w:sz w:val="24"/>
                <w14:textFill>
                  <w14:solidFill>
                    <w14:schemeClr w14:val="tx1">
                      <w14:lumMod w14:val="95000"/>
                      <w14:lumOff w14:val="5000"/>
                    </w14:schemeClr>
                  </w14:solidFill>
                </w14:textFill>
              </w:rPr>
              <w:t>储存，并在包装的明显位置附上危险废物标签，所有包装容器应足够安全，并经过周密检查，严防在装载、搬移或运输途中出现渗漏、溢出、抛洒或挥发等情况。</w:t>
            </w:r>
            <w:r>
              <w:rPr>
                <w:rFonts w:hint="eastAsia" w:cs="宋体"/>
                <w:bCs/>
                <w:color w:val="0D0D0D" w:themeColor="text1" w:themeTint="F2"/>
                <w:spacing w:val="-10"/>
                <w:sz w:val="24"/>
                <w14:textFill>
                  <w14:solidFill>
                    <w14:schemeClr w14:val="tx1">
                      <w14:lumMod w14:val="95000"/>
                      <w14:lumOff w14:val="5000"/>
                    </w14:schemeClr>
                  </w14:solidFill>
                </w14:textFill>
              </w:rPr>
              <w:t>本次评价要求危险废物暂存在专用容器桶时加盖密闭，以此减少挥发性有机废气的产生。</w:t>
            </w:r>
          </w:p>
          <w:p w14:paraId="1080AD17">
            <w:pPr>
              <w:adjustRightInd w:val="0"/>
              <w:snapToGrid w:val="0"/>
              <w:spacing w:line="360" w:lineRule="auto"/>
              <w:ind w:firstLine="442" w:firstLineChars="200"/>
              <w:rPr>
                <w:rFonts w:cs="宋体"/>
                <w:b/>
                <w:bCs/>
                <w:color w:val="0D0D0D" w:themeColor="text1" w:themeTint="F2"/>
                <w:spacing w:val="-10"/>
                <w:sz w:val="24"/>
                <w14:textFill>
                  <w14:solidFill>
                    <w14:schemeClr w14:val="tx1">
                      <w14:lumMod w14:val="95000"/>
                      <w14:lumOff w14:val="5000"/>
                    </w14:schemeClr>
                  </w14:solidFill>
                </w14:textFill>
              </w:rPr>
            </w:pPr>
            <w:r>
              <w:rPr>
                <w:rFonts w:hint="eastAsia" w:cs="宋体"/>
                <w:b/>
                <w:bCs/>
                <w:color w:val="0D0D0D" w:themeColor="text1" w:themeTint="F2"/>
                <w:spacing w:val="-10"/>
                <w:sz w:val="24"/>
                <w14:textFill>
                  <w14:solidFill>
                    <w14:schemeClr w14:val="tx1">
                      <w14:lumMod w14:val="95000"/>
                      <w14:lumOff w14:val="5000"/>
                    </w14:schemeClr>
                  </w14:solidFill>
                </w14:textFill>
              </w:rPr>
              <w:t>暂存要求：</w:t>
            </w:r>
          </w:p>
          <w:p w14:paraId="337D1490">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根据《危险废物贮存污染控制标准》（GB18597-20</w:t>
            </w:r>
            <w:r>
              <w:rPr>
                <w:rFonts w:cs="宋体"/>
                <w:bCs/>
                <w:color w:val="0D0D0D" w:themeColor="text1" w:themeTint="F2"/>
                <w:spacing w:val="-10"/>
                <w:sz w:val="24"/>
                <w14:textFill>
                  <w14:solidFill>
                    <w14:schemeClr w14:val="tx1">
                      <w14:lumMod w14:val="95000"/>
                      <w14:lumOff w14:val="5000"/>
                    </w14:schemeClr>
                  </w14:solidFill>
                </w14:textFill>
              </w:rPr>
              <w:t>23</w:t>
            </w:r>
            <w:r>
              <w:rPr>
                <w:rFonts w:hint="eastAsia" w:cs="宋体"/>
                <w:bCs/>
                <w:color w:val="0D0D0D" w:themeColor="text1" w:themeTint="F2"/>
                <w:spacing w:val="-10"/>
                <w:sz w:val="24"/>
                <w14:textFill>
                  <w14:solidFill>
                    <w14:schemeClr w14:val="tx1">
                      <w14:lumMod w14:val="95000"/>
                      <w14:lumOff w14:val="5000"/>
                    </w14:schemeClr>
                  </w14:solidFill>
                </w14:textFill>
              </w:rPr>
              <w:t>），设置的危险暂存间应满足以下要求：</w:t>
            </w:r>
          </w:p>
          <w:p w14:paraId="608A9D8B">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①</w:t>
            </w:r>
            <w:r>
              <w:rPr>
                <w:rFonts w:cs="宋体"/>
                <w:bCs/>
                <w:color w:val="0D0D0D" w:themeColor="text1" w:themeTint="F2"/>
                <w:spacing w:val="-10"/>
                <w:sz w:val="24"/>
                <w14:textFill>
                  <w14:solidFill>
                    <w14:schemeClr w14:val="tx1">
                      <w14:lumMod w14:val="95000"/>
                      <w14:lumOff w14:val="5000"/>
                    </w14:schemeClr>
                  </w14:solidFill>
                </w14:textFill>
              </w:rPr>
              <w:t>采取必要的防风、防晒、防雨、防漏、防渗、防腐以及其他环境污染防治措施，不应露天堆放危险废物。</w:t>
            </w:r>
          </w:p>
          <w:p w14:paraId="40CAD768">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②</w:t>
            </w:r>
            <w:r>
              <w:rPr>
                <w:rFonts w:cs="宋体"/>
                <w:bCs/>
                <w:color w:val="0D0D0D" w:themeColor="text1" w:themeTint="F2"/>
                <w:spacing w:val="-10"/>
                <w:sz w:val="24"/>
                <w14:textFill>
                  <w14:solidFill>
                    <w14:schemeClr w14:val="tx1">
                      <w14:lumMod w14:val="95000"/>
                      <w14:lumOff w14:val="5000"/>
                    </w14:schemeClr>
                  </w14:solidFill>
                </w14:textFill>
              </w:rPr>
              <w:t>设置必要的贮存分区，避免不相容的危险废物接触、混合。</w:t>
            </w:r>
          </w:p>
          <w:p w14:paraId="40B67890">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③</w:t>
            </w:r>
            <w:r>
              <w:rPr>
                <w:rFonts w:cs="宋体"/>
                <w:bCs/>
                <w:color w:val="0D0D0D" w:themeColor="text1" w:themeTint="F2"/>
                <w:spacing w:val="-10"/>
                <w:sz w:val="24"/>
                <w14:textFill>
                  <w14:solidFill>
                    <w14:schemeClr w14:val="tx1">
                      <w14:lumMod w14:val="95000"/>
                      <w14:lumOff w14:val="5000"/>
                    </w14:schemeClr>
                  </w14:solidFill>
                </w14:textFill>
              </w:rPr>
              <w:t>地面、墙面裙脚、堵截泄漏的围堰、接触危险废物的隔板和墙体等采用坚固的材料建造，表面无裂缝。</w:t>
            </w:r>
          </w:p>
          <w:p w14:paraId="333C069A">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④</w:t>
            </w:r>
            <w:r>
              <w:rPr>
                <w:rFonts w:cs="宋体"/>
                <w:bCs/>
                <w:color w:val="0D0D0D" w:themeColor="text1" w:themeTint="F2"/>
                <w:spacing w:val="-10"/>
                <w:sz w:val="24"/>
                <w14:textFill>
                  <w14:solidFill>
                    <w14:schemeClr w14:val="tx1">
                      <w14:lumMod w14:val="95000"/>
                      <w14:lumOff w14:val="5000"/>
                    </w14:schemeClr>
                  </w14:solidFill>
                </w14:textFill>
              </w:rPr>
              <w:t>贮存设施地面与裙脚采取表面防渗措施；表面防渗材料应与所接触的物料或污染物相容，可采用抗渗混凝土、高密度聚乙烯膜、钠基膨润土防水毯或其他防渗性能等效的材料。贮存的危险废物直接接触地面的，还应进行基础防渗，防渗层为至少1 m厚黏土层（渗透系数不大于10</w:t>
            </w:r>
            <w:r>
              <w:rPr>
                <w:rFonts w:cs="宋体"/>
                <w:bCs/>
                <w:color w:val="0D0D0D" w:themeColor="text1" w:themeTint="F2"/>
                <w:spacing w:val="-10"/>
                <w:sz w:val="24"/>
                <w:vertAlign w:val="superscript"/>
                <w14:textFill>
                  <w14:solidFill>
                    <w14:schemeClr w14:val="tx1">
                      <w14:lumMod w14:val="95000"/>
                      <w14:lumOff w14:val="5000"/>
                    </w14:schemeClr>
                  </w14:solidFill>
                </w14:textFill>
              </w:rPr>
              <w:t>-7</w:t>
            </w:r>
            <w:r>
              <w:rPr>
                <w:rFonts w:cs="宋体"/>
                <w:bCs/>
                <w:color w:val="0D0D0D" w:themeColor="text1" w:themeTint="F2"/>
                <w:spacing w:val="-10"/>
                <w:sz w:val="24"/>
                <w14:textFill>
                  <w14:solidFill>
                    <w14:schemeClr w14:val="tx1">
                      <w14:lumMod w14:val="95000"/>
                      <w14:lumOff w14:val="5000"/>
                    </w14:schemeClr>
                  </w14:solidFill>
                </w14:textFill>
              </w:rPr>
              <w:t>cm/s），或至少2mm厚高密度聚乙烯膜等人工防渗材料（渗透系数不大于10</w:t>
            </w:r>
            <w:r>
              <w:rPr>
                <w:rFonts w:cs="宋体"/>
                <w:bCs/>
                <w:color w:val="0D0D0D" w:themeColor="text1" w:themeTint="F2"/>
                <w:spacing w:val="-10"/>
                <w:sz w:val="24"/>
                <w:vertAlign w:val="superscript"/>
                <w14:textFill>
                  <w14:solidFill>
                    <w14:schemeClr w14:val="tx1">
                      <w14:lumMod w14:val="95000"/>
                      <w14:lumOff w14:val="5000"/>
                    </w14:schemeClr>
                  </w14:solidFill>
                </w14:textFill>
              </w:rPr>
              <w:t>-10</w:t>
            </w:r>
            <w:r>
              <w:rPr>
                <w:rFonts w:cs="宋体"/>
                <w:bCs/>
                <w:color w:val="0D0D0D" w:themeColor="text1" w:themeTint="F2"/>
                <w:spacing w:val="-10"/>
                <w:sz w:val="24"/>
                <w14:textFill>
                  <w14:solidFill>
                    <w14:schemeClr w14:val="tx1">
                      <w14:lumMod w14:val="95000"/>
                      <w14:lumOff w14:val="5000"/>
                    </w14:schemeClr>
                  </w14:solidFill>
                </w14:textFill>
              </w:rPr>
              <w:t>cm/s），或其他防渗性能等效的材料。</w:t>
            </w:r>
          </w:p>
          <w:p w14:paraId="20D61711">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⑤</w:t>
            </w:r>
            <w:r>
              <w:rPr>
                <w:rFonts w:cs="宋体"/>
                <w:bCs/>
                <w:color w:val="0D0D0D" w:themeColor="text1" w:themeTint="F2"/>
                <w:spacing w:val="-10"/>
                <w:sz w:val="24"/>
                <w14:textFill>
                  <w14:solidFill>
                    <w14:schemeClr w14:val="tx1">
                      <w14:lumMod w14:val="95000"/>
                      <w14:lumOff w14:val="5000"/>
                    </w14:schemeClr>
                  </w14:solidFill>
                </w14:textFill>
              </w:rPr>
              <w:t>采取技术和管理措施防止无关人员进入</w:t>
            </w:r>
            <w:r>
              <w:rPr>
                <w:rFonts w:hint="eastAsia" w:cs="宋体"/>
                <w:bCs/>
                <w:color w:val="0D0D0D" w:themeColor="text1" w:themeTint="F2"/>
                <w:spacing w:val="-10"/>
                <w:sz w:val="24"/>
                <w14:textFill>
                  <w14:solidFill>
                    <w14:schemeClr w14:val="tx1">
                      <w14:lumMod w14:val="95000"/>
                      <w14:lumOff w14:val="5000"/>
                    </w14:schemeClr>
                  </w14:solidFill>
                </w14:textFill>
              </w:rPr>
              <w:t>。</w:t>
            </w:r>
          </w:p>
          <w:p w14:paraId="503FA7D7">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⑥不同贮存分区之间应采取隔离措施。隔离措施可根据危险废物特性采用过道、隔板或隔墙等方式。</w:t>
            </w:r>
          </w:p>
          <w:p w14:paraId="3516B394">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⑦设置</w:t>
            </w:r>
            <w:r>
              <w:rPr>
                <w:rFonts w:cs="宋体"/>
                <w:bCs/>
                <w:color w:val="0D0D0D" w:themeColor="text1" w:themeTint="F2"/>
                <w:spacing w:val="-10"/>
                <w:sz w:val="24"/>
                <w14:textFill>
                  <w14:solidFill>
                    <w14:schemeClr w14:val="tx1">
                      <w14:lumMod w14:val="95000"/>
                      <w14:lumOff w14:val="5000"/>
                    </w14:schemeClr>
                  </w14:solidFill>
                </w14:textFill>
              </w:rPr>
              <w:t>液体泄漏堵截设施，堵截设施最小容积不应低于对应贮存区域最大液态废物容器容积或液态废物总储量1/10（二者取较大者）。</w:t>
            </w:r>
          </w:p>
          <w:p w14:paraId="42F411C0">
            <w:pPr>
              <w:adjustRightInd w:val="0"/>
              <w:snapToGrid w:val="0"/>
              <w:spacing w:line="360" w:lineRule="auto"/>
              <w:ind w:firstLine="442" w:firstLineChars="200"/>
              <w:rPr>
                <w:rFonts w:cs="宋体"/>
                <w:b/>
                <w:bCs/>
                <w:color w:val="0D0D0D" w:themeColor="text1" w:themeTint="F2"/>
                <w:spacing w:val="-10"/>
                <w:sz w:val="24"/>
                <w14:textFill>
                  <w14:solidFill>
                    <w14:schemeClr w14:val="tx1">
                      <w14:lumMod w14:val="95000"/>
                      <w14:lumOff w14:val="5000"/>
                    </w14:schemeClr>
                  </w14:solidFill>
                </w14:textFill>
              </w:rPr>
            </w:pPr>
            <w:r>
              <w:rPr>
                <w:rFonts w:hint="eastAsia" w:cs="宋体"/>
                <w:b/>
                <w:bCs/>
                <w:color w:val="0D0D0D" w:themeColor="text1" w:themeTint="F2"/>
                <w:spacing w:val="-10"/>
                <w:sz w:val="24"/>
                <w14:textFill>
                  <w14:solidFill>
                    <w14:schemeClr w14:val="tx1">
                      <w14:lumMod w14:val="95000"/>
                      <w14:lumOff w14:val="5000"/>
                    </w14:schemeClr>
                  </w14:solidFill>
                </w14:textFill>
              </w:rPr>
              <w:t>危险废物转运管理要求：</w:t>
            </w:r>
          </w:p>
          <w:p w14:paraId="2859DC8D">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①</w:t>
            </w:r>
            <w:r>
              <w:rPr>
                <w:rFonts w:cs="宋体"/>
                <w:bCs/>
                <w:color w:val="0D0D0D" w:themeColor="text1" w:themeTint="F2"/>
                <w:spacing w:val="-10"/>
                <w:sz w:val="24"/>
                <w14:textFill>
                  <w14:solidFill>
                    <w14:schemeClr w14:val="tx1">
                      <w14:lumMod w14:val="95000"/>
                      <w14:lumOff w14:val="5000"/>
                    </w14:schemeClr>
                  </w14:solidFill>
                </w14:textFill>
              </w:rPr>
              <w:t>对危险废物的转移运输要实行《危险废物转移管理办法》，实行五联单制度。</w:t>
            </w:r>
          </w:p>
          <w:p w14:paraId="1A6ED2FC">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②</w:t>
            </w:r>
            <w:r>
              <w:rPr>
                <w:rFonts w:cs="宋体"/>
                <w:bCs/>
                <w:color w:val="0D0D0D" w:themeColor="text1" w:themeTint="F2"/>
                <w:spacing w:val="-10"/>
                <w:sz w:val="24"/>
                <w14:textFill>
                  <w14:solidFill>
                    <w14:schemeClr w14:val="tx1">
                      <w14:lumMod w14:val="95000"/>
                      <w14:lumOff w14:val="5000"/>
                    </w14:schemeClr>
                  </w14:solidFill>
                </w14:textFill>
              </w:rPr>
              <w:t>建设单位在转移危险废物前，须按照国家有关规定报批危险废物转移计划；经批准后，产生单位应当向移出地</w:t>
            </w:r>
            <w:r>
              <w:rPr>
                <w:rFonts w:hint="eastAsia" w:cs="宋体"/>
                <w:bCs/>
                <w:color w:val="0D0D0D" w:themeColor="text1" w:themeTint="F2"/>
                <w:spacing w:val="-10"/>
                <w:sz w:val="24"/>
                <w14:textFill>
                  <w14:solidFill>
                    <w14:schemeClr w14:val="tx1">
                      <w14:lumMod w14:val="95000"/>
                      <w14:lumOff w14:val="5000"/>
                    </w14:schemeClr>
                  </w14:solidFill>
                </w14:textFill>
              </w:rPr>
              <w:t>生态环境</w:t>
            </w:r>
            <w:r>
              <w:rPr>
                <w:rFonts w:cs="宋体"/>
                <w:bCs/>
                <w:color w:val="0D0D0D" w:themeColor="text1" w:themeTint="F2"/>
                <w:spacing w:val="-10"/>
                <w:sz w:val="24"/>
                <w14:textFill>
                  <w14:solidFill>
                    <w14:schemeClr w14:val="tx1">
                      <w14:lumMod w14:val="95000"/>
                      <w14:lumOff w14:val="5000"/>
                    </w14:schemeClr>
                  </w14:solidFill>
                </w14:textFill>
              </w:rPr>
              <w:t>行政主管部门申请领取联单。</w:t>
            </w:r>
          </w:p>
          <w:p w14:paraId="28A0C525">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③</w:t>
            </w:r>
            <w:r>
              <w:rPr>
                <w:rFonts w:cs="宋体"/>
                <w:bCs/>
                <w:color w:val="0D0D0D" w:themeColor="text1" w:themeTint="F2"/>
                <w:spacing w:val="-10"/>
                <w:sz w:val="24"/>
                <w14:textFill>
                  <w14:solidFill>
                    <w14:schemeClr w14:val="tx1">
                      <w14:lumMod w14:val="95000"/>
                      <w14:lumOff w14:val="5000"/>
                    </w14:schemeClr>
                  </w14:solidFill>
                </w14:textFill>
              </w:rPr>
              <w:t>建设单位应当在危险废物转移前三日内报告移出地</w:t>
            </w:r>
            <w:r>
              <w:rPr>
                <w:rFonts w:hint="eastAsia" w:cs="宋体"/>
                <w:bCs/>
                <w:color w:val="0D0D0D" w:themeColor="text1" w:themeTint="F2"/>
                <w:spacing w:val="-10"/>
                <w:sz w:val="24"/>
                <w14:textFill>
                  <w14:solidFill>
                    <w14:schemeClr w14:val="tx1">
                      <w14:lumMod w14:val="95000"/>
                      <w14:lumOff w14:val="5000"/>
                    </w14:schemeClr>
                  </w14:solidFill>
                </w14:textFill>
              </w:rPr>
              <w:t>生态环境</w:t>
            </w:r>
            <w:r>
              <w:rPr>
                <w:rFonts w:cs="宋体"/>
                <w:bCs/>
                <w:color w:val="0D0D0D" w:themeColor="text1" w:themeTint="F2"/>
                <w:spacing w:val="-10"/>
                <w:sz w:val="24"/>
                <w14:textFill>
                  <w14:solidFill>
                    <w14:schemeClr w14:val="tx1">
                      <w14:lumMod w14:val="95000"/>
                      <w14:lumOff w14:val="5000"/>
                    </w14:schemeClr>
                  </w14:solidFill>
                </w14:textFill>
              </w:rPr>
              <w:t>行政主管部门，并同时将预期到达时间报告</w:t>
            </w:r>
            <w:r>
              <w:rPr>
                <w:rFonts w:hint="eastAsia" w:cs="宋体"/>
                <w:bCs/>
                <w:color w:val="0D0D0D" w:themeColor="text1" w:themeTint="F2"/>
                <w:spacing w:val="-10"/>
                <w:sz w:val="24"/>
                <w:lang w:eastAsia="zh-CN"/>
                <w14:textFill>
                  <w14:solidFill>
                    <w14:schemeClr w14:val="tx1">
                      <w14:lumMod w14:val="95000"/>
                      <w14:lumOff w14:val="5000"/>
                    </w14:schemeClr>
                  </w14:solidFill>
                </w14:textFill>
              </w:rPr>
              <w:t>接收</w:t>
            </w:r>
            <w:r>
              <w:rPr>
                <w:rFonts w:cs="宋体"/>
                <w:bCs/>
                <w:color w:val="0D0D0D" w:themeColor="text1" w:themeTint="F2"/>
                <w:spacing w:val="-10"/>
                <w:sz w:val="24"/>
                <w14:textFill>
                  <w14:solidFill>
                    <w14:schemeClr w14:val="tx1">
                      <w14:lumMod w14:val="95000"/>
                      <w14:lumOff w14:val="5000"/>
                    </w14:schemeClr>
                  </w14:solidFill>
                </w14:textFill>
              </w:rPr>
              <w:t>地</w:t>
            </w:r>
            <w:r>
              <w:rPr>
                <w:rFonts w:hint="eastAsia" w:cs="宋体"/>
                <w:bCs/>
                <w:color w:val="0D0D0D" w:themeColor="text1" w:themeTint="F2"/>
                <w:spacing w:val="-10"/>
                <w:sz w:val="24"/>
                <w14:textFill>
                  <w14:solidFill>
                    <w14:schemeClr w14:val="tx1">
                      <w14:lumMod w14:val="95000"/>
                      <w14:lumOff w14:val="5000"/>
                    </w14:schemeClr>
                  </w14:solidFill>
                </w14:textFill>
              </w:rPr>
              <w:t>生态环境</w:t>
            </w:r>
            <w:r>
              <w:rPr>
                <w:rFonts w:cs="宋体"/>
                <w:bCs/>
                <w:color w:val="0D0D0D" w:themeColor="text1" w:themeTint="F2"/>
                <w:spacing w:val="-10"/>
                <w:sz w:val="24"/>
                <w14:textFill>
                  <w14:solidFill>
                    <w14:schemeClr w14:val="tx1">
                      <w14:lumMod w14:val="95000"/>
                      <w14:lumOff w14:val="5000"/>
                    </w14:schemeClr>
                  </w14:solidFill>
                </w14:textFill>
              </w:rPr>
              <w:t>行政主管部门。</w:t>
            </w:r>
          </w:p>
          <w:p w14:paraId="3AB7EDBD">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④</w:t>
            </w:r>
            <w:r>
              <w:rPr>
                <w:rFonts w:cs="宋体"/>
                <w:bCs/>
                <w:color w:val="0D0D0D" w:themeColor="text1" w:themeTint="F2"/>
                <w:spacing w:val="-10"/>
                <w:sz w:val="24"/>
                <w14:textFill>
                  <w14:solidFill>
                    <w14:schemeClr w14:val="tx1">
                      <w14:lumMod w14:val="95000"/>
                      <w14:lumOff w14:val="5000"/>
                    </w14:schemeClr>
                  </w14:solidFill>
                </w14:textFill>
              </w:rPr>
              <w:t>建设单位应当如实填写联单中产生单位栏目，并加盖公章，经交付有资质单位核实</w:t>
            </w:r>
            <w:r>
              <w:rPr>
                <w:rFonts w:hint="eastAsia" w:cs="宋体"/>
                <w:bCs/>
                <w:color w:val="0D0D0D" w:themeColor="text1" w:themeTint="F2"/>
                <w:spacing w:val="-10"/>
                <w:sz w:val="24"/>
                <w14:textFill>
                  <w14:solidFill>
                    <w14:schemeClr w14:val="tx1">
                      <w14:lumMod w14:val="95000"/>
                      <w14:lumOff w14:val="5000"/>
                    </w14:schemeClr>
                  </w14:solidFill>
                </w14:textFill>
              </w:rPr>
              <w:t>、</w:t>
            </w:r>
            <w:r>
              <w:rPr>
                <w:rFonts w:cs="宋体"/>
                <w:bCs/>
                <w:color w:val="0D0D0D" w:themeColor="text1" w:themeTint="F2"/>
                <w:spacing w:val="-10"/>
                <w:sz w:val="24"/>
                <w14:textFill>
                  <w14:solidFill>
                    <w14:schemeClr w14:val="tx1">
                      <w14:lumMod w14:val="95000"/>
                      <w14:lumOff w14:val="5000"/>
                    </w14:schemeClr>
                  </w14:solidFill>
                </w14:textFill>
              </w:rPr>
              <w:t>验收签字后，将联单第一联副联自留存档，将联单第二联交移出地</w:t>
            </w:r>
            <w:r>
              <w:rPr>
                <w:rFonts w:hint="eastAsia" w:cs="宋体"/>
                <w:bCs/>
                <w:color w:val="0D0D0D" w:themeColor="text1" w:themeTint="F2"/>
                <w:spacing w:val="-10"/>
                <w:sz w:val="24"/>
                <w14:textFill>
                  <w14:solidFill>
                    <w14:schemeClr w14:val="tx1">
                      <w14:lumMod w14:val="95000"/>
                      <w14:lumOff w14:val="5000"/>
                    </w14:schemeClr>
                  </w14:solidFill>
                </w14:textFill>
              </w:rPr>
              <w:t>生态环境</w:t>
            </w:r>
            <w:r>
              <w:rPr>
                <w:rFonts w:cs="宋体"/>
                <w:bCs/>
                <w:color w:val="0D0D0D" w:themeColor="text1" w:themeTint="F2"/>
                <w:spacing w:val="-10"/>
                <w:sz w:val="24"/>
                <w14:textFill>
                  <w14:solidFill>
                    <w14:schemeClr w14:val="tx1">
                      <w14:lumMod w14:val="95000"/>
                      <w14:lumOff w14:val="5000"/>
                    </w14:schemeClr>
                  </w14:solidFill>
                </w14:textFill>
              </w:rPr>
              <w:t>行政主管部门，联单第一联正联及其余各联交付运输单位随危险废物转移运行。</w:t>
            </w:r>
          </w:p>
          <w:p w14:paraId="3D284892">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⑤</w:t>
            </w:r>
            <w:r>
              <w:rPr>
                <w:rFonts w:cs="宋体"/>
                <w:bCs/>
                <w:color w:val="0D0D0D" w:themeColor="text1" w:themeTint="F2"/>
                <w:spacing w:val="-10"/>
                <w:sz w:val="24"/>
                <w14:textFill>
                  <w14:solidFill>
                    <w14:schemeClr w14:val="tx1">
                      <w14:lumMod w14:val="95000"/>
                      <w14:lumOff w14:val="5000"/>
                    </w14:schemeClr>
                  </w14:solidFill>
                </w14:textFill>
              </w:rPr>
              <w:t>建设单位应委托有危险废物运输资质的单位进行运输，该单位运输车辆需有特殊标志。保证危险废物的运输要求安全可靠，要严格按照危险废物运输的管理规定进行危险废物的运输，减少运输过程中的二次污染和可能造成的环境风险。</w:t>
            </w:r>
          </w:p>
          <w:p w14:paraId="303B7C52">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建设单位目前已与广西一只桶环保科技有限公司签署危废处置协议，该企业只负责收集、贮存、处置铁质废包装容器（HW49：900-041-49），建设单位其他危险废物仍需委托其他有资质单位接收处置。</w:t>
            </w:r>
          </w:p>
          <w:p w14:paraId="781239B4">
            <w:pPr>
              <w:adjustRightInd w:val="0"/>
              <w:snapToGrid w:val="0"/>
              <w:spacing w:line="360" w:lineRule="auto"/>
              <w:ind w:firstLine="440" w:firstLineChars="200"/>
              <w:rPr>
                <w:rFonts w:cs="宋体"/>
                <w:bCs/>
                <w:color w:val="0D0D0D" w:themeColor="text1" w:themeTint="F2"/>
                <w:spacing w:val="-10"/>
                <w:sz w:val="24"/>
                <w:u w:val="single"/>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根据钦州市生态环境局公布的钦州市危险废物经营许可情况，项目周边的危险废物处置单位为广西地山环保技术有限公司，该企业位于钦州市钦南区黎合江工业集中区，许可编号为</w:t>
            </w:r>
            <w:r>
              <w:rPr>
                <w:rFonts w:cs="宋体"/>
                <w:bCs/>
                <w:color w:val="0D0D0D" w:themeColor="text1" w:themeTint="F2"/>
                <w:spacing w:val="-10"/>
                <w:sz w:val="24"/>
                <w14:textFill>
                  <w14:solidFill>
                    <w14:schemeClr w14:val="tx1">
                      <w14:lumMod w14:val="95000"/>
                      <w14:lumOff w14:val="5000"/>
                    </w14:schemeClr>
                  </w14:solidFill>
                </w14:textFill>
              </w:rPr>
              <w:t>GXQZ2022002</w:t>
            </w:r>
            <w:r>
              <w:rPr>
                <w:rFonts w:hint="eastAsia" w:cs="宋体"/>
                <w:bCs/>
                <w:color w:val="0D0D0D" w:themeColor="text1" w:themeTint="F2"/>
                <w:spacing w:val="-10"/>
                <w:sz w:val="24"/>
                <w14:textFill>
                  <w14:solidFill>
                    <w14:schemeClr w14:val="tx1">
                      <w14:lumMod w14:val="95000"/>
                      <w14:lumOff w14:val="5000"/>
                    </w14:schemeClr>
                  </w14:solidFill>
                </w14:textFill>
              </w:rPr>
              <w:t>，发证机关为广西壮族自治区生态环境厅，核准经营危险废物类别及规模为：收集、贮存HW02-05、HW08-09、HW11-13、HW16-17、HW31、HW34-35、HW39、HW49-50共17个大类142个小类危险废物，规模为1.8万吨/年，许可证有效期至2027年12月12日，联系人及联系方式为马端波0777-2399219。</w:t>
            </w:r>
            <w:r>
              <w:rPr>
                <w:rFonts w:hint="eastAsia" w:cs="宋体"/>
                <w:bCs/>
                <w:color w:val="0D0D0D" w:themeColor="text1" w:themeTint="F2"/>
                <w:spacing w:val="-10"/>
                <w:sz w:val="24"/>
                <w:u w:val="single"/>
                <w14:textFill>
                  <w14:solidFill>
                    <w14:schemeClr w14:val="tx1">
                      <w14:lumMod w14:val="95000"/>
                      <w14:lumOff w14:val="5000"/>
                    </w14:schemeClr>
                  </w14:solidFill>
                </w14:textFill>
              </w:rPr>
              <w:t>项目危险废物种类为HW12和HW49，该企业具有</w:t>
            </w:r>
            <w:r>
              <w:rPr>
                <w:rFonts w:hint="eastAsia" w:cs="宋体"/>
                <w:bCs/>
                <w:color w:val="0D0D0D" w:themeColor="text1" w:themeTint="F2"/>
                <w:spacing w:val="-10"/>
                <w:sz w:val="24"/>
                <w:u w:val="single"/>
                <w:lang w:eastAsia="zh-CN"/>
                <w14:textFill>
                  <w14:solidFill>
                    <w14:schemeClr w14:val="tx1">
                      <w14:lumMod w14:val="95000"/>
                      <w14:lumOff w14:val="5000"/>
                    </w14:schemeClr>
                  </w14:solidFill>
                </w14:textFill>
              </w:rPr>
              <w:t>接收处置</w:t>
            </w:r>
            <w:r>
              <w:rPr>
                <w:rFonts w:hint="eastAsia" w:cs="宋体"/>
                <w:bCs/>
                <w:color w:val="0D0D0D" w:themeColor="text1" w:themeTint="F2"/>
                <w:spacing w:val="-10"/>
                <w:sz w:val="24"/>
                <w:u w:val="single"/>
                <w14:textFill>
                  <w14:solidFill>
                    <w14:schemeClr w14:val="tx1">
                      <w14:lumMod w14:val="95000"/>
                      <w14:lumOff w14:val="5000"/>
                    </w14:schemeClr>
                  </w14:solidFill>
                </w14:textFill>
              </w:rPr>
              <w:t>项目危险废物的资质，因此，项目危险废物可委托广西地山环保技术有限公司进行清运处置。</w:t>
            </w:r>
          </w:p>
          <w:p w14:paraId="4D74EBDE">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综上所述，</w:t>
            </w:r>
            <w:r>
              <w:rPr>
                <w:rFonts w:hint="eastAsia" w:cs="宋体"/>
                <w:bCs/>
                <w:color w:val="0D0D0D" w:themeColor="text1" w:themeTint="F2"/>
                <w:spacing w:val="-10"/>
                <w:sz w:val="24"/>
                <w14:textFill>
                  <w14:solidFill>
                    <w14:schemeClr w14:val="tx1">
                      <w14:lumMod w14:val="95000"/>
                      <w14:lumOff w14:val="5000"/>
                    </w14:schemeClr>
                  </w14:solidFill>
                </w14:textFill>
              </w:rPr>
              <w:t>在采取上述措施后</w:t>
            </w:r>
            <w:r>
              <w:rPr>
                <w:rFonts w:cs="宋体"/>
                <w:bCs/>
                <w:color w:val="0D0D0D" w:themeColor="text1" w:themeTint="F2"/>
                <w:spacing w:val="-10"/>
                <w:sz w:val="24"/>
                <w14:textFill>
                  <w14:solidFill>
                    <w14:schemeClr w14:val="tx1">
                      <w14:lumMod w14:val="95000"/>
                      <w14:lumOff w14:val="5000"/>
                    </w14:schemeClr>
                  </w14:solidFill>
                </w14:textFill>
              </w:rPr>
              <w:t>本项目</w:t>
            </w:r>
            <w:r>
              <w:rPr>
                <w:rFonts w:hint="eastAsia" w:cs="宋体"/>
                <w:bCs/>
                <w:color w:val="0D0D0D" w:themeColor="text1" w:themeTint="F2"/>
                <w:spacing w:val="-10"/>
                <w:sz w:val="24"/>
                <w14:textFill>
                  <w14:solidFill>
                    <w14:schemeClr w14:val="tx1">
                      <w14:lumMod w14:val="95000"/>
                      <w14:lumOff w14:val="5000"/>
                    </w14:schemeClr>
                  </w14:solidFill>
                </w14:textFill>
              </w:rPr>
              <w:t>产生的</w:t>
            </w:r>
            <w:r>
              <w:rPr>
                <w:rFonts w:cs="宋体"/>
                <w:bCs/>
                <w:color w:val="0D0D0D" w:themeColor="text1" w:themeTint="F2"/>
                <w:spacing w:val="-10"/>
                <w:sz w:val="24"/>
                <w14:textFill>
                  <w14:solidFill>
                    <w14:schemeClr w14:val="tx1">
                      <w14:lumMod w14:val="95000"/>
                      <w14:lumOff w14:val="5000"/>
                    </w14:schemeClr>
                  </w14:solidFill>
                </w14:textFill>
              </w:rPr>
              <w:t>固体废物</w:t>
            </w:r>
            <w:r>
              <w:rPr>
                <w:rFonts w:hint="eastAsia" w:cs="宋体"/>
                <w:bCs/>
                <w:color w:val="0D0D0D" w:themeColor="text1" w:themeTint="F2"/>
                <w:spacing w:val="-10"/>
                <w:sz w:val="24"/>
                <w14:textFill>
                  <w14:solidFill>
                    <w14:schemeClr w14:val="tx1">
                      <w14:lumMod w14:val="95000"/>
                      <w14:lumOff w14:val="5000"/>
                    </w14:schemeClr>
                  </w14:solidFill>
                </w14:textFill>
              </w:rPr>
              <w:t>均可得到妥善、合理</w:t>
            </w:r>
            <w:r>
              <w:rPr>
                <w:rFonts w:hint="eastAsia" w:cs="宋体"/>
                <w:bCs/>
                <w:color w:val="0D0D0D" w:themeColor="text1" w:themeTint="F2"/>
                <w:spacing w:val="-10"/>
                <w:sz w:val="24"/>
                <w:lang w:eastAsia="zh-CN"/>
                <w14:textFill>
                  <w14:solidFill>
                    <w14:schemeClr w14:val="tx1">
                      <w14:lumMod w14:val="95000"/>
                      <w14:lumOff w14:val="5000"/>
                    </w14:schemeClr>
                  </w14:solidFill>
                </w14:textFill>
              </w:rPr>
              <w:t>地</w:t>
            </w:r>
            <w:r>
              <w:rPr>
                <w:rFonts w:hint="eastAsia" w:cs="宋体"/>
                <w:bCs/>
                <w:color w:val="0D0D0D" w:themeColor="text1" w:themeTint="F2"/>
                <w:spacing w:val="-10"/>
                <w:sz w:val="24"/>
                <w14:textFill>
                  <w14:solidFill>
                    <w14:schemeClr w14:val="tx1">
                      <w14:lumMod w14:val="95000"/>
                      <w14:lumOff w14:val="5000"/>
                    </w14:schemeClr>
                  </w14:solidFill>
                </w14:textFill>
              </w:rPr>
              <w:t>处置</w:t>
            </w:r>
            <w:r>
              <w:rPr>
                <w:rFonts w:cs="宋体"/>
                <w:bCs/>
                <w:color w:val="0D0D0D" w:themeColor="text1" w:themeTint="F2"/>
                <w:spacing w:val="-10"/>
                <w:sz w:val="24"/>
                <w14:textFill>
                  <w14:solidFill>
                    <w14:schemeClr w14:val="tx1">
                      <w14:lumMod w14:val="95000"/>
                      <w14:lumOff w14:val="5000"/>
                    </w14:schemeClr>
                  </w14:solidFill>
                </w14:textFill>
              </w:rPr>
              <w:t>，符合国家对固体废物处置的</w:t>
            </w:r>
            <w:r>
              <w:rPr>
                <w:rFonts w:hint="eastAsia" w:cs="宋体"/>
                <w:bCs/>
                <w:color w:val="0D0D0D" w:themeColor="text1" w:themeTint="F2"/>
                <w:spacing w:val="-10"/>
                <w:sz w:val="24"/>
                <w14:textFill>
                  <w14:solidFill>
                    <w14:schemeClr w14:val="tx1">
                      <w14:lumMod w14:val="95000"/>
                      <w14:lumOff w14:val="5000"/>
                    </w14:schemeClr>
                  </w14:solidFill>
                </w14:textFill>
              </w:rPr>
              <w:t>“</w:t>
            </w:r>
            <w:r>
              <w:rPr>
                <w:rFonts w:cs="宋体"/>
                <w:bCs/>
                <w:color w:val="0D0D0D" w:themeColor="text1" w:themeTint="F2"/>
                <w:spacing w:val="-10"/>
                <w:sz w:val="24"/>
                <w14:textFill>
                  <w14:solidFill>
                    <w14:schemeClr w14:val="tx1">
                      <w14:lumMod w14:val="95000"/>
                      <w14:lumOff w14:val="5000"/>
                    </w14:schemeClr>
                  </w14:solidFill>
                </w14:textFill>
              </w:rPr>
              <w:t>减量化、资源化和无害化</w:t>
            </w:r>
            <w:r>
              <w:rPr>
                <w:rFonts w:hint="eastAsia" w:cs="宋体"/>
                <w:bCs/>
                <w:color w:val="0D0D0D" w:themeColor="text1" w:themeTint="F2"/>
                <w:spacing w:val="-10"/>
                <w:sz w:val="24"/>
                <w14:textFill>
                  <w14:solidFill>
                    <w14:schemeClr w14:val="tx1">
                      <w14:lumMod w14:val="95000"/>
                      <w14:lumOff w14:val="5000"/>
                    </w14:schemeClr>
                  </w14:solidFill>
                </w14:textFill>
              </w:rPr>
              <w:t>”</w:t>
            </w:r>
            <w:r>
              <w:rPr>
                <w:rFonts w:cs="宋体"/>
                <w:bCs/>
                <w:color w:val="0D0D0D" w:themeColor="text1" w:themeTint="F2"/>
                <w:spacing w:val="-10"/>
                <w:sz w:val="24"/>
                <w14:textFill>
                  <w14:solidFill>
                    <w14:schemeClr w14:val="tx1">
                      <w14:lumMod w14:val="95000"/>
                      <w14:lumOff w14:val="5000"/>
                    </w14:schemeClr>
                  </w14:solidFill>
                </w14:textFill>
              </w:rPr>
              <w:t>的基本原则，处置率达100%，对周围环境的影响较小</w:t>
            </w:r>
            <w:r>
              <w:rPr>
                <w:rFonts w:hint="eastAsia" w:cs="宋体"/>
                <w:bCs/>
                <w:color w:val="0D0D0D" w:themeColor="text1" w:themeTint="F2"/>
                <w:spacing w:val="-10"/>
                <w:sz w:val="24"/>
                <w14:textFill>
                  <w14:solidFill>
                    <w14:schemeClr w14:val="tx1">
                      <w14:lumMod w14:val="95000"/>
                      <w14:lumOff w14:val="5000"/>
                    </w14:schemeClr>
                  </w14:solidFill>
                </w14:textFill>
              </w:rPr>
              <w:t>。</w:t>
            </w:r>
          </w:p>
          <w:p w14:paraId="514B6F83">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五、土壤和地下水</w:t>
            </w:r>
          </w:p>
          <w:p w14:paraId="5601C343">
            <w:pPr>
              <w:adjustRightInd w:val="0"/>
              <w:snapToGrid w:val="0"/>
              <w:spacing w:line="360" w:lineRule="auto"/>
              <w:ind w:firstLine="442" w:firstLineChars="200"/>
              <w:rPr>
                <w:rFonts w:cs="宋体"/>
                <w:b/>
                <w:bCs/>
                <w:color w:val="0D0D0D" w:themeColor="text1" w:themeTint="F2"/>
                <w:spacing w:val="-10"/>
                <w:sz w:val="24"/>
                <w14:textFill>
                  <w14:solidFill>
                    <w14:schemeClr w14:val="tx1">
                      <w14:lumMod w14:val="95000"/>
                      <w14:lumOff w14:val="5000"/>
                    </w14:schemeClr>
                  </w14:solidFill>
                </w14:textFill>
              </w:rPr>
            </w:pPr>
            <w:r>
              <w:rPr>
                <w:rFonts w:hint="eastAsia" w:cs="宋体"/>
                <w:b/>
                <w:bCs/>
                <w:color w:val="0D0D0D" w:themeColor="text1" w:themeTint="F2"/>
                <w:spacing w:val="-10"/>
                <w:sz w:val="24"/>
                <w14:textFill>
                  <w14:solidFill>
                    <w14:schemeClr w14:val="tx1">
                      <w14:lumMod w14:val="95000"/>
                      <w14:lumOff w14:val="5000"/>
                    </w14:schemeClr>
                  </w14:solidFill>
                </w14:textFill>
              </w:rPr>
              <w:t>1、污染途径</w:t>
            </w:r>
          </w:p>
          <w:p w14:paraId="2DBD3589">
            <w:pPr>
              <w:adjustRightInd w:val="0"/>
              <w:snapToGrid w:val="0"/>
              <w:spacing w:line="360" w:lineRule="auto"/>
              <w:ind w:firstLine="480" w:firstLineChars="200"/>
              <w:rPr>
                <w:bCs/>
                <w:color w:val="0D0D0D" w:themeColor="text1" w:themeTint="F2"/>
                <w:sz w:val="24"/>
                <w14:textFill>
                  <w14:solidFill>
                    <w14:schemeClr w14:val="tx1">
                      <w14:lumMod w14:val="95000"/>
                      <w14:lumOff w14:val="5000"/>
                    </w14:schemeClr>
                  </w14:solidFill>
                </w14:textFill>
              </w:rPr>
            </w:pPr>
            <w:r>
              <w:rPr>
                <w:rFonts w:hint="eastAsia"/>
                <w:bCs/>
                <w:color w:val="0D0D0D" w:themeColor="text1" w:themeTint="F2"/>
                <w:sz w:val="24"/>
                <w14:textFill>
                  <w14:solidFill>
                    <w14:schemeClr w14:val="tx1">
                      <w14:lumMod w14:val="95000"/>
                      <w14:lumOff w14:val="5000"/>
                    </w14:schemeClr>
                  </w14:solidFill>
                </w14:textFill>
              </w:rPr>
              <w:t>项目运营期废气污染物主要为非甲烷总烃、颗粒物和二甲苯，经采取相应的污染防治措施后废气排放量较小，通过大气沉降对土壤和地下水环境造成影响的几率较低；生活污水经三级化粪池处理后排入园区市政污水管网，由钦州胜科水务有限公司污水处理厂进一步处理，不外排；</w:t>
            </w:r>
            <w:r>
              <w:rPr>
                <w:bCs/>
                <w:color w:val="0D0D0D" w:themeColor="text1" w:themeTint="F2"/>
                <w:sz w:val="24"/>
                <w14:textFill>
                  <w14:solidFill>
                    <w14:schemeClr w14:val="tx1">
                      <w14:lumMod w14:val="95000"/>
                      <w14:lumOff w14:val="5000"/>
                    </w14:schemeClr>
                  </w14:solidFill>
                </w14:textFill>
              </w:rPr>
              <w:t>化粪池</w:t>
            </w:r>
            <w:r>
              <w:rPr>
                <w:rFonts w:hint="eastAsia"/>
                <w:bCs/>
                <w:color w:val="0D0D0D" w:themeColor="text1" w:themeTint="F2"/>
                <w:sz w:val="24"/>
                <w14:textFill>
                  <w14:solidFill>
                    <w14:schemeClr w14:val="tx1">
                      <w14:lumMod w14:val="95000"/>
                      <w14:lumOff w14:val="5000"/>
                    </w14:schemeClr>
                  </w14:solidFill>
                </w14:textFill>
              </w:rPr>
              <w:t>采取水泥硬化等</w:t>
            </w:r>
            <w:r>
              <w:rPr>
                <w:bCs/>
                <w:color w:val="0D0D0D" w:themeColor="text1" w:themeTint="F2"/>
                <w:sz w:val="24"/>
                <w14:textFill>
                  <w14:solidFill>
                    <w14:schemeClr w14:val="tx1">
                      <w14:lumMod w14:val="95000"/>
                      <w14:lumOff w14:val="5000"/>
                    </w14:schemeClr>
                  </w14:solidFill>
                </w14:textFill>
              </w:rPr>
              <w:t>防渗措施</w:t>
            </w:r>
            <w:r>
              <w:rPr>
                <w:rFonts w:hint="eastAsia"/>
                <w:bCs/>
                <w:color w:val="0D0D0D" w:themeColor="text1" w:themeTint="F2"/>
                <w:sz w:val="24"/>
                <w14:textFill>
                  <w14:solidFill>
                    <w14:schemeClr w14:val="tx1">
                      <w14:lumMod w14:val="95000"/>
                      <w14:lumOff w14:val="5000"/>
                    </w14:schemeClr>
                  </w14:solidFill>
                </w14:textFill>
              </w:rPr>
              <w:t>；生产车间地面采取水泥混凝土硬化的防渗措施；油漆、稀释剂等均采用专门包装或容器存放；废机油等危险废物使用专用容器存放</w:t>
            </w:r>
            <w:r>
              <w:rPr>
                <w:bCs/>
                <w:color w:val="0D0D0D" w:themeColor="text1" w:themeTint="F2"/>
                <w:sz w:val="24"/>
                <w14:textFill>
                  <w14:solidFill>
                    <w14:schemeClr w14:val="tx1">
                      <w14:lumMod w14:val="95000"/>
                      <w14:lumOff w14:val="5000"/>
                    </w14:schemeClr>
                  </w14:solidFill>
                </w14:textFill>
              </w:rPr>
              <w:t>在</w:t>
            </w:r>
            <w:r>
              <w:rPr>
                <w:rFonts w:hint="eastAsia"/>
                <w:bCs/>
                <w:color w:val="0D0D0D" w:themeColor="text1" w:themeTint="F2"/>
                <w:sz w:val="24"/>
                <w14:textFill>
                  <w14:solidFill>
                    <w14:schemeClr w14:val="tx1">
                      <w14:lumMod w14:val="95000"/>
                      <w14:lumOff w14:val="5000"/>
                    </w14:schemeClr>
                  </w14:solidFill>
                </w14:textFill>
              </w:rPr>
              <w:t>危废暂存间；危废暂存间按照《危险废物贮存污染控制标准》（GB18597-2023）建设和管理，铺设至少2mm厚的高密度聚乙烯膜等人工防渗材料。在</w:t>
            </w:r>
            <w:r>
              <w:rPr>
                <w:bCs/>
                <w:color w:val="0D0D0D" w:themeColor="text1" w:themeTint="F2"/>
                <w:sz w:val="24"/>
                <w14:textFill>
                  <w14:solidFill>
                    <w14:schemeClr w14:val="tx1">
                      <w14:lumMod w14:val="95000"/>
                      <w14:lumOff w14:val="5000"/>
                    </w14:schemeClr>
                  </w14:solidFill>
                </w14:textFill>
              </w:rPr>
              <w:t>做好各项防渗措施和</w:t>
            </w:r>
            <w:r>
              <w:rPr>
                <w:rFonts w:hint="eastAsia"/>
                <w:bCs/>
                <w:color w:val="0D0D0D" w:themeColor="text1" w:themeTint="F2"/>
                <w:sz w:val="24"/>
                <w14:textFill>
                  <w14:solidFill>
                    <w14:schemeClr w14:val="tx1">
                      <w14:lumMod w14:val="95000"/>
                      <w14:lumOff w14:val="5000"/>
                    </w14:schemeClr>
                  </w14:solidFill>
                </w14:textFill>
              </w:rPr>
              <w:t>加强厂区</w:t>
            </w:r>
            <w:r>
              <w:rPr>
                <w:bCs/>
                <w:color w:val="0D0D0D" w:themeColor="text1" w:themeTint="F2"/>
                <w:sz w:val="24"/>
                <w14:textFill>
                  <w14:solidFill>
                    <w14:schemeClr w14:val="tx1">
                      <w14:lumMod w14:val="95000"/>
                      <w14:lumOff w14:val="5000"/>
                    </w14:schemeClr>
                  </w14:solidFill>
                </w14:textFill>
              </w:rPr>
              <w:t>环境管理的基础上，正常工况下</w:t>
            </w:r>
            <w:r>
              <w:rPr>
                <w:rFonts w:hint="eastAsia"/>
                <w:bCs/>
                <w:color w:val="0D0D0D" w:themeColor="text1" w:themeTint="F2"/>
                <w:sz w:val="24"/>
                <w14:textFill>
                  <w14:solidFill>
                    <w14:schemeClr w14:val="tx1">
                      <w14:lumMod w14:val="95000"/>
                      <w14:lumOff w14:val="5000"/>
                    </w14:schemeClr>
                  </w14:solidFill>
                </w14:textFill>
              </w:rPr>
              <w:t>，项目不存在</w:t>
            </w:r>
            <w:r>
              <w:rPr>
                <w:bCs/>
                <w:color w:val="0D0D0D" w:themeColor="text1" w:themeTint="F2"/>
                <w:sz w:val="24"/>
                <w14:textFill>
                  <w14:solidFill>
                    <w14:schemeClr w14:val="tx1">
                      <w14:lumMod w14:val="95000"/>
                      <w14:lumOff w14:val="5000"/>
                    </w14:schemeClr>
                  </w14:solidFill>
                </w14:textFill>
              </w:rPr>
              <w:t>地下水</w:t>
            </w:r>
            <w:r>
              <w:rPr>
                <w:rFonts w:hint="eastAsia"/>
                <w:bCs/>
                <w:color w:val="0D0D0D" w:themeColor="text1" w:themeTint="F2"/>
                <w:sz w:val="24"/>
                <w14:textFill>
                  <w14:solidFill>
                    <w14:schemeClr w14:val="tx1">
                      <w14:lumMod w14:val="95000"/>
                      <w14:lumOff w14:val="5000"/>
                    </w14:schemeClr>
                  </w14:solidFill>
                </w14:textFill>
              </w:rPr>
              <w:t>和</w:t>
            </w:r>
            <w:r>
              <w:rPr>
                <w:bCs/>
                <w:color w:val="0D0D0D" w:themeColor="text1" w:themeTint="F2"/>
                <w:sz w:val="24"/>
                <w14:textFill>
                  <w14:solidFill>
                    <w14:schemeClr w14:val="tx1">
                      <w14:lumMod w14:val="95000"/>
                      <w14:lumOff w14:val="5000"/>
                    </w14:schemeClr>
                  </w14:solidFill>
                </w14:textFill>
              </w:rPr>
              <w:t>土壤污染途径</w:t>
            </w:r>
            <w:r>
              <w:rPr>
                <w:rFonts w:hint="eastAsia" w:cs="宋体"/>
                <w:color w:val="0D0D0D" w:themeColor="text1" w:themeTint="F2"/>
                <w:spacing w:val="-10"/>
                <w:sz w:val="24"/>
                <w14:textFill>
                  <w14:solidFill>
                    <w14:schemeClr w14:val="tx1">
                      <w14:lumMod w14:val="95000"/>
                      <w14:lumOff w14:val="5000"/>
                    </w14:schemeClr>
                  </w14:solidFill>
                </w14:textFill>
              </w:rPr>
              <w:t>，</w:t>
            </w:r>
            <w:r>
              <w:rPr>
                <w:rFonts w:cs="宋体"/>
                <w:color w:val="0D0D0D" w:themeColor="text1" w:themeTint="F2"/>
                <w:spacing w:val="-10"/>
                <w:sz w:val="24"/>
                <w14:textFill>
                  <w14:solidFill>
                    <w14:schemeClr w14:val="tx1">
                      <w14:lumMod w14:val="95000"/>
                      <w14:lumOff w14:val="5000"/>
                    </w14:schemeClr>
                  </w14:solidFill>
                </w14:textFill>
              </w:rPr>
              <w:t>不会对地下水</w:t>
            </w:r>
            <w:r>
              <w:rPr>
                <w:rFonts w:hint="eastAsia" w:cs="宋体"/>
                <w:color w:val="0D0D0D" w:themeColor="text1" w:themeTint="F2"/>
                <w:spacing w:val="-10"/>
                <w:sz w:val="24"/>
                <w14:textFill>
                  <w14:solidFill>
                    <w14:schemeClr w14:val="tx1">
                      <w14:lumMod w14:val="95000"/>
                      <w14:lumOff w14:val="5000"/>
                    </w14:schemeClr>
                  </w14:solidFill>
                </w14:textFill>
              </w:rPr>
              <w:t>和土壤环境</w:t>
            </w:r>
            <w:r>
              <w:rPr>
                <w:rFonts w:cs="宋体"/>
                <w:color w:val="0D0D0D" w:themeColor="text1" w:themeTint="F2"/>
                <w:spacing w:val="-10"/>
                <w:sz w:val="24"/>
                <w14:textFill>
                  <w14:solidFill>
                    <w14:schemeClr w14:val="tx1">
                      <w14:lumMod w14:val="95000"/>
                      <w14:lumOff w14:val="5000"/>
                    </w14:schemeClr>
                  </w14:solidFill>
                </w14:textFill>
              </w:rPr>
              <w:t>产生影响。</w:t>
            </w:r>
          </w:p>
          <w:p w14:paraId="4EBB8589">
            <w:pPr>
              <w:adjustRightInd w:val="0"/>
              <w:snapToGrid w:val="0"/>
              <w:spacing w:line="360" w:lineRule="auto"/>
              <w:ind w:firstLine="442" w:firstLineChars="200"/>
              <w:rPr>
                <w:rFonts w:cs="宋体"/>
                <w:b/>
                <w:bCs/>
                <w:color w:val="0D0D0D" w:themeColor="text1" w:themeTint="F2"/>
                <w:spacing w:val="-10"/>
                <w:sz w:val="24"/>
                <w14:textFill>
                  <w14:solidFill>
                    <w14:schemeClr w14:val="tx1">
                      <w14:lumMod w14:val="95000"/>
                      <w14:lumOff w14:val="5000"/>
                    </w14:schemeClr>
                  </w14:solidFill>
                </w14:textFill>
              </w:rPr>
            </w:pPr>
            <w:r>
              <w:rPr>
                <w:rFonts w:hint="eastAsia" w:cs="宋体"/>
                <w:b/>
                <w:bCs/>
                <w:color w:val="0D0D0D" w:themeColor="text1" w:themeTint="F2"/>
                <w:spacing w:val="-10"/>
                <w:sz w:val="24"/>
                <w14:textFill>
                  <w14:solidFill>
                    <w14:schemeClr w14:val="tx1">
                      <w14:lumMod w14:val="95000"/>
                      <w14:lumOff w14:val="5000"/>
                    </w14:schemeClr>
                  </w14:solidFill>
                </w14:textFill>
              </w:rPr>
              <w:t>2、防控措施</w:t>
            </w:r>
          </w:p>
          <w:p w14:paraId="45C41C42">
            <w:pPr>
              <w:adjustRightInd w:val="0"/>
              <w:snapToGrid w:val="0"/>
              <w:spacing w:line="360" w:lineRule="auto"/>
              <w:ind w:firstLine="440" w:firstLineChars="200"/>
              <w:rPr>
                <w:rFonts w:cs="宋体"/>
                <w:color w:val="0D0D0D" w:themeColor="text1" w:themeTint="F2"/>
                <w:spacing w:val="-10"/>
                <w:sz w:val="24"/>
                <w14:textFill>
                  <w14:solidFill>
                    <w14:schemeClr w14:val="tx1">
                      <w14:lumMod w14:val="95000"/>
                      <w14:lumOff w14:val="5000"/>
                    </w14:schemeClr>
                  </w14:solidFill>
                </w14:textFill>
              </w:rPr>
            </w:pPr>
            <w:r>
              <w:rPr>
                <w:rFonts w:hint="eastAsia" w:cs="宋体"/>
                <w:color w:val="0D0D0D" w:themeColor="text1" w:themeTint="F2"/>
                <w:spacing w:val="-10"/>
                <w:sz w:val="24"/>
                <w14:textFill>
                  <w14:solidFill>
                    <w14:schemeClr w14:val="tx1">
                      <w14:lumMod w14:val="95000"/>
                      <w14:lumOff w14:val="5000"/>
                    </w14:schemeClr>
                  </w14:solidFill>
                </w14:textFill>
              </w:rPr>
              <w:t>根据</w:t>
            </w:r>
            <w:r>
              <w:rPr>
                <w:rFonts w:cs="宋体"/>
                <w:color w:val="0D0D0D" w:themeColor="text1" w:themeTint="F2"/>
                <w:spacing w:val="-10"/>
                <w:sz w:val="24"/>
                <w14:textFill>
                  <w14:solidFill>
                    <w14:schemeClr w14:val="tx1">
                      <w14:lumMod w14:val="95000"/>
                      <w14:lumOff w14:val="5000"/>
                    </w14:schemeClr>
                  </w14:solidFill>
                </w14:textFill>
              </w:rPr>
              <w:t>《环境影响评价技术导则  地下水环境》（HJ610-2016），将厂区划分为</w:t>
            </w:r>
            <w:r>
              <w:rPr>
                <w:rFonts w:hint="eastAsia" w:cs="宋体"/>
                <w:color w:val="0D0D0D" w:themeColor="text1" w:themeTint="F2"/>
                <w:spacing w:val="-10"/>
                <w:sz w:val="24"/>
                <w14:textFill>
                  <w14:solidFill>
                    <w14:schemeClr w14:val="tx1">
                      <w14:lumMod w14:val="95000"/>
                      <w14:lumOff w14:val="5000"/>
                    </w14:schemeClr>
                  </w14:solidFill>
                </w14:textFill>
              </w:rPr>
              <w:t>重点防渗区、一般防渗区和</w:t>
            </w:r>
            <w:r>
              <w:rPr>
                <w:rFonts w:cs="宋体"/>
                <w:color w:val="0D0D0D" w:themeColor="text1" w:themeTint="F2"/>
                <w:spacing w:val="-10"/>
                <w:sz w:val="24"/>
                <w14:textFill>
                  <w14:solidFill>
                    <w14:schemeClr w14:val="tx1">
                      <w14:lumMod w14:val="95000"/>
                      <w14:lumOff w14:val="5000"/>
                    </w14:schemeClr>
                  </w14:solidFill>
                </w14:textFill>
              </w:rPr>
              <w:t>简单防渗区，</w:t>
            </w:r>
            <w:r>
              <w:rPr>
                <w:rFonts w:hint="eastAsia" w:cs="宋体"/>
                <w:color w:val="0D0D0D" w:themeColor="text1" w:themeTint="F2"/>
                <w:spacing w:val="-10"/>
                <w:sz w:val="24"/>
                <w14:textFill>
                  <w14:solidFill>
                    <w14:schemeClr w14:val="tx1">
                      <w14:lumMod w14:val="95000"/>
                      <w14:lumOff w14:val="5000"/>
                    </w14:schemeClr>
                  </w14:solidFill>
                </w14:textFill>
              </w:rPr>
              <w:t>采取分区</w:t>
            </w:r>
            <w:r>
              <w:rPr>
                <w:rFonts w:cs="宋体"/>
                <w:color w:val="0D0D0D" w:themeColor="text1" w:themeTint="F2"/>
                <w:spacing w:val="-10"/>
                <w:sz w:val="24"/>
                <w14:textFill>
                  <w14:solidFill>
                    <w14:schemeClr w14:val="tx1">
                      <w14:lumMod w14:val="95000"/>
                      <w14:lumOff w14:val="5000"/>
                    </w14:schemeClr>
                  </w14:solidFill>
                </w14:textFill>
              </w:rPr>
              <w:t>防渗措施。</w:t>
            </w:r>
          </w:p>
          <w:p w14:paraId="0AFEBE87">
            <w:pPr>
              <w:adjustRightInd w:val="0"/>
              <w:snapToGrid w:val="0"/>
              <w:spacing w:line="360" w:lineRule="auto"/>
              <w:ind w:firstLine="440" w:firstLineChars="200"/>
              <w:rPr>
                <w:rFonts w:cs="宋体"/>
                <w:color w:val="0D0D0D" w:themeColor="text1" w:themeTint="F2"/>
                <w:spacing w:val="-10"/>
                <w:sz w:val="24"/>
                <w14:textFill>
                  <w14:solidFill>
                    <w14:schemeClr w14:val="tx1">
                      <w14:lumMod w14:val="95000"/>
                      <w14:lumOff w14:val="5000"/>
                    </w14:schemeClr>
                  </w14:solidFill>
                </w14:textFill>
              </w:rPr>
            </w:pPr>
            <w:r>
              <w:rPr>
                <w:rFonts w:cs="宋体"/>
                <w:color w:val="0D0D0D" w:themeColor="text1" w:themeTint="F2"/>
                <w:spacing w:val="-10"/>
                <w:sz w:val="24"/>
                <w14:textFill>
                  <w14:solidFill>
                    <w14:schemeClr w14:val="tx1">
                      <w14:lumMod w14:val="95000"/>
                      <w14:lumOff w14:val="5000"/>
                    </w14:schemeClr>
                  </w14:solidFill>
                </w14:textFill>
              </w:rPr>
              <w:t>本次</w:t>
            </w:r>
            <w:r>
              <w:rPr>
                <w:rFonts w:hint="eastAsia" w:cs="宋体"/>
                <w:color w:val="0D0D0D" w:themeColor="text1" w:themeTint="F2"/>
                <w:spacing w:val="-10"/>
                <w:sz w:val="24"/>
                <w14:textFill>
                  <w14:solidFill>
                    <w14:schemeClr w14:val="tx1">
                      <w14:lumMod w14:val="95000"/>
                      <w14:lumOff w14:val="5000"/>
                    </w14:schemeClr>
                  </w14:solidFill>
                </w14:textFill>
              </w:rPr>
              <w:t>评价</w:t>
            </w:r>
            <w:r>
              <w:rPr>
                <w:rFonts w:cs="宋体"/>
                <w:color w:val="0D0D0D" w:themeColor="text1" w:themeTint="F2"/>
                <w:spacing w:val="-10"/>
                <w:sz w:val="24"/>
                <w14:textFill>
                  <w14:solidFill>
                    <w14:schemeClr w14:val="tx1">
                      <w14:lumMod w14:val="95000"/>
                      <w14:lumOff w14:val="5000"/>
                    </w14:schemeClr>
                  </w14:solidFill>
                </w14:textFill>
              </w:rPr>
              <w:t>将</w:t>
            </w:r>
            <w:r>
              <w:rPr>
                <w:rFonts w:hint="eastAsia" w:cs="宋体"/>
                <w:color w:val="0D0D0D" w:themeColor="text1" w:themeTint="F2"/>
                <w:spacing w:val="-10"/>
                <w:sz w:val="24"/>
                <w14:textFill>
                  <w14:solidFill>
                    <w14:schemeClr w14:val="tx1">
                      <w14:lumMod w14:val="95000"/>
                      <w14:lumOff w14:val="5000"/>
                    </w14:schemeClr>
                  </w14:solidFill>
                </w14:textFill>
              </w:rPr>
              <w:t>危废暂存间、仓库、喷漆房划分为重点防渗区，三级</w:t>
            </w:r>
            <w:r>
              <w:rPr>
                <w:rFonts w:cs="宋体"/>
                <w:color w:val="0D0D0D" w:themeColor="text1" w:themeTint="F2"/>
                <w:spacing w:val="-10"/>
                <w:sz w:val="24"/>
                <w14:textFill>
                  <w14:solidFill>
                    <w14:schemeClr w14:val="tx1">
                      <w14:lumMod w14:val="95000"/>
                      <w14:lumOff w14:val="5000"/>
                    </w14:schemeClr>
                  </w14:solidFill>
                </w14:textFill>
              </w:rPr>
              <w:t>化粪池</w:t>
            </w:r>
            <w:r>
              <w:rPr>
                <w:rFonts w:hint="eastAsia" w:cs="宋体"/>
                <w:color w:val="0D0D0D" w:themeColor="text1" w:themeTint="F2"/>
                <w:spacing w:val="-10"/>
                <w:sz w:val="24"/>
                <w14:textFill>
                  <w14:solidFill>
                    <w14:schemeClr w14:val="tx1">
                      <w14:lumMod w14:val="95000"/>
                      <w14:lumOff w14:val="5000"/>
                    </w14:schemeClr>
                  </w14:solidFill>
                </w14:textFill>
              </w:rPr>
              <w:t>划分</w:t>
            </w:r>
            <w:r>
              <w:rPr>
                <w:rFonts w:cs="宋体"/>
                <w:color w:val="0D0D0D" w:themeColor="text1" w:themeTint="F2"/>
                <w:spacing w:val="-10"/>
                <w:sz w:val="24"/>
                <w14:textFill>
                  <w14:solidFill>
                    <w14:schemeClr w14:val="tx1">
                      <w14:lumMod w14:val="95000"/>
                      <w14:lumOff w14:val="5000"/>
                    </w14:schemeClr>
                  </w14:solidFill>
                </w14:textFill>
              </w:rPr>
              <w:t>为一般防渗区，厂内其他区域</w:t>
            </w:r>
            <w:r>
              <w:rPr>
                <w:rFonts w:hint="eastAsia" w:cs="宋体"/>
                <w:color w:val="0D0D0D" w:themeColor="text1" w:themeTint="F2"/>
                <w:spacing w:val="-10"/>
                <w:sz w:val="24"/>
                <w14:textFill>
                  <w14:solidFill>
                    <w14:schemeClr w14:val="tx1">
                      <w14:lumMod w14:val="95000"/>
                      <w14:lumOff w14:val="5000"/>
                    </w14:schemeClr>
                  </w14:solidFill>
                </w14:textFill>
              </w:rPr>
              <w:t>如生活办公区、一般固废暂存间、道路、堆场等</w:t>
            </w:r>
            <w:r>
              <w:rPr>
                <w:rFonts w:cs="宋体"/>
                <w:color w:val="0D0D0D" w:themeColor="text1" w:themeTint="F2"/>
                <w:spacing w:val="-10"/>
                <w:sz w:val="24"/>
                <w14:textFill>
                  <w14:solidFill>
                    <w14:schemeClr w14:val="tx1">
                      <w14:lumMod w14:val="95000"/>
                      <w14:lumOff w14:val="5000"/>
                    </w14:schemeClr>
                  </w14:solidFill>
                </w14:textFill>
              </w:rPr>
              <w:t>划分为简单防渗区。</w:t>
            </w:r>
          </w:p>
          <w:p w14:paraId="69DFE7C7">
            <w:pPr>
              <w:adjustRightInd w:val="0"/>
              <w:snapToGrid w:val="0"/>
              <w:spacing w:line="360" w:lineRule="auto"/>
              <w:ind w:firstLine="440" w:firstLineChars="200"/>
              <w:rPr>
                <w:rFonts w:cs="宋体"/>
                <w:color w:val="0D0D0D" w:themeColor="text1" w:themeTint="F2"/>
                <w:spacing w:val="-10"/>
                <w:sz w:val="24"/>
                <w14:textFill>
                  <w14:solidFill>
                    <w14:schemeClr w14:val="tx1">
                      <w14:lumMod w14:val="95000"/>
                      <w14:lumOff w14:val="5000"/>
                    </w14:schemeClr>
                  </w14:solidFill>
                </w14:textFill>
              </w:rPr>
            </w:pPr>
            <w:r>
              <w:rPr>
                <w:rFonts w:hint="eastAsia" w:cs="宋体"/>
                <w:color w:val="0D0D0D" w:themeColor="text1" w:themeTint="F2"/>
                <w:spacing w:val="-10"/>
                <w:sz w:val="24"/>
                <w14:textFill>
                  <w14:solidFill>
                    <w14:schemeClr w14:val="tx1">
                      <w14:lumMod w14:val="95000"/>
                      <w14:lumOff w14:val="5000"/>
                    </w14:schemeClr>
                  </w14:solidFill>
                </w14:textFill>
              </w:rPr>
              <w:t>项目防渗要求详见表4</w:t>
            </w:r>
            <w:r>
              <w:rPr>
                <w:rFonts w:cs="宋体"/>
                <w:color w:val="0D0D0D" w:themeColor="text1" w:themeTint="F2"/>
                <w:spacing w:val="-10"/>
                <w:sz w:val="24"/>
                <w14:textFill>
                  <w14:solidFill>
                    <w14:schemeClr w14:val="tx1">
                      <w14:lumMod w14:val="95000"/>
                      <w14:lumOff w14:val="5000"/>
                    </w14:schemeClr>
                  </w14:solidFill>
                </w14:textFill>
              </w:rPr>
              <w:t>-</w:t>
            </w:r>
            <w:r>
              <w:rPr>
                <w:rFonts w:hint="eastAsia" w:cs="宋体"/>
                <w:color w:val="0D0D0D" w:themeColor="text1" w:themeTint="F2"/>
                <w:spacing w:val="-10"/>
                <w:sz w:val="24"/>
                <w14:textFill>
                  <w14:solidFill>
                    <w14:schemeClr w14:val="tx1">
                      <w14:lumMod w14:val="95000"/>
                      <w14:lumOff w14:val="5000"/>
                    </w14:schemeClr>
                  </w14:solidFill>
                </w14:textFill>
              </w:rPr>
              <w:t>19。</w:t>
            </w:r>
          </w:p>
          <w:p w14:paraId="4DCBB9F9">
            <w:pPr>
              <w:adjustRightInd w:val="0"/>
              <w:snapToGrid w:val="0"/>
              <w:jc w:val="center"/>
              <w:rPr>
                <w:rFonts w:cs="宋体"/>
                <w:b/>
                <w:bCs/>
                <w:color w:val="0D0D0D" w:themeColor="text1" w:themeTint="F2"/>
                <w:spacing w:val="-10"/>
                <w:szCs w:val="21"/>
                <w14:textFill>
                  <w14:solidFill>
                    <w14:schemeClr w14:val="tx1">
                      <w14:lumMod w14:val="95000"/>
                      <w14:lumOff w14:val="5000"/>
                    </w14:schemeClr>
                  </w14:solidFill>
                </w14:textFill>
              </w:rPr>
            </w:pPr>
            <w:r>
              <w:rPr>
                <w:rFonts w:hint="eastAsia" w:cs="宋体"/>
                <w:b/>
                <w:bCs/>
                <w:color w:val="0D0D0D" w:themeColor="text1" w:themeTint="F2"/>
                <w:spacing w:val="-10"/>
                <w:szCs w:val="21"/>
                <w14:textFill>
                  <w14:solidFill>
                    <w14:schemeClr w14:val="tx1">
                      <w14:lumMod w14:val="95000"/>
                      <w14:lumOff w14:val="5000"/>
                    </w14:schemeClr>
                  </w14:solidFill>
                </w14:textFill>
              </w:rPr>
              <w:t>表4</w:t>
            </w:r>
            <w:r>
              <w:rPr>
                <w:rFonts w:cs="宋体"/>
                <w:b/>
                <w:bCs/>
                <w:color w:val="0D0D0D" w:themeColor="text1" w:themeTint="F2"/>
                <w:spacing w:val="-10"/>
                <w:szCs w:val="21"/>
                <w14:textFill>
                  <w14:solidFill>
                    <w14:schemeClr w14:val="tx1">
                      <w14:lumMod w14:val="95000"/>
                      <w14:lumOff w14:val="5000"/>
                    </w14:schemeClr>
                  </w14:solidFill>
                </w14:textFill>
              </w:rPr>
              <w:t>-</w:t>
            </w:r>
            <w:r>
              <w:rPr>
                <w:rFonts w:hint="eastAsia" w:cs="宋体"/>
                <w:b/>
                <w:bCs/>
                <w:color w:val="0D0D0D" w:themeColor="text1" w:themeTint="F2"/>
                <w:spacing w:val="-10"/>
                <w:szCs w:val="21"/>
                <w14:textFill>
                  <w14:solidFill>
                    <w14:schemeClr w14:val="tx1">
                      <w14:lumMod w14:val="95000"/>
                      <w14:lumOff w14:val="5000"/>
                    </w14:schemeClr>
                  </w14:solidFill>
                </w14:textFill>
              </w:rPr>
              <w:t>19</w:t>
            </w:r>
            <w:r>
              <w:rPr>
                <w:rFonts w:cs="宋体"/>
                <w:b/>
                <w:bCs/>
                <w:color w:val="0D0D0D" w:themeColor="text1" w:themeTint="F2"/>
                <w:spacing w:val="-10"/>
                <w:szCs w:val="21"/>
                <w14:textFill>
                  <w14:solidFill>
                    <w14:schemeClr w14:val="tx1">
                      <w14:lumMod w14:val="95000"/>
                      <w14:lumOff w14:val="5000"/>
                    </w14:schemeClr>
                  </w14:solidFill>
                </w14:textFill>
              </w:rPr>
              <w:t xml:space="preserve">  </w:t>
            </w:r>
            <w:r>
              <w:rPr>
                <w:rFonts w:hint="eastAsia" w:cs="宋体"/>
                <w:b/>
                <w:bCs/>
                <w:color w:val="0D0D0D" w:themeColor="text1" w:themeTint="F2"/>
                <w:spacing w:val="-10"/>
                <w:szCs w:val="21"/>
                <w14:textFill>
                  <w14:solidFill>
                    <w14:schemeClr w14:val="tx1">
                      <w14:lumMod w14:val="95000"/>
                      <w14:lumOff w14:val="5000"/>
                    </w14:schemeClr>
                  </w14:solidFill>
                </w14:textFill>
              </w:rPr>
              <w:t>防渗措施一览表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4"/>
              <w:gridCol w:w="2459"/>
              <w:gridCol w:w="2368"/>
              <w:gridCol w:w="2940"/>
            </w:tblGrid>
            <w:tr w14:paraId="42B23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Align w:val="center"/>
                </w:tcPr>
                <w:p w14:paraId="1BAA68E4">
                  <w:pPr>
                    <w:adjustRightInd w:val="0"/>
                    <w:snapToGrid w:val="0"/>
                    <w:jc w:val="center"/>
                    <w:rPr>
                      <w:rFonts w:cs="宋体"/>
                      <w:color w:val="0D0D0D" w:themeColor="text1" w:themeTint="F2"/>
                      <w:spacing w:val="-10"/>
                      <w:szCs w:val="21"/>
                      <w14:textFill>
                        <w14:solidFill>
                          <w14:schemeClr w14:val="tx1">
                            <w14:lumMod w14:val="95000"/>
                            <w14:lumOff w14:val="5000"/>
                          </w14:schemeClr>
                        </w14:solidFill>
                      </w14:textFill>
                    </w:rPr>
                  </w:pPr>
                  <w:r>
                    <w:rPr>
                      <w:rFonts w:hint="eastAsia" w:cs="宋体"/>
                      <w:color w:val="0D0D0D" w:themeColor="text1" w:themeTint="F2"/>
                      <w:spacing w:val="-10"/>
                      <w:szCs w:val="21"/>
                      <w14:textFill>
                        <w14:solidFill>
                          <w14:schemeClr w14:val="tx1">
                            <w14:lumMod w14:val="95000"/>
                            <w14:lumOff w14:val="5000"/>
                          </w14:schemeClr>
                        </w14:solidFill>
                      </w14:textFill>
                    </w:rPr>
                    <w:t>防渗分区</w:t>
                  </w:r>
                </w:p>
              </w:tc>
              <w:tc>
                <w:tcPr>
                  <w:tcW w:w="1453" w:type="pct"/>
                  <w:vAlign w:val="center"/>
                </w:tcPr>
                <w:p w14:paraId="7386A7BA">
                  <w:pPr>
                    <w:adjustRightInd w:val="0"/>
                    <w:snapToGrid w:val="0"/>
                    <w:jc w:val="center"/>
                    <w:rPr>
                      <w:rFonts w:cs="宋体"/>
                      <w:color w:val="0D0D0D" w:themeColor="text1" w:themeTint="F2"/>
                      <w:spacing w:val="-10"/>
                      <w:szCs w:val="21"/>
                      <w14:textFill>
                        <w14:solidFill>
                          <w14:schemeClr w14:val="tx1">
                            <w14:lumMod w14:val="95000"/>
                            <w14:lumOff w14:val="5000"/>
                          </w14:schemeClr>
                        </w14:solidFill>
                      </w14:textFill>
                    </w:rPr>
                  </w:pPr>
                  <w:r>
                    <w:rPr>
                      <w:rFonts w:hint="eastAsia" w:cs="宋体"/>
                      <w:color w:val="0D0D0D" w:themeColor="text1" w:themeTint="F2"/>
                      <w:spacing w:val="-10"/>
                      <w:szCs w:val="21"/>
                      <w14:textFill>
                        <w14:solidFill>
                          <w14:schemeClr w14:val="tx1">
                            <w14:lumMod w14:val="95000"/>
                            <w14:lumOff w14:val="5000"/>
                          </w14:schemeClr>
                        </w14:solidFill>
                      </w14:textFill>
                    </w:rPr>
                    <w:t>防渗单元</w:t>
                  </w:r>
                </w:p>
              </w:tc>
              <w:tc>
                <w:tcPr>
                  <w:tcW w:w="1399" w:type="pct"/>
                  <w:vAlign w:val="center"/>
                </w:tcPr>
                <w:p w14:paraId="0FDD6D8E">
                  <w:pPr>
                    <w:adjustRightInd w:val="0"/>
                    <w:snapToGrid w:val="0"/>
                    <w:jc w:val="center"/>
                    <w:rPr>
                      <w:rFonts w:cs="宋体"/>
                      <w:color w:val="0D0D0D" w:themeColor="text1" w:themeTint="F2"/>
                      <w:spacing w:val="-10"/>
                      <w:szCs w:val="21"/>
                      <w14:textFill>
                        <w14:solidFill>
                          <w14:schemeClr w14:val="tx1">
                            <w14:lumMod w14:val="95000"/>
                            <w14:lumOff w14:val="5000"/>
                          </w14:schemeClr>
                        </w14:solidFill>
                      </w14:textFill>
                    </w:rPr>
                  </w:pPr>
                  <w:r>
                    <w:rPr>
                      <w:rFonts w:hint="eastAsia" w:cs="宋体"/>
                      <w:color w:val="0D0D0D" w:themeColor="text1" w:themeTint="F2"/>
                      <w:spacing w:val="-10"/>
                      <w:szCs w:val="21"/>
                      <w14:textFill>
                        <w14:solidFill>
                          <w14:schemeClr w14:val="tx1">
                            <w14:lumMod w14:val="95000"/>
                            <w14:lumOff w14:val="5000"/>
                          </w14:schemeClr>
                        </w14:solidFill>
                      </w14:textFill>
                    </w:rPr>
                    <w:t>防渗结构</w:t>
                  </w:r>
                </w:p>
              </w:tc>
              <w:tc>
                <w:tcPr>
                  <w:tcW w:w="1737" w:type="pct"/>
                  <w:vAlign w:val="center"/>
                </w:tcPr>
                <w:p w14:paraId="3CC0921D">
                  <w:pPr>
                    <w:adjustRightInd w:val="0"/>
                    <w:snapToGrid w:val="0"/>
                    <w:jc w:val="center"/>
                    <w:rPr>
                      <w:rFonts w:cs="宋体"/>
                      <w:color w:val="0D0D0D" w:themeColor="text1" w:themeTint="F2"/>
                      <w:spacing w:val="-10"/>
                      <w:szCs w:val="21"/>
                      <w14:textFill>
                        <w14:solidFill>
                          <w14:schemeClr w14:val="tx1">
                            <w14:lumMod w14:val="95000"/>
                            <w14:lumOff w14:val="5000"/>
                          </w14:schemeClr>
                        </w14:solidFill>
                      </w14:textFill>
                    </w:rPr>
                  </w:pPr>
                  <w:r>
                    <w:rPr>
                      <w:rFonts w:hint="eastAsia" w:cs="宋体"/>
                      <w:color w:val="0D0D0D" w:themeColor="text1" w:themeTint="F2"/>
                      <w:spacing w:val="-10"/>
                      <w:szCs w:val="21"/>
                      <w14:textFill>
                        <w14:solidFill>
                          <w14:schemeClr w14:val="tx1">
                            <w14:lumMod w14:val="95000"/>
                            <w14:lumOff w14:val="5000"/>
                          </w14:schemeClr>
                        </w14:solidFill>
                      </w14:textFill>
                    </w:rPr>
                    <w:t>防渗技术要求</w:t>
                  </w:r>
                </w:p>
              </w:tc>
            </w:tr>
            <w:tr w14:paraId="0353C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Align w:val="center"/>
                </w:tcPr>
                <w:p w14:paraId="57EB7F59">
                  <w:pPr>
                    <w:adjustRightInd w:val="0"/>
                    <w:snapToGrid w:val="0"/>
                    <w:rPr>
                      <w:rFonts w:cs="宋体"/>
                      <w:color w:val="0D0D0D" w:themeColor="text1" w:themeTint="F2"/>
                      <w:spacing w:val="-10"/>
                      <w:szCs w:val="21"/>
                      <w14:textFill>
                        <w14:solidFill>
                          <w14:schemeClr w14:val="tx1">
                            <w14:lumMod w14:val="95000"/>
                            <w14:lumOff w14:val="5000"/>
                          </w14:schemeClr>
                        </w14:solidFill>
                      </w14:textFill>
                    </w:rPr>
                  </w:pPr>
                  <w:r>
                    <w:rPr>
                      <w:rFonts w:hint="eastAsia" w:cs="宋体"/>
                      <w:color w:val="0D0D0D" w:themeColor="text1" w:themeTint="F2"/>
                      <w:spacing w:val="-10"/>
                      <w:szCs w:val="21"/>
                      <w14:textFill>
                        <w14:solidFill>
                          <w14:schemeClr w14:val="tx1">
                            <w14:lumMod w14:val="95000"/>
                            <w14:lumOff w14:val="5000"/>
                          </w14:schemeClr>
                        </w14:solidFill>
                      </w14:textFill>
                    </w:rPr>
                    <w:t>重点防渗区</w:t>
                  </w:r>
                </w:p>
              </w:tc>
              <w:tc>
                <w:tcPr>
                  <w:tcW w:w="1453" w:type="pct"/>
                  <w:vAlign w:val="center"/>
                </w:tcPr>
                <w:p w14:paraId="008167A1">
                  <w:pPr>
                    <w:adjustRightInd w:val="0"/>
                    <w:snapToGrid w:val="0"/>
                    <w:rPr>
                      <w:rFonts w:cs="宋体"/>
                      <w:color w:val="0D0D0D" w:themeColor="text1" w:themeTint="F2"/>
                      <w:spacing w:val="-10"/>
                      <w:szCs w:val="21"/>
                      <w14:textFill>
                        <w14:solidFill>
                          <w14:schemeClr w14:val="tx1">
                            <w14:lumMod w14:val="95000"/>
                            <w14:lumOff w14:val="5000"/>
                          </w14:schemeClr>
                        </w14:solidFill>
                      </w14:textFill>
                    </w:rPr>
                  </w:pPr>
                  <w:r>
                    <w:rPr>
                      <w:rFonts w:hint="eastAsia" w:cs="宋体"/>
                      <w:color w:val="0D0D0D" w:themeColor="text1" w:themeTint="F2"/>
                      <w:spacing w:val="-10"/>
                      <w:szCs w:val="21"/>
                      <w14:textFill>
                        <w14:solidFill>
                          <w14:schemeClr w14:val="tx1">
                            <w14:lumMod w14:val="95000"/>
                            <w14:lumOff w14:val="5000"/>
                          </w14:schemeClr>
                        </w14:solidFill>
                      </w14:textFill>
                    </w:rPr>
                    <w:t>危废暂存间、仓库、喷漆房</w:t>
                  </w:r>
                </w:p>
              </w:tc>
              <w:tc>
                <w:tcPr>
                  <w:tcW w:w="1399" w:type="pct"/>
                  <w:vAlign w:val="center"/>
                </w:tcPr>
                <w:p w14:paraId="7F714D59">
                  <w:pPr>
                    <w:adjustRightInd w:val="0"/>
                    <w:snapToGrid w:val="0"/>
                    <w:rPr>
                      <w:rFonts w:cs="宋体"/>
                      <w:color w:val="0D0D0D" w:themeColor="text1" w:themeTint="F2"/>
                      <w:spacing w:val="-10"/>
                      <w:szCs w:val="21"/>
                      <w14:textFill>
                        <w14:solidFill>
                          <w14:schemeClr w14:val="tx1">
                            <w14:lumMod w14:val="95000"/>
                            <w14:lumOff w14:val="5000"/>
                          </w14:schemeClr>
                        </w14:solidFill>
                      </w14:textFill>
                    </w:rPr>
                  </w:pPr>
                  <w:r>
                    <w:rPr>
                      <w:rFonts w:hint="eastAsia" w:cs="宋体"/>
                      <w:color w:val="0D0D0D" w:themeColor="text1" w:themeTint="F2"/>
                      <w:spacing w:val="-10"/>
                      <w:szCs w:val="21"/>
                      <w14:textFill>
                        <w14:solidFill>
                          <w14:schemeClr w14:val="tx1">
                            <w14:lumMod w14:val="95000"/>
                            <w14:lumOff w14:val="5000"/>
                          </w14:schemeClr>
                        </w14:solidFill>
                      </w14:textFill>
                    </w:rPr>
                    <w:t>铺设10~15cm的水泥进行硬化，最后铺设2mm厚的高密度聚乙烯（HDPE）防渗层</w:t>
                  </w:r>
                </w:p>
              </w:tc>
              <w:tc>
                <w:tcPr>
                  <w:tcW w:w="1737" w:type="pct"/>
                  <w:vAlign w:val="center"/>
                </w:tcPr>
                <w:p w14:paraId="38B14293">
                  <w:pPr>
                    <w:adjustRightInd w:val="0"/>
                    <w:snapToGrid w:val="0"/>
                    <w:rPr>
                      <w:rFonts w:cs="宋体"/>
                      <w:color w:val="0D0D0D" w:themeColor="text1" w:themeTint="F2"/>
                      <w:spacing w:val="-10"/>
                      <w:szCs w:val="21"/>
                      <w14:textFill>
                        <w14:solidFill>
                          <w14:schemeClr w14:val="tx1">
                            <w14:lumMod w14:val="95000"/>
                            <w14:lumOff w14:val="5000"/>
                          </w14:schemeClr>
                        </w14:solidFill>
                      </w14:textFill>
                    </w:rPr>
                  </w:pPr>
                  <w:r>
                    <w:rPr>
                      <w:rFonts w:hint="eastAsia" w:cs="宋体"/>
                      <w:color w:val="0D0D0D" w:themeColor="text1" w:themeTint="F2"/>
                      <w:spacing w:val="-10"/>
                      <w:szCs w:val="21"/>
                      <w14:textFill>
                        <w14:solidFill>
                          <w14:schemeClr w14:val="tx1">
                            <w14:lumMod w14:val="95000"/>
                            <w14:lumOff w14:val="5000"/>
                          </w14:schemeClr>
                        </w14:solidFill>
                      </w14:textFill>
                    </w:rPr>
                    <w:t>等效黏土防渗层Mb≥6.0，渗透系数K≤1×10</w:t>
                  </w:r>
                  <w:r>
                    <w:rPr>
                      <w:rFonts w:hint="eastAsia" w:cs="宋体"/>
                      <w:color w:val="0D0D0D" w:themeColor="text1" w:themeTint="F2"/>
                      <w:spacing w:val="-10"/>
                      <w:szCs w:val="21"/>
                      <w:vertAlign w:val="superscript"/>
                      <w14:textFill>
                        <w14:solidFill>
                          <w14:schemeClr w14:val="tx1">
                            <w14:lumMod w14:val="95000"/>
                            <w14:lumOff w14:val="5000"/>
                          </w14:schemeClr>
                        </w14:solidFill>
                      </w14:textFill>
                    </w:rPr>
                    <w:t>-7</w:t>
                  </w:r>
                  <w:r>
                    <w:rPr>
                      <w:rFonts w:hint="eastAsia" w:cs="宋体"/>
                      <w:color w:val="0D0D0D" w:themeColor="text1" w:themeTint="F2"/>
                      <w:spacing w:val="-10"/>
                      <w:szCs w:val="21"/>
                      <w14:textFill>
                        <w14:solidFill>
                          <w14:schemeClr w14:val="tx1">
                            <w14:lumMod w14:val="95000"/>
                            <w14:lumOff w14:val="5000"/>
                          </w14:schemeClr>
                        </w14:solidFill>
                      </w14:textFill>
                    </w:rPr>
                    <w:t>cm/s；或参照GB18598执行</w:t>
                  </w:r>
                </w:p>
              </w:tc>
            </w:tr>
            <w:tr w14:paraId="68C06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Align w:val="center"/>
                </w:tcPr>
                <w:p w14:paraId="2A1C1C9C">
                  <w:pPr>
                    <w:adjustRightInd w:val="0"/>
                    <w:snapToGrid w:val="0"/>
                    <w:rPr>
                      <w:rFonts w:cs="宋体"/>
                      <w:color w:val="0D0D0D" w:themeColor="text1" w:themeTint="F2"/>
                      <w:spacing w:val="-10"/>
                      <w:szCs w:val="21"/>
                      <w14:textFill>
                        <w14:solidFill>
                          <w14:schemeClr w14:val="tx1">
                            <w14:lumMod w14:val="95000"/>
                            <w14:lumOff w14:val="5000"/>
                          </w14:schemeClr>
                        </w14:solidFill>
                      </w14:textFill>
                    </w:rPr>
                  </w:pPr>
                  <w:r>
                    <w:rPr>
                      <w:rFonts w:hint="eastAsia" w:cs="宋体"/>
                      <w:color w:val="0D0D0D" w:themeColor="text1" w:themeTint="F2"/>
                      <w:spacing w:val="-10"/>
                      <w:szCs w:val="21"/>
                      <w14:textFill>
                        <w14:solidFill>
                          <w14:schemeClr w14:val="tx1">
                            <w14:lumMod w14:val="95000"/>
                            <w14:lumOff w14:val="5000"/>
                          </w14:schemeClr>
                        </w14:solidFill>
                      </w14:textFill>
                    </w:rPr>
                    <w:t>一般防渗区</w:t>
                  </w:r>
                </w:p>
              </w:tc>
              <w:tc>
                <w:tcPr>
                  <w:tcW w:w="1453" w:type="pct"/>
                  <w:vAlign w:val="center"/>
                </w:tcPr>
                <w:p w14:paraId="13825BF3">
                  <w:pPr>
                    <w:adjustRightInd w:val="0"/>
                    <w:snapToGrid w:val="0"/>
                    <w:jc w:val="center"/>
                    <w:rPr>
                      <w:rFonts w:cs="宋体"/>
                      <w:color w:val="0D0D0D" w:themeColor="text1" w:themeTint="F2"/>
                      <w:spacing w:val="-10"/>
                      <w:szCs w:val="21"/>
                      <w14:textFill>
                        <w14:solidFill>
                          <w14:schemeClr w14:val="tx1">
                            <w14:lumMod w14:val="95000"/>
                            <w14:lumOff w14:val="5000"/>
                          </w14:schemeClr>
                        </w14:solidFill>
                      </w14:textFill>
                    </w:rPr>
                  </w:pPr>
                  <w:r>
                    <w:rPr>
                      <w:rFonts w:hint="eastAsia" w:cs="宋体"/>
                      <w:color w:val="0D0D0D" w:themeColor="text1" w:themeTint="F2"/>
                      <w:spacing w:val="-10"/>
                      <w:szCs w:val="21"/>
                      <w14:textFill>
                        <w14:solidFill>
                          <w14:schemeClr w14:val="tx1">
                            <w14:lumMod w14:val="95000"/>
                            <w14:lumOff w14:val="5000"/>
                          </w14:schemeClr>
                        </w14:solidFill>
                      </w14:textFill>
                    </w:rPr>
                    <w:t>三级</w:t>
                  </w:r>
                  <w:r>
                    <w:rPr>
                      <w:rFonts w:cs="宋体"/>
                      <w:color w:val="0D0D0D" w:themeColor="text1" w:themeTint="F2"/>
                      <w:spacing w:val="-10"/>
                      <w:szCs w:val="21"/>
                      <w14:textFill>
                        <w14:solidFill>
                          <w14:schemeClr w14:val="tx1">
                            <w14:lumMod w14:val="95000"/>
                            <w14:lumOff w14:val="5000"/>
                          </w14:schemeClr>
                        </w14:solidFill>
                      </w14:textFill>
                    </w:rPr>
                    <w:t>化粪池</w:t>
                  </w:r>
                </w:p>
              </w:tc>
              <w:tc>
                <w:tcPr>
                  <w:tcW w:w="1399" w:type="pct"/>
                  <w:vAlign w:val="center"/>
                </w:tcPr>
                <w:p w14:paraId="0B0E3380">
                  <w:pPr>
                    <w:adjustRightInd w:val="0"/>
                    <w:snapToGrid w:val="0"/>
                    <w:rPr>
                      <w:rFonts w:cs="宋体"/>
                      <w:color w:val="0D0D0D" w:themeColor="text1" w:themeTint="F2"/>
                      <w:spacing w:val="-10"/>
                      <w:szCs w:val="21"/>
                      <w14:textFill>
                        <w14:solidFill>
                          <w14:schemeClr w14:val="tx1">
                            <w14:lumMod w14:val="95000"/>
                            <w14:lumOff w14:val="5000"/>
                          </w14:schemeClr>
                        </w14:solidFill>
                      </w14:textFill>
                    </w:rPr>
                  </w:pPr>
                  <w:r>
                    <w:rPr>
                      <w:rFonts w:cs="宋体"/>
                      <w:color w:val="0D0D0D" w:themeColor="text1" w:themeTint="F2"/>
                      <w:spacing w:val="-10"/>
                      <w:szCs w:val="21"/>
                      <w14:textFill>
                        <w14:solidFill>
                          <w14:schemeClr w14:val="tx1">
                            <w14:lumMod w14:val="95000"/>
                            <w14:lumOff w14:val="5000"/>
                          </w14:schemeClr>
                        </w14:solidFill>
                      </w14:textFill>
                    </w:rPr>
                    <w:t>采取粘土铺底，再在上层铺10~15cm的水泥进行硬化。</w:t>
                  </w:r>
                </w:p>
              </w:tc>
              <w:tc>
                <w:tcPr>
                  <w:tcW w:w="1737" w:type="pct"/>
                  <w:vAlign w:val="center"/>
                </w:tcPr>
                <w:p w14:paraId="3ADA6E25">
                  <w:pPr>
                    <w:adjustRightInd w:val="0"/>
                    <w:snapToGrid w:val="0"/>
                    <w:rPr>
                      <w:rFonts w:cs="宋体"/>
                      <w:color w:val="0D0D0D" w:themeColor="text1" w:themeTint="F2"/>
                      <w:spacing w:val="-10"/>
                      <w:szCs w:val="21"/>
                      <w14:textFill>
                        <w14:solidFill>
                          <w14:schemeClr w14:val="tx1">
                            <w14:lumMod w14:val="95000"/>
                            <w14:lumOff w14:val="5000"/>
                          </w14:schemeClr>
                        </w14:solidFill>
                      </w14:textFill>
                    </w:rPr>
                  </w:pPr>
                  <w:r>
                    <w:rPr>
                      <w:rFonts w:cs="宋体"/>
                      <w:color w:val="0D0D0D" w:themeColor="text1" w:themeTint="F2"/>
                      <w:spacing w:val="-10"/>
                      <w:szCs w:val="21"/>
                      <w14:textFill>
                        <w14:solidFill>
                          <w14:schemeClr w14:val="tx1">
                            <w14:lumMod w14:val="95000"/>
                            <w14:lumOff w14:val="5000"/>
                          </w14:schemeClr>
                        </w14:solidFill>
                      </w14:textFill>
                    </w:rPr>
                    <w:t>等效黏土防渗层Mb≥1.5，渗透系数K≤1×10</w:t>
                  </w:r>
                  <w:r>
                    <w:rPr>
                      <w:rFonts w:cs="宋体"/>
                      <w:color w:val="0D0D0D" w:themeColor="text1" w:themeTint="F2"/>
                      <w:spacing w:val="-10"/>
                      <w:szCs w:val="21"/>
                      <w:vertAlign w:val="superscript"/>
                      <w14:textFill>
                        <w14:solidFill>
                          <w14:schemeClr w14:val="tx1">
                            <w14:lumMod w14:val="95000"/>
                            <w14:lumOff w14:val="5000"/>
                          </w14:schemeClr>
                        </w14:solidFill>
                      </w14:textFill>
                    </w:rPr>
                    <w:t>-7</w:t>
                  </w:r>
                  <w:r>
                    <w:rPr>
                      <w:rFonts w:cs="宋体"/>
                      <w:color w:val="0D0D0D" w:themeColor="text1" w:themeTint="F2"/>
                      <w:spacing w:val="-10"/>
                      <w:szCs w:val="21"/>
                      <w14:textFill>
                        <w14:solidFill>
                          <w14:schemeClr w14:val="tx1">
                            <w14:lumMod w14:val="95000"/>
                            <w14:lumOff w14:val="5000"/>
                          </w14:schemeClr>
                        </w14:solidFill>
                      </w14:textFill>
                    </w:rPr>
                    <w:t>cm/s；或参照GB16889执行</w:t>
                  </w:r>
                </w:p>
              </w:tc>
            </w:tr>
            <w:tr w14:paraId="4EEC3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0" w:type="pct"/>
                  <w:vAlign w:val="center"/>
                </w:tcPr>
                <w:p w14:paraId="3852159F">
                  <w:pPr>
                    <w:adjustRightInd w:val="0"/>
                    <w:snapToGrid w:val="0"/>
                    <w:rPr>
                      <w:rFonts w:cs="宋体"/>
                      <w:color w:val="0D0D0D" w:themeColor="text1" w:themeTint="F2"/>
                      <w:spacing w:val="-10"/>
                      <w:szCs w:val="21"/>
                      <w14:textFill>
                        <w14:solidFill>
                          <w14:schemeClr w14:val="tx1">
                            <w14:lumMod w14:val="95000"/>
                            <w14:lumOff w14:val="5000"/>
                          </w14:schemeClr>
                        </w14:solidFill>
                      </w14:textFill>
                    </w:rPr>
                  </w:pPr>
                  <w:r>
                    <w:rPr>
                      <w:rFonts w:hint="eastAsia" w:cs="宋体"/>
                      <w:color w:val="0D0D0D" w:themeColor="text1" w:themeTint="F2"/>
                      <w:spacing w:val="-10"/>
                      <w:szCs w:val="21"/>
                      <w14:textFill>
                        <w14:solidFill>
                          <w14:schemeClr w14:val="tx1">
                            <w14:lumMod w14:val="95000"/>
                            <w14:lumOff w14:val="5000"/>
                          </w14:schemeClr>
                        </w14:solidFill>
                      </w14:textFill>
                    </w:rPr>
                    <w:t>简单防渗区</w:t>
                  </w:r>
                </w:p>
              </w:tc>
              <w:tc>
                <w:tcPr>
                  <w:tcW w:w="1453" w:type="pct"/>
                  <w:vAlign w:val="center"/>
                </w:tcPr>
                <w:p w14:paraId="40143679">
                  <w:pPr>
                    <w:adjustRightInd w:val="0"/>
                    <w:snapToGrid w:val="0"/>
                    <w:rPr>
                      <w:rFonts w:cs="宋体"/>
                      <w:color w:val="0D0D0D" w:themeColor="text1" w:themeTint="F2"/>
                      <w:spacing w:val="-10"/>
                      <w:szCs w:val="21"/>
                      <w14:textFill>
                        <w14:solidFill>
                          <w14:schemeClr w14:val="tx1">
                            <w14:lumMod w14:val="95000"/>
                            <w14:lumOff w14:val="5000"/>
                          </w14:schemeClr>
                        </w14:solidFill>
                      </w14:textFill>
                    </w:rPr>
                  </w:pPr>
                  <w:r>
                    <w:rPr>
                      <w:rFonts w:hint="eastAsia" w:cs="宋体"/>
                      <w:color w:val="0D0D0D" w:themeColor="text1" w:themeTint="F2"/>
                      <w:spacing w:val="-10"/>
                      <w:szCs w:val="21"/>
                      <w14:textFill>
                        <w14:solidFill>
                          <w14:schemeClr w14:val="tx1">
                            <w14:lumMod w14:val="95000"/>
                            <w14:lumOff w14:val="5000"/>
                          </w14:schemeClr>
                        </w14:solidFill>
                      </w14:textFill>
                    </w:rPr>
                    <w:t>生活办公区、一般固废暂存间、道路、堆场等</w:t>
                  </w:r>
                </w:p>
              </w:tc>
              <w:tc>
                <w:tcPr>
                  <w:tcW w:w="1399" w:type="pct"/>
                  <w:vAlign w:val="center"/>
                </w:tcPr>
                <w:p w14:paraId="627AA542">
                  <w:pPr>
                    <w:adjustRightInd w:val="0"/>
                    <w:snapToGrid w:val="0"/>
                    <w:jc w:val="center"/>
                    <w:rPr>
                      <w:rFonts w:cs="宋体"/>
                      <w:color w:val="0D0D0D" w:themeColor="text1" w:themeTint="F2"/>
                      <w:spacing w:val="-10"/>
                      <w:szCs w:val="21"/>
                      <w14:textFill>
                        <w14:solidFill>
                          <w14:schemeClr w14:val="tx1">
                            <w14:lumMod w14:val="95000"/>
                            <w14:lumOff w14:val="5000"/>
                          </w14:schemeClr>
                        </w14:solidFill>
                      </w14:textFill>
                    </w:rPr>
                  </w:pPr>
                  <w:r>
                    <w:rPr>
                      <w:rFonts w:cs="宋体"/>
                      <w:color w:val="0D0D0D" w:themeColor="text1" w:themeTint="F2"/>
                      <w:spacing w:val="-10"/>
                      <w:szCs w:val="21"/>
                      <w14:textFill>
                        <w14:solidFill>
                          <w14:schemeClr w14:val="tx1">
                            <w14:lumMod w14:val="95000"/>
                            <w14:lumOff w14:val="5000"/>
                          </w14:schemeClr>
                        </w14:solidFill>
                      </w14:textFill>
                    </w:rPr>
                    <w:t>水泥混凝土硬化</w:t>
                  </w:r>
                </w:p>
              </w:tc>
              <w:tc>
                <w:tcPr>
                  <w:tcW w:w="1737" w:type="pct"/>
                  <w:vAlign w:val="center"/>
                </w:tcPr>
                <w:p w14:paraId="1622C4FF">
                  <w:pPr>
                    <w:adjustRightInd w:val="0"/>
                    <w:snapToGrid w:val="0"/>
                    <w:jc w:val="center"/>
                    <w:rPr>
                      <w:rFonts w:cs="宋体"/>
                      <w:color w:val="0D0D0D" w:themeColor="text1" w:themeTint="F2"/>
                      <w:spacing w:val="-10"/>
                      <w:szCs w:val="21"/>
                      <w14:textFill>
                        <w14:solidFill>
                          <w14:schemeClr w14:val="tx1">
                            <w14:lumMod w14:val="95000"/>
                            <w14:lumOff w14:val="5000"/>
                          </w14:schemeClr>
                        </w14:solidFill>
                      </w14:textFill>
                    </w:rPr>
                  </w:pPr>
                  <w:r>
                    <w:rPr>
                      <w:rFonts w:hint="eastAsia" w:cs="宋体"/>
                      <w:color w:val="0D0D0D" w:themeColor="text1" w:themeTint="F2"/>
                      <w:spacing w:val="-10"/>
                      <w:szCs w:val="21"/>
                      <w14:textFill>
                        <w14:solidFill>
                          <w14:schemeClr w14:val="tx1">
                            <w14:lumMod w14:val="95000"/>
                            <w14:lumOff w14:val="5000"/>
                          </w14:schemeClr>
                        </w14:solidFill>
                      </w14:textFill>
                    </w:rPr>
                    <w:t>一般地面硬化</w:t>
                  </w:r>
                </w:p>
              </w:tc>
            </w:tr>
          </w:tbl>
          <w:p w14:paraId="56798B9B">
            <w:pPr>
              <w:adjustRightInd w:val="0"/>
              <w:snapToGrid w:val="0"/>
              <w:spacing w:line="360" w:lineRule="auto"/>
              <w:ind w:firstLine="440" w:firstLineChars="200"/>
              <w:rPr>
                <w:rFonts w:cs="宋体"/>
                <w:color w:val="0D0D0D" w:themeColor="text1" w:themeTint="F2"/>
                <w:spacing w:val="-10"/>
                <w:sz w:val="24"/>
                <w14:textFill>
                  <w14:solidFill>
                    <w14:schemeClr w14:val="tx1">
                      <w14:lumMod w14:val="95000"/>
                      <w14:lumOff w14:val="5000"/>
                    </w14:schemeClr>
                  </w14:solidFill>
                </w14:textFill>
              </w:rPr>
            </w:pPr>
            <w:r>
              <w:rPr>
                <w:rFonts w:hint="eastAsia" w:cs="宋体"/>
                <w:color w:val="0D0D0D" w:themeColor="text1" w:themeTint="F2"/>
                <w:spacing w:val="-10"/>
                <w:sz w:val="24"/>
                <w14:textFill>
                  <w14:solidFill>
                    <w14:schemeClr w14:val="tx1">
                      <w14:lumMod w14:val="95000"/>
                      <w14:lumOff w14:val="5000"/>
                    </w14:schemeClr>
                  </w14:solidFill>
                </w14:textFill>
              </w:rPr>
              <w:t>项目</w:t>
            </w:r>
            <w:r>
              <w:rPr>
                <w:rFonts w:cs="宋体"/>
                <w:color w:val="0D0D0D" w:themeColor="text1" w:themeTint="F2"/>
                <w:spacing w:val="-10"/>
                <w:sz w:val="24"/>
                <w14:textFill>
                  <w14:solidFill>
                    <w14:schemeClr w14:val="tx1">
                      <w14:lumMod w14:val="95000"/>
                      <w14:lumOff w14:val="5000"/>
                    </w14:schemeClr>
                  </w14:solidFill>
                </w14:textFill>
              </w:rPr>
              <w:t>在采取分区防渗措施后可有效防止污染物污染区域土壤</w:t>
            </w:r>
            <w:r>
              <w:rPr>
                <w:rFonts w:hint="eastAsia" w:cs="宋体"/>
                <w:color w:val="0D0D0D" w:themeColor="text1" w:themeTint="F2"/>
                <w:spacing w:val="-10"/>
                <w:sz w:val="24"/>
                <w14:textFill>
                  <w14:solidFill>
                    <w14:schemeClr w14:val="tx1">
                      <w14:lumMod w14:val="95000"/>
                      <w14:lumOff w14:val="5000"/>
                    </w14:schemeClr>
                  </w14:solidFill>
                </w14:textFill>
              </w:rPr>
              <w:t>和</w:t>
            </w:r>
            <w:r>
              <w:rPr>
                <w:rFonts w:cs="宋体"/>
                <w:color w:val="0D0D0D" w:themeColor="text1" w:themeTint="F2"/>
                <w:spacing w:val="-10"/>
                <w:sz w:val="24"/>
                <w14:textFill>
                  <w14:solidFill>
                    <w14:schemeClr w14:val="tx1">
                      <w14:lumMod w14:val="95000"/>
                      <w14:lumOff w14:val="5000"/>
                    </w14:schemeClr>
                  </w14:solidFill>
                </w14:textFill>
              </w:rPr>
              <w:t>地下水环境，对区域土壤</w:t>
            </w:r>
            <w:r>
              <w:rPr>
                <w:rFonts w:hint="eastAsia" w:cs="宋体"/>
                <w:color w:val="0D0D0D" w:themeColor="text1" w:themeTint="F2"/>
                <w:spacing w:val="-10"/>
                <w:sz w:val="24"/>
                <w14:textFill>
                  <w14:solidFill>
                    <w14:schemeClr w14:val="tx1">
                      <w14:lumMod w14:val="95000"/>
                      <w14:lumOff w14:val="5000"/>
                    </w14:schemeClr>
                  </w14:solidFill>
                </w14:textFill>
              </w:rPr>
              <w:t>和</w:t>
            </w:r>
            <w:r>
              <w:rPr>
                <w:rFonts w:cs="宋体"/>
                <w:color w:val="0D0D0D" w:themeColor="text1" w:themeTint="F2"/>
                <w:spacing w:val="-10"/>
                <w:sz w:val="24"/>
                <w14:textFill>
                  <w14:solidFill>
                    <w14:schemeClr w14:val="tx1">
                      <w14:lumMod w14:val="95000"/>
                      <w14:lumOff w14:val="5000"/>
                    </w14:schemeClr>
                  </w14:solidFill>
                </w14:textFill>
              </w:rPr>
              <w:t>地下水环境影响较小。</w:t>
            </w:r>
          </w:p>
          <w:p w14:paraId="0FEDA9B4">
            <w:pPr>
              <w:adjustRightInd w:val="0"/>
              <w:snapToGrid w:val="0"/>
              <w:spacing w:line="360" w:lineRule="auto"/>
              <w:ind w:firstLine="442" w:firstLineChars="200"/>
              <w:rPr>
                <w:rFonts w:cs="宋体"/>
                <w:b/>
                <w:bCs/>
                <w:color w:val="0D0D0D" w:themeColor="text1" w:themeTint="F2"/>
                <w:spacing w:val="-10"/>
                <w:sz w:val="24"/>
                <w14:textFill>
                  <w14:solidFill>
                    <w14:schemeClr w14:val="tx1">
                      <w14:lumMod w14:val="95000"/>
                      <w14:lumOff w14:val="5000"/>
                    </w14:schemeClr>
                  </w14:solidFill>
                </w14:textFill>
              </w:rPr>
            </w:pPr>
            <w:r>
              <w:rPr>
                <w:rFonts w:hint="eastAsia" w:cs="宋体"/>
                <w:b/>
                <w:bCs/>
                <w:color w:val="0D0D0D" w:themeColor="text1" w:themeTint="F2"/>
                <w:spacing w:val="-10"/>
                <w:sz w:val="24"/>
                <w14:textFill>
                  <w14:solidFill>
                    <w14:schemeClr w14:val="tx1">
                      <w14:lumMod w14:val="95000"/>
                      <w14:lumOff w14:val="5000"/>
                    </w14:schemeClr>
                  </w14:solidFill>
                </w14:textFill>
              </w:rPr>
              <w:t>3、</w:t>
            </w:r>
            <w:r>
              <w:rPr>
                <w:rFonts w:cs="宋体"/>
                <w:b/>
                <w:bCs/>
                <w:color w:val="0D0D0D" w:themeColor="text1" w:themeTint="F2"/>
                <w:spacing w:val="-10"/>
                <w:sz w:val="24"/>
                <w14:textFill>
                  <w14:solidFill>
                    <w14:schemeClr w14:val="tx1">
                      <w14:lumMod w14:val="95000"/>
                      <w14:lumOff w14:val="5000"/>
                    </w14:schemeClr>
                  </w14:solidFill>
                </w14:textFill>
              </w:rPr>
              <w:t>跟踪监测要求</w:t>
            </w:r>
          </w:p>
          <w:p w14:paraId="2B94238D">
            <w:pPr>
              <w:adjustRightInd w:val="0"/>
              <w:snapToGrid w:val="0"/>
              <w:spacing w:line="360" w:lineRule="auto"/>
              <w:ind w:firstLine="440" w:firstLineChars="200"/>
              <w:rPr>
                <w:rFonts w:cs="宋体"/>
                <w:color w:val="0D0D0D" w:themeColor="text1" w:themeTint="F2"/>
                <w:spacing w:val="-10"/>
                <w:sz w:val="24"/>
                <w14:textFill>
                  <w14:solidFill>
                    <w14:schemeClr w14:val="tx1">
                      <w14:lumMod w14:val="95000"/>
                      <w14:lumOff w14:val="5000"/>
                    </w14:schemeClr>
                  </w14:solidFill>
                </w14:textFill>
              </w:rPr>
            </w:pPr>
            <w:r>
              <w:rPr>
                <w:rFonts w:cs="宋体"/>
                <w:color w:val="0D0D0D" w:themeColor="text1" w:themeTint="F2"/>
                <w:spacing w:val="-10"/>
                <w:sz w:val="24"/>
                <w14:textFill>
                  <w14:solidFill>
                    <w14:schemeClr w14:val="tx1">
                      <w14:lumMod w14:val="95000"/>
                      <w14:lumOff w14:val="5000"/>
                    </w14:schemeClr>
                  </w14:solidFill>
                </w14:textFill>
              </w:rPr>
              <w:t>根据以上分析结果，并根据行业特点等，项目无需开展地下水</w:t>
            </w:r>
            <w:r>
              <w:rPr>
                <w:rFonts w:hint="eastAsia" w:cs="宋体"/>
                <w:color w:val="0D0D0D" w:themeColor="text1" w:themeTint="F2"/>
                <w:spacing w:val="-10"/>
                <w:sz w:val="24"/>
                <w14:textFill>
                  <w14:solidFill>
                    <w14:schemeClr w14:val="tx1">
                      <w14:lumMod w14:val="95000"/>
                      <w14:lumOff w14:val="5000"/>
                    </w14:schemeClr>
                  </w14:solidFill>
                </w14:textFill>
              </w:rPr>
              <w:t>和</w:t>
            </w:r>
            <w:r>
              <w:rPr>
                <w:rFonts w:cs="宋体"/>
                <w:color w:val="0D0D0D" w:themeColor="text1" w:themeTint="F2"/>
                <w:spacing w:val="-10"/>
                <w:sz w:val="24"/>
                <w14:textFill>
                  <w14:solidFill>
                    <w14:schemeClr w14:val="tx1">
                      <w14:lumMod w14:val="95000"/>
                      <w14:lumOff w14:val="5000"/>
                    </w14:schemeClr>
                  </w14:solidFill>
                </w14:textFill>
              </w:rPr>
              <w:t>土壤跟踪监测</w:t>
            </w:r>
            <w:r>
              <w:rPr>
                <w:rFonts w:hint="eastAsia" w:cs="宋体"/>
                <w:color w:val="0D0D0D" w:themeColor="text1" w:themeTint="F2"/>
                <w:spacing w:val="-10"/>
                <w:sz w:val="24"/>
                <w14:textFill>
                  <w14:solidFill>
                    <w14:schemeClr w14:val="tx1">
                      <w14:lumMod w14:val="95000"/>
                      <w14:lumOff w14:val="5000"/>
                    </w14:schemeClr>
                  </w14:solidFill>
                </w14:textFill>
              </w:rPr>
              <w:t>，</w:t>
            </w:r>
            <w:r>
              <w:rPr>
                <w:rFonts w:cs="宋体"/>
                <w:color w:val="0D0D0D" w:themeColor="text1" w:themeTint="F2"/>
                <w:spacing w:val="-10"/>
                <w:sz w:val="24"/>
                <w14:textFill>
                  <w14:solidFill>
                    <w14:schemeClr w14:val="tx1">
                      <w14:lumMod w14:val="95000"/>
                      <w14:lumOff w14:val="5000"/>
                    </w14:schemeClr>
                  </w14:solidFill>
                </w14:textFill>
              </w:rPr>
              <w:t>建议建设单位加强日常环境管理。</w:t>
            </w:r>
          </w:p>
          <w:p w14:paraId="6D24A4CC">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六、环境风险</w:t>
            </w:r>
          </w:p>
          <w:p w14:paraId="3672BF41">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1、风险源调查</w:t>
            </w:r>
          </w:p>
          <w:p w14:paraId="41BEA982">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建设项目环境风险评价技术导则》（HJ169-2018）附录B重点关注的危险物质及临界量，项目涉及有毒、有害及危险品的主要为油漆、稀释剂、清洗剂和废机油，环境风险物质主要为油漆、稀释剂（临界量为50t）和油类物质（临界量为2500t），在运输、使用、贮存的过程中发生泄漏等，会对环境和人体将产生危害。</w:t>
            </w:r>
          </w:p>
          <w:p w14:paraId="38D307A5">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2、风险潜势初判</w:t>
            </w:r>
          </w:p>
          <w:p w14:paraId="78A2F3DA">
            <w:pPr>
              <w:spacing w:line="360" w:lineRule="auto"/>
              <w:ind w:firstLine="468" w:firstLineChars="200"/>
              <w:rPr>
                <w:color w:val="0D0D0D" w:themeColor="text1" w:themeTint="F2"/>
                <w:sz w:val="24"/>
                <w14:textFill>
                  <w14:solidFill>
                    <w14:schemeClr w14:val="tx1">
                      <w14:lumMod w14:val="95000"/>
                      <w14:lumOff w14:val="5000"/>
                    </w14:schemeClr>
                  </w14:solidFill>
                </w14:textFill>
              </w:rPr>
            </w:pPr>
            <w:r>
              <w:rPr>
                <w:color w:val="0D0D0D" w:themeColor="text1" w:themeTint="F2"/>
                <w:spacing w:val="-3"/>
                <w:sz w:val="24"/>
                <w14:textFill>
                  <w14:solidFill>
                    <w14:schemeClr w14:val="tx1">
                      <w14:lumMod w14:val="95000"/>
                      <w14:lumOff w14:val="5000"/>
                    </w14:schemeClr>
                  </w14:solidFill>
                </w14:textFill>
              </w:rPr>
              <w:t>分析建设项目生产、使用、储存过程中涉及的有毒有害、易燃易爆物质，参见导则附录B</w:t>
            </w:r>
            <w:r>
              <w:rPr>
                <w:color w:val="0D0D0D" w:themeColor="text1" w:themeTint="F2"/>
                <w:spacing w:val="-18"/>
                <w:sz w:val="24"/>
                <w14:textFill>
                  <w14:solidFill>
                    <w14:schemeClr w14:val="tx1">
                      <w14:lumMod w14:val="95000"/>
                      <w14:lumOff w14:val="5000"/>
                    </w14:schemeClr>
                  </w14:solidFill>
                </w14:textFill>
              </w:rPr>
              <w:t>确定危险物质的临界量。定量分析危险物质数量与临界量的比值</w:t>
            </w:r>
            <w:r>
              <w:rPr>
                <w:color w:val="0D0D0D" w:themeColor="text1" w:themeTint="F2"/>
                <w:sz w:val="24"/>
                <w14:textFill>
                  <w14:solidFill>
                    <w14:schemeClr w14:val="tx1">
                      <w14:lumMod w14:val="95000"/>
                      <w14:lumOff w14:val="5000"/>
                    </w14:schemeClr>
                  </w14:solidFill>
                </w14:textFill>
              </w:rPr>
              <w:t>（Q）</w:t>
            </w:r>
            <w:r>
              <w:rPr>
                <w:color w:val="0D0D0D" w:themeColor="text1" w:themeTint="F2"/>
                <w:spacing w:val="-4"/>
                <w:sz w:val="24"/>
                <w14:textFill>
                  <w14:solidFill>
                    <w14:schemeClr w14:val="tx1">
                      <w14:lumMod w14:val="95000"/>
                      <w14:lumOff w14:val="5000"/>
                    </w14:schemeClr>
                  </w14:solidFill>
                </w14:textFill>
              </w:rPr>
              <w:t>和所属行业及生产工艺特点</w:t>
            </w:r>
            <w:r>
              <w:rPr>
                <w:color w:val="0D0D0D" w:themeColor="text1" w:themeTint="F2"/>
                <w:spacing w:val="-8"/>
                <w:sz w:val="24"/>
                <w14:textFill>
                  <w14:solidFill>
                    <w14:schemeClr w14:val="tx1">
                      <w14:lumMod w14:val="95000"/>
                      <w14:lumOff w14:val="5000"/>
                    </w14:schemeClr>
                  </w14:solidFill>
                </w14:textFill>
              </w:rPr>
              <w:t>（M）</w:t>
            </w:r>
            <w:r>
              <w:rPr>
                <w:color w:val="0D0D0D" w:themeColor="text1" w:themeTint="F2"/>
                <w:spacing w:val="-3"/>
                <w:sz w:val="24"/>
                <w14:textFill>
                  <w14:solidFill>
                    <w14:schemeClr w14:val="tx1">
                      <w14:lumMod w14:val="95000"/>
                      <w14:lumOff w14:val="5000"/>
                    </w14:schemeClr>
                  </w14:solidFill>
                </w14:textFill>
              </w:rPr>
              <w:t>，按</w:t>
            </w:r>
            <w:r>
              <w:rPr>
                <w:rFonts w:hint="eastAsia"/>
                <w:color w:val="0D0D0D" w:themeColor="text1" w:themeTint="F2"/>
                <w:spacing w:val="-3"/>
                <w:sz w:val="24"/>
                <w14:textFill>
                  <w14:solidFill>
                    <w14:schemeClr w14:val="tx1">
                      <w14:lumMod w14:val="95000"/>
                      <w14:lumOff w14:val="5000"/>
                    </w14:schemeClr>
                  </w14:solidFill>
                </w14:textFill>
              </w:rPr>
              <w:t>《建设项目环境风险评价技术导则》（HJ169-2018）</w:t>
            </w:r>
            <w:r>
              <w:rPr>
                <w:color w:val="0D0D0D" w:themeColor="text1" w:themeTint="F2"/>
                <w:spacing w:val="-3"/>
                <w:sz w:val="24"/>
                <w14:textFill>
                  <w14:solidFill>
                    <w14:schemeClr w14:val="tx1">
                      <w14:lumMod w14:val="95000"/>
                      <w14:lumOff w14:val="5000"/>
                    </w14:schemeClr>
                  </w14:solidFill>
                </w14:textFill>
              </w:rPr>
              <w:t>附录C对危险物质及工艺系统危险性</w:t>
            </w:r>
            <w:r>
              <w:rPr>
                <w:color w:val="0D0D0D" w:themeColor="text1" w:themeTint="F2"/>
                <w:sz w:val="24"/>
                <w14:textFill>
                  <w14:solidFill>
                    <w14:schemeClr w14:val="tx1">
                      <w14:lumMod w14:val="95000"/>
                      <w14:lumOff w14:val="5000"/>
                    </w14:schemeClr>
                  </w14:solidFill>
                </w14:textFill>
              </w:rPr>
              <w:t>（P）等级进行判断。</w:t>
            </w:r>
          </w:p>
          <w:p w14:paraId="1E71F3D3">
            <w:pPr>
              <w:autoSpaceDE w:val="0"/>
              <w:autoSpaceDN w:val="0"/>
              <w:adjustRightInd w:val="0"/>
              <w:spacing w:line="360" w:lineRule="auto"/>
              <w:ind w:firstLine="480" w:firstLineChars="200"/>
              <w:rPr>
                <w:color w:val="0D0D0D" w:themeColor="text1" w:themeTint="F2"/>
                <w:sz w:val="24"/>
                <w:lang w:bidi="ar"/>
                <w14:textFill>
                  <w14:solidFill>
                    <w14:schemeClr w14:val="tx1">
                      <w14:lumMod w14:val="95000"/>
                      <w14:lumOff w14:val="5000"/>
                    </w14:schemeClr>
                  </w14:solidFill>
                </w14:textFill>
              </w:rPr>
            </w:pPr>
            <w:r>
              <w:rPr>
                <w:rFonts w:hint="eastAsia"/>
                <w:color w:val="0D0D0D" w:themeColor="text1" w:themeTint="F2"/>
                <w:sz w:val="24"/>
                <w:lang w:bidi="ar"/>
                <w14:textFill>
                  <w14:solidFill>
                    <w14:schemeClr w14:val="tx1">
                      <w14:lumMod w14:val="95000"/>
                      <w14:lumOff w14:val="5000"/>
                    </w14:schemeClr>
                  </w14:solidFill>
                </w14:textFill>
              </w:rPr>
              <w:t>当只涉及一种危险物质时，计算该物质的总量与其临界量比值，即为Q；</w:t>
            </w:r>
          </w:p>
          <w:p w14:paraId="14A3A26C">
            <w:pPr>
              <w:autoSpaceDE w:val="0"/>
              <w:autoSpaceDN w:val="0"/>
              <w:adjustRightInd w:val="0"/>
              <w:spacing w:line="360" w:lineRule="auto"/>
              <w:ind w:firstLine="480" w:firstLineChars="200"/>
              <w:rPr>
                <w:color w:val="0D0D0D" w:themeColor="text1" w:themeTint="F2"/>
                <w:sz w:val="24"/>
                <w:lang w:bidi="ar"/>
                <w14:textFill>
                  <w14:solidFill>
                    <w14:schemeClr w14:val="tx1">
                      <w14:lumMod w14:val="95000"/>
                      <w14:lumOff w14:val="5000"/>
                    </w14:schemeClr>
                  </w14:solidFill>
                </w14:textFill>
              </w:rPr>
            </w:pPr>
            <w:r>
              <w:rPr>
                <w:color w:val="0D0D0D" w:themeColor="text1" w:themeTint="F2"/>
                <w:sz w:val="24"/>
                <w:lang w:bidi="ar"/>
                <w14:textFill>
                  <w14:solidFill>
                    <w14:schemeClr w14:val="tx1">
                      <w14:lumMod w14:val="95000"/>
                      <w14:lumOff w14:val="5000"/>
                    </w14:schemeClr>
                  </w14:solidFill>
                </w14:textFill>
              </w:rPr>
              <w:t>当存在多种危险物质时，按下式计算物质总量与其临界量比值（Q）：</w:t>
            </w:r>
          </w:p>
          <w:p w14:paraId="649AC89F">
            <w:pPr>
              <w:spacing w:line="360" w:lineRule="auto"/>
              <w:ind w:firstLine="480" w:firstLineChars="200"/>
              <w:jc w:val="center"/>
              <w:rPr>
                <w:color w:val="0D0D0D" w:themeColor="text1" w:themeTint="F2"/>
                <w:sz w:val="24"/>
                <w14:textFill>
                  <w14:solidFill>
                    <w14:schemeClr w14:val="tx1">
                      <w14:lumMod w14:val="95000"/>
                      <w14:lumOff w14:val="5000"/>
                    </w14:schemeClr>
                  </w14:solidFill>
                </w14:textFill>
              </w:rPr>
            </w:pPr>
            <w:r>
              <w:rPr>
                <w:color w:val="0D0D0D" w:themeColor="text1" w:themeTint="F2"/>
                <w:position w:val="-30"/>
                <w:sz w:val="24"/>
                <w14:textFill>
                  <w14:solidFill>
                    <w14:schemeClr w14:val="tx1">
                      <w14:lumMod w14:val="95000"/>
                      <w14:lumOff w14:val="5000"/>
                    </w14:schemeClr>
                  </w14:solidFill>
                </w14:textFill>
              </w:rPr>
              <w:object>
                <v:shape id="_x0000_i1028" o:spt="75" type="#_x0000_t75" style="height:36pt;width:101pt;" o:ole="t" filled="f" o:preferrelative="t" stroked="f" coordsize="21600,21600">
                  <v:path/>
                  <v:fill on="f" focussize="0,0"/>
                  <v:stroke on="f" joinstyle="miter"/>
                  <v:imagedata r:id="rId42" o:title=""/>
                  <o:lock v:ext="edit" aspectratio="t"/>
                  <w10:wrap type="none"/>
                  <w10:anchorlock/>
                </v:shape>
                <o:OLEObject Type="Embed" ProgID="Equation.3" ShapeID="_x0000_i1028" DrawAspect="Content" ObjectID="_1468075728" r:id="rId41">
                  <o:LockedField>false</o:LockedField>
                </o:OLEObject>
              </w:object>
            </w:r>
          </w:p>
          <w:p w14:paraId="210F6F3A">
            <w:pPr>
              <w:autoSpaceDE w:val="0"/>
              <w:autoSpaceDN w:val="0"/>
              <w:adjustRightInd w:val="0"/>
              <w:spacing w:line="360" w:lineRule="auto"/>
              <w:ind w:firstLine="480" w:firstLineChars="200"/>
              <w:rPr>
                <w:color w:val="0D0D0D" w:themeColor="text1" w:themeTint="F2"/>
                <w:sz w:val="24"/>
                <w:lang w:bidi="ar"/>
                <w14:textFill>
                  <w14:solidFill>
                    <w14:schemeClr w14:val="tx1">
                      <w14:lumMod w14:val="95000"/>
                      <w14:lumOff w14:val="5000"/>
                    </w14:schemeClr>
                  </w14:solidFill>
                </w14:textFill>
              </w:rPr>
            </w:pPr>
            <w:r>
              <w:rPr>
                <w:color w:val="0D0D0D" w:themeColor="text1" w:themeTint="F2"/>
                <w:sz w:val="24"/>
                <w:lang w:bidi="ar"/>
                <w14:textFill>
                  <w14:solidFill>
                    <w14:schemeClr w14:val="tx1">
                      <w14:lumMod w14:val="95000"/>
                      <w14:lumOff w14:val="5000"/>
                    </w14:schemeClr>
                  </w14:solidFill>
                </w14:textFill>
              </w:rPr>
              <w:t>式中：q</w:t>
            </w:r>
            <w:r>
              <w:rPr>
                <w:color w:val="0D0D0D" w:themeColor="text1" w:themeTint="F2"/>
                <w:sz w:val="24"/>
                <w:vertAlign w:val="subscript"/>
                <w:lang w:bidi="ar"/>
                <w14:textFill>
                  <w14:solidFill>
                    <w14:schemeClr w14:val="tx1">
                      <w14:lumMod w14:val="95000"/>
                      <w14:lumOff w14:val="5000"/>
                    </w14:schemeClr>
                  </w14:solidFill>
                </w14:textFill>
              </w:rPr>
              <w:t>1</w:t>
            </w:r>
            <w:r>
              <w:rPr>
                <w:color w:val="0D0D0D" w:themeColor="text1" w:themeTint="F2"/>
                <w:sz w:val="24"/>
                <w:lang w:bidi="ar"/>
                <w14:textFill>
                  <w14:solidFill>
                    <w14:schemeClr w14:val="tx1">
                      <w14:lumMod w14:val="95000"/>
                      <w14:lumOff w14:val="5000"/>
                    </w14:schemeClr>
                  </w14:solidFill>
                </w14:textFill>
              </w:rPr>
              <w:t>，q</w:t>
            </w:r>
            <w:r>
              <w:rPr>
                <w:color w:val="0D0D0D" w:themeColor="text1" w:themeTint="F2"/>
                <w:sz w:val="24"/>
                <w:vertAlign w:val="subscript"/>
                <w:lang w:bidi="ar"/>
                <w14:textFill>
                  <w14:solidFill>
                    <w14:schemeClr w14:val="tx1">
                      <w14:lumMod w14:val="95000"/>
                      <w14:lumOff w14:val="5000"/>
                    </w14:schemeClr>
                  </w14:solidFill>
                </w14:textFill>
              </w:rPr>
              <w:t>2……</w:t>
            </w:r>
            <w:r>
              <w:rPr>
                <w:color w:val="0D0D0D" w:themeColor="text1" w:themeTint="F2"/>
                <w:sz w:val="24"/>
                <w:lang w:bidi="ar"/>
                <w14:textFill>
                  <w14:solidFill>
                    <w14:schemeClr w14:val="tx1">
                      <w14:lumMod w14:val="95000"/>
                      <w14:lumOff w14:val="5000"/>
                    </w14:schemeClr>
                  </w14:solidFill>
                </w14:textFill>
              </w:rPr>
              <w:t>q</w:t>
            </w:r>
            <w:r>
              <w:rPr>
                <w:color w:val="0D0D0D" w:themeColor="text1" w:themeTint="F2"/>
                <w:sz w:val="24"/>
                <w:vertAlign w:val="subscript"/>
                <w:lang w:bidi="ar"/>
                <w14:textFill>
                  <w14:solidFill>
                    <w14:schemeClr w14:val="tx1">
                      <w14:lumMod w14:val="95000"/>
                      <w14:lumOff w14:val="5000"/>
                    </w14:schemeClr>
                  </w14:solidFill>
                </w14:textFill>
              </w:rPr>
              <w:t>n</w:t>
            </w:r>
            <w:r>
              <w:rPr>
                <w:color w:val="0D0D0D" w:themeColor="text1" w:themeTint="F2"/>
                <w:sz w:val="24"/>
                <w:lang w:bidi="ar"/>
                <w14:textFill>
                  <w14:solidFill>
                    <w14:schemeClr w14:val="tx1">
                      <w14:lumMod w14:val="95000"/>
                      <w14:lumOff w14:val="5000"/>
                    </w14:schemeClr>
                  </w14:solidFill>
                </w14:textFill>
              </w:rPr>
              <w:t>—每种危险物质的最大存在总量，t；</w:t>
            </w:r>
          </w:p>
          <w:p w14:paraId="682ADA63">
            <w:pPr>
              <w:spacing w:line="360" w:lineRule="auto"/>
              <w:ind w:firstLine="1200" w:firstLineChars="500"/>
              <w:rPr>
                <w:color w:val="0D0D0D" w:themeColor="text1" w:themeTint="F2"/>
                <w:sz w:val="24"/>
                <w:lang w:bidi="ar"/>
                <w14:textFill>
                  <w14:solidFill>
                    <w14:schemeClr w14:val="tx1">
                      <w14:lumMod w14:val="95000"/>
                      <w14:lumOff w14:val="5000"/>
                    </w14:schemeClr>
                  </w14:solidFill>
                </w14:textFill>
              </w:rPr>
            </w:pPr>
            <w:r>
              <w:rPr>
                <w:color w:val="0D0D0D" w:themeColor="text1" w:themeTint="F2"/>
                <w:sz w:val="24"/>
                <w:lang w:bidi="ar"/>
                <w14:textFill>
                  <w14:solidFill>
                    <w14:schemeClr w14:val="tx1">
                      <w14:lumMod w14:val="95000"/>
                      <w14:lumOff w14:val="5000"/>
                    </w14:schemeClr>
                  </w14:solidFill>
                </w14:textFill>
              </w:rPr>
              <w:t>Q</w:t>
            </w:r>
            <w:r>
              <w:rPr>
                <w:color w:val="0D0D0D" w:themeColor="text1" w:themeTint="F2"/>
                <w:sz w:val="24"/>
                <w:vertAlign w:val="subscript"/>
                <w:lang w:bidi="ar"/>
                <w14:textFill>
                  <w14:solidFill>
                    <w14:schemeClr w14:val="tx1">
                      <w14:lumMod w14:val="95000"/>
                      <w14:lumOff w14:val="5000"/>
                    </w14:schemeClr>
                  </w14:solidFill>
                </w14:textFill>
              </w:rPr>
              <w:t>1</w:t>
            </w:r>
            <w:r>
              <w:rPr>
                <w:color w:val="0D0D0D" w:themeColor="text1" w:themeTint="F2"/>
                <w:sz w:val="24"/>
                <w:lang w:bidi="ar"/>
                <w14:textFill>
                  <w14:solidFill>
                    <w14:schemeClr w14:val="tx1">
                      <w14:lumMod w14:val="95000"/>
                      <w14:lumOff w14:val="5000"/>
                    </w14:schemeClr>
                  </w14:solidFill>
                </w14:textFill>
              </w:rPr>
              <w:t>，Q</w:t>
            </w:r>
            <w:r>
              <w:rPr>
                <w:color w:val="0D0D0D" w:themeColor="text1" w:themeTint="F2"/>
                <w:sz w:val="24"/>
                <w:vertAlign w:val="subscript"/>
                <w:lang w:bidi="ar"/>
                <w14:textFill>
                  <w14:solidFill>
                    <w14:schemeClr w14:val="tx1">
                      <w14:lumMod w14:val="95000"/>
                      <w14:lumOff w14:val="5000"/>
                    </w14:schemeClr>
                  </w14:solidFill>
                </w14:textFill>
              </w:rPr>
              <w:t>2……</w:t>
            </w:r>
            <w:r>
              <w:rPr>
                <w:color w:val="0D0D0D" w:themeColor="text1" w:themeTint="F2"/>
                <w:sz w:val="24"/>
                <w:lang w:bidi="ar"/>
                <w14:textFill>
                  <w14:solidFill>
                    <w14:schemeClr w14:val="tx1">
                      <w14:lumMod w14:val="95000"/>
                      <w14:lumOff w14:val="5000"/>
                    </w14:schemeClr>
                  </w14:solidFill>
                </w14:textFill>
              </w:rPr>
              <w:t>Qn—每种危险物质的临界量，t。</w:t>
            </w:r>
          </w:p>
          <w:p w14:paraId="4F08EB65">
            <w:pPr>
              <w:spacing w:line="360" w:lineRule="auto"/>
              <w:ind w:firstLine="480" w:firstLineChars="200"/>
              <w:rPr>
                <w:color w:val="0D0D0D" w:themeColor="text1" w:themeTint="F2"/>
                <w:sz w:val="24"/>
                <w:lang w:bidi="ar"/>
                <w14:textFill>
                  <w14:solidFill>
                    <w14:schemeClr w14:val="tx1">
                      <w14:lumMod w14:val="95000"/>
                      <w14:lumOff w14:val="5000"/>
                    </w14:schemeClr>
                  </w14:solidFill>
                </w14:textFill>
              </w:rPr>
            </w:pPr>
            <w:r>
              <w:rPr>
                <w:color w:val="0D0D0D" w:themeColor="text1" w:themeTint="F2"/>
                <w:sz w:val="24"/>
                <w:lang w:bidi="ar"/>
                <w14:textFill>
                  <w14:solidFill>
                    <w14:schemeClr w14:val="tx1">
                      <w14:lumMod w14:val="95000"/>
                      <w14:lumOff w14:val="5000"/>
                    </w14:schemeClr>
                  </w14:solidFill>
                </w14:textFill>
              </w:rPr>
              <w:t>当Q＜1时，该项目环境风险潜势为</w:t>
            </w:r>
            <w:r>
              <w:rPr>
                <w:rFonts w:hint="eastAsia"/>
                <w:color w:val="0D0D0D" w:themeColor="text1" w:themeTint="F2"/>
                <w:sz w:val="24"/>
                <w:lang w:bidi="ar"/>
                <w14:textFill>
                  <w14:solidFill>
                    <w14:schemeClr w14:val="tx1">
                      <w14:lumMod w14:val="95000"/>
                      <w14:lumOff w14:val="5000"/>
                    </w14:schemeClr>
                  </w14:solidFill>
                </w14:textFill>
              </w:rPr>
              <w:t>Ⅰ</w:t>
            </w:r>
            <w:r>
              <w:rPr>
                <w:color w:val="0D0D0D" w:themeColor="text1" w:themeTint="F2"/>
                <w:sz w:val="24"/>
                <w:lang w:bidi="ar"/>
                <w14:textFill>
                  <w14:solidFill>
                    <w14:schemeClr w14:val="tx1">
                      <w14:lumMod w14:val="95000"/>
                      <w14:lumOff w14:val="5000"/>
                    </w14:schemeClr>
                  </w14:solidFill>
                </w14:textFill>
              </w:rPr>
              <w:t>；</w:t>
            </w:r>
          </w:p>
          <w:p w14:paraId="243B5CF5">
            <w:pPr>
              <w:spacing w:line="360" w:lineRule="auto"/>
              <w:ind w:firstLine="480" w:firstLineChars="200"/>
              <w:rPr>
                <w:color w:val="0D0D0D" w:themeColor="text1" w:themeTint="F2"/>
                <w:sz w:val="24"/>
                <w:lang w:bidi="ar"/>
                <w14:textFill>
                  <w14:solidFill>
                    <w14:schemeClr w14:val="tx1">
                      <w14:lumMod w14:val="95000"/>
                      <w14:lumOff w14:val="5000"/>
                    </w14:schemeClr>
                  </w14:solidFill>
                </w14:textFill>
              </w:rPr>
            </w:pPr>
            <w:r>
              <w:rPr>
                <w:color w:val="0D0D0D" w:themeColor="text1" w:themeTint="F2"/>
                <w:sz w:val="24"/>
                <w:lang w:bidi="ar"/>
                <w14:textFill>
                  <w14:solidFill>
                    <w14:schemeClr w14:val="tx1">
                      <w14:lumMod w14:val="95000"/>
                      <w14:lumOff w14:val="5000"/>
                    </w14:schemeClr>
                  </w14:solidFill>
                </w14:textFill>
              </w:rPr>
              <w:t>当Q≥1时，将Q值划分为：1≤Q＜10；10≤Q＜100；Q≥100。</w:t>
            </w:r>
          </w:p>
          <w:p w14:paraId="1469DFA0">
            <w:pPr>
              <w:autoSpaceDE w:val="0"/>
              <w:autoSpaceDN w:val="0"/>
              <w:adjustRightInd w:val="0"/>
              <w:spacing w:line="360" w:lineRule="auto"/>
              <w:ind w:firstLine="480" w:firstLineChars="200"/>
              <w:rPr>
                <w:color w:val="0D0D0D" w:themeColor="text1" w:themeTint="F2"/>
                <w:sz w:val="24"/>
                <w:lang w:bidi="ar"/>
                <w14:textFill>
                  <w14:solidFill>
                    <w14:schemeClr w14:val="tx1">
                      <w14:lumMod w14:val="95000"/>
                      <w14:lumOff w14:val="5000"/>
                    </w14:schemeClr>
                  </w14:solidFill>
                </w14:textFill>
              </w:rPr>
            </w:pPr>
            <w:r>
              <w:rPr>
                <w:color w:val="0D0D0D" w:themeColor="text1" w:themeTint="F2"/>
                <w:sz w:val="24"/>
                <w:lang w:bidi="ar"/>
                <w14:textFill>
                  <w14:solidFill>
                    <w14:schemeClr w14:val="tx1">
                      <w14:lumMod w14:val="95000"/>
                      <w14:lumOff w14:val="5000"/>
                    </w14:schemeClr>
                  </w14:solidFill>
                </w14:textFill>
              </w:rPr>
              <w:t>项目Q值确定值</w:t>
            </w:r>
            <w:r>
              <w:rPr>
                <w:rFonts w:hint="eastAsia"/>
                <w:color w:val="0D0D0D" w:themeColor="text1" w:themeTint="F2"/>
                <w:sz w:val="24"/>
                <w:lang w:bidi="ar"/>
                <w14:textFill>
                  <w14:solidFill>
                    <w14:schemeClr w14:val="tx1">
                      <w14:lumMod w14:val="95000"/>
                      <w14:lumOff w14:val="5000"/>
                    </w14:schemeClr>
                  </w14:solidFill>
                </w14:textFill>
              </w:rPr>
              <w:t>详</w:t>
            </w:r>
            <w:r>
              <w:rPr>
                <w:color w:val="0D0D0D" w:themeColor="text1" w:themeTint="F2"/>
                <w:sz w:val="24"/>
                <w:lang w:bidi="ar"/>
                <w14:textFill>
                  <w14:solidFill>
                    <w14:schemeClr w14:val="tx1">
                      <w14:lumMod w14:val="95000"/>
                      <w14:lumOff w14:val="5000"/>
                    </w14:schemeClr>
                  </w14:solidFill>
                </w14:textFill>
              </w:rPr>
              <w:t>见表4-</w:t>
            </w:r>
            <w:r>
              <w:rPr>
                <w:rFonts w:hint="eastAsia"/>
                <w:color w:val="0D0D0D" w:themeColor="text1" w:themeTint="F2"/>
                <w:sz w:val="24"/>
                <w:lang w:bidi="ar"/>
                <w14:textFill>
                  <w14:solidFill>
                    <w14:schemeClr w14:val="tx1">
                      <w14:lumMod w14:val="95000"/>
                      <w14:lumOff w14:val="5000"/>
                    </w14:schemeClr>
                  </w14:solidFill>
                </w14:textFill>
              </w:rPr>
              <w:t>20</w:t>
            </w:r>
            <w:r>
              <w:rPr>
                <w:color w:val="0D0D0D" w:themeColor="text1" w:themeTint="F2"/>
                <w:sz w:val="24"/>
                <w:lang w:bidi="ar"/>
                <w14:textFill>
                  <w14:solidFill>
                    <w14:schemeClr w14:val="tx1">
                      <w14:lumMod w14:val="95000"/>
                      <w14:lumOff w14:val="5000"/>
                    </w14:schemeClr>
                  </w14:solidFill>
                </w14:textFill>
              </w:rPr>
              <w:t>。</w:t>
            </w:r>
          </w:p>
          <w:p w14:paraId="572E9701">
            <w:pPr>
              <w:adjustRightInd w:val="0"/>
              <w:snapToGrid w:val="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表4-20  项目Q值核算一览表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1"/>
              <w:gridCol w:w="1768"/>
              <w:gridCol w:w="1064"/>
              <w:gridCol w:w="2181"/>
              <w:gridCol w:w="1483"/>
              <w:gridCol w:w="1204"/>
            </w:tblGrid>
            <w:tr w14:paraId="14E36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vAlign w:val="center"/>
                </w:tcPr>
                <w:p w14:paraId="2209CFCC">
                  <w:pPr>
                    <w:jc w:val="center"/>
                    <w:rPr>
                      <w:color w:val="0D0D0D" w:themeColor="text1" w:themeTint="F2"/>
                      <w:u w:val="single"/>
                      <w14:textFill>
                        <w14:solidFill>
                          <w14:schemeClr w14:val="tx1">
                            <w14:lumMod w14:val="95000"/>
                            <w14:lumOff w14:val="5000"/>
                          </w14:schemeClr>
                        </w14:solidFill>
                      </w14:textFill>
                    </w:rPr>
                  </w:pPr>
                  <w:r>
                    <w:rPr>
                      <w:color w:val="0D0D0D" w:themeColor="text1" w:themeTint="F2"/>
                      <w:u w:val="single"/>
                      <w:lang w:bidi="ar"/>
                      <w14:textFill>
                        <w14:solidFill>
                          <w14:schemeClr w14:val="tx1">
                            <w14:lumMod w14:val="95000"/>
                            <w14:lumOff w14:val="5000"/>
                          </w14:schemeClr>
                        </w14:solidFill>
                      </w14:textFill>
                    </w:rPr>
                    <w:t>序号</w:t>
                  </w:r>
                </w:p>
              </w:tc>
              <w:tc>
                <w:tcPr>
                  <w:tcW w:w="1045" w:type="pct"/>
                  <w:vAlign w:val="center"/>
                </w:tcPr>
                <w:p w14:paraId="6D757CB4">
                  <w:pPr>
                    <w:jc w:val="center"/>
                    <w:rPr>
                      <w:color w:val="0D0D0D" w:themeColor="text1" w:themeTint="F2"/>
                      <w:u w:val="single"/>
                      <w14:textFill>
                        <w14:solidFill>
                          <w14:schemeClr w14:val="tx1">
                            <w14:lumMod w14:val="95000"/>
                            <w14:lumOff w14:val="5000"/>
                          </w14:schemeClr>
                        </w14:solidFill>
                      </w14:textFill>
                    </w:rPr>
                  </w:pPr>
                  <w:r>
                    <w:rPr>
                      <w:color w:val="0D0D0D" w:themeColor="text1" w:themeTint="F2"/>
                      <w:u w:val="single"/>
                      <w:lang w:bidi="ar"/>
                      <w14:textFill>
                        <w14:solidFill>
                          <w14:schemeClr w14:val="tx1">
                            <w14:lumMod w14:val="95000"/>
                            <w14:lumOff w14:val="5000"/>
                          </w14:schemeClr>
                        </w14:solidFill>
                      </w14:textFill>
                    </w:rPr>
                    <w:t>危险物质</w:t>
                  </w:r>
                </w:p>
              </w:tc>
              <w:tc>
                <w:tcPr>
                  <w:tcW w:w="629" w:type="pct"/>
                  <w:vAlign w:val="center"/>
                </w:tcPr>
                <w:p w14:paraId="4F3DFD0D">
                  <w:pPr>
                    <w:jc w:val="center"/>
                    <w:rPr>
                      <w:color w:val="0D0D0D" w:themeColor="text1" w:themeTint="F2"/>
                      <w:u w:val="single"/>
                      <w14:textFill>
                        <w14:solidFill>
                          <w14:schemeClr w14:val="tx1">
                            <w14:lumMod w14:val="95000"/>
                            <w14:lumOff w14:val="5000"/>
                          </w14:schemeClr>
                        </w14:solidFill>
                      </w14:textFill>
                    </w:rPr>
                  </w:pPr>
                  <w:r>
                    <w:rPr>
                      <w:color w:val="0D0D0D" w:themeColor="text1" w:themeTint="F2"/>
                      <w:u w:val="single"/>
                      <w:lang w:bidi="ar"/>
                      <w14:textFill>
                        <w14:solidFill>
                          <w14:schemeClr w14:val="tx1">
                            <w14:lumMod w14:val="95000"/>
                            <w14:lumOff w14:val="5000"/>
                          </w14:schemeClr>
                        </w14:solidFill>
                      </w14:textFill>
                    </w:rPr>
                    <w:t>CAS号</w:t>
                  </w:r>
                </w:p>
              </w:tc>
              <w:tc>
                <w:tcPr>
                  <w:tcW w:w="1289" w:type="pct"/>
                  <w:vAlign w:val="center"/>
                </w:tcPr>
                <w:p w14:paraId="1821B8B6">
                  <w:pPr>
                    <w:jc w:val="center"/>
                    <w:rPr>
                      <w:color w:val="0D0D0D" w:themeColor="text1" w:themeTint="F2"/>
                      <w:u w:val="single"/>
                      <w14:textFill>
                        <w14:solidFill>
                          <w14:schemeClr w14:val="tx1">
                            <w14:lumMod w14:val="95000"/>
                            <w14:lumOff w14:val="5000"/>
                          </w14:schemeClr>
                        </w14:solidFill>
                      </w14:textFill>
                    </w:rPr>
                  </w:pPr>
                  <w:r>
                    <w:rPr>
                      <w:color w:val="0D0D0D" w:themeColor="text1" w:themeTint="F2"/>
                      <w:u w:val="single"/>
                      <w:lang w:bidi="ar"/>
                      <w14:textFill>
                        <w14:solidFill>
                          <w14:schemeClr w14:val="tx1">
                            <w14:lumMod w14:val="95000"/>
                            <w14:lumOff w14:val="5000"/>
                          </w14:schemeClr>
                        </w14:solidFill>
                      </w14:textFill>
                    </w:rPr>
                    <w:t>最大存在总量q</w:t>
                  </w:r>
                  <w:r>
                    <w:rPr>
                      <w:color w:val="0D0D0D" w:themeColor="text1" w:themeTint="F2"/>
                      <w:u w:val="single"/>
                      <w:vertAlign w:val="subscript"/>
                      <w:lang w:bidi="ar"/>
                      <w14:textFill>
                        <w14:solidFill>
                          <w14:schemeClr w14:val="tx1">
                            <w14:lumMod w14:val="95000"/>
                            <w14:lumOff w14:val="5000"/>
                          </w14:schemeClr>
                        </w14:solidFill>
                      </w14:textFill>
                    </w:rPr>
                    <w:t>n</w:t>
                  </w:r>
                  <w:r>
                    <w:rPr>
                      <w:color w:val="0D0D0D" w:themeColor="text1" w:themeTint="F2"/>
                      <w:u w:val="single"/>
                      <w:lang w:bidi="ar"/>
                      <w14:textFill>
                        <w14:solidFill>
                          <w14:schemeClr w14:val="tx1">
                            <w14:lumMod w14:val="95000"/>
                            <w14:lumOff w14:val="5000"/>
                          </w14:schemeClr>
                        </w14:solidFill>
                      </w14:textFill>
                    </w:rPr>
                    <w:t>/t</w:t>
                  </w:r>
                </w:p>
              </w:tc>
              <w:tc>
                <w:tcPr>
                  <w:tcW w:w="876" w:type="pct"/>
                  <w:vAlign w:val="center"/>
                </w:tcPr>
                <w:p w14:paraId="60B7E18D">
                  <w:pPr>
                    <w:jc w:val="center"/>
                    <w:rPr>
                      <w:color w:val="0D0D0D" w:themeColor="text1" w:themeTint="F2"/>
                      <w:u w:val="single"/>
                      <w14:textFill>
                        <w14:solidFill>
                          <w14:schemeClr w14:val="tx1">
                            <w14:lumMod w14:val="95000"/>
                            <w14:lumOff w14:val="5000"/>
                          </w14:schemeClr>
                        </w14:solidFill>
                      </w14:textFill>
                    </w:rPr>
                  </w:pPr>
                  <w:r>
                    <w:rPr>
                      <w:color w:val="0D0D0D" w:themeColor="text1" w:themeTint="F2"/>
                      <w:u w:val="single"/>
                      <w:lang w:bidi="ar"/>
                      <w14:textFill>
                        <w14:solidFill>
                          <w14:schemeClr w14:val="tx1">
                            <w14:lumMod w14:val="95000"/>
                            <w14:lumOff w14:val="5000"/>
                          </w14:schemeClr>
                        </w14:solidFill>
                      </w14:textFill>
                    </w:rPr>
                    <w:t>临界量Q</w:t>
                  </w:r>
                  <w:r>
                    <w:rPr>
                      <w:color w:val="0D0D0D" w:themeColor="text1" w:themeTint="F2"/>
                      <w:u w:val="single"/>
                      <w:vertAlign w:val="subscript"/>
                      <w:lang w:bidi="ar"/>
                      <w14:textFill>
                        <w14:solidFill>
                          <w14:schemeClr w14:val="tx1">
                            <w14:lumMod w14:val="95000"/>
                            <w14:lumOff w14:val="5000"/>
                          </w14:schemeClr>
                        </w14:solidFill>
                      </w14:textFill>
                    </w:rPr>
                    <w:t>n</w:t>
                  </w:r>
                  <w:r>
                    <w:rPr>
                      <w:color w:val="0D0D0D" w:themeColor="text1" w:themeTint="F2"/>
                      <w:u w:val="single"/>
                      <w:lang w:bidi="ar"/>
                      <w14:textFill>
                        <w14:solidFill>
                          <w14:schemeClr w14:val="tx1">
                            <w14:lumMod w14:val="95000"/>
                            <w14:lumOff w14:val="5000"/>
                          </w14:schemeClr>
                        </w14:solidFill>
                      </w14:textFill>
                    </w:rPr>
                    <w:t>/t</w:t>
                  </w:r>
                </w:p>
              </w:tc>
              <w:tc>
                <w:tcPr>
                  <w:tcW w:w="711" w:type="pct"/>
                  <w:vAlign w:val="center"/>
                </w:tcPr>
                <w:p w14:paraId="0954CA59">
                  <w:pPr>
                    <w:jc w:val="center"/>
                    <w:rPr>
                      <w:color w:val="0D0D0D" w:themeColor="text1" w:themeTint="F2"/>
                      <w:u w:val="single"/>
                      <w14:textFill>
                        <w14:solidFill>
                          <w14:schemeClr w14:val="tx1">
                            <w14:lumMod w14:val="95000"/>
                            <w14:lumOff w14:val="5000"/>
                          </w14:schemeClr>
                        </w14:solidFill>
                      </w14:textFill>
                    </w:rPr>
                  </w:pPr>
                  <w:r>
                    <w:rPr>
                      <w:color w:val="0D0D0D" w:themeColor="text1" w:themeTint="F2"/>
                      <w:u w:val="single"/>
                      <w:lang w:bidi="ar"/>
                      <w14:textFill>
                        <w14:solidFill>
                          <w14:schemeClr w14:val="tx1">
                            <w14:lumMod w14:val="95000"/>
                            <w14:lumOff w14:val="5000"/>
                          </w14:schemeClr>
                        </w14:solidFill>
                      </w14:textFill>
                    </w:rPr>
                    <w:t>Q值</w:t>
                  </w:r>
                </w:p>
              </w:tc>
            </w:tr>
            <w:tr w14:paraId="6DBB0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vAlign w:val="center"/>
                </w:tcPr>
                <w:p w14:paraId="7449CEC1">
                  <w:pPr>
                    <w:jc w:val="center"/>
                    <w:rPr>
                      <w:color w:val="0D0D0D" w:themeColor="text1" w:themeTint="F2"/>
                      <w:u w:val="single"/>
                      <w14:textFill>
                        <w14:solidFill>
                          <w14:schemeClr w14:val="tx1">
                            <w14:lumMod w14:val="95000"/>
                            <w14:lumOff w14:val="5000"/>
                          </w14:schemeClr>
                        </w14:solidFill>
                      </w14:textFill>
                    </w:rPr>
                  </w:pPr>
                  <w:r>
                    <w:rPr>
                      <w:color w:val="0D0D0D" w:themeColor="text1" w:themeTint="F2"/>
                      <w:u w:val="single"/>
                      <w:lang w:bidi="ar"/>
                      <w14:textFill>
                        <w14:solidFill>
                          <w14:schemeClr w14:val="tx1">
                            <w14:lumMod w14:val="95000"/>
                            <w14:lumOff w14:val="5000"/>
                          </w14:schemeClr>
                        </w14:solidFill>
                      </w14:textFill>
                    </w:rPr>
                    <w:t>1</w:t>
                  </w:r>
                </w:p>
              </w:tc>
              <w:tc>
                <w:tcPr>
                  <w:tcW w:w="1045" w:type="pct"/>
                  <w:vAlign w:val="center"/>
                </w:tcPr>
                <w:p w14:paraId="4E8DC563">
                  <w:pPr>
                    <w:jc w:val="center"/>
                    <w:rPr>
                      <w:color w:val="0D0D0D" w:themeColor="text1" w:themeTint="F2"/>
                      <w:u w:val="single"/>
                      <w14:textFill>
                        <w14:solidFill>
                          <w14:schemeClr w14:val="tx1">
                            <w14:lumMod w14:val="95000"/>
                            <w14:lumOff w14:val="5000"/>
                          </w14:schemeClr>
                        </w14:solidFill>
                      </w14:textFill>
                    </w:rPr>
                  </w:pPr>
                  <w:r>
                    <w:rPr>
                      <w:rFonts w:hint="eastAsia"/>
                      <w:color w:val="0D0D0D" w:themeColor="text1" w:themeTint="F2"/>
                      <w:u w:val="single"/>
                      <w14:textFill>
                        <w14:solidFill>
                          <w14:schemeClr w14:val="tx1">
                            <w14:lumMod w14:val="95000"/>
                            <w14:lumOff w14:val="5000"/>
                          </w14:schemeClr>
                        </w14:solidFill>
                      </w14:textFill>
                    </w:rPr>
                    <w:t>油漆、稀释剂</w:t>
                  </w:r>
                </w:p>
              </w:tc>
              <w:tc>
                <w:tcPr>
                  <w:tcW w:w="629" w:type="pct"/>
                  <w:vAlign w:val="center"/>
                </w:tcPr>
                <w:p w14:paraId="2FDA49CC">
                  <w:pPr>
                    <w:jc w:val="center"/>
                    <w:rPr>
                      <w:color w:val="0D0D0D" w:themeColor="text1" w:themeTint="F2"/>
                      <w:u w:val="single"/>
                      <w14:textFill>
                        <w14:solidFill>
                          <w14:schemeClr w14:val="tx1">
                            <w14:lumMod w14:val="95000"/>
                            <w14:lumOff w14:val="5000"/>
                          </w14:schemeClr>
                        </w14:solidFill>
                      </w14:textFill>
                    </w:rPr>
                  </w:pPr>
                  <w:r>
                    <w:rPr>
                      <w:rFonts w:hint="eastAsia"/>
                      <w:color w:val="0D0D0D" w:themeColor="text1" w:themeTint="F2"/>
                      <w:u w:val="single"/>
                      <w14:textFill>
                        <w14:solidFill>
                          <w14:schemeClr w14:val="tx1">
                            <w14:lumMod w14:val="95000"/>
                            <w14:lumOff w14:val="5000"/>
                          </w14:schemeClr>
                        </w14:solidFill>
                      </w14:textFill>
                    </w:rPr>
                    <w:t>/</w:t>
                  </w:r>
                </w:p>
              </w:tc>
              <w:tc>
                <w:tcPr>
                  <w:tcW w:w="1289" w:type="pct"/>
                  <w:vAlign w:val="center"/>
                </w:tcPr>
                <w:p w14:paraId="644DE0FD">
                  <w:pPr>
                    <w:jc w:val="center"/>
                    <w:rPr>
                      <w:color w:val="0D0D0D" w:themeColor="text1" w:themeTint="F2"/>
                      <w:u w:val="single"/>
                      <w14:textFill>
                        <w14:solidFill>
                          <w14:schemeClr w14:val="tx1">
                            <w14:lumMod w14:val="95000"/>
                            <w14:lumOff w14:val="5000"/>
                          </w14:schemeClr>
                        </w14:solidFill>
                      </w14:textFill>
                    </w:rPr>
                  </w:pPr>
                  <w:r>
                    <w:rPr>
                      <w:rFonts w:hint="eastAsia"/>
                      <w:color w:val="0D0D0D" w:themeColor="text1" w:themeTint="F2"/>
                      <w:u w:val="single"/>
                      <w14:textFill>
                        <w14:solidFill>
                          <w14:schemeClr w14:val="tx1">
                            <w14:lumMod w14:val="95000"/>
                            <w14:lumOff w14:val="5000"/>
                          </w14:schemeClr>
                        </w14:solidFill>
                      </w14:textFill>
                    </w:rPr>
                    <w:t>1.6</w:t>
                  </w:r>
                </w:p>
              </w:tc>
              <w:tc>
                <w:tcPr>
                  <w:tcW w:w="876" w:type="pct"/>
                  <w:vAlign w:val="center"/>
                </w:tcPr>
                <w:p w14:paraId="1ABD2780">
                  <w:pPr>
                    <w:jc w:val="center"/>
                    <w:rPr>
                      <w:color w:val="0D0D0D" w:themeColor="text1" w:themeTint="F2"/>
                      <w:u w:val="single"/>
                      <w14:textFill>
                        <w14:solidFill>
                          <w14:schemeClr w14:val="tx1">
                            <w14:lumMod w14:val="95000"/>
                            <w14:lumOff w14:val="5000"/>
                          </w14:schemeClr>
                        </w14:solidFill>
                      </w14:textFill>
                    </w:rPr>
                  </w:pPr>
                  <w:r>
                    <w:rPr>
                      <w:rFonts w:hint="eastAsia"/>
                      <w:color w:val="0D0D0D" w:themeColor="text1" w:themeTint="F2"/>
                      <w:u w:val="single"/>
                      <w14:textFill>
                        <w14:solidFill>
                          <w14:schemeClr w14:val="tx1">
                            <w14:lumMod w14:val="95000"/>
                            <w14:lumOff w14:val="5000"/>
                          </w14:schemeClr>
                        </w14:solidFill>
                      </w14:textFill>
                    </w:rPr>
                    <w:t>50</w:t>
                  </w:r>
                </w:p>
              </w:tc>
              <w:tc>
                <w:tcPr>
                  <w:tcW w:w="711" w:type="pct"/>
                  <w:vAlign w:val="center"/>
                </w:tcPr>
                <w:p w14:paraId="65A107F4">
                  <w:pPr>
                    <w:jc w:val="center"/>
                    <w:rPr>
                      <w:color w:val="0D0D0D" w:themeColor="text1" w:themeTint="F2"/>
                      <w:u w:val="single"/>
                      <w14:textFill>
                        <w14:solidFill>
                          <w14:schemeClr w14:val="tx1">
                            <w14:lumMod w14:val="95000"/>
                            <w14:lumOff w14:val="5000"/>
                          </w14:schemeClr>
                        </w14:solidFill>
                      </w14:textFill>
                    </w:rPr>
                  </w:pPr>
                  <w:r>
                    <w:rPr>
                      <w:rFonts w:hint="eastAsia"/>
                      <w:color w:val="0D0D0D" w:themeColor="text1" w:themeTint="F2"/>
                      <w:u w:val="single"/>
                      <w14:textFill>
                        <w14:solidFill>
                          <w14:schemeClr w14:val="tx1">
                            <w14:lumMod w14:val="95000"/>
                            <w14:lumOff w14:val="5000"/>
                          </w14:schemeClr>
                        </w14:solidFill>
                      </w14:textFill>
                    </w:rPr>
                    <w:t>0.032</w:t>
                  </w:r>
                </w:p>
              </w:tc>
            </w:tr>
            <w:tr w14:paraId="14655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0" w:type="pct"/>
                  <w:vAlign w:val="center"/>
                </w:tcPr>
                <w:p w14:paraId="2DD7DBD0">
                  <w:pPr>
                    <w:jc w:val="center"/>
                    <w:rPr>
                      <w:color w:val="0D0D0D" w:themeColor="text1" w:themeTint="F2"/>
                      <w:u w:val="single"/>
                      <w:lang w:bidi="ar"/>
                      <w14:textFill>
                        <w14:solidFill>
                          <w14:schemeClr w14:val="tx1">
                            <w14:lumMod w14:val="95000"/>
                            <w14:lumOff w14:val="5000"/>
                          </w14:schemeClr>
                        </w14:solidFill>
                      </w14:textFill>
                    </w:rPr>
                  </w:pPr>
                  <w:r>
                    <w:rPr>
                      <w:rFonts w:hint="eastAsia"/>
                      <w:color w:val="0D0D0D" w:themeColor="text1" w:themeTint="F2"/>
                      <w:u w:val="single"/>
                      <w:lang w:bidi="ar"/>
                      <w14:textFill>
                        <w14:solidFill>
                          <w14:schemeClr w14:val="tx1">
                            <w14:lumMod w14:val="95000"/>
                            <w14:lumOff w14:val="5000"/>
                          </w14:schemeClr>
                        </w14:solidFill>
                      </w14:textFill>
                    </w:rPr>
                    <w:t>2</w:t>
                  </w:r>
                </w:p>
              </w:tc>
              <w:tc>
                <w:tcPr>
                  <w:tcW w:w="1045" w:type="pct"/>
                  <w:vAlign w:val="center"/>
                </w:tcPr>
                <w:p w14:paraId="4D1887E3">
                  <w:pPr>
                    <w:jc w:val="center"/>
                    <w:rPr>
                      <w:color w:val="0D0D0D" w:themeColor="text1" w:themeTint="F2"/>
                      <w:u w:val="single"/>
                      <w14:textFill>
                        <w14:solidFill>
                          <w14:schemeClr w14:val="tx1">
                            <w14:lumMod w14:val="95000"/>
                            <w14:lumOff w14:val="5000"/>
                          </w14:schemeClr>
                        </w14:solidFill>
                      </w14:textFill>
                    </w:rPr>
                  </w:pPr>
                  <w:r>
                    <w:rPr>
                      <w:rFonts w:hint="eastAsia"/>
                      <w:color w:val="0D0D0D" w:themeColor="text1" w:themeTint="F2"/>
                      <w:u w:val="single"/>
                      <w14:textFill>
                        <w14:solidFill>
                          <w14:schemeClr w14:val="tx1">
                            <w14:lumMod w14:val="95000"/>
                            <w14:lumOff w14:val="5000"/>
                          </w14:schemeClr>
                        </w14:solidFill>
                      </w14:textFill>
                    </w:rPr>
                    <w:t>废机油</w:t>
                  </w:r>
                </w:p>
              </w:tc>
              <w:tc>
                <w:tcPr>
                  <w:tcW w:w="629" w:type="pct"/>
                  <w:vAlign w:val="center"/>
                </w:tcPr>
                <w:p w14:paraId="4121FAB0">
                  <w:pPr>
                    <w:jc w:val="center"/>
                    <w:rPr>
                      <w:color w:val="0D0D0D" w:themeColor="text1" w:themeTint="F2"/>
                      <w:u w:val="single"/>
                      <w14:textFill>
                        <w14:solidFill>
                          <w14:schemeClr w14:val="tx1">
                            <w14:lumMod w14:val="95000"/>
                            <w14:lumOff w14:val="5000"/>
                          </w14:schemeClr>
                        </w14:solidFill>
                      </w14:textFill>
                    </w:rPr>
                  </w:pPr>
                  <w:r>
                    <w:rPr>
                      <w:rFonts w:hint="eastAsia"/>
                      <w:color w:val="0D0D0D" w:themeColor="text1" w:themeTint="F2"/>
                      <w:u w:val="single"/>
                      <w14:textFill>
                        <w14:solidFill>
                          <w14:schemeClr w14:val="tx1">
                            <w14:lumMod w14:val="95000"/>
                            <w14:lumOff w14:val="5000"/>
                          </w14:schemeClr>
                        </w14:solidFill>
                      </w14:textFill>
                    </w:rPr>
                    <w:t>/</w:t>
                  </w:r>
                </w:p>
              </w:tc>
              <w:tc>
                <w:tcPr>
                  <w:tcW w:w="1289" w:type="pct"/>
                  <w:vAlign w:val="center"/>
                </w:tcPr>
                <w:p w14:paraId="4F9B0901">
                  <w:pPr>
                    <w:jc w:val="center"/>
                    <w:rPr>
                      <w:color w:val="0D0D0D" w:themeColor="text1" w:themeTint="F2"/>
                      <w:u w:val="single"/>
                      <w14:textFill>
                        <w14:solidFill>
                          <w14:schemeClr w14:val="tx1">
                            <w14:lumMod w14:val="95000"/>
                            <w14:lumOff w14:val="5000"/>
                          </w14:schemeClr>
                        </w14:solidFill>
                      </w14:textFill>
                    </w:rPr>
                  </w:pPr>
                  <w:r>
                    <w:rPr>
                      <w:rFonts w:hint="eastAsia"/>
                      <w:color w:val="0D0D0D" w:themeColor="text1" w:themeTint="F2"/>
                      <w:u w:val="single"/>
                      <w14:textFill>
                        <w14:solidFill>
                          <w14:schemeClr w14:val="tx1">
                            <w14:lumMod w14:val="95000"/>
                            <w14:lumOff w14:val="5000"/>
                          </w14:schemeClr>
                        </w14:solidFill>
                      </w14:textFill>
                    </w:rPr>
                    <w:t>0.01</w:t>
                  </w:r>
                </w:p>
              </w:tc>
              <w:tc>
                <w:tcPr>
                  <w:tcW w:w="876" w:type="pct"/>
                  <w:vAlign w:val="center"/>
                </w:tcPr>
                <w:p w14:paraId="09B547C1">
                  <w:pPr>
                    <w:jc w:val="center"/>
                    <w:rPr>
                      <w:color w:val="0D0D0D" w:themeColor="text1" w:themeTint="F2"/>
                      <w:u w:val="single"/>
                      <w14:textFill>
                        <w14:solidFill>
                          <w14:schemeClr w14:val="tx1">
                            <w14:lumMod w14:val="95000"/>
                            <w14:lumOff w14:val="5000"/>
                          </w14:schemeClr>
                        </w14:solidFill>
                      </w14:textFill>
                    </w:rPr>
                  </w:pPr>
                  <w:r>
                    <w:rPr>
                      <w:rFonts w:hint="eastAsia"/>
                      <w:color w:val="0D0D0D" w:themeColor="text1" w:themeTint="F2"/>
                      <w:u w:val="single"/>
                      <w14:textFill>
                        <w14:solidFill>
                          <w14:schemeClr w14:val="tx1">
                            <w14:lumMod w14:val="95000"/>
                            <w14:lumOff w14:val="5000"/>
                          </w14:schemeClr>
                        </w14:solidFill>
                      </w14:textFill>
                    </w:rPr>
                    <w:t>2500</w:t>
                  </w:r>
                </w:p>
              </w:tc>
              <w:tc>
                <w:tcPr>
                  <w:tcW w:w="711" w:type="pct"/>
                  <w:vAlign w:val="center"/>
                </w:tcPr>
                <w:p w14:paraId="0A8E692B">
                  <w:pPr>
                    <w:jc w:val="center"/>
                    <w:rPr>
                      <w:color w:val="0D0D0D" w:themeColor="text1" w:themeTint="F2"/>
                      <w:u w:val="single"/>
                      <w14:textFill>
                        <w14:solidFill>
                          <w14:schemeClr w14:val="tx1">
                            <w14:lumMod w14:val="95000"/>
                            <w14:lumOff w14:val="5000"/>
                          </w14:schemeClr>
                        </w14:solidFill>
                      </w14:textFill>
                    </w:rPr>
                  </w:pPr>
                  <w:r>
                    <w:rPr>
                      <w:rFonts w:hint="eastAsia"/>
                      <w:color w:val="0D0D0D" w:themeColor="text1" w:themeTint="F2"/>
                      <w:u w:val="single"/>
                      <w14:textFill>
                        <w14:solidFill>
                          <w14:schemeClr w14:val="tx1">
                            <w14:lumMod w14:val="95000"/>
                            <w14:lumOff w14:val="5000"/>
                          </w14:schemeClr>
                        </w14:solidFill>
                      </w14:textFill>
                    </w:rPr>
                    <w:t>0.000004</w:t>
                  </w:r>
                </w:p>
              </w:tc>
            </w:tr>
            <w:tr w14:paraId="048A7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89" w:type="pct"/>
                  <w:gridSpan w:val="5"/>
                  <w:vAlign w:val="center"/>
                </w:tcPr>
                <w:p w14:paraId="34ACA54E">
                  <w:pPr>
                    <w:jc w:val="center"/>
                    <w:rPr>
                      <w:color w:val="0D0D0D" w:themeColor="text1" w:themeTint="F2"/>
                      <w:u w:val="single"/>
                      <w14:textFill>
                        <w14:solidFill>
                          <w14:schemeClr w14:val="tx1">
                            <w14:lumMod w14:val="95000"/>
                            <w14:lumOff w14:val="5000"/>
                          </w14:schemeClr>
                        </w14:solidFill>
                      </w14:textFill>
                    </w:rPr>
                  </w:pPr>
                  <w:r>
                    <w:rPr>
                      <w:color w:val="0D0D0D" w:themeColor="text1" w:themeTint="F2"/>
                      <w:u w:val="single"/>
                      <w:lang w:bidi="ar"/>
                      <w14:textFill>
                        <w14:solidFill>
                          <w14:schemeClr w14:val="tx1">
                            <w14:lumMod w14:val="95000"/>
                            <w14:lumOff w14:val="5000"/>
                          </w14:schemeClr>
                        </w14:solidFill>
                      </w14:textFill>
                    </w:rPr>
                    <w:t>项目Q值∑</w:t>
                  </w:r>
                </w:p>
              </w:tc>
              <w:tc>
                <w:tcPr>
                  <w:tcW w:w="711" w:type="pct"/>
                  <w:vAlign w:val="center"/>
                </w:tcPr>
                <w:p w14:paraId="5E4E7FD2">
                  <w:pPr>
                    <w:jc w:val="center"/>
                    <w:rPr>
                      <w:color w:val="0D0D0D" w:themeColor="text1" w:themeTint="F2"/>
                      <w:u w:val="single"/>
                      <w14:textFill>
                        <w14:solidFill>
                          <w14:schemeClr w14:val="tx1">
                            <w14:lumMod w14:val="95000"/>
                            <w14:lumOff w14:val="5000"/>
                          </w14:schemeClr>
                        </w14:solidFill>
                      </w14:textFill>
                    </w:rPr>
                  </w:pPr>
                  <w:r>
                    <w:rPr>
                      <w:rFonts w:hint="eastAsia"/>
                      <w:color w:val="0D0D0D" w:themeColor="text1" w:themeTint="F2"/>
                      <w:u w:val="single"/>
                      <w14:textFill>
                        <w14:solidFill>
                          <w14:schemeClr w14:val="tx1">
                            <w14:lumMod w14:val="95000"/>
                            <w14:lumOff w14:val="5000"/>
                          </w14:schemeClr>
                        </w14:solidFill>
                      </w14:textFill>
                    </w:rPr>
                    <w:t>0.032004</w:t>
                  </w:r>
                </w:p>
              </w:tc>
            </w:tr>
          </w:tbl>
          <w:p w14:paraId="60A636FF">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u w:val="single"/>
                <w14:textFill>
                  <w14:solidFill>
                    <w14:schemeClr w14:val="tx1">
                      <w14:lumMod w14:val="95000"/>
                      <w14:lumOff w14:val="5000"/>
                    </w14:schemeClr>
                  </w14:solidFill>
                </w14:textFill>
              </w:rPr>
              <w:t>由上表可知，项目危险物质数量与临界量比值Q为0.032004，Q＜1，环境风险潜势为I，环境风险等级为简单分析，根据《建设项目环境影响报告表编制技术指南（污染影响类）（试行）》（环办环评〔2020〕33号），环境风险评价过程明确有毒有害和易燃易爆等危险物质和风险源分布情况及可能影响途径，并提出相应环境风险防范措施即可</w:t>
            </w:r>
            <w:r>
              <w:rPr>
                <w:rFonts w:hint="eastAsia" w:cs="宋体"/>
                <w:bCs/>
                <w:color w:val="0D0D0D" w:themeColor="text1" w:themeTint="F2"/>
                <w:spacing w:val="-10"/>
                <w:sz w:val="24"/>
                <w14:textFill>
                  <w14:solidFill>
                    <w14:schemeClr w14:val="tx1">
                      <w14:lumMod w14:val="95000"/>
                      <w14:lumOff w14:val="5000"/>
                    </w14:schemeClr>
                  </w14:solidFill>
                </w14:textFill>
              </w:rPr>
              <w:t>。</w:t>
            </w:r>
          </w:p>
          <w:p w14:paraId="7B6A6155">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3、风险影响及途径</w:t>
            </w:r>
          </w:p>
          <w:p w14:paraId="1310FB2C">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油漆、稀释剂、废机油存放过程中若出现泄漏事故，遇明火等可能引发火灾、爆炸等事故。事故过程会产生浓烟及有毒气体，会随风扩散，影响周围的环境空气。另外事故发生后也会产生消防废水，会对周边水体环境造成污染。</w:t>
            </w:r>
          </w:p>
          <w:p w14:paraId="154B6E04">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4、风险防范措施</w:t>
            </w:r>
          </w:p>
          <w:p w14:paraId="37561C14">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（1）贮运工程风险防范措施</w:t>
            </w:r>
          </w:p>
          <w:p w14:paraId="730B8B4C">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项目生产所使用的部分原辅料具有潜在的危害，在贮存、运输和生产过程中可能发生泄漏和火灾。若涂料发生大量泄漏时，极有可能引发火灾爆炸事故。如发生火灾，主要燃烧产物为CO、CO</w:t>
            </w:r>
            <w:r>
              <w:rPr>
                <w:rFonts w:hint="eastAsia" w:cs="宋体"/>
                <w:bCs/>
                <w:color w:val="0D0D0D" w:themeColor="text1" w:themeTint="F2"/>
                <w:spacing w:val="-10"/>
                <w:sz w:val="24"/>
                <w:vertAlign w:val="subscript"/>
                <w14:textFill>
                  <w14:solidFill>
                    <w14:schemeClr w14:val="tx1">
                      <w14:lumMod w14:val="95000"/>
                      <w14:lumOff w14:val="5000"/>
                    </w14:schemeClr>
                  </w14:solidFill>
                </w14:textFill>
              </w:rPr>
              <w:t>2</w:t>
            </w:r>
            <w:r>
              <w:rPr>
                <w:rFonts w:hint="eastAsia" w:cs="宋体"/>
                <w:bCs/>
                <w:color w:val="0D0D0D" w:themeColor="text1" w:themeTint="F2"/>
                <w:spacing w:val="-10"/>
                <w:sz w:val="24"/>
                <w14:textFill>
                  <w14:solidFill>
                    <w14:schemeClr w14:val="tx1">
                      <w14:lumMod w14:val="95000"/>
                      <w14:lumOff w14:val="5000"/>
                    </w14:schemeClr>
                  </w14:solidFill>
                </w14:textFill>
              </w:rPr>
              <w:t>等；事故应急救援中产生的喷淋稀释水将伴有一定的物料，若沿污水管网外排，将对受纳水体产生严重污染；堵漏过程中可能使用的大量拦截、堵漏材料，掺杂一定的物料，若事故后随意丢弃、排放，将对环境产生二次污染。</w:t>
            </w:r>
          </w:p>
          <w:p w14:paraId="4B21FB6D">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厂区发生火灾时，可能产生的次生污染为火灾、消防废水、消防土及燃烧废气。在生产厂房发生火灾爆炸时，有可能引燃周围易燃物质，产生的伴生事故为其他易燃物质的火灾爆炸，产生的伴生污染为燃烧产物，参考物质化学组分，燃烧产物主要为颗粒物、CO、SO</w:t>
            </w:r>
            <w:r>
              <w:rPr>
                <w:rFonts w:hint="eastAsia" w:cs="宋体"/>
                <w:bCs/>
                <w:color w:val="0D0D0D" w:themeColor="text1" w:themeTint="F2"/>
                <w:spacing w:val="-10"/>
                <w:sz w:val="24"/>
                <w:vertAlign w:val="subscript"/>
                <w14:textFill>
                  <w14:solidFill>
                    <w14:schemeClr w14:val="tx1">
                      <w14:lumMod w14:val="95000"/>
                      <w14:lumOff w14:val="5000"/>
                    </w14:schemeClr>
                  </w14:solidFill>
                </w14:textFill>
              </w:rPr>
              <w:t>2</w:t>
            </w:r>
            <w:r>
              <w:rPr>
                <w:rFonts w:hint="eastAsia" w:cs="宋体"/>
                <w:bCs/>
                <w:color w:val="0D0D0D" w:themeColor="text1" w:themeTint="F2"/>
                <w:spacing w:val="-10"/>
                <w:sz w:val="24"/>
                <w14:textFill>
                  <w14:solidFill>
                    <w14:schemeClr w14:val="tx1">
                      <w14:lumMod w14:val="95000"/>
                      <w14:lumOff w14:val="5000"/>
                    </w14:schemeClr>
                  </w14:solidFill>
                </w14:textFill>
              </w:rPr>
              <w:t>、NOx等。另外在厂区发生火灾、爆炸事故时，其可能产生的次生污染包括火灾消防废水、消防土及燃烧废气等，这些物质可能会对周围地表水、土壤、大气等造成一定的影响。</w:t>
            </w:r>
          </w:p>
          <w:p w14:paraId="71B76A0C">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针对项目特点，提出以下几点环境风险管理要求：</w:t>
            </w:r>
          </w:p>
          <w:p w14:paraId="246C4C51">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①严格按照防火规范进行平面布置。</w:t>
            </w:r>
          </w:p>
          <w:p w14:paraId="69B87FF0">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②定期检查、维护厂区设施、设备，以确保正常运行。</w:t>
            </w:r>
          </w:p>
          <w:p w14:paraId="46CF7565">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③在项目运营期间，应加强对设备的维护管理，定期进行检查、加强管理，增强防范意识，通过设置短路保护电路等措施，及时发现设备及线路中存在的问题，消除隐患，并配备相应的消防器材和应急设备。</w:t>
            </w:r>
          </w:p>
          <w:p w14:paraId="27037295">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④在项目正式投产运行前，制定出正常、异常或紧急状态下的操作和维修计划，并对操作和维修人员进行岗前培训，避免因严重操作失误而造成人为事故。</w:t>
            </w:r>
          </w:p>
          <w:p w14:paraId="3CF99231">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⑤设置明显的警示标志，并建立严格的值班保卫制度，防止人为蓄意破坏；制定应急操作规程，详细说明发生事故时应采取的操作步骤，规定抢修进度，限制事故影响。对重要的仪器设备有完善的检查和维护记录；对操作人员定期进行防火安全教育或应急演习，提高职工的安全意识，提高识别异常状态的能力。</w:t>
            </w:r>
          </w:p>
          <w:p w14:paraId="7DB2E8F0">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⑥加强员工的事故安全知识教育，要求全体人员了解事故处理的程序，事故处理器材的使用方法，一旦出现事故可以立即停产，控制事故的危害范围和程度。</w:t>
            </w:r>
          </w:p>
          <w:p w14:paraId="20526570">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（2）生产装置风险防范措施</w:t>
            </w:r>
          </w:p>
          <w:p w14:paraId="685634B1">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①所有专用设备根据工艺要求、物料性质，按照《生产设备安全卫生设计  总则》（GB5083）进行选择。选用的通用机械和电气设备符合国家或行业技术标准。</w:t>
            </w:r>
          </w:p>
          <w:p w14:paraId="2EE37188">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②在生产中加强对设备及管道的巡视检查，发现问题及时处理。不允许带病的设备运行。严格禁止明火，可靠消除静电。</w:t>
            </w:r>
          </w:p>
          <w:p w14:paraId="6F27C7D7">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③对具有可能危险的设备设置符合标准的防爆等各种安全装置。如设置爆炸抑制装置。</w:t>
            </w:r>
          </w:p>
          <w:p w14:paraId="4C72713D">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④工艺流程设计应全面考虑操作参数的监测仪表、自动控制回路，设计正确可靠，考虑周全。尽量减少工艺流程中易燃易爆物料的存量。</w:t>
            </w:r>
          </w:p>
          <w:p w14:paraId="086A6C26">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⑤制定各工序的安全操作规程，严格按工艺规程进行计量、计速、计时，并对出现各种异常情况制定详细的安全处理措施，现场备有合适的灭火剂和应急救援设施。</w:t>
            </w:r>
          </w:p>
          <w:p w14:paraId="75C3AA0B">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⑥生产过程中加强对各类设备的日常检查、保养，确保设备状态良好。</w:t>
            </w:r>
          </w:p>
          <w:p w14:paraId="6E5F69B2">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（3）火灾风险防范措施</w:t>
            </w:r>
          </w:p>
          <w:p w14:paraId="7DBAAA69">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①建立健全各种有关消防与安全生产的规章制度，建立岗位责任制。生产厂房内严禁明火。生产厂房及危险废物暂存间等场所配置足量的泡沫、干粉等灭火器，并保持完好状态。</w:t>
            </w:r>
          </w:p>
          <w:p w14:paraId="13C941FF">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②生产厂房内预留足够的消防通道，设置消防给水管道和消防栓。进行定期的应急培训和演练，对有火灾危险的场所设置自动报警系统，一旦发生火灾，立即</w:t>
            </w:r>
            <w:r>
              <w:rPr>
                <w:rFonts w:hint="eastAsia" w:cs="宋体"/>
                <w:bCs/>
                <w:color w:val="0D0D0D" w:themeColor="text1" w:themeTint="F2"/>
                <w:spacing w:val="-10"/>
                <w:sz w:val="24"/>
                <w:lang w:eastAsia="zh-CN"/>
                <w14:textFill>
                  <w14:solidFill>
                    <w14:schemeClr w14:val="tx1">
                      <w14:lumMod w14:val="95000"/>
                      <w14:lumOff w14:val="5000"/>
                    </w14:schemeClr>
                  </w14:solidFill>
                </w14:textFill>
              </w:rPr>
              <w:t>做出</w:t>
            </w:r>
            <w:r>
              <w:rPr>
                <w:rFonts w:hint="eastAsia" w:cs="宋体"/>
                <w:bCs/>
                <w:color w:val="0D0D0D" w:themeColor="text1" w:themeTint="F2"/>
                <w:spacing w:val="-10"/>
                <w:sz w:val="24"/>
                <w14:textFill>
                  <w14:solidFill>
                    <w14:schemeClr w14:val="tx1">
                      <w14:lumMod w14:val="95000"/>
                      <w14:lumOff w14:val="5000"/>
                    </w14:schemeClr>
                  </w14:solidFill>
                </w14:textFill>
              </w:rPr>
              <w:t>应急反应。</w:t>
            </w:r>
          </w:p>
          <w:p w14:paraId="2AF5A28A">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（4）固体废物事故风险防范措施</w:t>
            </w:r>
          </w:p>
          <w:p w14:paraId="2038316E">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各种固废分类收集，存放，临时存放于室内固定场所，不被雨淋、风吹，专车运送，所有固体废物都得到合适的处置或综合利用，危险废物委托有资质单位处置，生活垃圾由环卫部门统一收集处理，固体废物实现“零排放”是有保证的，不会对环境产生二次污染。</w:t>
            </w:r>
          </w:p>
          <w:p w14:paraId="26CCFEB0">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为避免危废对环境的危害，建议采用以下措施：</w:t>
            </w:r>
          </w:p>
          <w:p w14:paraId="2153627B">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①在收集过程中要根据各种危险废物的性质进行分类、分别收集和临时贮存。</w:t>
            </w:r>
          </w:p>
          <w:p w14:paraId="5418B334">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②按要求设置危废暂存间，避免危废在露天堆放过程中产生的泄漏、渗透、蒸发、雨淋以及大风吹扬等产生二次污染。</w:t>
            </w:r>
          </w:p>
          <w:p w14:paraId="7B1344FF">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③运输过程中危废包装容器要注意密闭，以免在运输途中发生危险废物的泄漏，从而产生二次污染。</w:t>
            </w:r>
          </w:p>
          <w:p w14:paraId="1F4C7059">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5、评价结论</w:t>
            </w:r>
          </w:p>
          <w:p w14:paraId="31D31860">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在各项环境风险防范措施落实到位的情况下，项目环境风险可大大降低，最大程度减少对环境可能造成的危害，项目环境风险处于可接受水平。</w:t>
            </w:r>
          </w:p>
          <w:p w14:paraId="0A5AF4DE">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七、生态环境</w:t>
            </w:r>
          </w:p>
          <w:p w14:paraId="5E70A1E4">
            <w:pPr>
              <w:adjustRightInd w:val="0"/>
              <w:snapToGrid w:val="0"/>
              <w:spacing w:line="360" w:lineRule="auto"/>
              <w:ind w:firstLine="480" w:firstLineChars="200"/>
              <w:rPr>
                <w:color w:val="0D0D0D" w:themeColor="text1" w:themeTint="F2"/>
                <w:sz w:val="24"/>
                <w14:textFill>
                  <w14:solidFill>
                    <w14:schemeClr w14:val="tx1">
                      <w14:lumMod w14:val="95000"/>
                      <w14:lumOff w14:val="5000"/>
                    </w14:schemeClr>
                  </w14:solidFill>
                </w14:textFill>
              </w:rPr>
            </w:pPr>
            <w:r>
              <w:rPr>
                <w:rFonts w:hint="eastAsia"/>
                <w:color w:val="0D0D0D" w:themeColor="text1" w:themeTint="F2"/>
                <w:sz w:val="24"/>
                <w14:textFill>
                  <w14:solidFill>
                    <w14:schemeClr w14:val="tx1">
                      <w14:lumMod w14:val="95000"/>
                      <w14:lumOff w14:val="5000"/>
                    </w14:schemeClr>
                  </w14:solidFill>
                </w14:textFill>
              </w:rPr>
              <w:t>项目所在地属于已开发区域，受人类长期活动影响，未见到大型野生动物，现存的野生动物主要为蛇类、鼠类、鸟类、昆虫等一些常见的小型动物。经现场调查，评价区域内无特殊保护的珍稀动、植物分布，未发现风景名胜区、自然保护区及文化遗产等特殊保护目标，生态环境一般，不属于生态敏感区。故本项目的建设对评价区域生态环境影响不大。</w:t>
            </w:r>
          </w:p>
          <w:p w14:paraId="2E5D1369">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八、</w:t>
            </w:r>
            <w:r>
              <w:rPr>
                <w:rFonts w:cs="宋体"/>
                <w:b/>
                <w:color w:val="0D0D0D" w:themeColor="text1" w:themeTint="F2"/>
                <w:spacing w:val="-10"/>
                <w:sz w:val="24"/>
                <w14:textFill>
                  <w14:solidFill>
                    <w14:schemeClr w14:val="tx1">
                      <w14:lumMod w14:val="95000"/>
                      <w14:lumOff w14:val="5000"/>
                    </w14:schemeClr>
                  </w14:solidFill>
                </w14:textFill>
              </w:rPr>
              <w:t>环境管理</w:t>
            </w:r>
            <w:r>
              <w:rPr>
                <w:rFonts w:hint="eastAsia" w:cs="宋体"/>
                <w:b/>
                <w:color w:val="0D0D0D" w:themeColor="text1" w:themeTint="F2"/>
                <w:spacing w:val="-10"/>
                <w:sz w:val="24"/>
                <w14:textFill>
                  <w14:solidFill>
                    <w14:schemeClr w14:val="tx1">
                      <w14:lumMod w14:val="95000"/>
                      <w14:lumOff w14:val="5000"/>
                    </w14:schemeClr>
                  </w14:solidFill>
                </w14:textFill>
              </w:rPr>
              <w:t>和</w:t>
            </w:r>
            <w:r>
              <w:rPr>
                <w:rFonts w:cs="宋体"/>
                <w:b/>
                <w:color w:val="0D0D0D" w:themeColor="text1" w:themeTint="F2"/>
                <w:spacing w:val="-10"/>
                <w:sz w:val="24"/>
                <w14:textFill>
                  <w14:solidFill>
                    <w14:schemeClr w14:val="tx1">
                      <w14:lumMod w14:val="95000"/>
                      <w14:lumOff w14:val="5000"/>
                    </w14:schemeClr>
                  </w14:solidFill>
                </w14:textFill>
              </w:rPr>
              <w:t>环境监测</w:t>
            </w:r>
          </w:p>
          <w:p w14:paraId="0C7D0FC5">
            <w:pPr>
              <w:adjustRightInd w:val="0"/>
              <w:snapToGrid w:val="0"/>
              <w:spacing w:line="360" w:lineRule="auto"/>
              <w:ind w:firstLine="442" w:firstLineChars="200"/>
              <w:rPr>
                <w:rFonts w:cs="宋体"/>
                <w:b/>
                <w:bCs/>
                <w:color w:val="0D0D0D" w:themeColor="text1" w:themeTint="F2"/>
                <w:spacing w:val="-10"/>
                <w:sz w:val="24"/>
                <w14:textFill>
                  <w14:solidFill>
                    <w14:schemeClr w14:val="tx1">
                      <w14:lumMod w14:val="95000"/>
                      <w14:lumOff w14:val="5000"/>
                    </w14:schemeClr>
                  </w14:solidFill>
                </w14:textFill>
              </w:rPr>
            </w:pPr>
            <w:r>
              <w:rPr>
                <w:rFonts w:hint="eastAsia" w:cs="宋体"/>
                <w:b/>
                <w:bCs/>
                <w:color w:val="0D0D0D" w:themeColor="text1" w:themeTint="F2"/>
                <w:spacing w:val="-10"/>
                <w:sz w:val="24"/>
                <w14:textFill>
                  <w14:solidFill>
                    <w14:schemeClr w14:val="tx1">
                      <w14:lumMod w14:val="95000"/>
                      <w14:lumOff w14:val="5000"/>
                    </w14:schemeClr>
                  </w14:solidFill>
                </w14:textFill>
              </w:rPr>
              <w:t>1、</w:t>
            </w:r>
            <w:r>
              <w:rPr>
                <w:rFonts w:cs="宋体"/>
                <w:b/>
                <w:bCs/>
                <w:color w:val="0D0D0D" w:themeColor="text1" w:themeTint="F2"/>
                <w:spacing w:val="-10"/>
                <w:sz w:val="24"/>
                <w14:textFill>
                  <w14:solidFill>
                    <w14:schemeClr w14:val="tx1">
                      <w14:lumMod w14:val="95000"/>
                      <w14:lumOff w14:val="5000"/>
                    </w14:schemeClr>
                  </w14:solidFill>
                </w14:textFill>
              </w:rPr>
              <w:t>环境管理</w:t>
            </w:r>
          </w:p>
          <w:p w14:paraId="34D2B423">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（1）</w:t>
            </w:r>
            <w:r>
              <w:rPr>
                <w:rFonts w:cs="宋体"/>
                <w:bCs/>
                <w:color w:val="0D0D0D" w:themeColor="text1" w:themeTint="F2"/>
                <w:spacing w:val="-10"/>
                <w:sz w:val="24"/>
                <w14:textFill>
                  <w14:solidFill>
                    <w14:schemeClr w14:val="tx1">
                      <w14:lumMod w14:val="95000"/>
                      <w14:lumOff w14:val="5000"/>
                    </w14:schemeClr>
                  </w14:solidFill>
                </w14:textFill>
              </w:rPr>
              <w:t>设置</w:t>
            </w:r>
            <w:r>
              <w:rPr>
                <w:rFonts w:hint="eastAsia" w:cs="宋体"/>
                <w:bCs/>
                <w:color w:val="0D0D0D" w:themeColor="text1" w:themeTint="F2"/>
                <w:spacing w:val="-10"/>
                <w:sz w:val="24"/>
                <w14:textFill>
                  <w14:solidFill>
                    <w14:schemeClr w14:val="tx1">
                      <w14:lumMod w14:val="95000"/>
                      <w14:lumOff w14:val="5000"/>
                    </w14:schemeClr>
                  </w14:solidFill>
                </w14:textFill>
              </w:rPr>
              <w:t>专职</w:t>
            </w:r>
            <w:r>
              <w:rPr>
                <w:rFonts w:cs="宋体"/>
                <w:bCs/>
                <w:color w:val="0D0D0D" w:themeColor="text1" w:themeTint="F2"/>
                <w:spacing w:val="-10"/>
                <w:sz w:val="24"/>
                <w14:textFill>
                  <w14:solidFill>
                    <w14:schemeClr w14:val="tx1">
                      <w14:lumMod w14:val="95000"/>
                      <w14:lumOff w14:val="5000"/>
                    </w14:schemeClr>
                  </w14:solidFill>
                </w14:textFill>
              </w:rPr>
              <w:t>环境管理人员，提高环境管理人员的环保素质和意识；加强环境保护宣传教育，提高职工环保意识。</w:t>
            </w:r>
          </w:p>
          <w:p w14:paraId="125565B4">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（2）</w:t>
            </w:r>
            <w:r>
              <w:rPr>
                <w:rFonts w:cs="宋体"/>
                <w:bCs/>
                <w:color w:val="0D0D0D" w:themeColor="text1" w:themeTint="F2"/>
                <w:spacing w:val="-10"/>
                <w:sz w:val="24"/>
                <w14:textFill>
                  <w14:solidFill>
                    <w14:schemeClr w14:val="tx1">
                      <w14:lumMod w14:val="95000"/>
                      <w14:lumOff w14:val="5000"/>
                    </w14:schemeClr>
                  </w14:solidFill>
                </w14:textFill>
              </w:rPr>
              <w:t>严格执行环境影响评价制度和</w:t>
            </w:r>
            <w:r>
              <w:rPr>
                <w:rFonts w:hint="eastAsia" w:cs="宋体"/>
                <w:bCs/>
                <w:color w:val="0D0D0D" w:themeColor="text1" w:themeTint="F2"/>
                <w:spacing w:val="-10"/>
                <w:sz w:val="24"/>
                <w14:textFill>
                  <w14:solidFill>
                    <w14:schemeClr w14:val="tx1">
                      <w14:lumMod w14:val="95000"/>
                      <w14:lumOff w14:val="5000"/>
                    </w14:schemeClr>
                  </w14:solidFill>
                </w14:textFill>
              </w:rPr>
              <w:t>“</w:t>
            </w:r>
            <w:r>
              <w:rPr>
                <w:rFonts w:cs="宋体"/>
                <w:bCs/>
                <w:color w:val="0D0D0D" w:themeColor="text1" w:themeTint="F2"/>
                <w:spacing w:val="-10"/>
                <w:sz w:val="24"/>
                <w14:textFill>
                  <w14:solidFill>
                    <w14:schemeClr w14:val="tx1">
                      <w14:lumMod w14:val="95000"/>
                      <w14:lumOff w14:val="5000"/>
                    </w14:schemeClr>
                  </w14:solidFill>
                </w14:textFill>
              </w:rPr>
              <w:t>三同时</w:t>
            </w:r>
            <w:r>
              <w:rPr>
                <w:rFonts w:hint="eastAsia" w:cs="宋体"/>
                <w:bCs/>
                <w:color w:val="0D0D0D" w:themeColor="text1" w:themeTint="F2"/>
                <w:spacing w:val="-10"/>
                <w:sz w:val="24"/>
                <w14:textFill>
                  <w14:solidFill>
                    <w14:schemeClr w14:val="tx1">
                      <w14:lumMod w14:val="95000"/>
                      <w14:lumOff w14:val="5000"/>
                    </w14:schemeClr>
                  </w14:solidFill>
                </w14:textFill>
              </w:rPr>
              <w:t>”</w:t>
            </w:r>
            <w:r>
              <w:rPr>
                <w:rFonts w:cs="宋体"/>
                <w:bCs/>
                <w:color w:val="0D0D0D" w:themeColor="text1" w:themeTint="F2"/>
                <w:spacing w:val="-10"/>
                <w:sz w:val="24"/>
                <w14:textFill>
                  <w14:solidFill>
                    <w14:schemeClr w14:val="tx1">
                      <w14:lumMod w14:val="95000"/>
                      <w14:lumOff w14:val="5000"/>
                    </w14:schemeClr>
                  </w14:solidFill>
                </w14:textFill>
              </w:rPr>
              <w:t>制度，确保污染得到有效预防及控制。</w:t>
            </w:r>
          </w:p>
          <w:p w14:paraId="712B6CB3">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（3）</w:t>
            </w:r>
            <w:r>
              <w:rPr>
                <w:rFonts w:cs="宋体"/>
                <w:bCs/>
                <w:color w:val="0D0D0D" w:themeColor="text1" w:themeTint="F2"/>
                <w:spacing w:val="-10"/>
                <w:sz w:val="24"/>
                <w14:textFill>
                  <w14:solidFill>
                    <w14:schemeClr w14:val="tx1">
                      <w14:lumMod w14:val="95000"/>
                      <w14:lumOff w14:val="5000"/>
                    </w14:schemeClr>
                  </w14:solidFill>
                </w14:textFill>
              </w:rPr>
              <w:t>实行环境管理制度，对各项污染防治措施进行有效监督管理，明确各项污染物达标情况。</w:t>
            </w:r>
          </w:p>
          <w:p w14:paraId="29F605B7">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（4）</w:t>
            </w:r>
            <w:r>
              <w:rPr>
                <w:rFonts w:cs="宋体"/>
                <w:bCs/>
                <w:color w:val="0D0D0D" w:themeColor="text1" w:themeTint="F2"/>
                <w:spacing w:val="-10"/>
                <w:sz w:val="24"/>
                <w14:textFill>
                  <w14:solidFill>
                    <w14:schemeClr w14:val="tx1">
                      <w14:lumMod w14:val="95000"/>
                      <w14:lumOff w14:val="5000"/>
                    </w14:schemeClr>
                  </w14:solidFill>
                </w14:textFill>
              </w:rPr>
              <w:t>建立环境保护管理台账，定期检查项目环境保护措施执行情况，定期进行环境保护信息公开。</w:t>
            </w:r>
          </w:p>
          <w:p w14:paraId="5E460C87">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（5）</w:t>
            </w:r>
            <w:r>
              <w:rPr>
                <w:rFonts w:cs="宋体"/>
                <w:bCs/>
                <w:color w:val="0D0D0D" w:themeColor="text1" w:themeTint="F2"/>
                <w:spacing w:val="-10"/>
                <w:sz w:val="24"/>
                <w14:textFill>
                  <w14:solidFill>
                    <w14:schemeClr w14:val="tx1">
                      <w14:lumMod w14:val="95000"/>
                      <w14:lumOff w14:val="5000"/>
                    </w14:schemeClr>
                  </w14:solidFill>
                </w14:textFill>
              </w:rPr>
              <w:t>根据国家排污许可制度，以改善环境质量为目标，加强对重点污染源环境管理，根据《排污单位环境管理台账及排污许可执行报告技术规范  总则（试行）》等文件，建立以排污许可证为核心，覆盖污染源建设、生产、关闭全过程的</w:t>
            </w:r>
            <w:r>
              <w:rPr>
                <w:rFonts w:hint="eastAsia" w:cs="宋体"/>
                <w:bCs/>
                <w:color w:val="0D0D0D" w:themeColor="text1" w:themeTint="F2"/>
                <w:spacing w:val="-10"/>
                <w:sz w:val="24"/>
                <w14:textFill>
                  <w14:solidFill>
                    <w14:schemeClr w14:val="tx1">
                      <w14:lumMod w14:val="95000"/>
                      <w14:lumOff w14:val="5000"/>
                    </w14:schemeClr>
                  </w14:solidFill>
                </w14:textFill>
              </w:rPr>
              <w:t>“</w:t>
            </w:r>
            <w:r>
              <w:rPr>
                <w:rFonts w:cs="宋体"/>
                <w:bCs/>
                <w:color w:val="0D0D0D" w:themeColor="text1" w:themeTint="F2"/>
                <w:spacing w:val="-10"/>
                <w:sz w:val="24"/>
                <w14:textFill>
                  <w14:solidFill>
                    <w14:schemeClr w14:val="tx1">
                      <w14:lumMod w14:val="95000"/>
                      <w14:lumOff w14:val="5000"/>
                    </w14:schemeClr>
                  </w14:solidFill>
                </w14:textFill>
              </w:rPr>
              <w:t>一证式</w:t>
            </w:r>
            <w:r>
              <w:rPr>
                <w:rFonts w:hint="eastAsia" w:cs="宋体"/>
                <w:bCs/>
                <w:color w:val="0D0D0D" w:themeColor="text1" w:themeTint="F2"/>
                <w:spacing w:val="-10"/>
                <w:sz w:val="24"/>
                <w14:textFill>
                  <w14:solidFill>
                    <w14:schemeClr w14:val="tx1">
                      <w14:lumMod w14:val="95000"/>
                      <w14:lumOff w14:val="5000"/>
                    </w14:schemeClr>
                  </w14:solidFill>
                </w14:textFill>
              </w:rPr>
              <w:t>”</w:t>
            </w:r>
            <w:r>
              <w:rPr>
                <w:rFonts w:cs="宋体"/>
                <w:bCs/>
                <w:color w:val="0D0D0D" w:themeColor="text1" w:themeTint="F2"/>
                <w:spacing w:val="-10"/>
                <w:sz w:val="24"/>
                <w14:textFill>
                  <w14:solidFill>
                    <w14:schemeClr w14:val="tx1">
                      <w14:lumMod w14:val="95000"/>
                      <w14:lumOff w14:val="5000"/>
                    </w14:schemeClr>
                  </w14:solidFill>
                </w14:textFill>
              </w:rPr>
              <w:t>管理模式，实行排污许可证执行情况定期报告和重大变动信息动态报告。</w:t>
            </w:r>
          </w:p>
          <w:p w14:paraId="405B8916">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（6）</w:t>
            </w:r>
            <w:r>
              <w:rPr>
                <w:rFonts w:cs="宋体"/>
                <w:bCs/>
                <w:color w:val="0D0D0D" w:themeColor="text1" w:themeTint="F2"/>
                <w:spacing w:val="-10"/>
                <w:sz w:val="24"/>
                <w14:textFill>
                  <w14:solidFill>
                    <w14:schemeClr w14:val="tx1">
                      <w14:lumMod w14:val="95000"/>
                      <w14:lumOff w14:val="5000"/>
                    </w14:schemeClr>
                  </w14:solidFill>
                </w14:textFill>
              </w:rPr>
              <w:t>根据《国务院办公厅关于印</w:t>
            </w:r>
            <w:r>
              <w:rPr>
                <w:rFonts w:hint="eastAsia" w:cs="宋体"/>
                <w:bCs/>
                <w:color w:val="0D0D0D" w:themeColor="text1" w:themeTint="F2"/>
                <w:spacing w:val="-10"/>
                <w:sz w:val="24"/>
                <w14:textFill>
                  <w14:solidFill>
                    <w14:schemeClr w14:val="tx1">
                      <w14:lumMod w14:val="95000"/>
                      <w14:lumOff w14:val="5000"/>
                    </w14:schemeClr>
                  </w14:solidFill>
                </w14:textFill>
              </w:rPr>
              <w:t>发控制污染物排放许可制实施方案的通知》（国办发〔2016〕81号）、《固定污染源排污许可分类管理名录（2019年版）》（生态环境部令第45号）、《排污许可管理办法》（生态环境部令第32号）等相关文件要求，企业应在投入生产或使用并产生实际排污行为之前落实排污许可，合法排污</w:t>
            </w:r>
            <w:r>
              <w:rPr>
                <w:rFonts w:cs="宋体"/>
                <w:bCs/>
                <w:color w:val="0D0D0D" w:themeColor="text1" w:themeTint="F2"/>
                <w:spacing w:val="-10"/>
                <w:sz w:val="24"/>
                <w14:textFill>
                  <w14:solidFill>
                    <w14:schemeClr w14:val="tx1">
                      <w14:lumMod w14:val="95000"/>
                      <w14:lumOff w14:val="5000"/>
                    </w14:schemeClr>
                  </w14:solidFill>
                </w14:textFill>
              </w:rPr>
              <w:t>。</w:t>
            </w:r>
          </w:p>
          <w:p w14:paraId="12A6D601">
            <w:pPr>
              <w:adjustRightInd w:val="0"/>
              <w:snapToGrid w:val="0"/>
              <w:spacing w:line="360" w:lineRule="auto"/>
              <w:ind w:firstLine="442" w:firstLineChars="200"/>
              <w:rPr>
                <w:rFonts w:cs="宋体"/>
                <w:b/>
                <w:bCs/>
                <w:color w:val="0D0D0D" w:themeColor="text1" w:themeTint="F2"/>
                <w:spacing w:val="-10"/>
                <w:sz w:val="24"/>
                <w14:textFill>
                  <w14:solidFill>
                    <w14:schemeClr w14:val="tx1">
                      <w14:lumMod w14:val="95000"/>
                      <w14:lumOff w14:val="5000"/>
                    </w14:schemeClr>
                  </w14:solidFill>
                </w14:textFill>
              </w:rPr>
            </w:pPr>
            <w:r>
              <w:rPr>
                <w:rFonts w:hint="eastAsia" w:cs="宋体"/>
                <w:b/>
                <w:bCs/>
                <w:color w:val="0D0D0D" w:themeColor="text1" w:themeTint="F2"/>
                <w:spacing w:val="-10"/>
                <w:sz w:val="24"/>
                <w14:textFill>
                  <w14:solidFill>
                    <w14:schemeClr w14:val="tx1">
                      <w14:lumMod w14:val="95000"/>
                      <w14:lumOff w14:val="5000"/>
                    </w14:schemeClr>
                  </w14:solidFill>
                </w14:textFill>
              </w:rPr>
              <w:t>2、</w:t>
            </w:r>
            <w:r>
              <w:rPr>
                <w:rFonts w:cs="宋体"/>
                <w:b/>
                <w:bCs/>
                <w:color w:val="0D0D0D" w:themeColor="text1" w:themeTint="F2"/>
                <w:spacing w:val="-10"/>
                <w:sz w:val="24"/>
                <w14:textFill>
                  <w14:solidFill>
                    <w14:schemeClr w14:val="tx1">
                      <w14:lumMod w14:val="95000"/>
                      <w14:lumOff w14:val="5000"/>
                    </w14:schemeClr>
                  </w14:solidFill>
                </w14:textFill>
              </w:rPr>
              <w:t>环境监测计划</w:t>
            </w:r>
          </w:p>
          <w:p w14:paraId="256CA301">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cs="宋体"/>
                <w:bCs/>
                <w:color w:val="0D0D0D" w:themeColor="text1" w:themeTint="F2"/>
                <w:spacing w:val="-10"/>
                <w:sz w:val="24"/>
                <w14:textFill>
                  <w14:solidFill>
                    <w14:schemeClr w14:val="tx1">
                      <w14:lumMod w14:val="95000"/>
                      <w14:lumOff w14:val="5000"/>
                    </w14:schemeClr>
                  </w14:solidFill>
                </w14:textFill>
              </w:rPr>
              <w:t>项目应委托有资质的环境监测单位对污染物进行定期监测，确保污染物达标排放，并根据所排污染物的实际变化情况，为制定污染物控制调整措施提供依据。</w:t>
            </w:r>
          </w:p>
          <w:p w14:paraId="53B63182">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根据《排污单位自行监测技术指南</w:t>
            </w:r>
            <w:r>
              <w:rPr>
                <w:rFonts w:cs="宋体"/>
                <w:bCs/>
                <w:color w:val="0D0D0D" w:themeColor="text1" w:themeTint="F2"/>
                <w:spacing w:val="-10"/>
                <w:sz w:val="24"/>
                <w14:textFill>
                  <w14:solidFill>
                    <w14:schemeClr w14:val="tx1">
                      <w14:lumMod w14:val="95000"/>
                      <w14:lumOff w14:val="5000"/>
                    </w14:schemeClr>
                  </w14:solidFill>
                </w14:textFill>
              </w:rPr>
              <w:t xml:space="preserve">  </w:t>
            </w:r>
            <w:r>
              <w:rPr>
                <w:rFonts w:hint="eastAsia" w:cs="宋体"/>
                <w:bCs/>
                <w:color w:val="0D0D0D" w:themeColor="text1" w:themeTint="F2"/>
                <w:spacing w:val="-10"/>
                <w:sz w:val="24"/>
                <w14:textFill>
                  <w14:solidFill>
                    <w14:schemeClr w14:val="tx1">
                      <w14:lumMod w14:val="95000"/>
                      <w14:lumOff w14:val="5000"/>
                    </w14:schemeClr>
                  </w14:solidFill>
                </w14:textFill>
              </w:rPr>
              <w:t>总则》（</w:t>
            </w:r>
            <w:r>
              <w:rPr>
                <w:rFonts w:cs="宋体"/>
                <w:bCs/>
                <w:color w:val="0D0D0D" w:themeColor="text1" w:themeTint="F2"/>
                <w:spacing w:val="-10"/>
                <w:sz w:val="24"/>
                <w14:textFill>
                  <w14:solidFill>
                    <w14:schemeClr w14:val="tx1">
                      <w14:lumMod w14:val="95000"/>
                      <w14:lumOff w14:val="5000"/>
                    </w14:schemeClr>
                  </w14:solidFill>
                </w14:textFill>
              </w:rPr>
              <w:t>HJ819-2017</w:t>
            </w:r>
            <w:r>
              <w:rPr>
                <w:rFonts w:hint="eastAsia" w:cs="宋体"/>
                <w:bCs/>
                <w:color w:val="0D0D0D" w:themeColor="text1" w:themeTint="F2"/>
                <w:spacing w:val="-10"/>
                <w:sz w:val="24"/>
                <w14:textFill>
                  <w14:solidFill>
                    <w14:schemeClr w14:val="tx1">
                      <w14:lumMod w14:val="95000"/>
                      <w14:lumOff w14:val="5000"/>
                    </w14:schemeClr>
                  </w14:solidFill>
                </w14:textFill>
              </w:rPr>
              <w:t>）、《排污单位自行监测技术指南  涂装》（HJ1086-2020）和《危险废物贮存污染控制标准》（GB18597-2023）等文件要求，项目运营期环境监测计划详见表4</w:t>
            </w:r>
            <w:r>
              <w:rPr>
                <w:rFonts w:cs="宋体"/>
                <w:bCs/>
                <w:color w:val="0D0D0D" w:themeColor="text1" w:themeTint="F2"/>
                <w:spacing w:val="-10"/>
                <w:sz w:val="24"/>
                <w14:textFill>
                  <w14:solidFill>
                    <w14:schemeClr w14:val="tx1">
                      <w14:lumMod w14:val="95000"/>
                      <w14:lumOff w14:val="5000"/>
                    </w14:schemeClr>
                  </w14:solidFill>
                </w14:textFill>
              </w:rPr>
              <w:t>-</w:t>
            </w:r>
            <w:r>
              <w:rPr>
                <w:rFonts w:hint="eastAsia" w:cs="宋体"/>
                <w:bCs/>
                <w:color w:val="0D0D0D" w:themeColor="text1" w:themeTint="F2"/>
                <w:spacing w:val="-10"/>
                <w:sz w:val="24"/>
                <w14:textFill>
                  <w14:solidFill>
                    <w14:schemeClr w14:val="tx1">
                      <w14:lumMod w14:val="95000"/>
                      <w14:lumOff w14:val="5000"/>
                    </w14:schemeClr>
                  </w14:solidFill>
                </w14:textFill>
              </w:rPr>
              <w:t>21。</w:t>
            </w:r>
          </w:p>
          <w:p w14:paraId="0F962165">
            <w:pPr>
              <w:adjustRightInd w:val="0"/>
              <w:snapToGrid w:val="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w:t>
            </w:r>
            <w:r>
              <w:rPr>
                <w:rFonts w:cs="宋体"/>
                <w:b/>
                <w:color w:val="0D0D0D" w:themeColor="text1" w:themeTint="F2"/>
                <w:spacing w:val="-10"/>
                <w:szCs w:val="21"/>
                <w14:textFill>
                  <w14:solidFill>
                    <w14:schemeClr w14:val="tx1">
                      <w14:lumMod w14:val="95000"/>
                      <w14:lumOff w14:val="5000"/>
                    </w14:schemeClr>
                  </w14:solidFill>
                </w14:textFill>
              </w:rPr>
              <w:t>-</w:t>
            </w:r>
            <w:r>
              <w:rPr>
                <w:rFonts w:hint="eastAsia" w:cs="宋体"/>
                <w:b/>
                <w:color w:val="0D0D0D" w:themeColor="text1" w:themeTint="F2"/>
                <w:spacing w:val="-10"/>
                <w:szCs w:val="21"/>
                <w14:textFill>
                  <w14:solidFill>
                    <w14:schemeClr w14:val="tx1">
                      <w14:lumMod w14:val="95000"/>
                      <w14:lumOff w14:val="5000"/>
                    </w14:schemeClr>
                  </w14:solidFill>
                </w14:textFill>
              </w:rPr>
              <w:t>21</w:t>
            </w:r>
            <w:r>
              <w:rPr>
                <w:rFonts w:cs="宋体"/>
                <w:b/>
                <w:color w:val="0D0D0D" w:themeColor="text1" w:themeTint="F2"/>
                <w:spacing w:val="-10"/>
                <w:szCs w:val="21"/>
                <w14:textFill>
                  <w14:solidFill>
                    <w14:schemeClr w14:val="tx1">
                      <w14:lumMod w14:val="95000"/>
                      <w14:lumOff w14:val="5000"/>
                    </w14:schemeClr>
                  </w14:solidFill>
                </w14:textFill>
              </w:rPr>
              <w:t xml:space="preserve">  </w:t>
            </w:r>
            <w:r>
              <w:rPr>
                <w:rFonts w:hint="eastAsia" w:cs="宋体"/>
                <w:b/>
                <w:color w:val="0D0D0D" w:themeColor="text1" w:themeTint="F2"/>
                <w:spacing w:val="-10"/>
                <w:szCs w:val="21"/>
                <w14:textFill>
                  <w14:solidFill>
                    <w14:schemeClr w14:val="tx1">
                      <w14:lumMod w14:val="95000"/>
                      <w14:lumOff w14:val="5000"/>
                    </w14:schemeClr>
                  </w14:solidFill>
                </w14:textFill>
              </w:rPr>
              <w:t>自行监测计划一览表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8"/>
              <w:gridCol w:w="880"/>
              <w:gridCol w:w="2491"/>
              <w:gridCol w:w="2931"/>
              <w:gridCol w:w="1401"/>
            </w:tblGrid>
            <w:tr w14:paraId="18446A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8" w:type="pct"/>
                  <w:tcBorders>
                    <w:top w:val="single" w:color="auto" w:sz="4" w:space="0"/>
                    <w:left w:val="single" w:color="auto" w:sz="4" w:space="0"/>
                    <w:bottom w:val="single" w:color="auto" w:sz="4" w:space="0"/>
                    <w:right w:val="single" w:color="auto" w:sz="4" w:space="0"/>
                  </w:tcBorders>
                  <w:vAlign w:val="center"/>
                </w:tcPr>
                <w:p w14:paraId="0D8BD904">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序号</w:t>
                  </w:r>
                </w:p>
              </w:tc>
              <w:tc>
                <w:tcPr>
                  <w:tcW w:w="520" w:type="pct"/>
                  <w:tcBorders>
                    <w:top w:val="single" w:color="auto" w:sz="4" w:space="0"/>
                    <w:left w:val="single" w:color="auto" w:sz="4" w:space="0"/>
                    <w:bottom w:val="single" w:color="auto" w:sz="4" w:space="0"/>
                    <w:right w:val="single" w:color="auto" w:sz="4" w:space="0"/>
                  </w:tcBorders>
                  <w:vAlign w:val="center"/>
                </w:tcPr>
                <w:p w14:paraId="49112035">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类别</w:t>
                  </w:r>
                </w:p>
              </w:tc>
              <w:tc>
                <w:tcPr>
                  <w:tcW w:w="1472" w:type="pct"/>
                  <w:tcBorders>
                    <w:top w:val="single" w:color="auto" w:sz="4" w:space="0"/>
                    <w:left w:val="single" w:color="auto" w:sz="4" w:space="0"/>
                    <w:bottom w:val="single" w:color="auto" w:sz="4" w:space="0"/>
                    <w:right w:val="single" w:color="auto" w:sz="4" w:space="0"/>
                  </w:tcBorders>
                  <w:vAlign w:val="center"/>
                </w:tcPr>
                <w:p w14:paraId="310D5C1C">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监测点位</w:t>
                  </w:r>
                </w:p>
              </w:tc>
              <w:tc>
                <w:tcPr>
                  <w:tcW w:w="1732" w:type="pct"/>
                  <w:tcBorders>
                    <w:top w:val="single" w:color="auto" w:sz="4" w:space="0"/>
                    <w:left w:val="single" w:color="auto" w:sz="4" w:space="0"/>
                    <w:bottom w:val="single" w:color="auto" w:sz="4" w:space="0"/>
                    <w:right w:val="single" w:color="auto" w:sz="4" w:space="0"/>
                  </w:tcBorders>
                  <w:vAlign w:val="center"/>
                </w:tcPr>
                <w:p w14:paraId="68936341">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监测因子</w:t>
                  </w:r>
                </w:p>
              </w:tc>
              <w:tc>
                <w:tcPr>
                  <w:tcW w:w="828" w:type="pct"/>
                  <w:tcBorders>
                    <w:top w:val="single" w:color="auto" w:sz="4" w:space="0"/>
                    <w:left w:val="single" w:color="auto" w:sz="4" w:space="0"/>
                    <w:bottom w:val="single" w:color="auto" w:sz="4" w:space="0"/>
                    <w:right w:val="single" w:color="auto" w:sz="4" w:space="0"/>
                  </w:tcBorders>
                  <w:vAlign w:val="center"/>
                </w:tcPr>
                <w:p w14:paraId="7953A095">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监测频次</w:t>
                  </w:r>
                </w:p>
              </w:tc>
            </w:tr>
            <w:tr w14:paraId="2ADB9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8" w:type="pct"/>
                  <w:tcBorders>
                    <w:top w:val="single" w:color="auto" w:sz="4" w:space="0"/>
                    <w:left w:val="single" w:color="auto" w:sz="4" w:space="0"/>
                    <w:bottom w:val="single" w:color="auto" w:sz="4" w:space="0"/>
                    <w:right w:val="single" w:color="auto" w:sz="4" w:space="0"/>
                  </w:tcBorders>
                  <w:vAlign w:val="center"/>
                </w:tcPr>
                <w:p w14:paraId="6AC4E12C">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1</w:t>
                  </w:r>
                </w:p>
              </w:tc>
              <w:tc>
                <w:tcPr>
                  <w:tcW w:w="520" w:type="pct"/>
                  <w:tcBorders>
                    <w:top w:val="single" w:color="auto" w:sz="4" w:space="0"/>
                    <w:left w:val="single" w:color="auto" w:sz="4" w:space="0"/>
                    <w:bottom w:val="single" w:color="auto" w:sz="4" w:space="0"/>
                    <w:right w:val="single" w:color="auto" w:sz="4" w:space="0"/>
                  </w:tcBorders>
                  <w:vAlign w:val="center"/>
                </w:tcPr>
                <w:p w14:paraId="1DFF49CD">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废气</w:t>
                  </w:r>
                </w:p>
              </w:tc>
              <w:tc>
                <w:tcPr>
                  <w:tcW w:w="1472" w:type="pct"/>
                  <w:tcBorders>
                    <w:top w:val="single" w:color="auto" w:sz="4" w:space="0"/>
                    <w:left w:val="single" w:color="auto" w:sz="4" w:space="0"/>
                    <w:bottom w:val="single" w:color="auto" w:sz="4" w:space="0"/>
                    <w:right w:val="single" w:color="auto" w:sz="4" w:space="0"/>
                  </w:tcBorders>
                  <w:vAlign w:val="center"/>
                </w:tcPr>
                <w:p w14:paraId="65BEF7D7">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DA001</w:t>
                  </w:r>
                </w:p>
              </w:tc>
              <w:tc>
                <w:tcPr>
                  <w:tcW w:w="1732" w:type="pct"/>
                  <w:tcBorders>
                    <w:top w:val="single" w:color="auto" w:sz="4" w:space="0"/>
                    <w:left w:val="single" w:color="auto" w:sz="4" w:space="0"/>
                    <w:bottom w:val="single" w:color="auto" w:sz="4" w:space="0"/>
                    <w:right w:val="single" w:color="auto" w:sz="4" w:space="0"/>
                  </w:tcBorders>
                  <w:vAlign w:val="center"/>
                </w:tcPr>
                <w:p w14:paraId="6A36E00D">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颗粒物</w:t>
                  </w:r>
                </w:p>
              </w:tc>
              <w:tc>
                <w:tcPr>
                  <w:tcW w:w="828" w:type="pct"/>
                  <w:tcBorders>
                    <w:top w:val="single" w:color="auto" w:sz="4" w:space="0"/>
                    <w:left w:val="single" w:color="auto" w:sz="4" w:space="0"/>
                    <w:bottom w:val="single" w:color="auto" w:sz="4" w:space="0"/>
                    <w:right w:val="single" w:color="auto" w:sz="4" w:space="0"/>
                  </w:tcBorders>
                  <w:vAlign w:val="center"/>
                </w:tcPr>
                <w:p w14:paraId="563E309B">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1次/</w:t>
                  </w:r>
                  <w:r>
                    <w:rPr>
                      <w:rFonts w:hint="eastAsia"/>
                      <w:bCs/>
                      <w:color w:val="0D0D0D" w:themeColor="text1" w:themeTint="F2"/>
                      <w:szCs w:val="21"/>
                      <w:u w:val="single"/>
                      <w14:textFill>
                        <w14:solidFill>
                          <w14:schemeClr w14:val="tx1">
                            <w14:lumMod w14:val="95000"/>
                            <w14:lumOff w14:val="5000"/>
                          </w14:schemeClr>
                        </w14:solidFill>
                      </w14:textFill>
                    </w:rPr>
                    <w:t>年</w:t>
                  </w:r>
                </w:p>
              </w:tc>
            </w:tr>
            <w:tr w14:paraId="7474E8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8" w:type="pct"/>
                  <w:tcBorders>
                    <w:top w:val="single" w:color="auto" w:sz="4" w:space="0"/>
                    <w:left w:val="single" w:color="auto" w:sz="4" w:space="0"/>
                    <w:bottom w:val="single" w:color="auto" w:sz="4" w:space="0"/>
                    <w:right w:val="single" w:color="auto" w:sz="4" w:space="0"/>
                  </w:tcBorders>
                  <w:vAlign w:val="center"/>
                </w:tcPr>
                <w:p w14:paraId="00D87E8D">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2</w:t>
                  </w:r>
                </w:p>
              </w:tc>
              <w:tc>
                <w:tcPr>
                  <w:tcW w:w="520" w:type="pct"/>
                  <w:tcBorders>
                    <w:top w:val="single" w:color="auto" w:sz="4" w:space="0"/>
                    <w:left w:val="single" w:color="auto" w:sz="4" w:space="0"/>
                    <w:bottom w:val="single" w:color="auto" w:sz="4" w:space="0"/>
                    <w:right w:val="single" w:color="auto" w:sz="4" w:space="0"/>
                  </w:tcBorders>
                  <w:vAlign w:val="center"/>
                </w:tcPr>
                <w:p w14:paraId="0C7BA8A3">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废气</w:t>
                  </w:r>
                </w:p>
              </w:tc>
              <w:tc>
                <w:tcPr>
                  <w:tcW w:w="1472" w:type="pct"/>
                  <w:tcBorders>
                    <w:top w:val="single" w:color="auto" w:sz="4" w:space="0"/>
                    <w:left w:val="single" w:color="auto" w:sz="4" w:space="0"/>
                    <w:bottom w:val="single" w:color="auto" w:sz="4" w:space="0"/>
                    <w:right w:val="single" w:color="auto" w:sz="4" w:space="0"/>
                  </w:tcBorders>
                  <w:vAlign w:val="center"/>
                </w:tcPr>
                <w:p w14:paraId="7F013EA4">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DA002</w:t>
                  </w:r>
                </w:p>
              </w:tc>
              <w:tc>
                <w:tcPr>
                  <w:tcW w:w="1732" w:type="pct"/>
                  <w:tcBorders>
                    <w:top w:val="single" w:color="auto" w:sz="4" w:space="0"/>
                    <w:left w:val="single" w:color="auto" w:sz="4" w:space="0"/>
                    <w:bottom w:val="single" w:color="auto" w:sz="4" w:space="0"/>
                    <w:right w:val="single" w:color="auto" w:sz="4" w:space="0"/>
                  </w:tcBorders>
                  <w:vAlign w:val="center"/>
                </w:tcPr>
                <w:p w14:paraId="6DCD2594">
                  <w:pPr>
                    <w:adjustRightInd w:val="0"/>
                    <w:snapToGrid w:val="0"/>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非甲烷总烃、二甲苯、颗粒物</w:t>
                  </w:r>
                </w:p>
              </w:tc>
              <w:tc>
                <w:tcPr>
                  <w:tcW w:w="828" w:type="pct"/>
                  <w:tcBorders>
                    <w:top w:val="single" w:color="auto" w:sz="4" w:space="0"/>
                    <w:left w:val="single" w:color="auto" w:sz="4" w:space="0"/>
                    <w:bottom w:val="single" w:color="auto" w:sz="4" w:space="0"/>
                    <w:right w:val="single" w:color="auto" w:sz="4" w:space="0"/>
                  </w:tcBorders>
                  <w:vAlign w:val="center"/>
                </w:tcPr>
                <w:p w14:paraId="72279B12">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1次/</w:t>
                  </w:r>
                  <w:r>
                    <w:rPr>
                      <w:rFonts w:hint="eastAsia"/>
                      <w:bCs/>
                      <w:color w:val="0D0D0D" w:themeColor="text1" w:themeTint="F2"/>
                      <w:szCs w:val="21"/>
                      <w:u w:val="single"/>
                      <w14:textFill>
                        <w14:solidFill>
                          <w14:schemeClr w14:val="tx1">
                            <w14:lumMod w14:val="95000"/>
                            <w14:lumOff w14:val="5000"/>
                          </w14:schemeClr>
                        </w14:solidFill>
                      </w14:textFill>
                    </w:rPr>
                    <w:t>年</w:t>
                  </w:r>
                </w:p>
              </w:tc>
            </w:tr>
            <w:tr w14:paraId="77383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8" w:type="pct"/>
                  <w:tcBorders>
                    <w:top w:val="single" w:color="auto" w:sz="4" w:space="0"/>
                    <w:left w:val="single" w:color="auto" w:sz="4" w:space="0"/>
                    <w:bottom w:val="single" w:color="auto" w:sz="4" w:space="0"/>
                    <w:right w:val="single" w:color="auto" w:sz="4" w:space="0"/>
                  </w:tcBorders>
                  <w:vAlign w:val="center"/>
                </w:tcPr>
                <w:p w14:paraId="41B1BBD9">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3</w:t>
                  </w:r>
                </w:p>
              </w:tc>
              <w:tc>
                <w:tcPr>
                  <w:tcW w:w="520" w:type="pct"/>
                  <w:tcBorders>
                    <w:top w:val="single" w:color="auto" w:sz="4" w:space="0"/>
                    <w:left w:val="single" w:color="auto" w:sz="4" w:space="0"/>
                    <w:bottom w:val="single" w:color="auto" w:sz="4" w:space="0"/>
                    <w:right w:val="single" w:color="auto" w:sz="4" w:space="0"/>
                  </w:tcBorders>
                  <w:vAlign w:val="center"/>
                </w:tcPr>
                <w:p w14:paraId="5A80485A">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废气</w:t>
                  </w:r>
                </w:p>
              </w:tc>
              <w:tc>
                <w:tcPr>
                  <w:tcW w:w="1472" w:type="pct"/>
                  <w:tcBorders>
                    <w:top w:val="single" w:color="auto" w:sz="4" w:space="0"/>
                    <w:left w:val="single" w:color="auto" w:sz="4" w:space="0"/>
                    <w:bottom w:val="single" w:color="auto" w:sz="4" w:space="0"/>
                    <w:right w:val="single" w:color="auto" w:sz="4" w:space="0"/>
                  </w:tcBorders>
                  <w:vAlign w:val="center"/>
                </w:tcPr>
                <w:p w14:paraId="06647A58">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厂界</w:t>
                  </w:r>
                </w:p>
              </w:tc>
              <w:tc>
                <w:tcPr>
                  <w:tcW w:w="1732" w:type="pct"/>
                  <w:tcBorders>
                    <w:top w:val="single" w:color="auto" w:sz="4" w:space="0"/>
                    <w:left w:val="single" w:color="auto" w:sz="4" w:space="0"/>
                    <w:bottom w:val="single" w:color="auto" w:sz="4" w:space="0"/>
                    <w:right w:val="single" w:color="auto" w:sz="4" w:space="0"/>
                  </w:tcBorders>
                  <w:vAlign w:val="center"/>
                </w:tcPr>
                <w:p w14:paraId="57B626AF">
                  <w:pPr>
                    <w:adjustRightInd w:val="0"/>
                    <w:snapToGrid w:val="0"/>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非甲烷总烃、二甲苯、颗粒物</w:t>
                  </w:r>
                </w:p>
              </w:tc>
              <w:tc>
                <w:tcPr>
                  <w:tcW w:w="828" w:type="pct"/>
                  <w:tcBorders>
                    <w:top w:val="single" w:color="auto" w:sz="4" w:space="0"/>
                    <w:left w:val="single" w:color="auto" w:sz="4" w:space="0"/>
                    <w:bottom w:val="single" w:color="auto" w:sz="4" w:space="0"/>
                    <w:right w:val="single" w:color="auto" w:sz="4" w:space="0"/>
                  </w:tcBorders>
                  <w:vAlign w:val="center"/>
                </w:tcPr>
                <w:p w14:paraId="01F6E191">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1次/</w:t>
                  </w:r>
                  <w:r>
                    <w:rPr>
                      <w:rFonts w:hint="eastAsia"/>
                      <w:bCs/>
                      <w:color w:val="0D0D0D" w:themeColor="text1" w:themeTint="F2"/>
                      <w:szCs w:val="21"/>
                      <w:u w:val="single"/>
                      <w14:textFill>
                        <w14:solidFill>
                          <w14:schemeClr w14:val="tx1">
                            <w14:lumMod w14:val="95000"/>
                            <w14:lumOff w14:val="5000"/>
                          </w14:schemeClr>
                        </w14:solidFill>
                      </w14:textFill>
                    </w:rPr>
                    <w:t>半年</w:t>
                  </w:r>
                </w:p>
              </w:tc>
            </w:tr>
            <w:tr w14:paraId="3F612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8" w:type="pct"/>
                  <w:tcBorders>
                    <w:top w:val="single" w:color="auto" w:sz="4" w:space="0"/>
                    <w:left w:val="single" w:color="auto" w:sz="4" w:space="0"/>
                    <w:bottom w:val="single" w:color="auto" w:sz="4" w:space="0"/>
                    <w:right w:val="single" w:color="auto" w:sz="4" w:space="0"/>
                  </w:tcBorders>
                  <w:vAlign w:val="center"/>
                </w:tcPr>
                <w:p w14:paraId="2ACE9E0D">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4</w:t>
                  </w:r>
                </w:p>
              </w:tc>
              <w:tc>
                <w:tcPr>
                  <w:tcW w:w="520" w:type="pct"/>
                  <w:tcBorders>
                    <w:top w:val="single" w:color="auto" w:sz="4" w:space="0"/>
                    <w:left w:val="single" w:color="auto" w:sz="4" w:space="0"/>
                    <w:bottom w:val="single" w:color="auto" w:sz="4" w:space="0"/>
                    <w:right w:val="single" w:color="auto" w:sz="4" w:space="0"/>
                  </w:tcBorders>
                  <w:vAlign w:val="center"/>
                </w:tcPr>
                <w:p w14:paraId="539212A4">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废气</w:t>
                  </w:r>
                </w:p>
              </w:tc>
              <w:tc>
                <w:tcPr>
                  <w:tcW w:w="1472" w:type="pct"/>
                  <w:tcBorders>
                    <w:top w:val="single" w:color="auto" w:sz="4" w:space="0"/>
                    <w:left w:val="single" w:color="auto" w:sz="4" w:space="0"/>
                    <w:bottom w:val="single" w:color="auto" w:sz="4" w:space="0"/>
                    <w:right w:val="single" w:color="auto" w:sz="4" w:space="0"/>
                  </w:tcBorders>
                  <w:vAlign w:val="center"/>
                </w:tcPr>
                <w:p w14:paraId="25E20714">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车间旁边</w:t>
                  </w:r>
                </w:p>
              </w:tc>
              <w:tc>
                <w:tcPr>
                  <w:tcW w:w="1732" w:type="pct"/>
                  <w:tcBorders>
                    <w:top w:val="single" w:color="auto" w:sz="4" w:space="0"/>
                    <w:left w:val="single" w:color="auto" w:sz="4" w:space="0"/>
                    <w:bottom w:val="single" w:color="auto" w:sz="4" w:space="0"/>
                    <w:right w:val="single" w:color="auto" w:sz="4" w:space="0"/>
                  </w:tcBorders>
                  <w:vAlign w:val="center"/>
                </w:tcPr>
                <w:p w14:paraId="6B365A83">
                  <w:pPr>
                    <w:adjustRightInd w:val="0"/>
                    <w:snapToGrid w:val="0"/>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非甲烷总烃、二甲苯、颗粒物</w:t>
                  </w:r>
                </w:p>
              </w:tc>
              <w:tc>
                <w:tcPr>
                  <w:tcW w:w="828" w:type="pct"/>
                  <w:tcBorders>
                    <w:top w:val="single" w:color="auto" w:sz="4" w:space="0"/>
                    <w:left w:val="single" w:color="auto" w:sz="4" w:space="0"/>
                    <w:bottom w:val="single" w:color="auto" w:sz="4" w:space="0"/>
                    <w:right w:val="single" w:color="auto" w:sz="4" w:space="0"/>
                  </w:tcBorders>
                  <w:vAlign w:val="center"/>
                </w:tcPr>
                <w:p w14:paraId="1F3B4209">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1次/</w:t>
                  </w:r>
                  <w:r>
                    <w:rPr>
                      <w:rFonts w:hint="eastAsia"/>
                      <w:bCs/>
                      <w:color w:val="0D0D0D" w:themeColor="text1" w:themeTint="F2"/>
                      <w:szCs w:val="21"/>
                      <w:u w:val="single"/>
                      <w14:textFill>
                        <w14:solidFill>
                          <w14:schemeClr w14:val="tx1">
                            <w14:lumMod w14:val="95000"/>
                            <w14:lumOff w14:val="5000"/>
                          </w14:schemeClr>
                        </w14:solidFill>
                      </w14:textFill>
                    </w:rPr>
                    <w:t>季度</w:t>
                  </w:r>
                </w:p>
              </w:tc>
            </w:tr>
            <w:tr w14:paraId="4668B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8" w:type="pct"/>
                  <w:tcBorders>
                    <w:top w:val="single" w:color="auto" w:sz="4" w:space="0"/>
                    <w:left w:val="single" w:color="auto" w:sz="4" w:space="0"/>
                    <w:bottom w:val="single" w:color="auto" w:sz="4" w:space="0"/>
                    <w:right w:val="single" w:color="auto" w:sz="4" w:space="0"/>
                  </w:tcBorders>
                  <w:vAlign w:val="center"/>
                </w:tcPr>
                <w:p w14:paraId="046C1371">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5</w:t>
                  </w:r>
                </w:p>
              </w:tc>
              <w:tc>
                <w:tcPr>
                  <w:tcW w:w="520" w:type="pct"/>
                  <w:tcBorders>
                    <w:top w:val="single" w:color="auto" w:sz="4" w:space="0"/>
                    <w:left w:val="single" w:color="auto" w:sz="4" w:space="0"/>
                    <w:bottom w:val="single" w:color="auto" w:sz="4" w:space="0"/>
                    <w:right w:val="single" w:color="auto" w:sz="4" w:space="0"/>
                  </w:tcBorders>
                  <w:vAlign w:val="center"/>
                </w:tcPr>
                <w:p w14:paraId="41327AFE">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废水</w:t>
                  </w:r>
                </w:p>
              </w:tc>
              <w:tc>
                <w:tcPr>
                  <w:tcW w:w="1472" w:type="pct"/>
                  <w:tcBorders>
                    <w:top w:val="single" w:color="auto" w:sz="4" w:space="0"/>
                    <w:left w:val="single" w:color="auto" w:sz="4" w:space="0"/>
                    <w:bottom w:val="single" w:color="auto" w:sz="4" w:space="0"/>
                    <w:right w:val="single" w:color="auto" w:sz="4" w:space="0"/>
                  </w:tcBorders>
                  <w:vAlign w:val="center"/>
                </w:tcPr>
                <w:p w14:paraId="48A52ACE">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污水总排口（DW001）</w:t>
                  </w:r>
                </w:p>
              </w:tc>
              <w:tc>
                <w:tcPr>
                  <w:tcW w:w="1732" w:type="pct"/>
                  <w:tcBorders>
                    <w:top w:val="single" w:color="auto" w:sz="4" w:space="0"/>
                    <w:left w:val="single" w:color="auto" w:sz="4" w:space="0"/>
                    <w:bottom w:val="single" w:color="auto" w:sz="4" w:space="0"/>
                    <w:right w:val="single" w:color="auto" w:sz="4" w:space="0"/>
                  </w:tcBorders>
                  <w:vAlign w:val="center"/>
                </w:tcPr>
                <w:p w14:paraId="0367F416">
                  <w:pPr>
                    <w:adjustRightInd w:val="0"/>
                    <w:snapToGrid w:val="0"/>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COD、BOD</w:t>
                  </w:r>
                  <w:r>
                    <w:rPr>
                      <w:rFonts w:hint="eastAsia"/>
                      <w:bCs/>
                      <w:color w:val="0D0D0D" w:themeColor="text1" w:themeTint="F2"/>
                      <w:szCs w:val="21"/>
                      <w:u w:val="single"/>
                      <w:vertAlign w:val="subscript"/>
                      <w14:textFill>
                        <w14:solidFill>
                          <w14:schemeClr w14:val="tx1">
                            <w14:lumMod w14:val="95000"/>
                            <w14:lumOff w14:val="5000"/>
                          </w14:schemeClr>
                        </w14:solidFill>
                      </w14:textFill>
                    </w:rPr>
                    <w:t>5</w:t>
                  </w:r>
                  <w:r>
                    <w:rPr>
                      <w:rFonts w:hint="eastAsia"/>
                      <w:bCs/>
                      <w:color w:val="0D0D0D" w:themeColor="text1" w:themeTint="F2"/>
                      <w:szCs w:val="21"/>
                      <w:u w:val="single"/>
                      <w14:textFill>
                        <w14:solidFill>
                          <w14:schemeClr w14:val="tx1">
                            <w14:lumMod w14:val="95000"/>
                            <w14:lumOff w14:val="5000"/>
                          </w14:schemeClr>
                        </w14:solidFill>
                      </w14:textFill>
                    </w:rPr>
                    <w:t>、SS、NH</w:t>
                  </w:r>
                  <w:r>
                    <w:rPr>
                      <w:rFonts w:hint="eastAsia"/>
                      <w:bCs/>
                      <w:color w:val="0D0D0D" w:themeColor="text1" w:themeTint="F2"/>
                      <w:szCs w:val="21"/>
                      <w:u w:val="single"/>
                      <w:vertAlign w:val="subscript"/>
                      <w14:textFill>
                        <w14:solidFill>
                          <w14:schemeClr w14:val="tx1">
                            <w14:lumMod w14:val="95000"/>
                            <w14:lumOff w14:val="5000"/>
                          </w14:schemeClr>
                        </w14:solidFill>
                      </w14:textFill>
                    </w:rPr>
                    <w:t>3</w:t>
                  </w:r>
                  <w:r>
                    <w:rPr>
                      <w:rFonts w:hint="eastAsia"/>
                      <w:bCs/>
                      <w:color w:val="0D0D0D" w:themeColor="text1" w:themeTint="F2"/>
                      <w:szCs w:val="21"/>
                      <w:u w:val="single"/>
                      <w14:textFill>
                        <w14:solidFill>
                          <w14:schemeClr w14:val="tx1">
                            <w14:lumMod w14:val="95000"/>
                            <w14:lumOff w14:val="5000"/>
                          </w14:schemeClr>
                        </w14:solidFill>
                      </w14:textFill>
                    </w:rPr>
                    <w:t>-N、动植物油</w:t>
                  </w:r>
                </w:p>
              </w:tc>
              <w:tc>
                <w:tcPr>
                  <w:tcW w:w="828" w:type="pct"/>
                  <w:tcBorders>
                    <w:top w:val="single" w:color="auto" w:sz="4" w:space="0"/>
                    <w:left w:val="single" w:color="auto" w:sz="4" w:space="0"/>
                    <w:bottom w:val="single" w:color="auto" w:sz="4" w:space="0"/>
                    <w:right w:val="single" w:color="auto" w:sz="4" w:space="0"/>
                  </w:tcBorders>
                  <w:vAlign w:val="center"/>
                </w:tcPr>
                <w:p w14:paraId="460B9BE6">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1次/</w:t>
                  </w:r>
                  <w:r>
                    <w:rPr>
                      <w:rFonts w:hint="eastAsia"/>
                      <w:bCs/>
                      <w:color w:val="0D0D0D" w:themeColor="text1" w:themeTint="F2"/>
                      <w:szCs w:val="21"/>
                      <w:u w:val="single"/>
                      <w14:textFill>
                        <w14:solidFill>
                          <w14:schemeClr w14:val="tx1">
                            <w14:lumMod w14:val="95000"/>
                            <w14:lumOff w14:val="5000"/>
                          </w14:schemeClr>
                        </w14:solidFill>
                      </w14:textFill>
                    </w:rPr>
                    <w:t>季度</w:t>
                  </w:r>
                </w:p>
              </w:tc>
            </w:tr>
            <w:tr w14:paraId="56B32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8" w:type="pct"/>
                  <w:tcBorders>
                    <w:top w:val="single" w:color="auto" w:sz="4" w:space="0"/>
                    <w:left w:val="single" w:color="auto" w:sz="4" w:space="0"/>
                    <w:bottom w:val="single" w:color="auto" w:sz="4" w:space="0"/>
                    <w:right w:val="single" w:color="auto" w:sz="4" w:space="0"/>
                  </w:tcBorders>
                  <w:vAlign w:val="center"/>
                </w:tcPr>
                <w:p w14:paraId="04778628">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rFonts w:hint="eastAsia"/>
                      <w:bCs/>
                      <w:color w:val="0D0D0D" w:themeColor="text1" w:themeTint="F2"/>
                      <w:szCs w:val="21"/>
                      <w:u w:val="single"/>
                      <w14:textFill>
                        <w14:solidFill>
                          <w14:schemeClr w14:val="tx1">
                            <w14:lumMod w14:val="95000"/>
                            <w14:lumOff w14:val="5000"/>
                          </w14:schemeClr>
                        </w14:solidFill>
                      </w14:textFill>
                    </w:rPr>
                    <w:t>6</w:t>
                  </w:r>
                </w:p>
              </w:tc>
              <w:tc>
                <w:tcPr>
                  <w:tcW w:w="520" w:type="pct"/>
                  <w:tcBorders>
                    <w:top w:val="single" w:color="auto" w:sz="4" w:space="0"/>
                    <w:left w:val="single" w:color="auto" w:sz="4" w:space="0"/>
                    <w:bottom w:val="single" w:color="auto" w:sz="4" w:space="0"/>
                    <w:right w:val="single" w:color="auto" w:sz="4" w:space="0"/>
                  </w:tcBorders>
                  <w:vAlign w:val="center"/>
                </w:tcPr>
                <w:p w14:paraId="78624F4B">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噪声</w:t>
                  </w:r>
                </w:p>
              </w:tc>
              <w:tc>
                <w:tcPr>
                  <w:tcW w:w="1472" w:type="pct"/>
                  <w:tcBorders>
                    <w:top w:val="single" w:color="auto" w:sz="4" w:space="0"/>
                    <w:left w:val="single" w:color="auto" w:sz="4" w:space="0"/>
                    <w:bottom w:val="single" w:color="auto" w:sz="4" w:space="0"/>
                    <w:right w:val="single" w:color="auto" w:sz="4" w:space="0"/>
                  </w:tcBorders>
                  <w:vAlign w:val="center"/>
                </w:tcPr>
                <w:p w14:paraId="6E88FB3C">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四周厂界1m外</w:t>
                  </w:r>
                </w:p>
              </w:tc>
              <w:tc>
                <w:tcPr>
                  <w:tcW w:w="1732" w:type="pct"/>
                  <w:tcBorders>
                    <w:top w:val="single" w:color="auto" w:sz="4" w:space="0"/>
                    <w:left w:val="single" w:color="auto" w:sz="4" w:space="0"/>
                    <w:bottom w:val="single" w:color="auto" w:sz="4" w:space="0"/>
                    <w:right w:val="single" w:color="auto" w:sz="4" w:space="0"/>
                  </w:tcBorders>
                  <w:vAlign w:val="center"/>
                </w:tcPr>
                <w:p w14:paraId="181B2AE7">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等效连续A声级</w:t>
                  </w:r>
                </w:p>
              </w:tc>
              <w:tc>
                <w:tcPr>
                  <w:tcW w:w="828" w:type="pct"/>
                  <w:tcBorders>
                    <w:top w:val="single" w:color="auto" w:sz="4" w:space="0"/>
                    <w:left w:val="single" w:color="auto" w:sz="4" w:space="0"/>
                    <w:bottom w:val="single" w:color="auto" w:sz="4" w:space="0"/>
                    <w:right w:val="single" w:color="auto" w:sz="4" w:space="0"/>
                  </w:tcBorders>
                  <w:vAlign w:val="center"/>
                </w:tcPr>
                <w:p w14:paraId="6549AE5E">
                  <w:pPr>
                    <w:adjustRightInd w:val="0"/>
                    <w:snapToGrid w:val="0"/>
                    <w:jc w:val="center"/>
                    <w:rPr>
                      <w:bCs/>
                      <w:color w:val="0D0D0D" w:themeColor="text1" w:themeTint="F2"/>
                      <w:szCs w:val="21"/>
                      <w:u w:val="single"/>
                      <w14:textFill>
                        <w14:solidFill>
                          <w14:schemeClr w14:val="tx1">
                            <w14:lumMod w14:val="95000"/>
                            <w14:lumOff w14:val="5000"/>
                          </w14:schemeClr>
                        </w14:solidFill>
                      </w14:textFill>
                    </w:rPr>
                  </w:pPr>
                  <w:r>
                    <w:rPr>
                      <w:bCs/>
                      <w:color w:val="0D0D0D" w:themeColor="text1" w:themeTint="F2"/>
                      <w:szCs w:val="21"/>
                      <w:u w:val="single"/>
                      <w14:textFill>
                        <w14:solidFill>
                          <w14:schemeClr w14:val="tx1">
                            <w14:lumMod w14:val="95000"/>
                            <w14:lumOff w14:val="5000"/>
                          </w14:schemeClr>
                        </w14:solidFill>
                      </w14:textFill>
                    </w:rPr>
                    <w:t>1次/季度</w:t>
                  </w:r>
                </w:p>
              </w:tc>
            </w:tr>
          </w:tbl>
          <w:p w14:paraId="5BA5837A">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九、排污许可管理</w:t>
            </w:r>
          </w:p>
          <w:p w14:paraId="78FF2138">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根据《固定污染源排污许可分类管理名录（2019年版）》，项目属于“五十一、通用工序-111表面处理”中的“其他”，属于登记管理。</w:t>
            </w:r>
          </w:p>
          <w:p w14:paraId="16A1A0AE">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实行登记管理的排污单位，不需要申请取得排污许可证，应当在全国排污许可证管理信息平台填报排污登记表，登记基本信息污染物排放去向、执行的污染物排放标准以及采取的污染防治措施等信息。</w:t>
            </w:r>
          </w:p>
          <w:p w14:paraId="551B3B69">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十、环保投资</w:t>
            </w:r>
          </w:p>
          <w:p w14:paraId="10C3176B">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项目环保投资情况详见表4</w:t>
            </w:r>
            <w:r>
              <w:rPr>
                <w:rFonts w:cs="宋体"/>
                <w:bCs/>
                <w:color w:val="0D0D0D" w:themeColor="text1" w:themeTint="F2"/>
                <w:spacing w:val="-10"/>
                <w:sz w:val="24"/>
                <w14:textFill>
                  <w14:solidFill>
                    <w14:schemeClr w14:val="tx1">
                      <w14:lumMod w14:val="95000"/>
                      <w14:lumOff w14:val="5000"/>
                    </w14:schemeClr>
                  </w14:solidFill>
                </w14:textFill>
              </w:rPr>
              <w:t>-</w:t>
            </w:r>
            <w:r>
              <w:rPr>
                <w:rFonts w:hint="eastAsia" w:cs="宋体"/>
                <w:bCs/>
                <w:color w:val="0D0D0D" w:themeColor="text1" w:themeTint="F2"/>
                <w:spacing w:val="-10"/>
                <w:sz w:val="24"/>
                <w14:textFill>
                  <w14:solidFill>
                    <w14:schemeClr w14:val="tx1">
                      <w14:lumMod w14:val="95000"/>
                      <w14:lumOff w14:val="5000"/>
                    </w14:schemeClr>
                  </w14:solidFill>
                </w14:textFill>
              </w:rPr>
              <w:t>22。</w:t>
            </w:r>
          </w:p>
          <w:p w14:paraId="27662968">
            <w:pPr>
              <w:adjustRightInd w:val="0"/>
              <w:snapToGrid w:val="0"/>
              <w:jc w:val="center"/>
              <w:rPr>
                <w:rFonts w:cs="宋体"/>
                <w:b/>
                <w:color w:val="0D0D0D" w:themeColor="text1" w:themeTint="F2"/>
                <w:spacing w:val="-10"/>
                <w:szCs w:val="21"/>
                <w14:textFill>
                  <w14:solidFill>
                    <w14:schemeClr w14:val="tx1">
                      <w14:lumMod w14:val="95000"/>
                      <w14:lumOff w14:val="5000"/>
                    </w14:schemeClr>
                  </w14:solidFill>
                </w14:textFill>
              </w:rPr>
            </w:pPr>
            <w:r>
              <w:rPr>
                <w:rFonts w:hint="eastAsia" w:cs="宋体"/>
                <w:b/>
                <w:color w:val="0D0D0D" w:themeColor="text1" w:themeTint="F2"/>
                <w:spacing w:val="-10"/>
                <w:szCs w:val="21"/>
                <w14:textFill>
                  <w14:solidFill>
                    <w14:schemeClr w14:val="tx1">
                      <w14:lumMod w14:val="95000"/>
                      <w14:lumOff w14:val="5000"/>
                    </w14:schemeClr>
                  </w14:solidFill>
                </w14:textFill>
              </w:rPr>
              <w:t>表4-22</w:t>
            </w:r>
            <w:r>
              <w:rPr>
                <w:rFonts w:cs="宋体"/>
                <w:b/>
                <w:color w:val="0D0D0D" w:themeColor="text1" w:themeTint="F2"/>
                <w:spacing w:val="-10"/>
                <w:szCs w:val="21"/>
                <w14:textFill>
                  <w14:solidFill>
                    <w14:schemeClr w14:val="tx1">
                      <w14:lumMod w14:val="95000"/>
                      <w14:lumOff w14:val="5000"/>
                    </w14:schemeClr>
                  </w14:solidFill>
                </w14:textFill>
              </w:rPr>
              <w:t xml:space="preserve">  </w:t>
            </w:r>
            <w:r>
              <w:rPr>
                <w:rFonts w:hint="eastAsia" w:cs="宋体"/>
                <w:b/>
                <w:color w:val="0D0D0D" w:themeColor="text1" w:themeTint="F2"/>
                <w:spacing w:val="-10"/>
                <w:szCs w:val="21"/>
                <w14:textFill>
                  <w14:solidFill>
                    <w14:schemeClr w14:val="tx1">
                      <w14:lumMod w14:val="95000"/>
                      <w14:lumOff w14:val="5000"/>
                    </w14:schemeClr>
                  </w14:solidFill>
                </w14:textFill>
              </w:rPr>
              <w:t xml:space="preserve">环保投资一览表 </w:t>
            </w:r>
            <w:r>
              <w:rPr>
                <w:rFonts w:cs="宋体"/>
                <w:b/>
                <w:color w:val="0D0D0D" w:themeColor="text1" w:themeTint="F2"/>
                <w:spacing w:val="-10"/>
                <w:szCs w:val="21"/>
                <w14:textFill>
                  <w14:solidFill>
                    <w14:schemeClr w14:val="tx1">
                      <w14:lumMod w14:val="95000"/>
                      <w14:lumOff w14:val="5000"/>
                    </w14:schemeClr>
                  </w14:solidFill>
                </w14:textFill>
              </w:rPr>
              <w:t xml:space="preserve"> </w:t>
            </w:r>
            <w:r>
              <w:rPr>
                <w:rFonts w:hint="eastAsia" w:cs="宋体"/>
                <w:b/>
                <w:color w:val="0D0D0D" w:themeColor="text1" w:themeTint="F2"/>
                <w:spacing w:val="-10"/>
                <w:szCs w:val="21"/>
                <w14:textFill>
                  <w14:solidFill>
                    <w14:schemeClr w14:val="tx1">
                      <w14:lumMod w14:val="95000"/>
                      <w14:lumOff w14:val="5000"/>
                    </w14:schemeClr>
                  </w14:solidFill>
                </w14:textFill>
              </w:rPr>
              <w:t>单位：万元</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7"/>
              <w:gridCol w:w="863"/>
              <w:gridCol w:w="6204"/>
              <w:gridCol w:w="797"/>
            </w:tblGrid>
            <w:tr w14:paraId="6FC7EA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3" w:type="pct"/>
                  <w:vAlign w:val="center"/>
                </w:tcPr>
                <w:p w14:paraId="154F43D7">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工期</w:t>
                  </w:r>
                </w:p>
              </w:tc>
              <w:tc>
                <w:tcPr>
                  <w:tcW w:w="510" w:type="pct"/>
                  <w:vAlign w:val="center"/>
                </w:tcPr>
                <w:p w14:paraId="1CEA4668">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类别</w:t>
                  </w:r>
                </w:p>
              </w:tc>
              <w:tc>
                <w:tcPr>
                  <w:tcW w:w="3666" w:type="pct"/>
                  <w:vAlign w:val="center"/>
                </w:tcPr>
                <w:p w14:paraId="629BB934">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措施</w:t>
                  </w:r>
                </w:p>
              </w:tc>
              <w:tc>
                <w:tcPr>
                  <w:tcW w:w="471" w:type="pct"/>
                  <w:vAlign w:val="center"/>
                </w:tcPr>
                <w:p w14:paraId="0B1CED4A">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金额</w:t>
                  </w:r>
                </w:p>
              </w:tc>
            </w:tr>
            <w:tr w14:paraId="016B4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3" w:type="pct"/>
                  <w:vMerge w:val="restart"/>
                  <w:vAlign w:val="center"/>
                </w:tcPr>
                <w:p w14:paraId="63898529">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施</w:t>
                  </w:r>
                </w:p>
                <w:p w14:paraId="2DC65953">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工</w:t>
                  </w:r>
                </w:p>
                <w:p w14:paraId="2D5DA06B">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期</w:t>
                  </w:r>
                </w:p>
              </w:tc>
              <w:tc>
                <w:tcPr>
                  <w:tcW w:w="510" w:type="pct"/>
                  <w:vAlign w:val="center"/>
                </w:tcPr>
                <w:p w14:paraId="7BDFE57C">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废气</w:t>
                  </w:r>
                </w:p>
              </w:tc>
              <w:tc>
                <w:tcPr>
                  <w:tcW w:w="3666" w:type="pct"/>
                  <w:vAlign w:val="center"/>
                </w:tcPr>
                <w:p w14:paraId="5773C43A">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w:t>
                  </w:r>
                </w:p>
              </w:tc>
              <w:tc>
                <w:tcPr>
                  <w:tcW w:w="471" w:type="pct"/>
                  <w:vAlign w:val="center"/>
                </w:tcPr>
                <w:p w14:paraId="0F3BBA6B">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w:t>
                  </w:r>
                </w:p>
              </w:tc>
            </w:tr>
            <w:tr w14:paraId="552FE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3" w:type="pct"/>
                  <w:vMerge w:val="continue"/>
                  <w:vAlign w:val="center"/>
                </w:tcPr>
                <w:p w14:paraId="0C05A561">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510" w:type="pct"/>
                  <w:vAlign w:val="center"/>
                </w:tcPr>
                <w:p w14:paraId="4FA631FC">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废水</w:t>
                  </w:r>
                </w:p>
              </w:tc>
              <w:tc>
                <w:tcPr>
                  <w:tcW w:w="3666" w:type="pct"/>
                  <w:vAlign w:val="center"/>
                </w:tcPr>
                <w:p w14:paraId="35D87B48">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依托现有</w:t>
                  </w:r>
                  <w:r>
                    <w:rPr>
                      <w:rFonts w:cs="宋体"/>
                      <w:bCs/>
                      <w:color w:val="0D0D0D" w:themeColor="text1" w:themeTint="F2"/>
                      <w:spacing w:val="-10"/>
                      <w:szCs w:val="21"/>
                      <w14:textFill>
                        <w14:solidFill>
                          <w14:schemeClr w14:val="tx1">
                            <w14:lumMod w14:val="95000"/>
                            <w14:lumOff w14:val="5000"/>
                          </w14:schemeClr>
                        </w14:solidFill>
                      </w14:textFill>
                    </w:rPr>
                    <w:t>化粪池等</w:t>
                  </w:r>
                </w:p>
              </w:tc>
              <w:tc>
                <w:tcPr>
                  <w:tcW w:w="471" w:type="pct"/>
                  <w:vAlign w:val="center"/>
                </w:tcPr>
                <w:p w14:paraId="4CFE5C83">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w:t>
                  </w:r>
                </w:p>
              </w:tc>
            </w:tr>
            <w:tr w14:paraId="35DEA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3" w:type="pct"/>
                  <w:vMerge w:val="continue"/>
                  <w:vAlign w:val="center"/>
                </w:tcPr>
                <w:p w14:paraId="28F98234">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510" w:type="pct"/>
                  <w:vAlign w:val="center"/>
                </w:tcPr>
                <w:p w14:paraId="0704DC56">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噪声</w:t>
                  </w:r>
                </w:p>
              </w:tc>
              <w:tc>
                <w:tcPr>
                  <w:tcW w:w="3666" w:type="pct"/>
                  <w:vAlign w:val="center"/>
                </w:tcPr>
                <w:p w14:paraId="608581BE">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厂房围挡</w:t>
                  </w:r>
                  <w:r>
                    <w:rPr>
                      <w:rFonts w:cs="宋体"/>
                      <w:bCs/>
                      <w:color w:val="0D0D0D" w:themeColor="text1" w:themeTint="F2"/>
                      <w:spacing w:val="-10"/>
                      <w:szCs w:val="21"/>
                      <w14:textFill>
                        <w14:solidFill>
                          <w14:schemeClr w14:val="tx1">
                            <w14:lumMod w14:val="95000"/>
                            <w14:lumOff w14:val="5000"/>
                          </w14:schemeClr>
                        </w14:solidFill>
                      </w14:textFill>
                    </w:rPr>
                    <w:t>等</w:t>
                  </w:r>
                </w:p>
              </w:tc>
              <w:tc>
                <w:tcPr>
                  <w:tcW w:w="471" w:type="pct"/>
                  <w:vAlign w:val="center"/>
                </w:tcPr>
                <w:p w14:paraId="7CCF4032">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0</w:t>
                  </w:r>
                </w:p>
              </w:tc>
            </w:tr>
            <w:tr w14:paraId="7C6EE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3" w:type="pct"/>
                  <w:vMerge w:val="continue"/>
                  <w:vAlign w:val="center"/>
                </w:tcPr>
                <w:p w14:paraId="39B0768F">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510" w:type="pct"/>
                  <w:vAlign w:val="center"/>
                </w:tcPr>
                <w:p w14:paraId="41C11F1F">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固废</w:t>
                  </w:r>
                </w:p>
              </w:tc>
              <w:tc>
                <w:tcPr>
                  <w:tcW w:w="3666" w:type="pct"/>
                  <w:vAlign w:val="center"/>
                </w:tcPr>
                <w:p w14:paraId="28D3B391">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cs="宋体"/>
                      <w:bCs/>
                      <w:color w:val="0D0D0D" w:themeColor="text1" w:themeTint="F2"/>
                      <w:spacing w:val="-10"/>
                      <w:szCs w:val="21"/>
                      <w14:textFill>
                        <w14:solidFill>
                          <w14:schemeClr w14:val="tx1">
                            <w14:lumMod w14:val="95000"/>
                            <w14:lumOff w14:val="5000"/>
                          </w14:schemeClr>
                        </w14:solidFill>
                      </w14:textFill>
                    </w:rPr>
                    <w:t>生活垃圾处置</w:t>
                  </w:r>
                </w:p>
              </w:tc>
              <w:tc>
                <w:tcPr>
                  <w:tcW w:w="471" w:type="pct"/>
                  <w:vAlign w:val="center"/>
                </w:tcPr>
                <w:p w14:paraId="5C9C8A34">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w:t>
                  </w:r>
                </w:p>
              </w:tc>
            </w:tr>
            <w:tr w14:paraId="719D1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3" w:type="pct"/>
                  <w:vMerge w:val="restart"/>
                  <w:vAlign w:val="center"/>
                </w:tcPr>
                <w:p w14:paraId="458D8EC5">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运</w:t>
                  </w:r>
                </w:p>
                <w:p w14:paraId="62AB067D">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营</w:t>
                  </w:r>
                </w:p>
                <w:p w14:paraId="5624CAF7">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期</w:t>
                  </w:r>
                </w:p>
              </w:tc>
              <w:tc>
                <w:tcPr>
                  <w:tcW w:w="510" w:type="pct"/>
                  <w:vMerge w:val="restart"/>
                  <w:vAlign w:val="center"/>
                </w:tcPr>
                <w:p w14:paraId="5C8B529A">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废气</w:t>
                  </w:r>
                </w:p>
              </w:tc>
              <w:tc>
                <w:tcPr>
                  <w:tcW w:w="3666" w:type="pct"/>
                  <w:vAlign w:val="center"/>
                </w:tcPr>
                <w:p w14:paraId="67ECB4DC">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食堂油烟：油烟净化器+通过专用管道引至屋顶排放</w:t>
                  </w:r>
                </w:p>
              </w:tc>
              <w:tc>
                <w:tcPr>
                  <w:tcW w:w="471" w:type="pct"/>
                  <w:vAlign w:val="center"/>
                </w:tcPr>
                <w:p w14:paraId="7EE350BB">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w:t>
                  </w:r>
                </w:p>
              </w:tc>
            </w:tr>
            <w:tr w14:paraId="2C80F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3" w:type="pct"/>
                  <w:vMerge w:val="continue"/>
                  <w:vAlign w:val="center"/>
                </w:tcPr>
                <w:p w14:paraId="524FBE09">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510" w:type="pct"/>
                  <w:vMerge w:val="continue"/>
                  <w:vAlign w:val="center"/>
                </w:tcPr>
                <w:p w14:paraId="583A4911">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3666" w:type="pct"/>
                  <w:vAlign w:val="center"/>
                </w:tcPr>
                <w:p w14:paraId="4F11FD4C">
                  <w:pPr>
                    <w:adjustRightInd w:val="0"/>
                    <w:snapToGrid w:val="0"/>
                    <w:jc w:val="center"/>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抛丸粉尘：电子脉冲滤芯式除尘器+20m排气筒（DA001）</w:t>
                  </w:r>
                </w:p>
              </w:tc>
              <w:tc>
                <w:tcPr>
                  <w:tcW w:w="471" w:type="pct"/>
                  <w:vAlign w:val="center"/>
                </w:tcPr>
                <w:p w14:paraId="002F2A93">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25</w:t>
                  </w:r>
                </w:p>
              </w:tc>
            </w:tr>
            <w:tr w14:paraId="682BC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3" w:type="pct"/>
                  <w:vMerge w:val="continue"/>
                  <w:vAlign w:val="center"/>
                </w:tcPr>
                <w:p w14:paraId="44025451">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510" w:type="pct"/>
                  <w:vMerge w:val="continue"/>
                  <w:vAlign w:val="center"/>
                </w:tcPr>
                <w:p w14:paraId="28696DA3">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3666" w:type="pct"/>
                  <w:vAlign w:val="center"/>
                </w:tcPr>
                <w:p w14:paraId="6F9FC141">
                  <w:pPr>
                    <w:adjustRightInd w:val="0"/>
                    <w:snapToGrid w:val="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喷漆废气、危废暂存间废气：水帘柜+二级活性炭吸附脱附+CO催化燃烧+20m排气筒（DA002）</w:t>
                  </w:r>
                </w:p>
              </w:tc>
              <w:tc>
                <w:tcPr>
                  <w:tcW w:w="471" w:type="pct"/>
                  <w:vAlign w:val="center"/>
                </w:tcPr>
                <w:p w14:paraId="5EC5DFE9">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30</w:t>
                  </w:r>
                </w:p>
              </w:tc>
            </w:tr>
            <w:tr w14:paraId="23BCE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3" w:type="pct"/>
                  <w:vMerge w:val="continue"/>
                  <w:vAlign w:val="center"/>
                </w:tcPr>
                <w:p w14:paraId="336CA2C5">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510" w:type="pct"/>
                  <w:vAlign w:val="center"/>
                </w:tcPr>
                <w:p w14:paraId="69AD2938">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废水</w:t>
                  </w:r>
                </w:p>
              </w:tc>
              <w:tc>
                <w:tcPr>
                  <w:tcW w:w="3666" w:type="pct"/>
                  <w:vAlign w:val="center"/>
                </w:tcPr>
                <w:p w14:paraId="33133863">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t>1</w:t>
                  </w:r>
                  <w:r>
                    <w:rPr>
                      <w:rFonts w:hint="eastAsia"/>
                      <w:color w:val="0D0D0D" w:themeColor="text1" w:themeTint="F2"/>
                      <w14:textFill>
                        <w14:solidFill>
                          <w14:schemeClr w14:val="tx1">
                            <w14:lumMod w14:val="95000"/>
                            <w14:lumOff w14:val="5000"/>
                          </w14:schemeClr>
                        </w14:solidFill>
                      </w14:textFill>
                    </w:rPr>
                    <w:t>个三级化粪池</w:t>
                  </w:r>
                </w:p>
              </w:tc>
              <w:tc>
                <w:tcPr>
                  <w:tcW w:w="471" w:type="pct"/>
                  <w:vAlign w:val="center"/>
                </w:tcPr>
                <w:p w14:paraId="03670F27">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2</w:t>
                  </w:r>
                </w:p>
              </w:tc>
            </w:tr>
            <w:tr w14:paraId="0B31B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3" w:type="pct"/>
                  <w:vMerge w:val="continue"/>
                  <w:vAlign w:val="center"/>
                </w:tcPr>
                <w:p w14:paraId="22234CE7">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510" w:type="pct"/>
                  <w:vAlign w:val="center"/>
                </w:tcPr>
                <w:p w14:paraId="3F4A067F">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噪声</w:t>
                  </w:r>
                </w:p>
              </w:tc>
              <w:tc>
                <w:tcPr>
                  <w:tcW w:w="3666" w:type="pct"/>
                  <w:vAlign w:val="center"/>
                </w:tcPr>
                <w:p w14:paraId="15E8020B">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基础减震、隔声等</w:t>
                  </w:r>
                </w:p>
              </w:tc>
              <w:tc>
                <w:tcPr>
                  <w:tcW w:w="471" w:type="pct"/>
                  <w:vAlign w:val="center"/>
                </w:tcPr>
                <w:p w14:paraId="00A3138D">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1</w:t>
                  </w:r>
                </w:p>
              </w:tc>
            </w:tr>
            <w:tr w14:paraId="7AC78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53" w:type="pct"/>
                  <w:vMerge w:val="continue"/>
                  <w:vAlign w:val="center"/>
                </w:tcPr>
                <w:p w14:paraId="0DCC95C6">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p>
              </w:tc>
              <w:tc>
                <w:tcPr>
                  <w:tcW w:w="510" w:type="pct"/>
                  <w:vAlign w:val="center"/>
                </w:tcPr>
                <w:p w14:paraId="7C9A80AA">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固废</w:t>
                  </w:r>
                </w:p>
              </w:tc>
              <w:tc>
                <w:tcPr>
                  <w:tcW w:w="3666" w:type="pct"/>
                  <w:vAlign w:val="center"/>
                </w:tcPr>
                <w:p w14:paraId="4E46F700">
                  <w:pPr>
                    <w:adjustRightInd w:val="0"/>
                    <w:snapToGrid w:val="0"/>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生活垃圾桶若干、1个5m</w:t>
                  </w:r>
                  <w:r>
                    <w:rPr>
                      <w:rFonts w:hint="eastAsia"/>
                      <w:color w:val="0D0D0D" w:themeColor="text1" w:themeTint="F2"/>
                      <w:vertAlign w:val="superscript"/>
                      <w14:textFill>
                        <w14:solidFill>
                          <w14:schemeClr w14:val="tx1">
                            <w14:lumMod w14:val="95000"/>
                            <w14:lumOff w14:val="5000"/>
                          </w14:schemeClr>
                        </w14:solidFill>
                      </w14:textFill>
                    </w:rPr>
                    <w:t>2</w:t>
                  </w:r>
                  <w:r>
                    <w:rPr>
                      <w:rFonts w:hint="eastAsia"/>
                      <w:color w:val="0D0D0D" w:themeColor="text1" w:themeTint="F2"/>
                      <w14:textFill>
                        <w14:solidFill>
                          <w14:schemeClr w14:val="tx1">
                            <w14:lumMod w14:val="95000"/>
                            <w14:lumOff w14:val="5000"/>
                          </w14:schemeClr>
                        </w14:solidFill>
                      </w14:textFill>
                    </w:rPr>
                    <w:t>的一般固废暂存间、1个5m</w:t>
                  </w:r>
                  <w:r>
                    <w:rPr>
                      <w:rFonts w:hint="eastAsia"/>
                      <w:color w:val="0D0D0D" w:themeColor="text1" w:themeTint="F2"/>
                      <w:vertAlign w:val="superscript"/>
                      <w14:textFill>
                        <w14:solidFill>
                          <w14:schemeClr w14:val="tx1">
                            <w14:lumMod w14:val="95000"/>
                            <w14:lumOff w14:val="5000"/>
                          </w14:schemeClr>
                        </w14:solidFill>
                      </w14:textFill>
                    </w:rPr>
                    <w:t>2</w:t>
                  </w:r>
                  <w:r>
                    <w:rPr>
                      <w:rFonts w:hint="eastAsia"/>
                      <w:color w:val="0D0D0D" w:themeColor="text1" w:themeTint="F2"/>
                      <w14:textFill>
                        <w14:solidFill>
                          <w14:schemeClr w14:val="tx1">
                            <w14:lumMod w14:val="95000"/>
                            <w14:lumOff w14:val="5000"/>
                          </w14:schemeClr>
                        </w14:solidFill>
                      </w14:textFill>
                    </w:rPr>
                    <w:t>的危废暂存间</w:t>
                  </w:r>
                </w:p>
              </w:tc>
              <w:tc>
                <w:tcPr>
                  <w:tcW w:w="471" w:type="pct"/>
                  <w:vAlign w:val="center"/>
                </w:tcPr>
                <w:p w14:paraId="137E9930">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5</w:t>
                  </w:r>
                </w:p>
              </w:tc>
            </w:tr>
            <w:tr w14:paraId="2761F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529" w:type="pct"/>
                  <w:gridSpan w:val="3"/>
                  <w:vAlign w:val="center"/>
                </w:tcPr>
                <w:p w14:paraId="53772257">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合计</w:t>
                  </w:r>
                </w:p>
              </w:tc>
              <w:tc>
                <w:tcPr>
                  <w:tcW w:w="471" w:type="pct"/>
                  <w:vAlign w:val="center"/>
                </w:tcPr>
                <w:p w14:paraId="1C6D47A3">
                  <w:pPr>
                    <w:adjustRightInd w:val="0"/>
                    <w:snapToGrid w:val="0"/>
                    <w:jc w:val="center"/>
                    <w:rPr>
                      <w:rFonts w:cs="宋体"/>
                      <w:bCs/>
                      <w:color w:val="0D0D0D" w:themeColor="text1" w:themeTint="F2"/>
                      <w:spacing w:val="-10"/>
                      <w:szCs w:val="21"/>
                      <w14:textFill>
                        <w14:solidFill>
                          <w14:schemeClr w14:val="tx1">
                            <w14:lumMod w14:val="95000"/>
                            <w14:lumOff w14:val="5000"/>
                          </w14:schemeClr>
                        </w14:solidFill>
                      </w14:textFill>
                    </w:rPr>
                  </w:pPr>
                  <w:r>
                    <w:rPr>
                      <w:rFonts w:hint="eastAsia" w:cs="宋体"/>
                      <w:bCs/>
                      <w:color w:val="0D0D0D" w:themeColor="text1" w:themeTint="F2"/>
                      <w:spacing w:val="-10"/>
                      <w:szCs w:val="21"/>
                      <w14:textFill>
                        <w14:solidFill>
                          <w14:schemeClr w14:val="tx1">
                            <w14:lumMod w14:val="95000"/>
                            <w14:lumOff w14:val="5000"/>
                          </w14:schemeClr>
                        </w14:solidFill>
                      </w14:textFill>
                    </w:rPr>
                    <w:t>65</w:t>
                  </w:r>
                </w:p>
              </w:tc>
            </w:tr>
          </w:tbl>
          <w:p w14:paraId="550223FE">
            <w:pPr>
              <w:adjustRightInd w:val="0"/>
              <w:snapToGrid w:val="0"/>
              <w:spacing w:line="360" w:lineRule="auto"/>
              <w:ind w:firstLine="442" w:firstLineChars="200"/>
              <w:rPr>
                <w:rFonts w:cs="宋体"/>
                <w:b/>
                <w:color w:val="0D0D0D" w:themeColor="text1" w:themeTint="F2"/>
                <w:spacing w:val="-10"/>
                <w:sz w:val="24"/>
                <w14:textFill>
                  <w14:solidFill>
                    <w14:schemeClr w14:val="tx1">
                      <w14:lumMod w14:val="95000"/>
                      <w14:lumOff w14:val="5000"/>
                    </w14:schemeClr>
                  </w14:solidFill>
                </w14:textFill>
              </w:rPr>
            </w:pPr>
            <w:r>
              <w:rPr>
                <w:rFonts w:hint="eastAsia" w:cs="宋体"/>
                <w:b/>
                <w:color w:val="0D0D0D" w:themeColor="text1" w:themeTint="F2"/>
                <w:spacing w:val="-10"/>
                <w:sz w:val="24"/>
                <w14:textFill>
                  <w14:solidFill>
                    <w14:schemeClr w14:val="tx1">
                      <w14:lumMod w14:val="95000"/>
                      <w14:lumOff w14:val="5000"/>
                    </w14:schemeClr>
                  </w14:solidFill>
                </w14:textFill>
              </w:rPr>
              <w:t>十一、环保“三同时”验收</w:t>
            </w:r>
          </w:p>
          <w:p w14:paraId="4E2BABD4">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w:t>
            </w:r>
            <w:r>
              <w:rPr>
                <w:rFonts w:cs="宋体"/>
                <w:bCs/>
                <w:color w:val="0D0D0D" w:themeColor="text1" w:themeTint="F2"/>
                <w:spacing w:val="-10"/>
                <w:sz w:val="24"/>
                <w14:textFill>
                  <w14:solidFill>
                    <w14:schemeClr w14:val="tx1">
                      <w14:lumMod w14:val="95000"/>
                      <w14:lumOff w14:val="5000"/>
                    </w14:schemeClr>
                  </w14:solidFill>
                </w14:textFill>
              </w:rPr>
              <w:t>建成投产后，建设单位应按照《建设项目竣工环境保护验收暂行办法》（国环规环评〔2017〕4号）中的有关规定，及时开展自主验收工作。</w:t>
            </w:r>
          </w:p>
          <w:p w14:paraId="7C6BB4B6">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r>
              <w:rPr>
                <w:rFonts w:hint="eastAsia" w:cs="宋体"/>
                <w:bCs/>
                <w:color w:val="0D0D0D" w:themeColor="text1" w:themeTint="F2"/>
                <w:spacing w:val="-10"/>
                <w:sz w:val="24"/>
                <w14:textFill>
                  <w14:solidFill>
                    <w14:schemeClr w14:val="tx1">
                      <w14:lumMod w14:val="95000"/>
                      <w14:lumOff w14:val="5000"/>
                    </w14:schemeClr>
                  </w14:solidFill>
                </w14:textFill>
              </w:rPr>
              <w:t>项目环保“三同时”验收内容详见表4</w:t>
            </w:r>
            <w:r>
              <w:rPr>
                <w:rFonts w:cs="宋体"/>
                <w:bCs/>
                <w:color w:val="0D0D0D" w:themeColor="text1" w:themeTint="F2"/>
                <w:spacing w:val="-10"/>
                <w:sz w:val="24"/>
                <w14:textFill>
                  <w14:solidFill>
                    <w14:schemeClr w14:val="tx1">
                      <w14:lumMod w14:val="95000"/>
                      <w14:lumOff w14:val="5000"/>
                    </w14:schemeClr>
                  </w14:solidFill>
                </w14:textFill>
              </w:rPr>
              <w:t>-</w:t>
            </w:r>
            <w:r>
              <w:rPr>
                <w:rFonts w:hint="eastAsia" w:cs="宋体"/>
                <w:bCs/>
                <w:color w:val="0D0D0D" w:themeColor="text1" w:themeTint="F2"/>
                <w:spacing w:val="-10"/>
                <w:sz w:val="24"/>
                <w14:textFill>
                  <w14:solidFill>
                    <w14:schemeClr w14:val="tx1">
                      <w14:lumMod w14:val="95000"/>
                      <w14:lumOff w14:val="5000"/>
                    </w14:schemeClr>
                  </w14:solidFill>
                </w14:textFill>
              </w:rPr>
              <w:t>23。</w:t>
            </w:r>
          </w:p>
          <w:p w14:paraId="4B009C02">
            <w:pPr>
              <w:autoSpaceDE w:val="0"/>
              <w:autoSpaceDN w:val="0"/>
              <w:snapToGrid w:val="0"/>
              <w:jc w:val="center"/>
              <w:rPr>
                <w:b/>
                <w:bCs/>
                <w:color w:val="0D0D0D" w:themeColor="text1" w:themeTint="F2"/>
                <w:szCs w:val="21"/>
                <w14:textFill>
                  <w14:solidFill>
                    <w14:schemeClr w14:val="tx1">
                      <w14:lumMod w14:val="95000"/>
                      <w14:lumOff w14:val="5000"/>
                    </w14:schemeClr>
                  </w14:solidFill>
                </w14:textFill>
              </w:rPr>
            </w:pPr>
            <w:r>
              <w:rPr>
                <w:b/>
                <w:bCs/>
                <w:color w:val="0D0D0D" w:themeColor="text1" w:themeTint="F2"/>
                <w:szCs w:val="21"/>
                <w14:textFill>
                  <w14:solidFill>
                    <w14:schemeClr w14:val="tx1">
                      <w14:lumMod w14:val="95000"/>
                      <w14:lumOff w14:val="5000"/>
                    </w14:schemeClr>
                  </w14:solidFill>
                </w14:textFill>
              </w:rPr>
              <w:t>表4-</w:t>
            </w:r>
            <w:r>
              <w:rPr>
                <w:rFonts w:hint="eastAsia"/>
                <w:b/>
                <w:bCs/>
                <w:color w:val="0D0D0D" w:themeColor="text1" w:themeTint="F2"/>
                <w:szCs w:val="21"/>
                <w14:textFill>
                  <w14:solidFill>
                    <w14:schemeClr w14:val="tx1">
                      <w14:lumMod w14:val="95000"/>
                      <w14:lumOff w14:val="5000"/>
                    </w14:schemeClr>
                  </w14:solidFill>
                </w14:textFill>
              </w:rPr>
              <w:t>23</w:t>
            </w:r>
            <w:r>
              <w:rPr>
                <w:b/>
                <w:bCs/>
                <w:color w:val="0D0D0D" w:themeColor="text1" w:themeTint="F2"/>
                <w:szCs w:val="21"/>
                <w14:textFill>
                  <w14:solidFill>
                    <w14:schemeClr w14:val="tx1">
                      <w14:lumMod w14:val="95000"/>
                      <w14:lumOff w14:val="5000"/>
                    </w14:schemeClr>
                  </w14:solidFill>
                </w14:textFill>
              </w:rPr>
              <w:t xml:space="preserve">  </w:t>
            </w:r>
            <w:r>
              <w:rPr>
                <w:rFonts w:hint="eastAsia"/>
                <w:b/>
                <w:bCs/>
                <w:color w:val="0D0D0D" w:themeColor="text1" w:themeTint="F2"/>
                <w:szCs w:val="21"/>
                <w14:textFill>
                  <w14:solidFill>
                    <w14:schemeClr w14:val="tx1">
                      <w14:lumMod w14:val="95000"/>
                      <w14:lumOff w14:val="5000"/>
                    </w14:schemeClr>
                  </w14:solidFill>
                </w14:textFill>
              </w:rPr>
              <w:t>“</w:t>
            </w:r>
            <w:r>
              <w:rPr>
                <w:b/>
                <w:bCs/>
                <w:color w:val="0D0D0D" w:themeColor="text1" w:themeTint="F2"/>
                <w:szCs w:val="21"/>
                <w14:textFill>
                  <w14:solidFill>
                    <w14:schemeClr w14:val="tx1">
                      <w14:lumMod w14:val="95000"/>
                      <w14:lumOff w14:val="5000"/>
                    </w14:schemeClr>
                  </w14:solidFill>
                </w14:textFill>
              </w:rPr>
              <w:t>三同时</w:t>
            </w:r>
            <w:r>
              <w:rPr>
                <w:rFonts w:hint="eastAsia"/>
                <w:b/>
                <w:bCs/>
                <w:color w:val="0D0D0D" w:themeColor="text1" w:themeTint="F2"/>
                <w:szCs w:val="21"/>
                <w14:textFill>
                  <w14:solidFill>
                    <w14:schemeClr w14:val="tx1">
                      <w14:lumMod w14:val="95000"/>
                      <w14:lumOff w14:val="5000"/>
                    </w14:schemeClr>
                  </w14:solidFill>
                </w14:textFill>
              </w:rPr>
              <w:t>”</w:t>
            </w:r>
            <w:r>
              <w:rPr>
                <w:b/>
                <w:bCs/>
                <w:color w:val="0D0D0D" w:themeColor="text1" w:themeTint="F2"/>
                <w:szCs w:val="21"/>
                <w14:textFill>
                  <w14:solidFill>
                    <w14:schemeClr w14:val="tx1">
                      <w14:lumMod w14:val="95000"/>
                      <w14:lumOff w14:val="5000"/>
                    </w14:schemeClr>
                  </w14:solidFill>
                </w14:textFill>
              </w:rPr>
              <w:t>验收内容</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0"/>
              <w:gridCol w:w="1834"/>
              <w:gridCol w:w="2328"/>
              <w:gridCol w:w="3519"/>
            </w:tblGrid>
            <w:tr w14:paraId="380AC3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tcBorders>
                    <w:top w:val="single" w:color="auto" w:sz="4" w:space="0"/>
                    <w:left w:val="single" w:color="auto" w:sz="4" w:space="0"/>
                    <w:bottom w:val="single" w:color="auto" w:sz="4" w:space="0"/>
                    <w:right w:val="single" w:color="auto" w:sz="4" w:space="0"/>
                  </w:tcBorders>
                  <w:vAlign w:val="center"/>
                </w:tcPr>
                <w:p w14:paraId="716DD629">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bCs/>
                      <w:color w:val="0D0D0D" w:themeColor="text1" w:themeTint="F2"/>
                      <w:kern w:val="0"/>
                      <w:szCs w:val="21"/>
                      <w14:textFill>
                        <w14:solidFill>
                          <w14:schemeClr w14:val="tx1">
                            <w14:lumMod w14:val="95000"/>
                            <w14:lumOff w14:val="5000"/>
                          </w14:schemeClr>
                        </w14:solidFill>
                      </w14:textFill>
                    </w:rPr>
                    <w:t>要素</w:t>
                  </w:r>
                </w:p>
              </w:tc>
              <w:tc>
                <w:tcPr>
                  <w:tcW w:w="1084" w:type="pct"/>
                  <w:tcBorders>
                    <w:top w:val="single" w:color="auto" w:sz="4" w:space="0"/>
                    <w:left w:val="single" w:color="auto" w:sz="4" w:space="0"/>
                    <w:bottom w:val="single" w:color="auto" w:sz="4" w:space="0"/>
                    <w:right w:val="single" w:color="auto" w:sz="4" w:space="0"/>
                  </w:tcBorders>
                  <w:vAlign w:val="center"/>
                </w:tcPr>
                <w:p w14:paraId="1DBDD024">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bCs/>
                      <w:color w:val="0D0D0D" w:themeColor="text1" w:themeTint="F2"/>
                      <w:kern w:val="0"/>
                      <w:szCs w:val="21"/>
                      <w14:textFill>
                        <w14:solidFill>
                          <w14:schemeClr w14:val="tx1">
                            <w14:lumMod w14:val="95000"/>
                            <w14:lumOff w14:val="5000"/>
                          </w14:schemeClr>
                        </w14:solidFill>
                      </w14:textFill>
                    </w:rPr>
                    <w:t>污染</w:t>
                  </w:r>
                  <w:r>
                    <w:rPr>
                      <w:rFonts w:hint="eastAsia"/>
                      <w:bCs/>
                      <w:color w:val="0D0D0D" w:themeColor="text1" w:themeTint="F2"/>
                      <w:kern w:val="0"/>
                      <w:szCs w:val="21"/>
                      <w14:textFill>
                        <w14:solidFill>
                          <w14:schemeClr w14:val="tx1">
                            <w14:lumMod w14:val="95000"/>
                            <w14:lumOff w14:val="5000"/>
                          </w14:schemeClr>
                        </w14:solidFill>
                      </w14:textFill>
                    </w:rPr>
                    <w:t>源</w:t>
                  </w:r>
                </w:p>
              </w:tc>
              <w:tc>
                <w:tcPr>
                  <w:tcW w:w="1376" w:type="pct"/>
                  <w:tcBorders>
                    <w:top w:val="single" w:color="auto" w:sz="4" w:space="0"/>
                    <w:left w:val="single" w:color="auto" w:sz="4" w:space="0"/>
                    <w:bottom w:val="single" w:color="auto" w:sz="4" w:space="0"/>
                    <w:right w:val="single" w:color="auto" w:sz="4" w:space="0"/>
                  </w:tcBorders>
                  <w:vAlign w:val="center"/>
                </w:tcPr>
                <w:p w14:paraId="15E6C8A0">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bCs/>
                      <w:color w:val="0D0D0D" w:themeColor="text1" w:themeTint="F2"/>
                      <w:kern w:val="0"/>
                      <w:szCs w:val="21"/>
                      <w14:textFill>
                        <w14:solidFill>
                          <w14:schemeClr w14:val="tx1">
                            <w14:lumMod w14:val="95000"/>
                            <w14:lumOff w14:val="5000"/>
                          </w14:schemeClr>
                        </w14:solidFill>
                      </w14:textFill>
                    </w:rPr>
                    <w:t>治理措施</w:t>
                  </w:r>
                </w:p>
              </w:tc>
              <w:tc>
                <w:tcPr>
                  <w:tcW w:w="2079" w:type="pct"/>
                  <w:tcBorders>
                    <w:top w:val="single" w:color="auto" w:sz="4" w:space="0"/>
                    <w:left w:val="single" w:color="auto" w:sz="4" w:space="0"/>
                    <w:bottom w:val="single" w:color="auto" w:sz="4" w:space="0"/>
                    <w:right w:val="single" w:color="auto" w:sz="4" w:space="0"/>
                  </w:tcBorders>
                  <w:vAlign w:val="center"/>
                </w:tcPr>
                <w:p w14:paraId="51AB69E8">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bCs/>
                      <w:color w:val="0D0D0D" w:themeColor="text1" w:themeTint="F2"/>
                      <w:kern w:val="0"/>
                      <w:szCs w:val="21"/>
                      <w14:textFill>
                        <w14:solidFill>
                          <w14:schemeClr w14:val="tx1">
                            <w14:lumMod w14:val="95000"/>
                            <w14:lumOff w14:val="5000"/>
                          </w14:schemeClr>
                        </w14:solidFill>
                      </w14:textFill>
                    </w:rPr>
                    <w:t>验收标准</w:t>
                  </w:r>
                </w:p>
              </w:tc>
            </w:tr>
            <w:tr w14:paraId="5714E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vMerge w:val="restart"/>
                  <w:tcBorders>
                    <w:top w:val="single" w:color="auto" w:sz="4" w:space="0"/>
                    <w:left w:val="single" w:color="auto" w:sz="4" w:space="0"/>
                    <w:right w:val="single" w:color="auto" w:sz="4" w:space="0"/>
                  </w:tcBorders>
                  <w:vAlign w:val="center"/>
                </w:tcPr>
                <w:p w14:paraId="0FFD8D29">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废气</w:t>
                  </w:r>
                </w:p>
              </w:tc>
              <w:tc>
                <w:tcPr>
                  <w:tcW w:w="1084" w:type="pct"/>
                  <w:tcBorders>
                    <w:top w:val="single" w:color="auto" w:sz="4" w:space="0"/>
                    <w:left w:val="single" w:color="auto" w:sz="4" w:space="0"/>
                    <w:bottom w:val="single" w:color="auto" w:sz="4" w:space="0"/>
                    <w:right w:val="single" w:color="auto" w:sz="4" w:space="0"/>
                  </w:tcBorders>
                  <w:vAlign w:val="center"/>
                </w:tcPr>
                <w:p w14:paraId="0D1D1E90">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食堂油烟</w:t>
                  </w:r>
                </w:p>
              </w:tc>
              <w:tc>
                <w:tcPr>
                  <w:tcW w:w="1376" w:type="pct"/>
                  <w:tcBorders>
                    <w:top w:val="single" w:color="auto" w:sz="4" w:space="0"/>
                    <w:left w:val="single" w:color="auto" w:sz="4" w:space="0"/>
                    <w:bottom w:val="single" w:color="auto" w:sz="4" w:space="0"/>
                    <w:right w:val="single" w:color="auto" w:sz="4" w:space="0"/>
                  </w:tcBorders>
                  <w:vAlign w:val="center"/>
                </w:tcPr>
                <w:p w14:paraId="312A246C">
                  <w:pPr>
                    <w:adjustRightInd w:val="0"/>
                    <w:snapToGrid w:val="0"/>
                    <w:textAlignment w:val="baseline"/>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油烟净化器处理后通过专用管道引至屋顶排放</w:t>
                  </w:r>
                </w:p>
              </w:tc>
              <w:tc>
                <w:tcPr>
                  <w:tcW w:w="2079" w:type="pct"/>
                  <w:tcBorders>
                    <w:top w:val="single" w:color="auto" w:sz="4" w:space="0"/>
                    <w:left w:val="single" w:color="auto" w:sz="4" w:space="0"/>
                    <w:bottom w:val="single" w:color="auto" w:sz="4" w:space="0"/>
                    <w:right w:val="single" w:color="auto" w:sz="4" w:space="0"/>
                  </w:tcBorders>
                  <w:vAlign w:val="center"/>
                </w:tcPr>
                <w:p w14:paraId="38C42039">
                  <w:pPr>
                    <w:widowControl/>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《饮食业油烟排放标准（试行）》（GB18483-2001）小型规模限值</w:t>
                  </w:r>
                </w:p>
              </w:tc>
            </w:tr>
            <w:tr w14:paraId="5784A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vMerge w:val="continue"/>
                  <w:tcBorders>
                    <w:left w:val="single" w:color="auto" w:sz="4" w:space="0"/>
                    <w:right w:val="single" w:color="auto" w:sz="4" w:space="0"/>
                  </w:tcBorders>
                  <w:vAlign w:val="center"/>
                </w:tcPr>
                <w:p w14:paraId="388A4B3B">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p>
              </w:tc>
              <w:tc>
                <w:tcPr>
                  <w:tcW w:w="1084" w:type="pct"/>
                  <w:tcBorders>
                    <w:top w:val="single" w:color="auto" w:sz="4" w:space="0"/>
                    <w:left w:val="single" w:color="auto" w:sz="4" w:space="0"/>
                    <w:bottom w:val="single" w:color="auto" w:sz="4" w:space="0"/>
                    <w:right w:val="single" w:color="auto" w:sz="4" w:space="0"/>
                  </w:tcBorders>
                  <w:vAlign w:val="center"/>
                </w:tcPr>
                <w:p w14:paraId="2C74DE97">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抛丸粉尘</w:t>
                  </w:r>
                </w:p>
              </w:tc>
              <w:tc>
                <w:tcPr>
                  <w:tcW w:w="1376" w:type="pct"/>
                  <w:tcBorders>
                    <w:top w:val="single" w:color="auto" w:sz="4" w:space="0"/>
                    <w:left w:val="single" w:color="auto" w:sz="4" w:space="0"/>
                    <w:bottom w:val="single" w:color="auto" w:sz="4" w:space="0"/>
                    <w:right w:val="single" w:color="auto" w:sz="4" w:space="0"/>
                  </w:tcBorders>
                  <w:vAlign w:val="center"/>
                </w:tcPr>
                <w:p w14:paraId="1A8C1DA0">
                  <w:pPr>
                    <w:adjustRightInd w:val="0"/>
                    <w:snapToGrid w:val="0"/>
                    <w:textAlignment w:val="baseline"/>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电子脉冲滤芯式除尘器+20m排气筒（DA001）</w:t>
                  </w:r>
                </w:p>
              </w:tc>
              <w:tc>
                <w:tcPr>
                  <w:tcW w:w="2079" w:type="pct"/>
                  <w:tcBorders>
                    <w:top w:val="single" w:color="auto" w:sz="4" w:space="0"/>
                    <w:left w:val="single" w:color="auto" w:sz="4" w:space="0"/>
                    <w:bottom w:val="single" w:color="auto" w:sz="4" w:space="0"/>
                    <w:right w:val="single" w:color="auto" w:sz="4" w:space="0"/>
                  </w:tcBorders>
                  <w:vAlign w:val="center"/>
                </w:tcPr>
                <w:p w14:paraId="0C5943A4">
                  <w:pPr>
                    <w:widowControl/>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《大气污染物综合排放标准》（GB16297-1996）表2二级标准</w:t>
                  </w:r>
                </w:p>
              </w:tc>
            </w:tr>
            <w:tr w14:paraId="3690C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vMerge w:val="continue"/>
                  <w:tcBorders>
                    <w:left w:val="single" w:color="auto" w:sz="4" w:space="0"/>
                    <w:right w:val="single" w:color="auto" w:sz="4" w:space="0"/>
                  </w:tcBorders>
                  <w:vAlign w:val="center"/>
                </w:tcPr>
                <w:p w14:paraId="1FD78D3E">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p>
              </w:tc>
              <w:tc>
                <w:tcPr>
                  <w:tcW w:w="1084" w:type="pct"/>
                  <w:tcBorders>
                    <w:top w:val="single" w:color="auto" w:sz="4" w:space="0"/>
                    <w:left w:val="single" w:color="auto" w:sz="4" w:space="0"/>
                    <w:bottom w:val="single" w:color="auto" w:sz="4" w:space="0"/>
                    <w:right w:val="single" w:color="auto" w:sz="4" w:space="0"/>
                  </w:tcBorders>
                  <w:vAlign w:val="center"/>
                </w:tcPr>
                <w:p w14:paraId="2B524E14">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喷漆房</w:t>
                  </w:r>
                </w:p>
              </w:tc>
              <w:tc>
                <w:tcPr>
                  <w:tcW w:w="1376" w:type="pct"/>
                  <w:tcBorders>
                    <w:top w:val="single" w:color="auto" w:sz="4" w:space="0"/>
                    <w:left w:val="single" w:color="auto" w:sz="4" w:space="0"/>
                    <w:bottom w:val="single" w:color="auto" w:sz="4" w:space="0"/>
                    <w:right w:val="single" w:color="auto" w:sz="4" w:space="0"/>
                  </w:tcBorders>
                  <w:vAlign w:val="center"/>
                </w:tcPr>
                <w:p w14:paraId="0F8A24D8">
                  <w:pPr>
                    <w:adjustRightInd w:val="0"/>
                    <w:snapToGrid w:val="0"/>
                    <w:textAlignment w:val="baseline"/>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水帘柜+二级活性炭吸附脱附+CO催化燃烧+20m排气筒（DA002）</w:t>
                  </w:r>
                </w:p>
              </w:tc>
              <w:tc>
                <w:tcPr>
                  <w:tcW w:w="2079" w:type="pct"/>
                  <w:tcBorders>
                    <w:top w:val="single" w:color="auto" w:sz="4" w:space="0"/>
                    <w:left w:val="single" w:color="auto" w:sz="4" w:space="0"/>
                    <w:bottom w:val="single" w:color="auto" w:sz="4" w:space="0"/>
                    <w:right w:val="single" w:color="auto" w:sz="4" w:space="0"/>
                  </w:tcBorders>
                  <w:vAlign w:val="center"/>
                </w:tcPr>
                <w:p w14:paraId="41B42233">
                  <w:pPr>
                    <w:widowControl/>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《大气污染物综合排放标准》（GB16297-1996）表2二级标准</w:t>
                  </w:r>
                </w:p>
              </w:tc>
            </w:tr>
            <w:tr w14:paraId="2F947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vMerge w:val="continue"/>
                  <w:tcBorders>
                    <w:left w:val="single" w:color="auto" w:sz="4" w:space="0"/>
                    <w:right w:val="single" w:color="auto" w:sz="4" w:space="0"/>
                  </w:tcBorders>
                  <w:vAlign w:val="center"/>
                </w:tcPr>
                <w:p w14:paraId="54EDE86D">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p>
              </w:tc>
              <w:tc>
                <w:tcPr>
                  <w:tcW w:w="1084" w:type="pct"/>
                  <w:tcBorders>
                    <w:top w:val="single" w:color="auto" w:sz="4" w:space="0"/>
                    <w:left w:val="single" w:color="auto" w:sz="4" w:space="0"/>
                    <w:bottom w:val="single" w:color="auto" w:sz="4" w:space="0"/>
                    <w:right w:val="single" w:color="auto" w:sz="4" w:space="0"/>
                  </w:tcBorders>
                  <w:vAlign w:val="center"/>
                </w:tcPr>
                <w:p w14:paraId="45FA83BA">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危废暂存间废气</w:t>
                  </w:r>
                </w:p>
              </w:tc>
              <w:tc>
                <w:tcPr>
                  <w:tcW w:w="1376" w:type="pct"/>
                  <w:tcBorders>
                    <w:top w:val="single" w:color="auto" w:sz="4" w:space="0"/>
                    <w:left w:val="single" w:color="auto" w:sz="4" w:space="0"/>
                    <w:bottom w:val="single" w:color="auto" w:sz="4" w:space="0"/>
                    <w:right w:val="single" w:color="auto" w:sz="4" w:space="0"/>
                  </w:tcBorders>
                  <w:vAlign w:val="center"/>
                </w:tcPr>
                <w:p w14:paraId="369C4027">
                  <w:pPr>
                    <w:adjustRightInd w:val="0"/>
                    <w:snapToGrid w:val="0"/>
                    <w:textAlignment w:val="baseline"/>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收集至水帘柜+二级活性炭吸附脱附+CO催化燃烧废气处理系统，通过20m排气筒（DA002）排放</w:t>
                  </w:r>
                </w:p>
              </w:tc>
              <w:tc>
                <w:tcPr>
                  <w:tcW w:w="2079" w:type="pct"/>
                  <w:tcBorders>
                    <w:top w:val="single" w:color="auto" w:sz="4" w:space="0"/>
                    <w:left w:val="single" w:color="auto" w:sz="4" w:space="0"/>
                    <w:bottom w:val="single" w:color="auto" w:sz="4" w:space="0"/>
                    <w:right w:val="single" w:color="auto" w:sz="4" w:space="0"/>
                  </w:tcBorders>
                  <w:vAlign w:val="center"/>
                </w:tcPr>
                <w:p w14:paraId="2355D9E2">
                  <w:pPr>
                    <w:widowControl/>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《大气污染物综合排放标准》（GB16297-1996）表2二级标准</w:t>
                  </w:r>
                </w:p>
              </w:tc>
            </w:tr>
            <w:tr w14:paraId="7EDFD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tcBorders>
                    <w:top w:val="single" w:color="auto" w:sz="4" w:space="0"/>
                    <w:left w:val="single" w:color="auto" w:sz="4" w:space="0"/>
                    <w:right w:val="single" w:color="auto" w:sz="4" w:space="0"/>
                  </w:tcBorders>
                  <w:vAlign w:val="center"/>
                </w:tcPr>
                <w:p w14:paraId="5900C733">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bCs/>
                      <w:color w:val="0D0D0D" w:themeColor="text1" w:themeTint="F2"/>
                      <w:kern w:val="0"/>
                      <w:szCs w:val="21"/>
                      <w14:textFill>
                        <w14:solidFill>
                          <w14:schemeClr w14:val="tx1">
                            <w14:lumMod w14:val="95000"/>
                            <w14:lumOff w14:val="5000"/>
                          </w14:schemeClr>
                        </w14:solidFill>
                      </w14:textFill>
                    </w:rPr>
                    <w:t>废水</w:t>
                  </w:r>
                </w:p>
              </w:tc>
              <w:tc>
                <w:tcPr>
                  <w:tcW w:w="1084" w:type="pct"/>
                  <w:tcBorders>
                    <w:top w:val="single" w:color="auto" w:sz="4" w:space="0"/>
                    <w:left w:val="single" w:color="auto" w:sz="4" w:space="0"/>
                    <w:right w:val="single" w:color="auto" w:sz="4" w:space="0"/>
                  </w:tcBorders>
                  <w:vAlign w:val="center"/>
                </w:tcPr>
                <w:p w14:paraId="0DE6CD7E">
                  <w:pPr>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生活污水</w:t>
                  </w:r>
                </w:p>
              </w:tc>
              <w:tc>
                <w:tcPr>
                  <w:tcW w:w="1376" w:type="pct"/>
                  <w:tcBorders>
                    <w:top w:val="single" w:color="auto" w:sz="4" w:space="0"/>
                    <w:left w:val="single" w:color="auto" w:sz="4" w:space="0"/>
                    <w:right w:val="single" w:color="auto" w:sz="4" w:space="0"/>
                  </w:tcBorders>
                  <w:vAlign w:val="center"/>
                </w:tcPr>
                <w:p w14:paraId="6A6605B5">
                  <w:pP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经三级化粪池处理后排入园区市政污水管网，由钦州胜科水务有限公司污水处理厂进一步处理</w:t>
                  </w:r>
                </w:p>
              </w:tc>
              <w:tc>
                <w:tcPr>
                  <w:tcW w:w="2079" w:type="pct"/>
                  <w:tcBorders>
                    <w:top w:val="single" w:color="auto" w:sz="4" w:space="0"/>
                    <w:left w:val="single" w:color="auto" w:sz="4" w:space="0"/>
                    <w:right w:val="single" w:color="auto" w:sz="4" w:space="0"/>
                  </w:tcBorders>
                  <w:vAlign w:val="center"/>
                </w:tcPr>
                <w:p w14:paraId="66F5CDAA">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落实情况</w:t>
                  </w:r>
                </w:p>
              </w:tc>
            </w:tr>
            <w:tr w14:paraId="08C250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tcBorders>
                    <w:top w:val="single" w:color="auto" w:sz="4" w:space="0"/>
                    <w:left w:val="single" w:color="auto" w:sz="4" w:space="0"/>
                    <w:bottom w:val="single" w:color="auto" w:sz="4" w:space="0"/>
                    <w:right w:val="single" w:color="auto" w:sz="4" w:space="0"/>
                  </w:tcBorders>
                  <w:vAlign w:val="center"/>
                </w:tcPr>
                <w:p w14:paraId="6321AF1A">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bCs/>
                      <w:color w:val="0D0D0D" w:themeColor="text1" w:themeTint="F2"/>
                      <w:kern w:val="0"/>
                      <w:szCs w:val="21"/>
                      <w14:textFill>
                        <w14:solidFill>
                          <w14:schemeClr w14:val="tx1">
                            <w14:lumMod w14:val="95000"/>
                            <w14:lumOff w14:val="5000"/>
                          </w14:schemeClr>
                        </w14:solidFill>
                      </w14:textFill>
                    </w:rPr>
                    <w:t>噪声</w:t>
                  </w:r>
                </w:p>
              </w:tc>
              <w:tc>
                <w:tcPr>
                  <w:tcW w:w="1084" w:type="pct"/>
                  <w:tcBorders>
                    <w:top w:val="single" w:color="auto" w:sz="4" w:space="0"/>
                    <w:left w:val="single" w:color="auto" w:sz="4" w:space="0"/>
                    <w:bottom w:val="single" w:color="auto" w:sz="4" w:space="0"/>
                    <w:right w:val="single" w:color="auto" w:sz="4" w:space="0"/>
                  </w:tcBorders>
                  <w:vAlign w:val="center"/>
                </w:tcPr>
                <w:p w14:paraId="1E476492">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bCs/>
                      <w:color w:val="0D0D0D" w:themeColor="text1" w:themeTint="F2"/>
                      <w:kern w:val="0"/>
                      <w:szCs w:val="21"/>
                      <w14:textFill>
                        <w14:solidFill>
                          <w14:schemeClr w14:val="tx1">
                            <w14:lumMod w14:val="95000"/>
                            <w14:lumOff w14:val="5000"/>
                          </w14:schemeClr>
                        </w14:solidFill>
                      </w14:textFill>
                    </w:rPr>
                    <w:t>噪声</w:t>
                  </w:r>
                </w:p>
              </w:tc>
              <w:tc>
                <w:tcPr>
                  <w:tcW w:w="1376" w:type="pct"/>
                  <w:tcBorders>
                    <w:top w:val="single" w:color="auto" w:sz="4" w:space="0"/>
                    <w:left w:val="single" w:color="auto" w:sz="4" w:space="0"/>
                    <w:bottom w:val="single" w:color="auto" w:sz="4" w:space="0"/>
                    <w:right w:val="single" w:color="auto" w:sz="4" w:space="0"/>
                  </w:tcBorders>
                  <w:vAlign w:val="center"/>
                </w:tcPr>
                <w:p w14:paraId="33E9ECA3">
                  <w:pPr>
                    <w:adjustRightInd w:val="0"/>
                    <w:snapToGrid w:val="0"/>
                    <w:textAlignment w:val="baseline"/>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基础减震、厂房隔声等</w:t>
                  </w:r>
                </w:p>
              </w:tc>
              <w:tc>
                <w:tcPr>
                  <w:tcW w:w="2079" w:type="pct"/>
                  <w:tcBorders>
                    <w:top w:val="single" w:color="auto" w:sz="4" w:space="0"/>
                    <w:left w:val="single" w:color="auto" w:sz="4" w:space="0"/>
                    <w:bottom w:val="single" w:color="auto" w:sz="4" w:space="0"/>
                    <w:right w:val="single" w:color="auto" w:sz="4" w:space="0"/>
                  </w:tcBorders>
                  <w:vAlign w:val="center"/>
                </w:tcPr>
                <w:p w14:paraId="3027FA83">
                  <w:pPr>
                    <w:widowControl/>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《工业企业厂界环境噪声排放标准》（GB12348-2008）</w:t>
                  </w:r>
                  <w:r>
                    <w:rPr>
                      <w:rFonts w:hint="eastAsia"/>
                      <w:bCs/>
                      <w:color w:val="0D0D0D" w:themeColor="text1" w:themeTint="F2"/>
                      <w:szCs w:val="21"/>
                      <w14:textFill>
                        <w14:solidFill>
                          <w14:schemeClr w14:val="tx1">
                            <w14:lumMod w14:val="95000"/>
                            <w14:lumOff w14:val="5000"/>
                          </w14:schemeClr>
                        </w14:solidFill>
                      </w14:textFill>
                    </w:rPr>
                    <w:t>3</w:t>
                  </w:r>
                  <w:r>
                    <w:rPr>
                      <w:bCs/>
                      <w:color w:val="0D0D0D" w:themeColor="text1" w:themeTint="F2"/>
                      <w:szCs w:val="21"/>
                      <w14:textFill>
                        <w14:solidFill>
                          <w14:schemeClr w14:val="tx1">
                            <w14:lumMod w14:val="95000"/>
                            <w14:lumOff w14:val="5000"/>
                          </w14:schemeClr>
                        </w14:solidFill>
                      </w14:textFill>
                    </w:rPr>
                    <w:t>类</w:t>
                  </w:r>
                  <w:r>
                    <w:rPr>
                      <w:rFonts w:hint="eastAsia"/>
                      <w:bCs/>
                      <w:color w:val="0D0D0D" w:themeColor="text1" w:themeTint="F2"/>
                      <w:szCs w:val="21"/>
                      <w14:textFill>
                        <w14:solidFill>
                          <w14:schemeClr w14:val="tx1">
                            <w14:lumMod w14:val="95000"/>
                            <w14:lumOff w14:val="5000"/>
                          </w14:schemeClr>
                        </w14:solidFill>
                      </w14:textFill>
                    </w:rPr>
                    <w:t>和4类</w:t>
                  </w:r>
                  <w:r>
                    <w:rPr>
                      <w:rFonts w:hint="eastAsia"/>
                      <w:bCs/>
                      <w:color w:val="0D0D0D" w:themeColor="text1" w:themeTint="F2"/>
                      <w:kern w:val="0"/>
                      <w:szCs w:val="21"/>
                      <w14:textFill>
                        <w14:solidFill>
                          <w14:schemeClr w14:val="tx1">
                            <w14:lumMod w14:val="95000"/>
                            <w14:lumOff w14:val="5000"/>
                          </w14:schemeClr>
                        </w14:solidFill>
                      </w14:textFill>
                    </w:rPr>
                    <w:t>标准</w:t>
                  </w:r>
                </w:p>
              </w:tc>
            </w:tr>
            <w:tr w14:paraId="2A3FC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vMerge w:val="restart"/>
                  <w:tcBorders>
                    <w:top w:val="single" w:color="auto" w:sz="4" w:space="0"/>
                    <w:left w:val="single" w:color="auto" w:sz="4" w:space="0"/>
                    <w:right w:val="single" w:color="auto" w:sz="4" w:space="0"/>
                  </w:tcBorders>
                  <w:vAlign w:val="center"/>
                </w:tcPr>
                <w:p w14:paraId="050E602D">
                  <w:pPr>
                    <w:jc w:val="center"/>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固体废物</w:t>
                  </w:r>
                </w:p>
              </w:tc>
              <w:tc>
                <w:tcPr>
                  <w:tcW w:w="1084" w:type="pct"/>
                  <w:tcBorders>
                    <w:top w:val="single" w:color="auto" w:sz="4" w:space="0"/>
                    <w:left w:val="single" w:color="auto" w:sz="4" w:space="0"/>
                    <w:bottom w:val="single" w:color="auto" w:sz="4" w:space="0"/>
                    <w:right w:val="single" w:color="auto" w:sz="4" w:space="0"/>
                  </w:tcBorders>
                  <w:vAlign w:val="center"/>
                </w:tcPr>
                <w:p w14:paraId="138C4623">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不合格钢材</w:t>
                  </w:r>
                </w:p>
              </w:tc>
              <w:tc>
                <w:tcPr>
                  <w:tcW w:w="1376" w:type="pct"/>
                  <w:tcBorders>
                    <w:top w:val="single" w:color="auto" w:sz="4" w:space="0"/>
                    <w:left w:val="single" w:color="auto" w:sz="4" w:space="0"/>
                    <w:bottom w:val="single" w:color="auto" w:sz="4" w:space="0"/>
                    <w:right w:val="single" w:color="auto" w:sz="4" w:space="0"/>
                  </w:tcBorders>
                  <w:vAlign w:val="center"/>
                </w:tcPr>
                <w:p w14:paraId="076B7181">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厂家带走</w:t>
                  </w:r>
                </w:p>
              </w:tc>
              <w:tc>
                <w:tcPr>
                  <w:tcW w:w="2079" w:type="pct"/>
                  <w:tcBorders>
                    <w:top w:val="single" w:color="auto" w:sz="4" w:space="0"/>
                    <w:left w:val="single" w:color="auto" w:sz="4" w:space="0"/>
                    <w:bottom w:val="single" w:color="auto" w:sz="4" w:space="0"/>
                    <w:right w:val="single" w:color="auto" w:sz="4" w:space="0"/>
                  </w:tcBorders>
                  <w:vAlign w:val="center"/>
                </w:tcPr>
                <w:p w14:paraId="3FEE0B99">
                  <w:pPr>
                    <w:widowControl/>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落实情况</w:t>
                  </w:r>
                </w:p>
              </w:tc>
            </w:tr>
            <w:tr w14:paraId="02320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vMerge w:val="continue"/>
                  <w:tcBorders>
                    <w:left w:val="single" w:color="auto" w:sz="4" w:space="0"/>
                    <w:right w:val="single" w:color="auto" w:sz="4" w:space="0"/>
                  </w:tcBorders>
                  <w:vAlign w:val="center"/>
                </w:tcPr>
                <w:p w14:paraId="17BCE48A">
                  <w:pPr>
                    <w:widowControl/>
                    <w:jc w:val="center"/>
                    <w:rPr>
                      <w:bCs/>
                      <w:color w:val="0D0D0D" w:themeColor="text1" w:themeTint="F2"/>
                      <w:kern w:val="0"/>
                      <w:szCs w:val="21"/>
                      <w14:textFill>
                        <w14:solidFill>
                          <w14:schemeClr w14:val="tx1">
                            <w14:lumMod w14:val="95000"/>
                            <w14:lumOff w14:val="5000"/>
                          </w14:schemeClr>
                        </w14:solidFill>
                      </w14:textFill>
                    </w:rPr>
                  </w:pPr>
                </w:p>
              </w:tc>
              <w:tc>
                <w:tcPr>
                  <w:tcW w:w="1084" w:type="pct"/>
                  <w:tcBorders>
                    <w:top w:val="single" w:color="auto" w:sz="4" w:space="0"/>
                    <w:left w:val="single" w:color="auto" w:sz="4" w:space="0"/>
                    <w:bottom w:val="single" w:color="auto" w:sz="4" w:space="0"/>
                    <w:right w:val="single" w:color="auto" w:sz="4" w:space="0"/>
                  </w:tcBorders>
                  <w:vAlign w:val="center"/>
                </w:tcPr>
                <w:p w14:paraId="4498323D">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bCs/>
                      <w:color w:val="0D0D0D" w:themeColor="text1" w:themeTint="F2"/>
                      <w:kern w:val="0"/>
                      <w:szCs w:val="21"/>
                      <w14:textFill>
                        <w14:solidFill>
                          <w14:schemeClr w14:val="tx1">
                            <w14:lumMod w14:val="95000"/>
                            <w14:lumOff w14:val="5000"/>
                          </w14:schemeClr>
                        </w14:solidFill>
                      </w14:textFill>
                    </w:rPr>
                    <w:t>生活垃圾</w:t>
                  </w:r>
                </w:p>
              </w:tc>
              <w:tc>
                <w:tcPr>
                  <w:tcW w:w="1376" w:type="pct"/>
                  <w:tcBorders>
                    <w:top w:val="single" w:color="auto" w:sz="4" w:space="0"/>
                    <w:left w:val="single" w:color="auto" w:sz="4" w:space="0"/>
                    <w:bottom w:val="single" w:color="auto" w:sz="4" w:space="0"/>
                    <w:right w:val="single" w:color="auto" w:sz="4" w:space="0"/>
                  </w:tcBorders>
                  <w:vAlign w:val="center"/>
                </w:tcPr>
                <w:p w14:paraId="1DCC192A">
                  <w:pPr>
                    <w:adjustRightInd w:val="0"/>
                    <w:snapToGrid w:val="0"/>
                    <w:textAlignment w:val="baseline"/>
                    <w:rPr>
                      <w:bCs/>
                      <w:color w:val="0D0D0D" w:themeColor="text1" w:themeTint="F2"/>
                      <w:kern w:val="0"/>
                      <w:szCs w:val="21"/>
                      <w14:textFill>
                        <w14:solidFill>
                          <w14:schemeClr w14:val="tx1">
                            <w14:lumMod w14:val="95000"/>
                            <w14:lumOff w14:val="5000"/>
                          </w14:schemeClr>
                        </w14:solidFill>
                      </w14:textFill>
                    </w:rPr>
                  </w:pPr>
                  <w:r>
                    <w:rPr>
                      <w:bCs/>
                      <w:color w:val="0D0D0D" w:themeColor="text1" w:themeTint="F2"/>
                      <w:kern w:val="0"/>
                      <w:szCs w:val="21"/>
                      <w14:textFill>
                        <w14:solidFill>
                          <w14:schemeClr w14:val="tx1">
                            <w14:lumMod w14:val="95000"/>
                            <w14:lumOff w14:val="5000"/>
                          </w14:schemeClr>
                        </w14:solidFill>
                      </w14:textFill>
                    </w:rPr>
                    <w:t>垃圾桶</w:t>
                  </w:r>
                  <w:r>
                    <w:rPr>
                      <w:rFonts w:hint="eastAsia"/>
                      <w:bCs/>
                      <w:color w:val="0D0D0D" w:themeColor="text1" w:themeTint="F2"/>
                      <w:kern w:val="0"/>
                      <w:szCs w:val="21"/>
                      <w14:textFill>
                        <w14:solidFill>
                          <w14:schemeClr w14:val="tx1">
                            <w14:lumMod w14:val="95000"/>
                            <w14:lumOff w14:val="5000"/>
                          </w14:schemeClr>
                        </w14:solidFill>
                      </w14:textFill>
                    </w:rPr>
                    <w:t>定点</w:t>
                  </w:r>
                  <w:r>
                    <w:rPr>
                      <w:bCs/>
                      <w:color w:val="0D0D0D" w:themeColor="text1" w:themeTint="F2"/>
                      <w:kern w:val="0"/>
                      <w:szCs w:val="21"/>
                      <w14:textFill>
                        <w14:solidFill>
                          <w14:schemeClr w14:val="tx1">
                            <w14:lumMod w14:val="95000"/>
                            <w14:lumOff w14:val="5000"/>
                          </w14:schemeClr>
                        </w14:solidFill>
                      </w14:textFill>
                    </w:rPr>
                    <w:t>收集，由</w:t>
                  </w:r>
                  <w:r>
                    <w:rPr>
                      <w:rFonts w:hint="eastAsia"/>
                      <w:bCs/>
                      <w:color w:val="0D0D0D" w:themeColor="text1" w:themeTint="F2"/>
                      <w:kern w:val="0"/>
                      <w:szCs w:val="21"/>
                      <w14:textFill>
                        <w14:solidFill>
                          <w14:schemeClr w14:val="tx1">
                            <w14:lumMod w14:val="95000"/>
                            <w14:lumOff w14:val="5000"/>
                          </w14:schemeClr>
                        </w14:solidFill>
                      </w14:textFill>
                    </w:rPr>
                    <w:t>环卫部门清运处置</w:t>
                  </w:r>
                </w:p>
              </w:tc>
              <w:tc>
                <w:tcPr>
                  <w:tcW w:w="2079" w:type="pct"/>
                  <w:tcBorders>
                    <w:top w:val="nil"/>
                    <w:left w:val="single" w:color="auto" w:sz="4" w:space="0"/>
                    <w:bottom w:val="single" w:color="auto" w:sz="4" w:space="0"/>
                    <w:right w:val="single" w:color="auto" w:sz="4" w:space="0"/>
                  </w:tcBorders>
                  <w:vAlign w:val="center"/>
                </w:tcPr>
                <w:p w14:paraId="39EE3347">
                  <w:pPr>
                    <w:widowControl/>
                    <w:jc w:val="center"/>
                    <w:rPr>
                      <w:bCs/>
                      <w:color w:val="0D0D0D" w:themeColor="text1" w:themeTint="F2"/>
                      <w:kern w:val="0"/>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落实情况</w:t>
                  </w:r>
                </w:p>
              </w:tc>
            </w:tr>
            <w:tr w14:paraId="43EA4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vMerge w:val="continue"/>
                  <w:tcBorders>
                    <w:left w:val="single" w:color="auto" w:sz="4" w:space="0"/>
                    <w:right w:val="single" w:color="auto" w:sz="4" w:space="0"/>
                  </w:tcBorders>
                  <w:vAlign w:val="center"/>
                </w:tcPr>
                <w:p w14:paraId="492FECB5">
                  <w:pPr>
                    <w:widowControl/>
                    <w:jc w:val="center"/>
                    <w:rPr>
                      <w:bCs/>
                      <w:color w:val="0D0D0D" w:themeColor="text1" w:themeTint="F2"/>
                      <w:kern w:val="0"/>
                      <w:szCs w:val="21"/>
                      <w14:textFill>
                        <w14:solidFill>
                          <w14:schemeClr w14:val="tx1">
                            <w14:lumMod w14:val="95000"/>
                            <w14:lumOff w14:val="5000"/>
                          </w14:schemeClr>
                        </w14:solidFill>
                      </w14:textFill>
                    </w:rPr>
                  </w:pPr>
                </w:p>
              </w:tc>
              <w:tc>
                <w:tcPr>
                  <w:tcW w:w="1084" w:type="pct"/>
                  <w:tcBorders>
                    <w:top w:val="single" w:color="auto" w:sz="4" w:space="0"/>
                    <w:left w:val="single" w:color="auto" w:sz="4" w:space="0"/>
                    <w:bottom w:val="single" w:color="auto" w:sz="4" w:space="0"/>
                    <w:right w:val="single" w:color="auto" w:sz="4" w:space="0"/>
                  </w:tcBorders>
                  <w:vAlign w:val="center"/>
                </w:tcPr>
                <w:p w14:paraId="4E98B179">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除尘器收集粉尘</w:t>
                  </w:r>
                </w:p>
              </w:tc>
              <w:tc>
                <w:tcPr>
                  <w:tcW w:w="1376" w:type="pct"/>
                  <w:vMerge w:val="restart"/>
                  <w:tcBorders>
                    <w:top w:val="single" w:color="auto" w:sz="4" w:space="0"/>
                    <w:left w:val="single" w:color="auto" w:sz="4" w:space="0"/>
                    <w:right w:val="single" w:color="auto" w:sz="4" w:space="0"/>
                  </w:tcBorders>
                  <w:vAlign w:val="center"/>
                </w:tcPr>
                <w:p w14:paraId="52DD4101">
                  <w:pPr>
                    <w:adjustRightInd w:val="0"/>
                    <w:snapToGrid w:val="0"/>
                    <w:textAlignment w:val="baseline"/>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暂存于一般固废暂存间，定期外售第三方单位资源化利用</w:t>
                  </w:r>
                </w:p>
              </w:tc>
              <w:tc>
                <w:tcPr>
                  <w:tcW w:w="2079" w:type="pct"/>
                  <w:vMerge w:val="restart"/>
                  <w:tcBorders>
                    <w:top w:val="nil"/>
                    <w:left w:val="single" w:color="auto" w:sz="4" w:space="0"/>
                    <w:right w:val="single" w:color="auto" w:sz="4" w:space="0"/>
                  </w:tcBorders>
                  <w:vAlign w:val="center"/>
                </w:tcPr>
                <w:p w14:paraId="0D13993C">
                  <w:pPr>
                    <w:widowControl/>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《一般工业固体废物贮存和填埋污染控制标准》（GB18599-2020）</w:t>
                  </w:r>
                </w:p>
              </w:tc>
            </w:tr>
            <w:tr w14:paraId="72DD2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vMerge w:val="continue"/>
                  <w:tcBorders>
                    <w:left w:val="single" w:color="auto" w:sz="4" w:space="0"/>
                    <w:right w:val="single" w:color="auto" w:sz="4" w:space="0"/>
                  </w:tcBorders>
                  <w:vAlign w:val="center"/>
                </w:tcPr>
                <w:p w14:paraId="5F3ABF86">
                  <w:pPr>
                    <w:widowControl/>
                    <w:jc w:val="center"/>
                    <w:rPr>
                      <w:bCs/>
                      <w:color w:val="0D0D0D" w:themeColor="text1" w:themeTint="F2"/>
                      <w:kern w:val="0"/>
                      <w:szCs w:val="21"/>
                      <w14:textFill>
                        <w14:solidFill>
                          <w14:schemeClr w14:val="tx1">
                            <w14:lumMod w14:val="95000"/>
                            <w14:lumOff w14:val="5000"/>
                          </w14:schemeClr>
                        </w14:solidFill>
                      </w14:textFill>
                    </w:rPr>
                  </w:pPr>
                </w:p>
              </w:tc>
              <w:tc>
                <w:tcPr>
                  <w:tcW w:w="1084" w:type="pct"/>
                  <w:tcBorders>
                    <w:top w:val="single" w:color="auto" w:sz="4" w:space="0"/>
                    <w:left w:val="single" w:color="auto" w:sz="4" w:space="0"/>
                    <w:bottom w:val="single" w:color="auto" w:sz="4" w:space="0"/>
                    <w:right w:val="single" w:color="auto" w:sz="4" w:space="0"/>
                  </w:tcBorders>
                  <w:vAlign w:val="center"/>
                </w:tcPr>
                <w:p w14:paraId="6BD25317">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除尘设备废滤芯</w:t>
                  </w:r>
                </w:p>
              </w:tc>
              <w:tc>
                <w:tcPr>
                  <w:tcW w:w="1376" w:type="pct"/>
                  <w:vMerge w:val="continue"/>
                  <w:tcBorders>
                    <w:top w:val="single" w:color="auto" w:sz="4" w:space="0"/>
                    <w:left w:val="single" w:color="auto" w:sz="4" w:space="0"/>
                    <w:right w:val="single" w:color="auto" w:sz="4" w:space="0"/>
                  </w:tcBorders>
                  <w:vAlign w:val="center"/>
                </w:tcPr>
                <w:p w14:paraId="7ECA8A45">
                  <w:pPr>
                    <w:adjustRightInd w:val="0"/>
                    <w:snapToGrid w:val="0"/>
                    <w:textAlignment w:val="baseline"/>
                    <w:rPr>
                      <w:bCs/>
                      <w:color w:val="0D0D0D" w:themeColor="text1" w:themeTint="F2"/>
                      <w:kern w:val="0"/>
                      <w:szCs w:val="21"/>
                      <w14:textFill>
                        <w14:solidFill>
                          <w14:schemeClr w14:val="tx1">
                            <w14:lumMod w14:val="95000"/>
                            <w14:lumOff w14:val="5000"/>
                          </w14:schemeClr>
                        </w14:solidFill>
                      </w14:textFill>
                    </w:rPr>
                  </w:pPr>
                </w:p>
              </w:tc>
              <w:tc>
                <w:tcPr>
                  <w:tcW w:w="2079" w:type="pct"/>
                  <w:vMerge w:val="continue"/>
                  <w:tcBorders>
                    <w:top w:val="nil"/>
                    <w:left w:val="single" w:color="auto" w:sz="4" w:space="0"/>
                    <w:right w:val="single" w:color="auto" w:sz="4" w:space="0"/>
                  </w:tcBorders>
                  <w:vAlign w:val="center"/>
                </w:tcPr>
                <w:p w14:paraId="3B276F14">
                  <w:pPr>
                    <w:widowControl/>
                    <w:jc w:val="center"/>
                    <w:rPr>
                      <w:bCs/>
                      <w:color w:val="0D0D0D" w:themeColor="text1" w:themeTint="F2"/>
                      <w:szCs w:val="21"/>
                      <w14:textFill>
                        <w14:solidFill>
                          <w14:schemeClr w14:val="tx1">
                            <w14:lumMod w14:val="95000"/>
                            <w14:lumOff w14:val="5000"/>
                          </w14:schemeClr>
                        </w14:solidFill>
                      </w14:textFill>
                    </w:rPr>
                  </w:pPr>
                </w:p>
              </w:tc>
            </w:tr>
            <w:tr w14:paraId="621FF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vMerge w:val="continue"/>
                  <w:tcBorders>
                    <w:left w:val="single" w:color="auto" w:sz="4" w:space="0"/>
                    <w:right w:val="single" w:color="auto" w:sz="4" w:space="0"/>
                  </w:tcBorders>
                  <w:vAlign w:val="center"/>
                </w:tcPr>
                <w:p w14:paraId="1295A141">
                  <w:pPr>
                    <w:widowControl/>
                    <w:jc w:val="center"/>
                    <w:rPr>
                      <w:bCs/>
                      <w:color w:val="0D0D0D" w:themeColor="text1" w:themeTint="F2"/>
                      <w:kern w:val="0"/>
                      <w:szCs w:val="21"/>
                      <w14:textFill>
                        <w14:solidFill>
                          <w14:schemeClr w14:val="tx1">
                            <w14:lumMod w14:val="95000"/>
                            <w14:lumOff w14:val="5000"/>
                          </w14:schemeClr>
                        </w14:solidFill>
                      </w14:textFill>
                    </w:rPr>
                  </w:pPr>
                </w:p>
              </w:tc>
              <w:tc>
                <w:tcPr>
                  <w:tcW w:w="1084" w:type="pct"/>
                  <w:tcBorders>
                    <w:top w:val="single" w:color="auto" w:sz="4" w:space="0"/>
                    <w:left w:val="single" w:color="auto" w:sz="4" w:space="0"/>
                    <w:bottom w:val="single" w:color="auto" w:sz="4" w:space="0"/>
                    <w:right w:val="single" w:color="auto" w:sz="4" w:space="0"/>
                  </w:tcBorders>
                  <w:vAlign w:val="center"/>
                </w:tcPr>
                <w:p w14:paraId="1157E39A">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废钢丸</w:t>
                  </w:r>
                </w:p>
              </w:tc>
              <w:tc>
                <w:tcPr>
                  <w:tcW w:w="1376" w:type="pct"/>
                  <w:vMerge w:val="continue"/>
                  <w:tcBorders>
                    <w:left w:val="single" w:color="auto" w:sz="4" w:space="0"/>
                    <w:bottom w:val="single" w:color="auto" w:sz="4" w:space="0"/>
                    <w:right w:val="single" w:color="auto" w:sz="4" w:space="0"/>
                  </w:tcBorders>
                  <w:vAlign w:val="center"/>
                </w:tcPr>
                <w:p w14:paraId="73C34C21">
                  <w:pPr>
                    <w:adjustRightInd w:val="0"/>
                    <w:snapToGrid w:val="0"/>
                    <w:textAlignment w:val="baseline"/>
                    <w:rPr>
                      <w:bCs/>
                      <w:color w:val="0D0D0D" w:themeColor="text1" w:themeTint="F2"/>
                      <w:kern w:val="0"/>
                      <w:szCs w:val="21"/>
                      <w14:textFill>
                        <w14:solidFill>
                          <w14:schemeClr w14:val="tx1">
                            <w14:lumMod w14:val="95000"/>
                            <w14:lumOff w14:val="5000"/>
                          </w14:schemeClr>
                        </w14:solidFill>
                      </w14:textFill>
                    </w:rPr>
                  </w:pPr>
                </w:p>
              </w:tc>
              <w:tc>
                <w:tcPr>
                  <w:tcW w:w="2079" w:type="pct"/>
                  <w:vMerge w:val="continue"/>
                  <w:tcBorders>
                    <w:left w:val="single" w:color="auto" w:sz="4" w:space="0"/>
                    <w:bottom w:val="single" w:color="auto" w:sz="4" w:space="0"/>
                    <w:right w:val="single" w:color="auto" w:sz="4" w:space="0"/>
                  </w:tcBorders>
                  <w:vAlign w:val="center"/>
                </w:tcPr>
                <w:p w14:paraId="264C8F3E">
                  <w:pPr>
                    <w:widowControl/>
                    <w:jc w:val="center"/>
                    <w:rPr>
                      <w:bCs/>
                      <w:color w:val="0D0D0D" w:themeColor="text1" w:themeTint="F2"/>
                      <w:szCs w:val="21"/>
                      <w14:textFill>
                        <w14:solidFill>
                          <w14:schemeClr w14:val="tx1">
                            <w14:lumMod w14:val="95000"/>
                            <w14:lumOff w14:val="5000"/>
                          </w14:schemeClr>
                        </w14:solidFill>
                      </w14:textFill>
                    </w:rPr>
                  </w:pPr>
                </w:p>
              </w:tc>
            </w:tr>
            <w:tr w14:paraId="4A2EB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vMerge w:val="continue"/>
                  <w:tcBorders>
                    <w:left w:val="single" w:color="auto" w:sz="4" w:space="0"/>
                    <w:right w:val="single" w:color="auto" w:sz="4" w:space="0"/>
                  </w:tcBorders>
                  <w:vAlign w:val="center"/>
                </w:tcPr>
                <w:p w14:paraId="3EEDDA34">
                  <w:pPr>
                    <w:widowControl/>
                    <w:jc w:val="center"/>
                    <w:rPr>
                      <w:bCs/>
                      <w:color w:val="0D0D0D" w:themeColor="text1" w:themeTint="F2"/>
                      <w:kern w:val="0"/>
                      <w:szCs w:val="21"/>
                      <w14:textFill>
                        <w14:solidFill>
                          <w14:schemeClr w14:val="tx1">
                            <w14:lumMod w14:val="95000"/>
                            <w14:lumOff w14:val="5000"/>
                          </w14:schemeClr>
                        </w14:solidFill>
                      </w14:textFill>
                    </w:rPr>
                  </w:pPr>
                </w:p>
              </w:tc>
              <w:tc>
                <w:tcPr>
                  <w:tcW w:w="1084" w:type="pct"/>
                  <w:tcBorders>
                    <w:top w:val="single" w:color="auto" w:sz="4" w:space="0"/>
                    <w:left w:val="single" w:color="auto" w:sz="4" w:space="0"/>
                    <w:bottom w:val="single" w:color="auto" w:sz="4" w:space="0"/>
                    <w:right w:val="single" w:color="auto" w:sz="4" w:space="0"/>
                  </w:tcBorders>
                  <w:vAlign w:val="center"/>
                </w:tcPr>
                <w:p w14:paraId="45D8D36F">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废油漆桶</w:t>
                  </w:r>
                </w:p>
              </w:tc>
              <w:tc>
                <w:tcPr>
                  <w:tcW w:w="1376" w:type="pct"/>
                  <w:vMerge w:val="restart"/>
                  <w:tcBorders>
                    <w:top w:val="single" w:color="auto" w:sz="4" w:space="0"/>
                    <w:left w:val="single" w:color="auto" w:sz="4" w:space="0"/>
                    <w:right w:val="single" w:color="auto" w:sz="4" w:space="0"/>
                  </w:tcBorders>
                  <w:vAlign w:val="center"/>
                </w:tcPr>
                <w:p w14:paraId="2A341B4C">
                  <w:pPr>
                    <w:adjustRightInd w:val="0"/>
                    <w:snapToGrid w:val="0"/>
                    <w:textAlignment w:val="baseline"/>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暂存于危废暂存间，委托有资质单位清运处置</w:t>
                  </w:r>
                </w:p>
              </w:tc>
              <w:tc>
                <w:tcPr>
                  <w:tcW w:w="2079" w:type="pct"/>
                  <w:vMerge w:val="restart"/>
                  <w:tcBorders>
                    <w:top w:val="nil"/>
                    <w:left w:val="single" w:color="auto" w:sz="4" w:space="0"/>
                    <w:right w:val="single" w:color="auto" w:sz="4" w:space="0"/>
                  </w:tcBorders>
                  <w:vAlign w:val="center"/>
                </w:tcPr>
                <w:p w14:paraId="6FCFF4E2">
                  <w:pPr>
                    <w:widowControl/>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《危险废物贮存污染控制标准》</w:t>
                  </w:r>
                </w:p>
                <w:p w14:paraId="2C080183">
                  <w:pPr>
                    <w:widowControl/>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（GB18597-2023）</w:t>
                  </w:r>
                </w:p>
              </w:tc>
            </w:tr>
            <w:tr w14:paraId="25498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vMerge w:val="continue"/>
                  <w:tcBorders>
                    <w:left w:val="single" w:color="auto" w:sz="4" w:space="0"/>
                    <w:right w:val="single" w:color="auto" w:sz="4" w:space="0"/>
                  </w:tcBorders>
                  <w:vAlign w:val="center"/>
                </w:tcPr>
                <w:p w14:paraId="114B9376">
                  <w:pPr>
                    <w:widowControl/>
                    <w:jc w:val="center"/>
                    <w:rPr>
                      <w:bCs/>
                      <w:color w:val="0D0D0D" w:themeColor="text1" w:themeTint="F2"/>
                      <w:kern w:val="0"/>
                      <w:szCs w:val="21"/>
                      <w14:textFill>
                        <w14:solidFill>
                          <w14:schemeClr w14:val="tx1">
                            <w14:lumMod w14:val="95000"/>
                            <w14:lumOff w14:val="5000"/>
                          </w14:schemeClr>
                        </w14:solidFill>
                      </w14:textFill>
                    </w:rPr>
                  </w:pPr>
                </w:p>
              </w:tc>
              <w:tc>
                <w:tcPr>
                  <w:tcW w:w="1084" w:type="pct"/>
                  <w:tcBorders>
                    <w:top w:val="single" w:color="auto" w:sz="4" w:space="0"/>
                    <w:left w:val="single" w:color="auto" w:sz="4" w:space="0"/>
                    <w:bottom w:val="single" w:color="auto" w:sz="4" w:space="0"/>
                    <w:right w:val="single" w:color="auto" w:sz="4" w:space="0"/>
                  </w:tcBorders>
                  <w:vAlign w:val="center"/>
                </w:tcPr>
                <w:p w14:paraId="1B64D4BC">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漆渣</w:t>
                  </w:r>
                </w:p>
              </w:tc>
              <w:tc>
                <w:tcPr>
                  <w:tcW w:w="1376" w:type="pct"/>
                  <w:vMerge w:val="continue"/>
                  <w:tcBorders>
                    <w:top w:val="single" w:color="auto" w:sz="4" w:space="0"/>
                    <w:left w:val="single" w:color="auto" w:sz="4" w:space="0"/>
                    <w:right w:val="single" w:color="auto" w:sz="4" w:space="0"/>
                  </w:tcBorders>
                  <w:vAlign w:val="center"/>
                </w:tcPr>
                <w:p w14:paraId="0641F2FD">
                  <w:pPr>
                    <w:adjustRightInd w:val="0"/>
                    <w:snapToGrid w:val="0"/>
                    <w:textAlignment w:val="baseline"/>
                    <w:rPr>
                      <w:bCs/>
                      <w:color w:val="0D0D0D" w:themeColor="text1" w:themeTint="F2"/>
                      <w:kern w:val="0"/>
                      <w:szCs w:val="21"/>
                      <w14:textFill>
                        <w14:solidFill>
                          <w14:schemeClr w14:val="tx1">
                            <w14:lumMod w14:val="95000"/>
                            <w14:lumOff w14:val="5000"/>
                          </w14:schemeClr>
                        </w14:solidFill>
                      </w14:textFill>
                    </w:rPr>
                  </w:pPr>
                </w:p>
              </w:tc>
              <w:tc>
                <w:tcPr>
                  <w:tcW w:w="2079" w:type="pct"/>
                  <w:vMerge w:val="continue"/>
                  <w:tcBorders>
                    <w:top w:val="nil"/>
                    <w:left w:val="single" w:color="auto" w:sz="4" w:space="0"/>
                    <w:right w:val="single" w:color="auto" w:sz="4" w:space="0"/>
                  </w:tcBorders>
                  <w:vAlign w:val="center"/>
                </w:tcPr>
                <w:p w14:paraId="2B137A5A">
                  <w:pPr>
                    <w:widowControl/>
                    <w:jc w:val="center"/>
                    <w:rPr>
                      <w:bCs/>
                      <w:color w:val="0D0D0D" w:themeColor="text1" w:themeTint="F2"/>
                      <w:szCs w:val="21"/>
                      <w14:textFill>
                        <w14:solidFill>
                          <w14:schemeClr w14:val="tx1">
                            <w14:lumMod w14:val="95000"/>
                            <w14:lumOff w14:val="5000"/>
                          </w14:schemeClr>
                        </w14:solidFill>
                      </w14:textFill>
                    </w:rPr>
                  </w:pPr>
                </w:p>
              </w:tc>
            </w:tr>
            <w:tr w14:paraId="2C98E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vMerge w:val="continue"/>
                  <w:tcBorders>
                    <w:left w:val="single" w:color="auto" w:sz="4" w:space="0"/>
                    <w:right w:val="single" w:color="auto" w:sz="4" w:space="0"/>
                  </w:tcBorders>
                  <w:vAlign w:val="center"/>
                </w:tcPr>
                <w:p w14:paraId="6BF8283D">
                  <w:pPr>
                    <w:widowControl/>
                    <w:jc w:val="center"/>
                    <w:rPr>
                      <w:bCs/>
                      <w:color w:val="0D0D0D" w:themeColor="text1" w:themeTint="F2"/>
                      <w:kern w:val="0"/>
                      <w:szCs w:val="21"/>
                      <w14:textFill>
                        <w14:solidFill>
                          <w14:schemeClr w14:val="tx1">
                            <w14:lumMod w14:val="95000"/>
                            <w14:lumOff w14:val="5000"/>
                          </w14:schemeClr>
                        </w14:solidFill>
                      </w14:textFill>
                    </w:rPr>
                  </w:pPr>
                </w:p>
              </w:tc>
              <w:tc>
                <w:tcPr>
                  <w:tcW w:w="1084" w:type="pct"/>
                  <w:tcBorders>
                    <w:top w:val="single" w:color="auto" w:sz="4" w:space="0"/>
                    <w:left w:val="single" w:color="auto" w:sz="4" w:space="0"/>
                    <w:bottom w:val="single" w:color="auto" w:sz="4" w:space="0"/>
                    <w:right w:val="single" w:color="auto" w:sz="4" w:space="0"/>
                  </w:tcBorders>
                  <w:vAlign w:val="center"/>
                </w:tcPr>
                <w:p w14:paraId="2A2CADDD">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废过滤棉</w:t>
                  </w:r>
                </w:p>
              </w:tc>
              <w:tc>
                <w:tcPr>
                  <w:tcW w:w="1376" w:type="pct"/>
                  <w:vMerge w:val="continue"/>
                  <w:tcBorders>
                    <w:top w:val="single" w:color="auto" w:sz="4" w:space="0"/>
                    <w:left w:val="single" w:color="auto" w:sz="4" w:space="0"/>
                    <w:right w:val="single" w:color="auto" w:sz="4" w:space="0"/>
                  </w:tcBorders>
                  <w:vAlign w:val="center"/>
                </w:tcPr>
                <w:p w14:paraId="0F16BAF3">
                  <w:pPr>
                    <w:adjustRightInd w:val="0"/>
                    <w:snapToGrid w:val="0"/>
                    <w:textAlignment w:val="baseline"/>
                    <w:rPr>
                      <w:bCs/>
                      <w:color w:val="0D0D0D" w:themeColor="text1" w:themeTint="F2"/>
                      <w:kern w:val="0"/>
                      <w:szCs w:val="21"/>
                      <w14:textFill>
                        <w14:solidFill>
                          <w14:schemeClr w14:val="tx1">
                            <w14:lumMod w14:val="95000"/>
                            <w14:lumOff w14:val="5000"/>
                          </w14:schemeClr>
                        </w14:solidFill>
                      </w14:textFill>
                    </w:rPr>
                  </w:pPr>
                </w:p>
              </w:tc>
              <w:tc>
                <w:tcPr>
                  <w:tcW w:w="2079" w:type="pct"/>
                  <w:vMerge w:val="continue"/>
                  <w:tcBorders>
                    <w:top w:val="nil"/>
                    <w:left w:val="single" w:color="auto" w:sz="4" w:space="0"/>
                    <w:right w:val="single" w:color="auto" w:sz="4" w:space="0"/>
                  </w:tcBorders>
                  <w:vAlign w:val="center"/>
                </w:tcPr>
                <w:p w14:paraId="760EB093">
                  <w:pPr>
                    <w:widowControl/>
                    <w:jc w:val="center"/>
                    <w:rPr>
                      <w:bCs/>
                      <w:color w:val="0D0D0D" w:themeColor="text1" w:themeTint="F2"/>
                      <w:szCs w:val="21"/>
                      <w14:textFill>
                        <w14:solidFill>
                          <w14:schemeClr w14:val="tx1">
                            <w14:lumMod w14:val="95000"/>
                            <w14:lumOff w14:val="5000"/>
                          </w14:schemeClr>
                        </w14:solidFill>
                      </w14:textFill>
                    </w:rPr>
                  </w:pPr>
                </w:p>
              </w:tc>
            </w:tr>
            <w:tr w14:paraId="7AB6A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vMerge w:val="continue"/>
                  <w:tcBorders>
                    <w:left w:val="single" w:color="auto" w:sz="4" w:space="0"/>
                    <w:right w:val="single" w:color="auto" w:sz="4" w:space="0"/>
                  </w:tcBorders>
                  <w:vAlign w:val="center"/>
                </w:tcPr>
                <w:p w14:paraId="369A744C">
                  <w:pPr>
                    <w:widowControl/>
                    <w:jc w:val="center"/>
                    <w:rPr>
                      <w:bCs/>
                      <w:color w:val="0D0D0D" w:themeColor="text1" w:themeTint="F2"/>
                      <w:kern w:val="0"/>
                      <w:szCs w:val="21"/>
                      <w14:textFill>
                        <w14:solidFill>
                          <w14:schemeClr w14:val="tx1">
                            <w14:lumMod w14:val="95000"/>
                            <w14:lumOff w14:val="5000"/>
                          </w14:schemeClr>
                        </w14:solidFill>
                      </w14:textFill>
                    </w:rPr>
                  </w:pPr>
                </w:p>
              </w:tc>
              <w:tc>
                <w:tcPr>
                  <w:tcW w:w="1084" w:type="pct"/>
                  <w:tcBorders>
                    <w:top w:val="single" w:color="auto" w:sz="4" w:space="0"/>
                    <w:left w:val="single" w:color="auto" w:sz="4" w:space="0"/>
                    <w:bottom w:val="single" w:color="auto" w:sz="4" w:space="0"/>
                    <w:right w:val="single" w:color="auto" w:sz="4" w:space="0"/>
                  </w:tcBorders>
                  <w:vAlign w:val="center"/>
                </w:tcPr>
                <w:p w14:paraId="5E6C49B2">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废活性炭</w:t>
                  </w:r>
                </w:p>
              </w:tc>
              <w:tc>
                <w:tcPr>
                  <w:tcW w:w="1376" w:type="pct"/>
                  <w:vMerge w:val="continue"/>
                  <w:tcBorders>
                    <w:top w:val="single" w:color="auto" w:sz="4" w:space="0"/>
                    <w:left w:val="single" w:color="auto" w:sz="4" w:space="0"/>
                    <w:right w:val="single" w:color="auto" w:sz="4" w:space="0"/>
                  </w:tcBorders>
                  <w:vAlign w:val="center"/>
                </w:tcPr>
                <w:p w14:paraId="7B541371">
                  <w:pPr>
                    <w:adjustRightInd w:val="0"/>
                    <w:snapToGrid w:val="0"/>
                    <w:textAlignment w:val="baseline"/>
                    <w:rPr>
                      <w:bCs/>
                      <w:color w:val="0D0D0D" w:themeColor="text1" w:themeTint="F2"/>
                      <w:kern w:val="0"/>
                      <w:szCs w:val="21"/>
                      <w14:textFill>
                        <w14:solidFill>
                          <w14:schemeClr w14:val="tx1">
                            <w14:lumMod w14:val="95000"/>
                            <w14:lumOff w14:val="5000"/>
                          </w14:schemeClr>
                        </w14:solidFill>
                      </w14:textFill>
                    </w:rPr>
                  </w:pPr>
                </w:p>
              </w:tc>
              <w:tc>
                <w:tcPr>
                  <w:tcW w:w="2079" w:type="pct"/>
                  <w:vMerge w:val="continue"/>
                  <w:tcBorders>
                    <w:top w:val="nil"/>
                    <w:left w:val="single" w:color="auto" w:sz="4" w:space="0"/>
                    <w:right w:val="single" w:color="auto" w:sz="4" w:space="0"/>
                  </w:tcBorders>
                  <w:vAlign w:val="center"/>
                </w:tcPr>
                <w:p w14:paraId="637AD7D3">
                  <w:pPr>
                    <w:widowControl/>
                    <w:jc w:val="center"/>
                    <w:rPr>
                      <w:bCs/>
                      <w:color w:val="0D0D0D" w:themeColor="text1" w:themeTint="F2"/>
                      <w:szCs w:val="21"/>
                      <w14:textFill>
                        <w14:solidFill>
                          <w14:schemeClr w14:val="tx1">
                            <w14:lumMod w14:val="95000"/>
                            <w14:lumOff w14:val="5000"/>
                          </w14:schemeClr>
                        </w14:solidFill>
                      </w14:textFill>
                    </w:rPr>
                  </w:pPr>
                </w:p>
              </w:tc>
            </w:tr>
            <w:tr w14:paraId="7880C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vMerge w:val="continue"/>
                  <w:tcBorders>
                    <w:left w:val="single" w:color="auto" w:sz="4" w:space="0"/>
                    <w:right w:val="single" w:color="auto" w:sz="4" w:space="0"/>
                  </w:tcBorders>
                  <w:vAlign w:val="center"/>
                </w:tcPr>
                <w:p w14:paraId="3C7335F2">
                  <w:pPr>
                    <w:widowControl/>
                    <w:jc w:val="center"/>
                    <w:rPr>
                      <w:bCs/>
                      <w:color w:val="0D0D0D" w:themeColor="text1" w:themeTint="F2"/>
                      <w:kern w:val="0"/>
                      <w:szCs w:val="21"/>
                      <w14:textFill>
                        <w14:solidFill>
                          <w14:schemeClr w14:val="tx1">
                            <w14:lumMod w14:val="95000"/>
                            <w14:lumOff w14:val="5000"/>
                          </w14:schemeClr>
                        </w14:solidFill>
                      </w14:textFill>
                    </w:rPr>
                  </w:pPr>
                </w:p>
              </w:tc>
              <w:tc>
                <w:tcPr>
                  <w:tcW w:w="1084" w:type="pct"/>
                  <w:tcBorders>
                    <w:top w:val="single" w:color="auto" w:sz="4" w:space="0"/>
                    <w:left w:val="single" w:color="auto" w:sz="4" w:space="0"/>
                    <w:bottom w:val="single" w:color="auto" w:sz="4" w:space="0"/>
                    <w:right w:val="single" w:color="auto" w:sz="4" w:space="0"/>
                  </w:tcBorders>
                  <w:vAlign w:val="center"/>
                </w:tcPr>
                <w:p w14:paraId="2AE94C53">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废机油</w:t>
                  </w:r>
                </w:p>
              </w:tc>
              <w:tc>
                <w:tcPr>
                  <w:tcW w:w="1376" w:type="pct"/>
                  <w:vMerge w:val="continue"/>
                  <w:tcBorders>
                    <w:left w:val="single" w:color="auto" w:sz="4" w:space="0"/>
                    <w:right w:val="single" w:color="auto" w:sz="4" w:space="0"/>
                  </w:tcBorders>
                  <w:vAlign w:val="center"/>
                </w:tcPr>
                <w:p w14:paraId="5321C399">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p>
              </w:tc>
              <w:tc>
                <w:tcPr>
                  <w:tcW w:w="2079" w:type="pct"/>
                  <w:vMerge w:val="continue"/>
                  <w:tcBorders>
                    <w:left w:val="single" w:color="auto" w:sz="4" w:space="0"/>
                    <w:right w:val="single" w:color="auto" w:sz="4" w:space="0"/>
                  </w:tcBorders>
                  <w:vAlign w:val="center"/>
                </w:tcPr>
                <w:p w14:paraId="5159AE4E">
                  <w:pPr>
                    <w:widowControl/>
                    <w:jc w:val="center"/>
                    <w:rPr>
                      <w:bCs/>
                      <w:color w:val="0D0D0D" w:themeColor="text1" w:themeTint="F2"/>
                      <w:szCs w:val="21"/>
                      <w14:textFill>
                        <w14:solidFill>
                          <w14:schemeClr w14:val="tx1">
                            <w14:lumMod w14:val="95000"/>
                            <w14:lumOff w14:val="5000"/>
                          </w14:schemeClr>
                        </w14:solidFill>
                      </w14:textFill>
                    </w:rPr>
                  </w:pPr>
                </w:p>
              </w:tc>
            </w:tr>
            <w:tr w14:paraId="5C51A4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vMerge w:val="continue"/>
                  <w:tcBorders>
                    <w:left w:val="single" w:color="auto" w:sz="4" w:space="0"/>
                    <w:right w:val="single" w:color="auto" w:sz="4" w:space="0"/>
                  </w:tcBorders>
                  <w:vAlign w:val="center"/>
                </w:tcPr>
                <w:p w14:paraId="64BD3081">
                  <w:pPr>
                    <w:widowControl/>
                    <w:jc w:val="center"/>
                    <w:rPr>
                      <w:bCs/>
                      <w:color w:val="0D0D0D" w:themeColor="text1" w:themeTint="F2"/>
                      <w:kern w:val="0"/>
                      <w:szCs w:val="21"/>
                      <w14:textFill>
                        <w14:solidFill>
                          <w14:schemeClr w14:val="tx1">
                            <w14:lumMod w14:val="95000"/>
                            <w14:lumOff w14:val="5000"/>
                          </w14:schemeClr>
                        </w14:solidFill>
                      </w14:textFill>
                    </w:rPr>
                  </w:pPr>
                </w:p>
              </w:tc>
              <w:tc>
                <w:tcPr>
                  <w:tcW w:w="1084" w:type="pct"/>
                  <w:tcBorders>
                    <w:top w:val="single" w:color="auto" w:sz="4" w:space="0"/>
                    <w:left w:val="single" w:color="auto" w:sz="4" w:space="0"/>
                    <w:bottom w:val="single" w:color="auto" w:sz="4" w:space="0"/>
                    <w:right w:val="single" w:color="auto" w:sz="4" w:space="0"/>
                  </w:tcBorders>
                  <w:vAlign w:val="center"/>
                </w:tcPr>
                <w:p w14:paraId="48FAB64E">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废含油抹布和劳保用品</w:t>
                  </w:r>
                </w:p>
              </w:tc>
              <w:tc>
                <w:tcPr>
                  <w:tcW w:w="1376" w:type="pct"/>
                  <w:vMerge w:val="continue"/>
                  <w:tcBorders>
                    <w:left w:val="single" w:color="auto" w:sz="4" w:space="0"/>
                    <w:bottom w:val="single" w:color="auto" w:sz="4" w:space="0"/>
                    <w:right w:val="single" w:color="auto" w:sz="4" w:space="0"/>
                  </w:tcBorders>
                  <w:vAlign w:val="center"/>
                </w:tcPr>
                <w:p w14:paraId="5530A853">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p>
              </w:tc>
              <w:tc>
                <w:tcPr>
                  <w:tcW w:w="2079" w:type="pct"/>
                  <w:vMerge w:val="continue"/>
                  <w:tcBorders>
                    <w:left w:val="single" w:color="auto" w:sz="4" w:space="0"/>
                    <w:bottom w:val="single" w:color="auto" w:sz="4" w:space="0"/>
                    <w:right w:val="single" w:color="auto" w:sz="4" w:space="0"/>
                  </w:tcBorders>
                  <w:vAlign w:val="center"/>
                </w:tcPr>
                <w:p w14:paraId="46B657C3">
                  <w:pPr>
                    <w:widowControl/>
                    <w:jc w:val="center"/>
                    <w:rPr>
                      <w:bCs/>
                      <w:color w:val="0D0D0D" w:themeColor="text1" w:themeTint="F2"/>
                      <w:szCs w:val="21"/>
                      <w14:textFill>
                        <w14:solidFill>
                          <w14:schemeClr w14:val="tx1">
                            <w14:lumMod w14:val="95000"/>
                            <w14:lumOff w14:val="5000"/>
                          </w14:schemeClr>
                        </w14:solidFill>
                      </w14:textFill>
                    </w:rPr>
                  </w:pPr>
                </w:p>
              </w:tc>
            </w:tr>
            <w:tr w14:paraId="7C5B9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tcBorders>
                    <w:top w:val="nil"/>
                    <w:left w:val="single" w:color="auto" w:sz="4" w:space="0"/>
                    <w:bottom w:val="single" w:color="auto" w:sz="4" w:space="0"/>
                    <w:right w:val="single" w:color="auto" w:sz="4" w:space="0"/>
                  </w:tcBorders>
                  <w:vAlign w:val="center"/>
                </w:tcPr>
                <w:p w14:paraId="5563FB74">
                  <w:pPr>
                    <w:widowControl/>
                    <w:jc w:val="center"/>
                    <w:rPr>
                      <w:bCs/>
                      <w:color w:val="0D0D0D" w:themeColor="text1" w:themeTint="F2"/>
                      <w:kern w:val="0"/>
                      <w:szCs w:val="21"/>
                      <w14:textFill>
                        <w14:solidFill>
                          <w14:schemeClr w14:val="tx1">
                            <w14:lumMod w14:val="95000"/>
                            <w14:lumOff w14:val="5000"/>
                          </w14:schemeClr>
                        </w14:solidFill>
                      </w14:textFill>
                    </w:rPr>
                  </w:pPr>
                  <w:r>
                    <w:rPr>
                      <w:bCs/>
                      <w:color w:val="0D0D0D" w:themeColor="text1" w:themeTint="F2"/>
                      <w:kern w:val="0"/>
                      <w:szCs w:val="21"/>
                      <w14:textFill>
                        <w14:solidFill>
                          <w14:schemeClr w14:val="tx1">
                            <w14:lumMod w14:val="95000"/>
                            <w14:lumOff w14:val="5000"/>
                          </w14:schemeClr>
                        </w14:solidFill>
                      </w14:textFill>
                    </w:rPr>
                    <w:t>土壤及地下水</w:t>
                  </w:r>
                </w:p>
              </w:tc>
              <w:tc>
                <w:tcPr>
                  <w:tcW w:w="1084" w:type="pct"/>
                  <w:tcBorders>
                    <w:top w:val="single" w:color="auto" w:sz="4" w:space="0"/>
                    <w:left w:val="single" w:color="auto" w:sz="4" w:space="0"/>
                    <w:bottom w:val="single" w:color="auto" w:sz="4" w:space="0"/>
                    <w:right w:val="single" w:color="auto" w:sz="4" w:space="0"/>
                  </w:tcBorders>
                  <w:vAlign w:val="center"/>
                </w:tcPr>
                <w:p w14:paraId="77B263A3">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bCs/>
                      <w:color w:val="0D0D0D" w:themeColor="text1" w:themeTint="F2"/>
                      <w:kern w:val="0"/>
                      <w:szCs w:val="21"/>
                      <w14:textFill>
                        <w14:solidFill>
                          <w14:schemeClr w14:val="tx1">
                            <w14:lumMod w14:val="95000"/>
                            <w14:lumOff w14:val="5000"/>
                          </w14:schemeClr>
                        </w14:solidFill>
                      </w14:textFill>
                    </w:rPr>
                    <w:t>跑冒滴漏</w:t>
                  </w:r>
                </w:p>
              </w:tc>
              <w:tc>
                <w:tcPr>
                  <w:tcW w:w="1376" w:type="pct"/>
                  <w:tcBorders>
                    <w:top w:val="single" w:color="auto" w:sz="4" w:space="0"/>
                    <w:left w:val="single" w:color="auto" w:sz="4" w:space="0"/>
                    <w:bottom w:val="single" w:color="auto" w:sz="4" w:space="0"/>
                    <w:right w:val="single" w:color="auto" w:sz="4" w:space="0"/>
                  </w:tcBorders>
                  <w:vAlign w:val="center"/>
                </w:tcPr>
                <w:p w14:paraId="11A55489">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分区防渗</w:t>
                  </w:r>
                </w:p>
              </w:tc>
              <w:tc>
                <w:tcPr>
                  <w:tcW w:w="2079" w:type="pct"/>
                  <w:tcBorders>
                    <w:top w:val="nil"/>
                    <w:left w:val="single" w:color="auto" w:sz="4" w:space="0"/>
                    <w:bottom w:val="single" w:color="auto" w:sz="4" w:space="0"/>
                    <w:right w:val="single" w:color="auto" w:sz="4" w:space="0"/>
                  </w:tcBorders>
                  <w:vAlign w:val="center"/>
                </w:tcPr>
                <w:p w14:paraId="0EA8CA0A">
                  <w:pPr>
                    <w:widowControl/>
                    <w:jc w:val="center"/>
                    <w:rPr>
                      <w:bCs/>
                      <w:color w:val="0D0D0D" w:themeColor="text1" w:themeTint="F2"/>
                      <w:kern w:val="0"/>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落实情况</w:t>
                  </w:r>
                </w:p>
              </w:tc>
            </w:tr>
            <w:tr w14:paraId="04644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tcBorders>
                    <w:top w:val="nil"/>
                    <w:left w:val="single" w:color="auto" w:sz="4" w:space="0"/>
                    <w:bottom w:val="single" w:color="auto" w:sz="4" w:space="0"/>
                    <w:right w:val="single" w:color="auto" w:sz="4" w:space="0"/>
                  </w:tcBorders>
                  <w:vAlign w:val="center"/>
                </w:tcPr>
                <w:p w14:paraId="6020C898">
                  <w:pPr>
                    <w:widowControl/>
                    <w:jc w:val="center"/>
                    <w:rPr>
                      <w:bCs/>
                      <w:color w:val="0D0D0D" w:themeColor="text1" w:themeTint="F2"/>
                      <w:kern w:val="0"/>
                      <w:szCs w:val="21"/>
                      <w14:textFill>
                        <w14:solidFill>
                          <w14:schemeClr w14:val="tx1">
                            <w14:lumMod w14:val="95000"/>
                            <w14:lumOff w14:val="5000"/>
                          </w14:schemeClr>
                        </w14:solidFill>
                      </w14:textFill>
                    </w:rPr>
                  </w:pPr>
                  <w:r>
                    <w:rPr>
                      <w:bCs/>
                      <w:color w:val="0D0D0D" w:themeColor="text1" w:themeTint="F2"/>
                      <w:kern w:val="0"/>
                      <w:szCs w:val="21"/>
                      <w14:textFill>
                        <w14:solidFill>
                          <w14:schemeClr w14:val="tx1">
                            <w14:lumMod w14:val="95000"/>
                            <w14:lumOff w14:val="5000"/>
                          </w14:schemeClr>
                        </w14:solidFill>
                      </w14:textFill>
                    </w:rPr>
                    <w:t>风险防范</w:t>
                  </w:r>
                </w:p>
              </w:tc>
              <w:tc>
                <w:tcPr>
                  <w:tcW w:w="1084" w:type="pct"/>
                  <w:tcBorders>
                    <w:top w:val="single" w:color="auto" w:sz="4" w:space="0"/>
                    <w:left w:val="single" w:color="auto" w:sz="4" w:space="0"/>
                    <w:bottom w:val="single" w:color="auto" w:sz="4" w:space="0"/>
                    <w:right w:val="single" w:color="auto" w:sz="4" w:space="0"/>
                  </w:tcBorders>
                  <w:vAlign w:val="center"/>
                </w:tcPr>
                <w:p w14:paraId="64BC4D1A">
                  <w:pPr>
                    <w:adjustRightInd w:val="0"/>
                    <w:snapToGrid w:val="0"/>
                    <w:jc w:val="center"/>
                    <w:textAlignment w:val="baseline"/>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w:t>
                  </w:r>
                </w:p>
              </w:tc>
              <w:tc>
                <w:tcPr>
                  <w:tcW w:w="1376" w:type="pct"/>
                  <w:tcBorders>
                    <w:top w:val="single" w:color="auto" w:sz="4" w:space="0"/>
                    <w:left w:val="single" w:color="auto" w:sz="4" w:space="0"/>
                    <w:bottom w:val="single" w:color="auto" w:sz="4" w:space="0"/>
                    <w:right w:val="single" w:color="auto" w:sz="4" w:space="0"/>
                  </w:tcBorders>
                  <w:vAlign w:val="center"/>
                </w:tcPr>
                <w:p w14:paraId="26E6CF24">
                  <w:pPr>
                    <w:adjustRightInd w:val="0"/>
                    <w:snapToGrid w:val="0"/>
                    <w:textAlignment w:val="baseline"/>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编制突发环境事件应急预案</w:t>
                  </w:r>
                </w:p>
              </w:tc>
              <w:tc>
                <w:tcPr>
                  <w:tcW w:w="2079" w:type="pct"/>
                  <w:tcBorders>
                    <w:top w:val="nil"/>
                    <w:left w:val="single" w:color="auto" w:sz="4" w:space="0"/>
                    <w:bottom w:val="single" w:color="auto" w:sz="4" w:space="0"/>
                    <w:right w:val="single" w:color="auto" w:sz="4" w:space="0"/>
                  </w:tcBorders>
                  <w:vAlign w:val="center"/>
                </w:tcPr>
                <w:p w14:paraId="7FA552BE">
                  <w:pPr>
                    <w:widowControl/>
                    <w:jc w:val="center"/>
                    <w:rPr>
                      <w:bCs/>
                      <w:color w:val="0D0D0D" w:themeColor="text1" w:themeTint="F2"/>
                      <w:kern w:val="0"/>
                      <w:szCs w:val="21"/>
                      <w14:textFill>
                        <w14:solidFill>
                          <w14:schemeClr w14:val="tx1">
                            <w14:lumMod w14:val="95000"/>
                            <w14:lumOff w14:val="5000"/>
                          </w14:schemeClr>
                        </w14:solidFill>
                      </w14:textFill>
                    </w:rPr>
                  </w:pPr>
                  <w:r>
                    <w:rPr>
                      <w:bCs/>
                      <w:color w:val="0D0D0D" w:themeColor="text1" w:themeTint="F2"/>
                      <w:kern w:val="0"/>
                      <w:szCs w:val="21"/>
                      <w14:textFill>
                        <w14:solidFill>
                          <w14:schemeClr w14:val="tx1">
                            <w14:lumMod w14:val="95000"/>
                            <w14:lumOff w14:val="5000"/>
                          </w14:schemeClr>
                        </w14:solidFill>
                      </w14:textFill>
                    </w:rPr>
                    <w:t>落实情况</w:t>
                  </w:r>
                </w:p>
              </w:tc>
            </w:tr>
            <w:tr w14:paraId="0E2A8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pct"/>
                  <w:tcBorders>
                    <w:top w:val="nil"/>
                    <w:left w:val="single" w:color="auto" w:sz="4" w:space="0"/>
                    <w:bottom w:val="single" w:color="auto" w:sz="4" w:space="0"/>
                    <w:right w:val="single" w:color="auto" w:sz="4" w:space="0"/>
                  </w:tcBorders>
                  <w:vAlign w:val="center"/>
                </w:tcPr>
                <w:p w14:paraId="16BE6B06">
                  <w:pPr>
                    <w:jc w:val="center"/>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lang w:eastAsia="zh-CN"/>
                      <w14:textFill>
                        <w14:solidFill>
                          <w14:schemeClr w14:val="tx1">
                            <w14:lumMod w14:val="95000"/>
                            <w14:lumOff w14:val="5000"/>
                          </w14:schemeClr>
                        </w14:solidFill>
                      </w14:textFill>
                    </w:rPr>
                    <w:t>其他</w:t>
                  </w:r>
                </w:p>
              </w:tc>
              <w:tc>
                <w:tcPr>
                  <w:tcW w:w="1084" w:type="pct"/>
                  <w:tcBorders>
                    <w:top w:val="single" w:color="auto" w:sz="4" w:space="0"/>
                    <w:left w:val="single" w:color="auto" w:sz="4" w:space="0"/>
                    <w:bottom w:val="single" w:color="auto" w:sz="4" w:space="0"/>
                    <w:right w:val="single" w:color="auto" w:sz="4" w:space="0"/>
                  </w:tcBorders>
                  <w:vAlign w:val="center"/>
                </w:tcPr>
                <w:p w14:paraId="221C7895">
                  <w:pPr>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环境管理</w:t>
                  </w:r>
                </w:p>
              </w:tc>
              <w:tc>
                <w:tcPr>
                  <w:tcW w:w="1376" w:type="pct"/>
                  <w:tcBorders>
                    <w:top w:val="single" w:color="auto" w:sz="4" w:space="0"/>
                    <w:left w:val="single" w:color="auto" w:sz="4" w:space="0"/>
                    <w:bottom w:val="single" w:color="auto" w:sz="4" w:space="0"/>
                    <w:right w:val="single" w:color="auto" w:sz="4" w:space="0"/>
                  </w:tcBorders>
                  <w:vAlign w:val="center"/>
                </w:tcPr>
                <w:p w14:paraId="394AB6D5">
                  <w:pP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设立环保管理机构，进行日常环境管理并配合当地环境监测站的监测工作</w:t>
                  </w:r>
                </w:p>
              </w:tc>
              <w:tc>
                <w:tcPr>
                  <w:tcW w:w="2079" w:type="pct"/>
                  <w:tcBorders>
                    <w:top w:val="single" w:color="auto" w:sz="4" w:space="0"/>
                    <w:left w:val="single" w:color="auto" w:sz="4" w:space="0"/>
                    <w:bottom w:val="single" w:color="auto" w:sz="4" w:space="0"/>
                    <w:right w:val="single" w:color="auto" w:sz="4" w:space="0"/>
                  </w:tcBorders>
                  <w:vAlign w:val="center"/>
                </w:tcPr>
                <w:p w14:paraId="0254E6E5">
                  <w:pPr>
                    <w:jc w:val="center"/>
                    <w:rPr>
                      <w:bCs/>
                      <w:color w:val="0D0D0D" w:themeColor="text1" w:themeTint="F2"/>
                      <w:szCs w:val="21"/>
                      <w14:textFill>
                        <w14:solidFill>
                          <w14:schemeClr w14:val="tx1">
                            <w14:lumMod w14:val="95000"/>
                            <w14:lumOff w14:val="5000"/>
                          </w14:schemeClr>
                        </w14:solidFill>
                      </w14:textFill>
                    </w:rPr>
                  </w:pPr>
                  <w:r>
                    <w:rPr>
                      <w:bCs/>
                      <w:color w:val="0D0D0D" w:themeColor="text1" w:themeTint="F2"/>
                      <w:szCs w:val="21"/>
                      <w14:textFill>
                        <w14:solidFill>
                          <w14:schemeClr w14:val="tx1">
                            <w14:lumMod w14:val="95000"/>
                            <w14:lumOff w14:val="5000"/>
                          </w14:schemeClr>
                        </w14:solidFill>
                      </w14:textFill>
                    </w:rPr>
                    <w:t>落实情况</w:t>
                  </w:r>
                </w:p>
              </w:tc>
            </w:tr>
          </w:tbl>
          <w:p w14:paraId="3C2906A3">
            <w:pPr>
              <w:adjustRightInd w:val="0"/>
              <w:snapToGrid w:val="0"/>
              <w:spacing w:line="360" w:lineRule="auto"/>
              <w:ind w:firstLine="440" w:firstLineChars="200"/>
              <w:rPr>
                <w:rFonts w:cs="宋体"/>
                <w:bCs/>
                <w:color w:val="0D0D0D" w:themeColor="text1" w:themeTint="F2"/>
                <w:spacing w:val="-10"/>
                <w:sz w:val="24"/>
                <w14:textFill>
                  <w14:solidFill>
                    <w14:schemeClr w14:val="tx1">
                      <w14:lumMod w14:val="95000"/>
                      <w14:lumOff w14:val="5000"/>
                    </w14:schemeClr>
                  </w14:solidFill>
                </w14:textFill>
              </w:rPr>
            </w:pPr>
          </w:p>
        </w:tc>
      </w:tr>
    </w:tbl>
    <w:p w14:paraId="119C7475">
      <w:pPr>
        <w:adjustRightInd w:val="0"/>
        <w:snapToGrid w:val="0"/>
        <w:spacing w:line="360" w:lineRule="auto"/>
        <w:rPr>
          <w:rFonts w:cs="宋体"/>
          <w:b/>
          <w:color w:val="0D0D0D" w:themeColor="text1" w:themeTint="F2"/>
          <w:kern w:val="0"/>
          <w:sz w:val="28"/>
          <w:szCs w:val="28"/>
          <w14:textFill>
            <w14:solidFill>
              <w14:schemeClr w14:val="tx1">
                <w14:lumMod w14:val="95000"/>
                <w14:lumOff w14:val="5000"/>
              </w14:schemeClr>
            </w14:solidFill>
          </w14:textFill>
        </w:rPr>
        <w:sectPr>
          <w:pgSz w:w="11907" w:h="16840"/>
          <w:pgMar w:top="1701" w:right="1531" w:bottom="2127" w:left="1531" w:header="851" w:footer="851" w:gutter="0"/>
          <w:cols w:space="720" w:num="1"/>
          <w:docGrid w:linePitch="312" w:charSpace="0"/>
        </w:sectPr>
      </w:pPr>
    </w:p>
    <w:p w14:paraId="43D1D9FA">
      <w:pPr>
        <w:pStyle w:val="18"/>
        <w:jc w:val="center"/>
        <w:outlineLvl w:val="0"/>
        <w:rPr>
          <w:rFonts w:ascii="Times New Roman" w:hAnsi="Times New Roman"/>
          <w:snapToGrid w:val="0"/>
          <w:color w:val="0D0D0D" w:themeColor="text1" w:themeTint="F2"/>
          <w:sz w:val="30"/>
          <w:szCs w:val="30"/>
          <w14:textFill>
            <w14:solidFill>
              <w14:schemeClr w14:val="tx1">
                <w14:lumMod w14:val="95000"/>
                <w14:lumOff w14:val="5000"/>
              </w14:schemeClr>
            </w14:solidFill>
          </w14:textFill>
        </w:rPr>
      </w:pPr>
      <w:bookmarkStart w:id="11" w:name="_Toc136522027"/>
      <w:r>
        <w:rPr>
          <w:rFonts w:hint="eastAsia" w:ascii="Times New Roman" w:hAnsi="Times New Roman"/>
          <w:snapToGrid w:val="0"/>
          <w:color w:val="0D0D0D" w:themeColor="text1" w:themeTint="F2"/>
          <w:sz w:val="30"/>
          <w:szCs w:val="30"/>
          <w14:textFill>
            <w14:solidFill>
              <w14:schemeClr w14:val="tx1">
                <w14:lumMod w14:val="95000"/>
                <w14:lumOff w14:val="5000"/>
              </w14:schemeClr>
            </w14:solidFill>
          </w14:textFill>
        </w:rPr>
        <w:t>五、</w:t>
      </w:r>
      <w:bookmarkStart w:id="12" w:name="_Hlk54167917"/>
      <w:r>
        <w:rPr>
          <w:rFonts w:hint="eastAsia" w:ascii="Times New Roman" w:hAnsi="Times New Roman"/>
          <w:snapToGrid w:val="0"/>
          <w:color w:val="0D0D0D" w:themeColor="text1" w:themeTint="F2"/>
          <w:sz w:val="30"/>
          <w:szCs w:val="30"/>
          <w14:textFill>
            <w14:solidFill>
              <w14:schemeClr w14:val="tx1">
                <w14:lumMod w14:val="95000"/>
                <w14:lumOff w14:val="5000"/>
              </w14:schemeClr>
            </w14:solidFill>
          </w14:textFill>
        </w:rPr>
        <w:t>环境保护措施监督检查清单</w:t>
      </w:r>
      <w:bookmarkEnd w:id="11"/>
      <w:bookmarkEnd w:id="12"/>
    </w:p>
    <w:tbl>
      <w:tblPr>
        <w:tblStyle w:val="2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735"/>
        <w:gridCol w:w="1602"/>
        <w:gridCol w:w="1455"/>
        <w:gridCol w:w="1892"/>
        <w:gridCol w:w="2376"/>
      </w:tblGrid>
      <w:tr w14:paraId="21B956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58" w:type="pct"/>
            <w:tcBorders>
              <w:tl2br w:val="single" w:color="auto" w:sz="4" w:space="0"/>
            </w:tcBorders>
            <w:vAlign w:val="center"/>
          </w:tcPr>
          <w:p w14:paraId="64A431A6">
            <w:pPr>
              <w:adjustRightInd w:val="0"/>
              <w:snapToGrid w:val="0"/>
              <w:ind w:firstLine="1050" w:firstLineChars="500"/>
              <w:jc w:val="right"/>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内容</w:t>
            </w:r>
          </w:p>
          <w:p w14:paraId="0A118CD8">
            <w:pPr>
              <w:adjustRightInd w:val="0"/>
              <w:snapToGrid w:val="0"/>
              <w:jc w:val="left"/>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要素</w:t>
            </w:r>
          </w:p>
        </w:tc>
        <w:tc>
          <w:tcPr>
            <w:tcW w:w="884" w:type="pct"/>
            <w:vAlign w:val="center"/>
          </w:tcPr>
          <w:p w14:paraId="5E54DE48">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排放口(编号、</w:t>
            </w:r>
          </w:p>
          <w:p w14:paraId="78E0699D">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名称)/污染源</w:t>
            </w:r>
          </w:p>
        </w:tc>
        <w:tc>
          <w:tcPr>
            <w:tcW w:w="803" w:type="pct"/>
            <w:vAlign w:val="center"/>
          </w:tcPr>
          <w:p w14:paraId="544096BB">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污染物项目</w:t>
            </w:r>
          </w:p>
        </w:tc>
        <w:tc>
          <w:tcPr>
            <w:tcW w:w="1044" w:type="pct"/>
            <w:vAlign w:val="center"/>
          </w:tcPr>
          <w:p w14:paraId="4CE376F3">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环境保护措施</w:t>
            </w:r>
          </w:p>
        </w:tc>
        <w:tc>
          <w:tcPr>
            <w:tcW w:w="1311" w:type="pct"/>
            <w:vAlign w:val="center"/>
          </w:tcPr>
          <w:p w14:paraId="4D571B26">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执行标准</w:t>
            </w:r>
          </w:p>
        </w:tc>
      </w:tr>
      <w:tr w14:paraId="2DEB6A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58" w:type="pct"/>
            <w:vMerge w:val="restart"/>
            <w:vAlign w:val="center"/>
          </w:tcPr>
          <w:p w14:paraId="5E3C0498">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大气环境</w:t>
            </w:r>
          </w:p>
        </w:tc>
        <w:tc>
          <w:tcPr>
            <w:tcW w:w="884" w:type="pct"/>
            <w:vAlign w:val="center"/>
          </w:tcPr>
          <w:p w14:paraId="3F893354">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抛丸粉尘</w:t>
            </w:r>
          </w:p>
        </w:tc>
        <w:tc>
          <w:tcPr>
            <w:tcW w:w="803" w:type="pct"/>
            <w:vAlign w:val="center"/>
          </w:tcPr>
          <w:p w14:paraId="0D82FDE0">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颗粒物</w:t>
            </w:r>
          </w:p>
        </w:tc>
        <w:tc>
          <w:tcPr>
            <w:tcW w:w="1044" w:type="pct"/>
            <w:vAlign w:val="center"/>
          </w:tcPr>
          <w:p w14:paraId="7552447A">
            <w:pPr>
              <w:adjustRightInd w:val="0"/>
              <w:snapToGrid w:val="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电子脉冲滤芯式除尘器+20m排气筒（DA001）</w:t>
            </w:r>
          </w:p>
        </w:tc>
        <w:tc>
          <w:tcPr>
            <w:tcW w:w="1311" w:type="pct"/>
            <w:vAlign w:val="center"/>
          </w:tcPr>
          <w:p w14:paraId="7019EECF">
            <w:pPr>
              <w:adjustRightInd w:val="0"/>
              <w:snapToGrid w:val="0"/>
              <w:rPr>
                <w:rFonts w:cs="宋体"/>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《大气污染物综合排放标准》（GB16297-1996）表2二级标准</w:t>
            </w:r>
          </w:p>
        </w:tc>
      </w:tr>
      <w:tr w14:paraId="418F83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58" w:type="pct"/>
            <w:vMerge w:val="continue"/>
            <w:vAlign w:val="center"/>
          </w:tcPr>
          <w:p w14:paraId="2FA2B327">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p>
        </w:tc>
        <w:tc>
          <w:tcPr>
            <w:tcW w:w="884" w:type="pct"/>
            <w:vAlign w:val="center"/>
          </w:tcPr>
          <w:p w14:paraId="0FBF9CFD">
            <w:pPr>
              <w:adjustRightInd w:val="0"/>
              <w:snapToGrid w:val="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喷漆废气</w:t>
            </w:r>
          </w:p>
        </w:tc>
        <w:tc>
          <w:tcPr>
            <w:tcW w:w="803" w:type="pct"/>
            <w:vAlign w:val="center"/>
          </w:tcPr>
          <w:p w14:paraId="44F643C4">
            <w:pPr>
              <w:adjustRightInd w:val="0"/>
              <w:snapToGrid w:val="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颗粒物、非甲烷总烃、二甲苯、臭气浓度</w:t>
            </w:r>
          </w:p>
        </w:tc>
        <w:tc>
          <w:tcPr>
            <w:tcW w:w="1044" w:type="pct"/>
            <w:vAlign w:val="center"/>
          </w:tcPr>
          <w:p w14:paraId="36929656">
            <w:pPr>
              <w:adjustRightInd w:val="0"/>
              <w:snapToGrid w:val="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水帘柜+二级活性炭吸附脱附+CO催化燃烧+20m排气筒（DA002）</w:t>
            </w:r>
          </w:p>
        </w:tc>
        <w:tc>
          <w:tcPr>
            <w:tcW w:w="1311" w:type="pct"/>
            <w:vAlign w:val="center"/>
          </w:tcPr>
          <w:p w14:paraId="309E3CCE">
            <w:pPr>
              <w:adjustRightInd w:val="0"/>
              <w:snapToGrid w:val="0"/>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《大气污染物综合排放标准》（GB16297-1996）表2二级标准</w:t>
            </w:r>
          </w:p>
        </w:tc>
      </w:tr>
      <w:tr w14:paraId="1F1BFC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58" w:type="pct"/>
            <w:vMerge w:val="continue"/>
            <w:vAlign w:val="center"/>
          </w:tcPr>
          <w:p w14:paraId="2A5ADA02">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p>
        </w:tc>
        <w:tc>
          <w:tcPr>
            <w:tcW w:w="884" w:type="pct"/>
            <w:vAlign w:val="center"/>
          </w:tcPr>
          <w:p w14:paraId="7A6A59B0">
            <w:pPr>
              <w:adjustRightInd w:val="0"/>
              <w:snapToGrid w:val="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危废暂存间废气</w:t>
            </w:r>
          </w:p>
        </w:tc>
        <w:tc>
          <w:tcPr>
            <w:tcW w:w="803" w:type="pct"/>
            <w:vAlign w:val="center"/>
          </w:tcPr>
          <w:p w14:paraId="5CFFA268">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非甲烷总烃</w:t>
            </w:r>
          </w:p>
        </w:tc>
        <w:tc>
          <w:tcPr>
            <w:tcW w:w="1044" w:type="pct"/>
            <w:vAlign w:val="center"/>
          </w:tcPr>
          <w:p w14:paraId="56065828">
            <w:pPr>
              <w:adjustRightInd w:val="0"/>
              <w:snapToGrid w:val="0"/>
              <w:rPr>
                <w:rFonts w:cs="宋体"/>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收集至水帘柜+二级活性炭吸附脱附+CO催化燃烧废气处理系统，通过20m排气筒（DA002）排放</w:t>
            </w:r>
          </w:p>
        </w:tc>
        <w:tc>
          <w:tcPr>
            <w:tcW w:w="1311" w:type="pct"/>
            <w:vAlign w:val="center"/>
          </w:tcPr>
          <w:p w14:paraId="4C70D158">
            <w:pPr>
              <w:adjustRightInd w:val="0"/>
              <w:snapToGrid w:val="0"/>
              <w:rPr>
                <w:bCs/>
                <w:color w:val="0D0D0D" w:themeColor="text1" w:themeTint="F2"/>
                <w:kern w:val="0"/>
                <w:szCs w:val="21"/>
                <w14:textFill>
                  <w14:solidFill>
                    <w14:schemeClr w14:val="tx1">
                      <w14:lumMod w14:val="95000"/>
                      <w14:lumOff w14:val="5000"/>
                    </w14:schemeClr>
                  </w14:solidFill>
                </w14:textFill>
              </w:rPr>
            </w:pPr>
            <w:r>
              <w:rPr>
                <w:rFonts w:hint="eastAsia"/>
                <w:bCs/>
                <w:color w:val="0D0D0D" w:themeColor="text1" w:themeTint="F2"/>
                <w:kern w:val="0"/>
                <w:szCs w:val="21"/>
                <w14:textFill>
                  <w14:solidFill>
                    <w14:schemeClr w14:val="tx1">
                      <w14:lumMod w14:val="95000"/>
                      <w14:lumOff w14:val="5000"/>
                    </w14:schemeClr>
                  </w14:solidFill>
                </w14:textFill>
              </w:rPr>
              <w:t>《大气污染物综合排放标准》（GB16297-1996）表2二级标准</w:t>
            </w:r>
          </w:p>
        </w:tc>
      </w:tr>
      <w:tr w14:paraId="3F512F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58" w:type="pct"/>
            <w:vMerge w:val="continue"/>
            <w:vAlign w:val="center"/>
          </w:tcPr>
          <w:p w14:paraId="4F09E7C5">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p>
        </w:tc>
        <w:tc>
          <w:tcPr>
            <w:tcW w:w="884" w:type="pct"/>
            <w:vAlign w:val="center"/>
          </w:tcPr>
          <w:p w14:paraId="4A0D51D3">
            <w:pPr>
              <w:adjustRightInd w:val="0"/>
              <w:snapToGrid w:val="0"/>
              <w:jc w:val="center"/>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食堂</w:t>
            </w:r>
          </w:p>
        </w:tc>
        <w:tc>
          <w:tcPr>
            <w:tcW w:w="803" w:type="pct"/>
            <w:vAlign w:val="center"/>
          </w:tcPr>
          <w:p w14:paraId="7C08DCA6">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食堂油烟</w:t>
            </w:r>
          </w:p>
        </w:tc>
        <w:tc>
          <w:tcPr>
            <w:tcW w:w="1044" w:type="pct"/>
            <w:vAlign w:val="center"/>
          </w:tcPr>
          <w:p w14:paraId="7B05B3B4">
            <w:pPr>
              <w:adjustRightInd w:val="0"/>
              <w:snapToGrid w:val="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油烟净化器处理后引至屋顶排放</w:t>
            </w:r>
          </w:p>
        </w:tc>
        <w:tc>
          <w:tcPr>
            <w:tcW w:w="1311" w:type="pct"/>
            <w:vAlign w:val="center"/>
          </w:tcPr>
          <w:p w14:paraId="24CBF3B5">
            <w:pPr>
              <w:adjustRightInd w:val="0"/>
              <w:snapToGrid w:val="0"/>
              <w:rPr>
                <w:color w:val="0D0D0D" w:themeColor="text1" w:themeTint="F2"/>
                <w:szCs w:val="21"/>
                <w14:textFill>
                  <w14:solidFill>
                    <w14:schemeClr w14:val="tx1">
                      <w14:lumMod w14:val="95000"/>
                      <w14:lumOff w14:val="5000"/>
                    </w14:schemeClr>
                  </w14:solidFill>
                </w14:textFill>
              </w:rPr>
            </w:pPr>
            <w:r>
              <w:rPr>
                <w:rFonts w:hint="eastAsia"/>
                <w:color w:val="0D0D0D" w:themeColor="text1" w:themeTint="F2"/>
                <w:szCs w:val="21"/>
                <w14:textFill>
                  <w14:solidFill>
                    <w14:schemeClr w14:val="tx1">
                      <w14:lumMod w14:val="95000"/>
                      <w14:lumOff w14:val="5000"/>
                    </w14:schemeClr>
                  </w14:solidFill>
                </w14:textFill>
              </w:rPr>
              <w:t>《饮食业油烟排放标准（试行）》（GB18483-2001）表2小型标准</w:t>
            </w:r>
          </w:p>
        </w:tc>
      </w:tr>
      <w:tr w14:paraId="3C100C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58" w:type="pct"/>
            <w:vAlign w:val="center"/>
          </w:tcPr>
          <w:p w14:paraId="3CA1F951">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地表水环境</w:t>
            </w:r>
          </w:p>
        </w:tc>
        <w:tc>
          <w:tcPr>
            <w:tcW w:w="884" w:type="pct"/>
            <w:vAlign w:val="center"/>
          </w:tcPr>
          <w:p w14:paraId="2CE677E3">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生活污水</w:t>
            </w:r>
          </w:p>
        </w:tc>
        <w:tc>
          <w:tcPr>
            <w:tcW w:w="803" w:type="pct"/>
            <w:vAlign w:val="center"/>
          </w:tcPr>
          <w:p w14:paraId="209202AE">
            <w:pPr>
              <w:adjustRightInd w:val="0"/>
              <w:snapToGrid w:val="0"/>
              <w:rPr>
                <w:rFonts w:cs="宋体"/>
                <w:color w:val="0D0D0D" w:themeColor="text1" w:themeTint="F2"/>
                <w:szCs w:val="21"/>
                <w14:textFill>
                  <w14:solidFill>
                    <w14:schemeClr w14:val="tx1">
                      <w14:lumMod w14:val="95000"/>
                      <w14:lumOff w14:val="5000"/>
                    </w14:schemeClr>
                  </w14:solidFill>
                </w14:textFill>
              </w:rPr>
            </w:pPr>
            <w:r>
              <w:rPr>
                <w:rFonts w:cs="宋体"/>
                <w:color w:val="0D0D0D" w:themeColor="text1" w:themeTint="F2"/>
                <w:szCs w:val="21"/>
                <w14:textFill>
                  <w14:solidFill>
                    <w14:schemeClr w14:val="tx1">
                      <w14:lumMod w14:val="95000"/>
                      <w14:lumOff w14:val="5000"/>
                    </w14:schemeClr>
                  </w14:solidFill>
                </w14:textFill>
              </w:rPr>
              <w:t>COD、BOD</w:t>
            </w:r>
            <w:r>
              <w:rPr>
                <w:rFonts w:cs="宋体"/>
                <w:color w:val="0D0D0D" w:themeColor="text1" w:themeTint="F2"/>
                <w:szCs w:val="21"/>
                <w:vertAlign w:val="subscript"/>
                <w14:textFill>
                  <w14:solidFill>
                    <w14:schemeClr w14:val="tx1">
                      <w14:lumMod w14:val="95000"/>
                      <w14:lumOff w14:val="5000"/>
                    </w14:schemeClr>
                  </w14:solidFill>
                </w14:textFill>
              </w:rPr>
              <w:t>5</w:t>
            </w:r>
            <w:r>
              <w:rPr>
                <w:rFonts w:cs="宋体"/>
                <w:color w:val="0D0D0D" w:themeColor="text1" w:themeTint="F2"/>
                <w:szCs w:val="21"/>
                <w14:textFill>
                  <w14:solidFill>
                    <w14:schemeClr w14:val="tx1">
                      <w14:lumMod w14:val="95000"/>
                      <w14:lumOff w14:val="5000"/>
                    </w14:schemeClr>
                  </w14:solidFill>
                </w14:textFill>
              </w:rPr>
              <w:t>、SS、NH</w:t>
            </w:r>
            <w:r>
              <w:rPr>
                <w:rFonts w:cs="宋体"/>
                <w:color w:val="0D0D0D" w:themeColor="text1" w:themeTint="F2"/>
                <w:szCs w:val="21"/>
                <w:vertAlign w:val="subscript"/>
                <w14:textFill>
                  <w14:solidFill>
                    <w14:schemeClr w14:val="tx1">
                      <w14:lumMod w14:val="95000"/>
                      <w14:lumOff w14:val="5000"/>
                    </w14:schemeClr>
                  </w14:solidFill>
                </w14:textFill>
              </w:rPr>
              <w:t>3</w:t>
            </w:r>
            <w:r>
              <w:rPr>
                <w:rFonts w:cs="宋体"/>
                <w:color w:val="0D0D0D" w:themeColor="text1" w:themeTint="F2"/>
                <w:szCs w:val="21"/>
                <w14:textFill>
                  <w14:solidFill>
                    <w14:schemeClr w14:val="tx1">
                      <w14:lumMod w14:val="95000"/>
                      <w14:lumOff w14:val="5000"/>
                    </w14:schemeClr>
                  </w14:solidFill>
                </w14:textFill>
              </w:rPr>
              <w:t>-N</w:t>
            </w:r>
            <w:r>
              <w:rPr>
                <w:rFonts w:hint="eastAsia" w:cs="宋体"/>
                <w:color w:val="0D0D0D" w:themeColor="text1" w:themeTint="F2"/>
                <w:szCs w:val="21"/>
                <w14:textFill>
                  <w14:solidFill>
                    <w14:schemeClr w14:val="tx1">
                      <w14:lumMod w14:val="95000"/>
                      <w14:lumOff w14:val="5000"/>
                    </w14:schemeClr>
                  </w14:solidFill>
                </w14:textFill>
              </w:rPr>
              <w:t>、动植物油</w:t>
            </w:r>
          </w:p>
        </w:tc>
        <w:tc>
          <w:tcPr>
            <w:tcW w:w="1044" w:type="pct"/>
            <w:vAlign w:val="center"/>
          </w:tcPr>
          <w:p w14:paraId="1C7D7E11">
            <w:pPr>
              <w:adjustRightInd w:val="0"/>
              <w:snapToGrid w:val="0"/>
              <w:rPr>
                <w:bCs/>
                <w:color w:val="0D0D0D" w:themeColor="text1" w:themeTint="F2"/>
                <w:szCs w:val="21"/>
                <w14:textFill>
                  <w14:solidFill>
                    <w14:schemeClr w14:val="tx1">
                      <w14:lumMod w14:val="95000"/>
                      <w14:lumOff w14:val="5000"/>
                    </w14:schemeClr>
                  </w14:solidFill>
                </w14:textFill>
              </w:rPr>
            </w:pPr>
            <w:r>
              <w:rPr>
                <w:rFonts w:hint="eastAsia"/>
                <w:bCs/>
                <w:color w:val="0D0D0D" w:themeColor="text1" w:themeTint="F2"/>
                <w:szCs w:val="21"/>
                <w14:textFill>
                  <w14:solidFill>
                    <w14:schemeClr w14:val="tx1">
                      <w14:lumMod w14:val="95000"/>
                      <w14:lumOff w14:val="5000"/>
                    </w14:schemeClr>
                  </w14:solidFill>
                </w14:textFill>
              </w:rPr>
              <w:t>经三级化粪池处理后排入园区市政污水管网，由钦州胜科水务有限公司污水处理厂进一步处理</w:t>
            </w:r>
          </w:p>
        </w:tc>
        <w:tc>
          <w:tcPr>
            <w:tcW w:w="1311" w:type="pct"/>
            <w:vAlign w:val="center"/>
          </w:tcPr>
          <w:p w14:paraId="155A1624">
            <w:pPr>
              <w:adjustRightInd w:val="0"/>
              <w:snapToGrid w:val="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《污水综合排放标准》（GB8978-1996）三级标准和钦州胜科水务有限公司污水处理厂纳管标准较严值</w:t>
            </w:r>
          </w:p>
        </w:tc>
      </w:tr>
      <w:tr w14:paraId="723D61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58" w:type="pct"/>
            <w:vAlign w:val="center"/>
          </w:tcPr>
          <w:p w14:paraId="7051B5F9">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声环境</w:t>
            </w:r>
          </w:p>
        </w:tc>
        <w:tc>
          <w:tcPr>
            <w:tcW w:w="884" w:type="pct"/>
            <w:vAlign w:val="center"/>
          </w:tcPr>
          <w:p w14:paraId="09BEF7E3">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生产设备</w:t>
            </w:r>
          </w:p>
        </w:tc>
        <w:tc>
          <w:tcPr>
            <w:tcW w:w="803" w:type="pct"/>
            <w:vAlign w:val="center"/>
          </w:tcPr>
          <w:p w14:paraId="7E387EA0">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等效连续A声级</w:t>
            </w:r>
          </w:p>
        </w:tc>
        <w:tc>
          <w:tcPr>
            <w:tcW w:w="1044" w:type="pct"/>
            <w:vAlign w:val="center"/>
          </w:tcPr>
          <w:p w14:paraId="585EC50C">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厂房隔声等</w:t>
            </w:r>
          </w:p>
        </w:tc>
        <w:tc>
          <w:tcPr>
            <w:tcW w:w="1311" w:type="pct"/>
            <w:vAlign w:val="center"/>
          </w:tcPr>
          <w:p w14:paraId="46BA4031">
            <w:pPr>
              <w:adjustRightInd w:val="0"/>
              <w:snapToGrid w:val="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w:t>
            </w:r>
            <w:r>
              <w:rPr>
                <w:rFonts w:cs="宋体"/>
                <w:color w:val="0D0D0D" w:themeColor="text1" w:themeTint="F2"/>
                <w:szCs w:val="21"/>
                <w14:textFill>
                  <w14:solidFill>
                    <w14:schemeClr w14:val="tx1">
                      <w14:lumMod w14:val="95000"/>
                      <w14:lumOff w14:val="5000"/>
                    </w14:schemeClr>
                  </w14:solidFill>
                </w14:textFill>
              </w:rPr>
              <w:t>工业企业厂界环境噪声排放标准》（GB12348-2008）</w:t>
            </w:r>
            <w:r>
              <w:rPr>
                <w:rFonts w:hint="eastAsia" w:cs="宋体"/>
                <w:color w:val="0D0D0D" w:themeColor="text1" w:themeTint="F2"/>
                <w:szCs w:val="21"/>
                <w14:textFill>
                  <w14:solidFill>
                    <w14:schemeClr w14:val="tx1">
                      <w14:lumMod w14:val="95000"/>
                      <w14:lumOff w14:val="5000"/>
                    </w14:schemeClr>
                  </w14:solidFill>
                </w14:textFill>
              </w:rPr>
              <w:t>3</w:t>
            </w:r>
            <w:r>
              <w:rPr>
                <w:rFonts w:cs="宋体"/>
                <w:color w:val="0D0D0D" w:themeColor="text1" w:themeTint="F2"/>
                <w:szCs w:val="21"/>
                <w14:textFill>
                  <w14:solidFill>
                    <w14:schemeClr w14:val="tx1">
                      <w14:lumMod w14:val="95000"/>
                      <w14:lumOff w14:val="5000"/>
                    </w14:schemeClr>
                  </w14:solidFill>
                </w14:textFill>
              </w:rPr>
              <w:t>类</w:t>
            </w:r>
            <w:r>
              <w:rPr>
                <w:rFonts w:hint="eastAsia" w:cs="宋体"/>
                <w:color w:val="0D0D0D" w:themeColor="text1" w:themeTint="F2"/>
                <w:szCs w:val="21"/>
                <w14:textFill>
                  <w14:solidFill>
                    <w14:schemeClr w14:val="tx1">
                      <w14:lumMod w14:val="95000"/>
                      <w14:lumOff w14:val="5000"/>
                    </w14:schemeClr>
                  </w14:solidFill>
                </w14:textFill>
              </w:rPr>
              <w:t>和4类</w:t>
            </w:r>
            <w:r>
              <w:rPr>
                <w:rFonts w:cs="宋体"/>
                <w:color w:val="0D0D0D" w:themeColor="text1" w:themeTint="F2"/>
                <w:szCs w:val="21"/>
                <w14:textFill>
                  <w14:solidFill>
                    <w14:schemeClr w14:val="tx1">
                      <w14:lumMod w14:val="95000"/>
                      <w14:lumOff w14:val="5000"/>
                    </w14:schemeClr>
                  </w14:solidFill>
                </w14:textFill>
              </w:rPr>
              <w:t>标准</w:t>
            </w:r>
          </w:p>
        </w:tc>
      </w:tr>
      <w:tr w14:paraId="18B957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58" w:type="pct"/>
            <w:vAlign w:val="center"/>
          </w:tcPr>
          <w:p w14:paraId="37D92DCC">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电磁辐射</w:t>
            </w:r>
          </w:p>
        </w:tc>
        <w:tc>
          <w:tcPr>
            <w:tcW w:w="884" w:type="pct"/>
            <w:vAlign w:val="center"/>
          </w:tcPr>
          <w:p w14:paraId="21BEC001">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w:t>
            </w:r>
          </w:p>
        </w:tc>
        <w:tc>
          <w:tcPr>
            <w:tcW w:w="803" w:type="pct"/>
            <w:vAlign w:val="center"/>
          </w:tcPr>
          <w:p w14:paraId="2DD8B87C">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w:t>
            </w:r>
          </w:p>
        </w:tc>
        <w:tc>
          <w:tcPr>
            <w:tcW w:w="1044" w:type="pct"/>
            <w:vAlign w:val="center"/>
          </w:tcPr>
          <w:p w14:paraId="6E2A49E1">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w:t>
            </w:r>
          </w:p>
        </w:tc>
        <w:tc>
          <w:tcPr>
            <w:tcW w:w="1311" w:type="pct"/>
            <w:vAlign w:val="center"/>
          </w:tcPr>
          <w:p w14:paraId="67613EF6">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w:t>
            </w:r>
          </w:p>
        </w:tc>
      </w:tr>
      <w:tr w14:paraId="490949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958" w:type="pct"/>
            <w:vAlign w:val="center"/>
          </w:tcPr>
          <w:p w14:paraId="196D3DE3">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固体废物</w:t>
            </w:r>
          </w:p>
        </w:tc>
        <w:tc>
          <w:tcPr>
            <w:tcW w:w="4042" w:type="pct"/>
            <w:gridSpan w:val="4"/>
            <w:vAlign w:val="center"/>
          </w:tcPr>
          <w:p w14:paraId="4BA9E535">
            <w:pPr>
              <w:adjustRightInd w:val="0"/>
              <w:snapToGrid w:val="0"/>
              <w:rPr>
                <w:rFonts w:cs="宋体"/>
                <w:color w:val="0D0D0D" w:themeColor="text1" w:themeTint="F2"/>
                <w:szCs w:val="21"/>
                <w:u w:val="single"/>
                <w14:textFill>
                  <w14:solidFill>
                    <w14:schemeClr w14:val="tx1">
                      <w14:lumMod w14:val="95000"/>
                      <w14:lumOff w14:val="5000"/>
                    </w14:schemeClr>
                  </w14:solidFill>
                </w14:textFill>
              </w:rPr>
            </w:pPr>
            <w:r>
              <w:rPr>
                <w:rFonts w:hint="eastAsia" w:cs="宋体"/>
                <w:color w:val="0D0D0D" w:themeColor="text1" w:themeTint="F2"/>
                <w:szCs w:val="21"/>
                <w:u w:val="single"/>
                <w14:textFill>
                  <w14:solidFill>
                    <w14:schemeClr w14:val="tx1">
                      <w14:lumMod w14:val="95000"/>
                      <w14:lumOff w14:val="5000"/>
                    </w14:schemeClr>
                  </w14:solidFill>
                </w14:textFill>
              </w:rPr>
              <w:t>①生活垃圾集中分类收集后由环卫部门清运处置。</w:t>
            </w:r>
          </w:p>
          <w:p w14:paraId="096F898B">
            <w:pPr>
              <w:adjustRightInd w:val="0"/>
              <w:snapToGrid w:val="0"/>
              <w:rPr>
                <w:rFonts w:cs="宋体"/>
                <w:color w:val="0D0D0D" w:themeColor="text1" w:themeTint="F2"/>
                <w:szCs w:val="21"/>
                <w:u w:val="single"/>
                <w14:textFill>
                  <w14:solidFill>
                    <w14:schemeClr w14:val="tx1">
                      <w14:lumMod w14:val="95000"/>
                      <w14:lumOff w14:val="5000"/>
                    </w14:schemeClr>
                  </w14:solidFill>
                </w14:textFill>
              </w:rPr>
            </w:pPr>
            <w:r>
              <w:rPr>
                <w:rFonts w:hint="eastAsia" w:cs="宋体"/>
                <w:color w:val="0D0D0D" w:themeColor="text1" w:themeTint="F2"/>
                <w:szCs w:val="21"/>
                <w:u w:val="single"/>
                <w14:textFill>
                  <w14:solidFill>
                    <w14:schemeClr w14:val="tx1">
                      <w14:lumMod w14:val="95000"/>
                      <w14:lumOff w14:val="5000"/>
                    </w14:schemeClr>
                  </w14:solidFill>
                </w14:textFill>
              </w:rPr>
              <w:t>②不合格钢材由厂家带走处置；除尘设备废滤芯、除尘器收集粉尘、废钢丸暂存在一般固废暂存间，定期外售第三方单位资源化回收利用。</w:t>
            </w:r>
          </w:p>
          <w:p w14:paraId="070795C5">
            <w:pPr>
              <w:adjustRightInd w:val="0"/>
              <w:snapToGrid w:val="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u w:val="single"/>
                <w14:textFill>
                  <w14:solidFill>
                    <w14:schemeClr w14:val="tx1">
                      <w14:lumMod w14:val="95000"/>
                      <w14:lumOff w14:val="5000"/>
                    </w14:schemeClr>
                  </w14:solidFill>
                </w14:textFill>
              </w:rPr>
              <w:t>③废油漆桶、漆渣、废过滤棉、废活性炭、废机油、废含油抹布和劳保用品暂存于危废暂存间，委托有资质单位清运处置。</w:t>
            </w:r>
          </w:p>
        </w:tc>
      </w:tr>
      <w:tr w14:paraId="13967A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6" w:hRule="atLeast"/>
          <w:jc w:val="center"/>
        </w:trPr>
        <w:tc>
          <w:tcPr>
            <w:tcW w:w="958" w:type="pct"/>
            <w:vAlign w:val="center"/>
          </w:tcPr>
          <w:p w14:paraId="04520662">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土壤及地下水</w:t>
            </w:r>
          </w:p>
          <w:p w14:paraId="59CB8AC8">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污染防治措施</w:t>
            </w:r>
          </w:p>
        </w:tc>
        <w:tc>
          <w:tcPr>
            <w:tcW w:w="4042" w:type="pct"/>
            <w:gridSpan w:val="4"/>
            <w:vAlign w:val="center"/>
          </w:tcPr>
          <w:p w14:paraId="709808CC">
            <w:pPr>
              <w:adjustRightInd w:val="0"/>
              <w:snapToGrid w:val="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分区防渗，加强生产管理及环境风险排查，制定突发</w:t>
            </w:r>
            <w:r>
              <w:rPr>
                <w:rFonts w:hint="eastAsia" w:cs="宋体"/>
                <w:color w:val="0D0D0D" w:themeColor="text1" w:themeTint="F2"/>
                <w:szCs w:val="21"/>
                <w:lang w:eastAsia="zh-CN"/>
                <w14:textFill>
                  <w14:solidFill>
                    <w14:schemeClr w14:val="tx1">
                      <w14:lumMod w14:val="95000"/>
                      <w14:lumOff w14:val="5000"/>
                    </w14:schemeClr>
                  </w14:solidFill>
                </w14:textFill>
              </w:rPr>
              <w:t>环境</w:t>
            </w:r>
            <w:r>
              <w:rPr>
                <w:rFonts w:hint="eastAsia" w:cs="宋体"/>
                <w:color w:val="0D0D0D" w:themeColor="text1" w:themeTint="F2"/>
                <w:szCs w:val="21"/>
                <w14:textFill>
                  <w14:solidFill>
                    <w14:schemeClr w14:val="tx1">
                      <w14:lumMod w14:val="95000"/>
                      <w14:lumOff w14:val="5000"/>
                    </w14:schemeClr>
                  </w14:solidFill>
                </w14:textFill>
              </w:rPr>
              <w:t>应急预案，配备环境风险应急物资等</w:t>
            </w:r>
          </w:p>
        </w:tc>
      </w:tr>
      <w:tr w14:paraId="59AC6A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1" w:hRule="atLeast"/>
          <w:jc w:val="center"/>
        </w:trPr>
        <w:tc>
          <w:tcPr>
            <w:tcW w:w="958" w:type="pct"/>
            <w:vAlign w:val="center"/>
          </w:tcPr>
          <w:p w14:paraId="0EF06009">
            <w:pPr>
              <w:adjustRightInd w:val="0"/>
              <w:snapToGrid w:val="0"/>
              <w:jc w:val="center"/>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生态保护措施</w:t>
            </w:r>
          </w:p>
        </w:tc>
        <w:tc>
          <w:tcPr>
            <w:tcW w:w="4042" w:type="pct"/>
            <w:gridSpan w:val="4"/>
            <w:vAlign w:val="center"/>
          </w:tcPr>
          <w:p w14:paraId="36A100E7">
            <w:pPr>
              <w:adjustRightInd w:val="0"/>
              <w:snapToGrid w:val="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加强废气、废水和固体废物的污染防治措施，保证各项污染物达标排放，减轻生态环境不利影响</w:t>
            </w:r>
          </w:p>
        </w:tc>
      </w:tr>
      <w:tr w14:paraId="1A79B3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958" w:type="pct"/>
            <w:vAlign w:val="center"/>
          </w:tcPr>
          <w:p w14:paraId="4675B66D">
            <w:pPr>
              <w:adjustRightInd w:val="0"/>
              <w:snapToGrid w:val="0"/>
              <w:jc w:val="center"/>
              <w:rPr>
                <w:rFonts w:cs="宋体"/>
                <w:color w:val="0D0D0D" w:themeColor="text1" w:themeTint="F2"/>
                <w:spacing w:val="-8"/>
                <w:szCs w:val="21"/>
                <w14:textFill>
                  <w14:solidFill>
                    <w14:schemeClr w14:val="tx1">
                      <w14:lumMod w14:val="95000"/>
                      <w14:lumOff w14:val="5000"/>
                    </w14:schemeClr>
                  </w14:solidFill>
                </w14:textFill>
              </w:rPr>
            </w:pPr>
            <w:r>
              <w:rPr>
                <w:rFonts w:hint="eastAsia" w:cs="宋体"/>
                <w:color w:val="0D0D0D" w:themeColor="text1" w:themeTint="F2"/>
                <w:spacing w:val="-8"/>
                <w:szCs w:val="21"/>
                <w14:textFill>
                  <w14:solidFill>
                    <w14:schemeClr w14:val="tx1">
                      <w14:lumMod w14:val="95000"/>
                      <w14:lumOff w14:val="5000"/>
                    </w14:schemeClr>
                  </w14:solidFill>
                </w14:textFill>
              </w:rPr>
              <w:t>环境风险</w:t>
            </w:r>
          </w:p>
          <w:p w14:paraId="2CE459E0">
            <w:pPr>
              <w:adjustRightInd w:val="0"/>
              <w:snapToGrid w:val="0"/>
              <w:jc w:val="center"/>
              <w:rPr>
                <w:rFonts w:cs="宋体"/>
                <w:color w:val="0D0D0D" w:themeColor="text1" w:themeTint="F2"/>
                <w:spacing w:val="-8"/>
                <w:szCs w:val="21"/>
                <w14:textFill>
                  <w14:solidFill>
                    <w14:schemeClr w14:val="tx1">
                      <w14:lumMod w14:val="95000"/>
                      <w14:lumOff w14:val="5000"/>
                    </w14:schemeClr>
                  </w14:solidFill>
                </w14:textFill>
              </w:rPr>
            </w:pPr>
            <w:r>
              <w:rPr>
                <w:rFonts w:hint="eastAsia" w:cs="宋体"/>
                <w:color w:val="0D0D0D" w:themeColor="text1" w:themeTint="F2"/>
                <w:spacing w:val="-8"/>
                <w:szCs w:val="21"/>
                <w14:textFill>
                  <w14:solidFill>
                    <w14:schemeClr w14:val="tx1">
                      <w14:lumMod w14:val="95000"/>
                      <w14:lumOff w14:val="5000"/>
                    </w14:schemeClr>
                  </w14:solidFill>
                </w14:textFill>
              </w:rPr>
              <w:t>防范措施</w:t>
            </w:r>
          </w:p>
        </w:tc>
        <w:tc>
          <w:tcPr>
            <w:tcW w:w="4042" w:type="pct"/>
            <w:gridSpan w:val="4"/>
            <w:vAlign w:val="center"/>
          </w:tcPr>
          <w:p w14:paraId="4F58BDE4">
            <w:pPr>
              <w:adjustRightInd w:val="0"/>
              <w:snapToGrid w:val="0"/>
              <w:ind w:firstLine="420" w:firstLineChars="200"/>
              <w:rPr>
                <w:rFonts w:cs="宋体"/>
                <w:bCs/>
                <w:color w:val="0D0D0D" w:themeColor="text1" w:themeTint="F2"/>
                <w:szCs w:val="21"/>
                <w14:textFill>
                  <w14:solidFill>
                    <w14:schemeClr w14:val="tx1">
                      <w14:lumMod w14:val="95000"/>
                      <w14:lumOff w14:val="5000"/>
                    </w14:schemeClr>
                  </w14:solidFill>
                </w14:textFill>
              </w:rPr>
            </w:pPr>
            <w:r>
              <w:rPr>
                <w:rFonts w:cs="宋体"/>
                <w:bCs/>
                <w:color w:val="0D0D0D" w:themeColor="text1" w:themeTint="F2"/>
                <w:szCs w:val="21"/>
                <w14:textFill>
                  <w14:solidFill>
                    <w14:schemeClr w14:val="tx1">
                      <w14:lumMod w14:val="95000"/>
                      <w14:lumOff w14:val="5000"/>
                    </w14:schemeClr>
                  </w14:solidFill>
                </w14:textFill>
              </w:rPr>
              <w:t>建设单位组建环保管理机构，配备管理人员，通过技能培训，承担公司运行后的环保工作。根据公司的管理要求，结合国家环境管理要求及项目当地的具体情况，制定公司的各项突发环境事件应急预案、严格的生产操作规则和完善的事故应急计划及相应的应急处理手段和设施，同时加强安全教育，定期进行演练，以提高职工的安全意识和应急能力。</w:t>
            </w:r>
          </w:p>
        </w:tc>
      </w:tr>
      <w:tr w14:paraId="719414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958" w:type="pct"/>
            <w:vAlign w:val="center"/>
          </w:tcPr>
          <w:p w14:paraId="49EE4072">
            <w:pPr>
              <w:adjustRightInd w:val="0"/>
              <w:snapToGrid w:val="0"/>
              <w:jc w:val="center"/>
              <w:rPr>
                <w:rFonts w:cs="宋体"/>
                <w:color w:val="0D0D0D" w:themeColor="text1" w:themeTint="F2"/>
                <w:spacing w:val="-8"/>
                <w:szCs w:val="21"/>
                <w14:textFill>
                  <w14:solidFill>
                    <w14:schemeClr w14:val="tx1">
                      <w14:lumMod w14:val="95000"/>
                      <w14:lumOff w14:val="5000"/>
                    </w14:schemeClr>
                  </w14:solidFill>
                </w14:textFill>
              </w:rPr>
            </w:pPr>
            <w:r>
              <w:rPr>
                <w:rFonts w:hint="eastAsia" w:cs="宋体"/>
                <w:color w:val="0D0D0D" w:themeColor="text1" w:themeTint="F2"/>
                <w:spacing w:val="-8"/>
                <w:szCs w:val="21"/>
                <w14:textFill>
                  <w14:solidFill>
                    <w14:schemeClr w14:val="tx1">
                      <w14:lumMod w14:val="95000"/>
                      <w14:lumOff w14:val="5000"/>
                    </w14:schemeClr>
                  </w14:solidFill>
                </w14:textFill>
              </w:rPr>
              <w:t>其他环境</w:t>
            </w:r>
          </w:p>
          <w:p w14:paraId="542B3E63">
            <w:pPr>
              <w:adjustRightInd w:val="0"/>
              <w:snapToGrid w:val="0"/>
              <w:jc w:val="center"/>
              <w:rPr>
                <w:rFonts w:cs="宋体"/>
                <w:color w:val="0D0D0D" w:themeColor="text1" w:themeTint="F2"/>
                <w:spacing w:val="-8"/>
                <w:szCs w:val="21"/>
                <w14:textFill>
                  <w14:solidFill>
                    <w14:schemeClr w14:val="tx1">
                      <w14:lumMod w14:val="95000"/>
                      <w14:lumOff w14:val="5000"/>
                    </w14:schemeClr>
                  </w14:solidFill>
                </w14:textFill>
              </w:rPr>
            </w:pPr>
            <w:r>
              <w:rPr>
                <w:rFonts w:hint="eastAsia" w:cs="宋体"/>
                <w:color w:val="0D0D0D" w:themeColor="text1" w:themeTint="F2"/>
                <w:spacing w:val="-8"/>
                <w:szCs w:val="21"/>
                <w14:textFill>
                  <w14:solidFill>
                    <w14:schemeClr w14:val="tx1">
                      <w14:lumMod w14:val="95000"/>
                      <w14:lumOff w14:val="5000"/>
                    </w14:schemeClr>
                  </w14:solidFill>
                </w14:textFill>
              </w:rPr>
              <w:t>管理要求</w:t>
            </w:r>
          </w:p>
        </w:tc>
        <w:tc>
          <w:tcPr>
            <w:tcW w:w="4042" w:type="pct"/>
            <w:gridSpan w:val="4"/>
            <w:vAlign w:val="center"/>
          </w:tcPr>
          <w:p w14:paraId="1A05482A">
            <w:pPr>
              <w:adjustRightInd w:val="0"/>
              <w:snapToGrid w:val="0"/>
              <w:ind w:firstLine="420" w:firstLineChars="20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①</w:t>
            </w:r>
            <w:r>
              <w:rPr>
                <w:rFonts w:cs="宋体"/>
                <w:color w:val="0D0D0D" w:themeColor="text1" w:themeTint="F2"/>
                <w:szCs w:val="21"/>
                <w14:textFill>
                  <w14:solidFill>
                    <w14:schemeClr w14:val="tx1">
                      <w14:lumMod w14:val="95000"/>
                      <w14:lumOff w14:val="5000"/>
                    </w14:schemeClr>
                  </w14:solidFill>
                </w14:textFill>
              </w:rPr>
              <w:t>设置专职环境管理人员，提高环境管理人员的环保素质和意识；加强环境保护宣传教育，提高职工环保意识。</w:t>
            </w:r>
          </w:p>
          <w:p w14:paraId="57AE31D2">
            <w:pPr>
              <w:adjustRightInd w:val="0"/>
              <w:snapToGrid w:val="0"/>
              <w:ind w:firstLine="420" w:firstLineChars="20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②</w:t>
            </w:r>
            <w:r>
              <w:rPr>
                <w:rFonts w:cs="宋体"/>
                <w:color w:val="0D0D0D" w:themeColor="text1" w:themeTint="F2"/>
                <w:szCs w:val="21"/>
                <w14:textFill>
                  <w14:solidFill>
                    <w14:schemeClr w14:val="tx1">
                      <w14:lumMod w14:val="95000"/>
                      <w14:lumOff w14:val="5000"/>
                    </w14:schemeClr>
                  </w14:solidFill>
                </w14:textFill>
              </w:rPr>
              <w:t>严格执行环境影响评价制度和</w:t>
            </w:r>
            <w:r>
              <w:rPr>
                <w:rFonts w:hint="eastAsia" w:cs="宋体"/>
                <w:color w:val="0D0D0D" w:themeColor="text1" w:themeTint="F2"/>
                <w:szCs w:val="21"/>
                <w14:textFill>
                  <w14:solidFill>
                    <w14:schemeClr w14:val="tx1">
                      <w14:lumMod w14:val="95000"/>
                      <w14:lumOff w14:val="5000"/>
                    </w14:schemeClr>
                  </w14:solidFill>
                </w14:textFill>
              </w:rPr>
              <w:t>“</w:t>
            </w:r>
            <w:r>
              <w:rPr>
                <w:rFonts w:cs="宋体"/>
                <w:color w:val="0D0D0D" w:themeColor="text1" w:themeTint="F2"/>
                <w:szCs w:val="21"/>
                <w14:textFill>
                  <w14:solidFill>
                    <w14:schemeClr w14:val="tx1">
                      <w14:lumMod w14:val="95000"/>
                      <w14:lumOff w14:val="5000"/>
                    </w14:schemeClr>
                  </w14:solidFill>
                </w14:textFill>
              </w:rPr>
              <w:t>三同时</w:t>
            </w:r>
            <w:r>
              <w:rPr>
                <w:rFonts w:hint="eastAsia" w:cs="宋体"/>
                <w:color w:val="0D0D0D" w:themeColor="text1" w:themeTint="F2"/>
                <w:szCs w:val="21"/>
                <w14:textFill>
                  <w14:solidFill>
                    <w14:schemeClr w14:val="tx1">
                      <w14:lumMod w14:val="95000"/>
                      <w14:lumOff w14:val="5000"/>
                    </w14:schemeClr>
                  </w14:solidFill>
                </w14:textFill>
              </w:rPr>
              <w:t>”</w:t>
            </w:r>
            <w:r>
              <w:rPr>
                <w:rFonts w:cs="宋体"/>
                <w:color w:val="0D0D0D" w:themeColor="text1" w:themeTint="F2"/>
                <w:szCs w:val="21"/>
                <w14:textFill>
                  <w14:solidFill>
                    <w14:schemeClr w14:val="tx1">
                      <w14:lumMod w14:val="95000"/>
                      <w14:lumOff w14:val="5000"/>
                    </w14:schemeClr>
                  </w14:solidFill>
                </w14:textFill>
              </w:rPr>
              <w:t>制度，确保污染得到有效预防及控制。</w:t>
            </w:r>
          </w:p>
          <w:p w14:paraId="50BA38D4">
            <w:pPr>
              <w:adjustRightInd w:val="0"/>
              <w:snapToGrid w:val="0"/>
              <w:ind w:firstLine="420" w:firstLineChars="20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③</w:t>
            </w:r>
            <w:r>
              <w:rPr>
                <w:rFonts w:cs="宋体"/>
                <w:color w:val="0D0D0D" w:themeColor="text1" w:themeTint="F2"/>
                <w:szCs w:val="21"/>
                <w14:textFill>
                  <w14:solidFill>
                    <w14:schemeClr w14:val="tx1">
                      <w14:lumMod w14:val="95000"/>
                      <w14:lumOff w14:val="5000"/>
                    </w14:schemeClr>
                  </w14:solidFill>
                </w14:textFill>
              </w:rPr>
              <w:t>实行环境管理制度，对各项污染防治措施进行有效监督管理，明确各项污染物达标情况。</w:t>
            </w:r>
          </w:p>
          <w:p w14:paraId="1322FA4E">
            <w:pPr>
              <w:adjustRightInd w:val="0"/>
              <w:snapToGrid w:val="0"/>
              <w:ind w:firstLine="420" w:firstLineChars="20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④</w:t>
            </w:r>
            <w:r>
              <w:rPr>
                <w:rFonts w:cs="宋体"/>
                <w:color w:val="0D0D0D" w:themeColor="text1" w:themeTint="F2"/>
                <w:szCs w:val="21"/>
                <w14:textFill>
                  <w14:solidFill>
                    <w14:schemeClr w14:val="tx1">
                      <w14:lumMod w14:val="95000"/>
                      <w14:lumOff w14:val="5000"/>
                    </w14:schemeClr>
                  </w14:solidFill>
                </w14:textFill>
              </w:rPr>
              <w:t>建立环境保护管理台账，定期检查项目环境保护措施执行情况，定期进行环境保护信息公开。</w:t>
            </w:r>
          </w:p>
          <w:p w14:paraId="3FE93B48">
            <w:pPr>
              <w:adjustRightInd w:val="0"/>
              <w:snapToGrid w:val="0"/>
              <w:ind w:firstLine="420" w:firstLineChars="200"/>
              <w:rPr>
                <w:rFonts w:cs="宋体"/>
                <w:color w:val="0D0D0D" w:themeColor="text1" w:themeTint="F2"/>
                <w:szCs w:val="21"/>
                <w14:textFill>
                  <w14:solidFill>
                    <w14:schemeClr w14:val="tx1">
                      <w14:lumMod w14:val="95000"/>
                      <w14:lumOff w14:val="5000"/>
                    </w14:schemeClr>
                  </w14:solidFill>
                </w14:textFill>
              </w:rPr>
            </w:pPr>
            <w:r>
              <w:rPr>
                <w:rFonts w:hint="eastAsia" w:cs="宋体"/>
                <w:color w:val="0D0D0D" w:themeColor="text1" w:themeTint="F2"/>
                <w:szCs w:val="21"/>
                <w14:textFill>
                  <w14:solidFill>
                    <w14:schemeClr w14:val="tx1">
                      <w14:lumMod w14:val="95000"/>
                      <w14:lumOff w14:val="5000"/>
                    </w14:schemeClr>
                  </w14:solidFill>
                </w14:textFill>
              </w:rPr>
              <w:t>⑤</w:t>
            </w:r>
            <w:r>
              <w:rPr>
                <w:rFonts w:cs="宋体"/>
                <w:color w:val="0D0D0D" w:themeColor="text1" w:themeTint="F2"/>
                <w:szCs w:val="21"/>
                <w14:textFill>
                  <w14:solidFill>
                    <w14:schemeClr w14:val="tx1">
                      <w14:lumMod w14:val="95000"/>
                      <w14:lumOff w14:val="5000"/>
                    </w14:schemeClr>
                  </w14:solidFill>
                </w14:textFill>
              </w:rPr>
              <w:t>根据国家排污许可制度，在投入生产或使用并产生实际排污行为之前落实排污许可，合法排污。</w:t>
            </w:r>
          </w:p>
        </w:tc>
      </w:tr>
    </w:tbl>
    <w:p w14:paraId="58EE8F34">
      <w:pPr>
        <w:pStyle w:val="18"/>
        <w:jc w:val="center"/>
        <w:outlineLvl w:val="0"/>
        <w:rPr>
          <w:rFonts w:ascii="Times New Roman" w:hAnsi="Times New Roman"/>
          <w:snapToGrid w:val="0"/>
          <w:color w:val="0D0D0D" w:themeColor="text1" w:themeTint="F2"/>
          <w:sz w:val="30"/>
          <w:szCs w:val="30"/>
          <w14:textFill>
            <w14:solidFill>
              <w14:schemeClr w14:val="tx1">
                <w14:lumMod w14:val="95000"/>
                <w14:lumOff w14:val="5000"/>
              </w14:schemeClr>
            </w14:solidFill>
          </w14:textFill>
        </w:rPr>
      </w:pPr>
      <w:r>
        <w:rPr>
          <w:rFonts w:ascii="Times New Roman" w:hAnsi="Times New Roman"/>
          <w:snapToGrid w:val="0"/>
          <w:color w:val="0D0D0D" w:themeColor="text1" w:themeTint="F2"/>
          <w14:textFill>
            <w14:solidFill>
              <w14:schemeClr w14:val="tx1">
                <w14:lumMod w14:val="95000"/>
                <w14:lumOff w14:val="5000"/>
              </w14:schemeClr>
            </w14:solidFill>
          </w14:textFill>
        </w:rPr>
        <w:br w:type="page"/>
      </w:r>
      <w:bookmarkStart w:id="13" w:name="_Toc136522028"/>
      <w:r>
        <w:rPr>
          <w:rFonts w:hint="eastAsia" w:ascii="Times New Roman" w:hAnsi="Times New Roman"/>
          <w:snapToGrid w:val="0"/>
          <w:color w:val="0D0D0D" w:themeColor="text1" w:themeTint="F2"/>
          <w:sz w:val="30"/>
          <w:szCs w:val="30"/>
          <w14:textFill>
            <w14:solidFill>
              <w14:schemeClr w14:val="tx1">
                <w14:lumMod w14:val="95000"/>
                <w14:lumOff w14:val="5000"/>
              </w14:schemeClr>
            </w14:solidFill>
          </w14:textFill>
        </w:rPr>
        <w:t>六、结论</w:t>
      </w:r>
      <w:bookmarkEnd w:id="13"/>
    </w:p>
    <w:tbl>
      <w:tblPr>
        <w:tblStyle w:val="2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284317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494" w:hRule="atLeast"/>
          <w:jc w:val="center"/>
        </w:trPr>
        <w:tc>
          <w:tcPr>
            <w:tcW w:w="8865" w:type="dxa"/>
          </w:tcPr>
          <w:p w14:paraId="52F8A79D">
            <w:pPr>
              <w:spacing w:line="360" w:lineRule="auto"/>
              <w:ind w:firstLine="480" w:firstLineChars="200"/>
              <w:rPr>
                <w:rFonts w:cs="宋体"/>
                <w:color w:val="0D0D0D" w:themeColor="text1" w:themeTint="F2"/>
                <w:sz w:val="24"/>
                <w14:textFill>
                  <w14:solidFill>
                    <w14:schemeClr w14:val="tx1">
                      <w14:lumMod w14:val="95000"/>
                      <w14:lumOff w14:val="5000"/>
                    </w14:schemeClr>
                  </w14:solidFill>
                </w14:textFill>
              </w:rPr>
            </w:pPr>
            <w:r>
              <w:rPr>
                <w:rFonts w:cs="宋体"/>
                <w:color w:val="0D0D0D" w:themeColor="text1" w:themeTint="F2"/>
                <w:sz w:val="24"/>
                <w14:textFill>
                  <w14:solidFill>
                    <w14:schemeClr w14:val="tx1">
                      <w14:lumMod w14:val="95000"/>
                      <w14:lumOff w14:val="5000"/>
                    </w14:schemeClr>
                  </w14:solidFill>
                </w14:textFill>
              </w:rPr>
              <w:t>项目</w:t>
            </w:r>
            <w:r>
              <w:rPr>
                <w:rFonts w:hint="eastAsia" w:cs="宋体"/>
                <w:color w:val="0D0D0D" w:themeColor="text1" w:themeTint="F2"/>
                <w:sz w:val="24"/>
                <w14:textFill>
                  <w14:solidFill>
                    <w14:schemeClr w14:val="tx1">
                      <w14:lumMod w14:val="95000"/>
                      <w14:lumOff w14:val="5000"/>
                    </w14:schemeClr>
                  </w14:solidFill>
                </w14:textFill>
              </w:rPr>
              <w:t>建设</w:t>
            </w:r>
            <w:r>
              <w:rPr>
                <w:rFonts w:cs="宋体"/>
                <w:color w:val="0D0D0D" w:themeColor="text1" w:themeTint="F2"/>
                <w:sz w:val="24"/>
                <w14:textFill>
                  <w14:solidFill>
                    <w14:schemeClr w14:val="tx1">
                      <w14:lumMod w14:val="95000"/>
                      <w14:lumOff w14:val="5000"/>
                    </w14:schemeClr>
                  </w14:solidFill>
                </w14:textFill>
              </w:rPr>
              <w:t>符合国家产业政策，选址符合</w:t>
            </w:r>
            <w:r>
              <w:rPr>
                <w:rFonts w:hint="eastAsia" w:cs="宋体"/>
                <w:color w:val="0D0D0D" w:themeColor="text1" w:themeTint="F2"/>
                <w:sz w:val="24"/>
                <w14:textFill>
                  <w14:solidFill>
                    <w14:schemeClr w14:val="tx1">
                      <w14:lumMod w14:val="95000"/>
                      <w14:lumOff w14:val="5000"/>
                    </w14:schemeClr>
                  </w14:solidFill>
                </w14:textFill>
              </w:rPr>
              <w:t>国土空间</w:t>
            </w:r>
            <w:r>
              <w:rPr>
                <w:rFonts w:cs="宋体"/>
                <w:color w:val="0D0D0D" w:themeColor="text1" w:themeTint="F2"/>
                <w:sz w:val="24"/>
                <w14:textFill>
                  <w14:solidFill>
                    <w14:schemeClr w14:val="tx1">
                      <w14:lumMod w14:val="95000"/>
                      <w14:lumOff w14:val="5000"/>
                    </w14:schemeClr>
                  </w14:solidFill>
                </w14:textFill>
              </w:rPr>
              <w:t>规划</w:t>
            </w:r>
            <w:r>
              <w:rPr>
                <w:rFonts w:hint="eastAsia" w:cs="宋体"/>
                <w:color w:val="0D0D0D" w:themeColor="text1" w:themeTint="F2"/>
                <w:sz w:val="24"/>
                <w14:textFill>
                  <w14:solidFill>
                    <w14:schemeClr w14:val="tx1">
                      <w14:lumMod w14:val="95000"/>
                      <w14:lumOff w14:val="5000"/>
                    </w14:schemeClr>
                  </w14:solidFill>
                </w14:textFill>
              </w:rPr>
              <w:t>要求</w:t>
            </w:r>
            <w:r>
              <w:rPr>
                <w:rFonts w:cs="宋体"/>
                <w:color w:val="0D0D0D" w:themeColor="text1" w:themeTint="F2"/>
                <w:sz w:val="24"/>
                <w14:textFill>
                  <w14:solidFill>
                    <w14:schemeClr w14:val="tx1">
                      <w14:lumMod w14:val="95000"/>
                      <w14:lumOff w14:val="5000"/>
                    </w14:schemeClr>
                  </w14:solidFill>
                </w14:textFill>
              </w:rPr>
              <w:t>，</w:t>
            </w:r>
            <w:r>
              <w:rPr>
                <w:rFonts w:hint="eastAsia" w:cs="宋体"/>
                <w:color w:val="0D0D0D" w:themeColor="text1" w:themeTint="F2"/>
                <w:sz w:val="24"/>
                <w14:textFill>
                  <w14:solidFill>
                    <w14:schemeClr w14:val="tx1">
                      <w14:lumMod w14:val="95000"/>
                      <w14:lumOff w14:val="5000"/>
                    </w14:schemeClr>
                  </w14:solidFill>
                </w14:textFill>
              </w:rPr>
              <w:t>符合“三线一单”和“三区三线”管控要求，</w:t>
            </w:r>
            <w:r>
              <w:rPr>
                <w:rFonts w:cs="宋体"/>
                <w:color w:val="0D0D0D" w:themeColor="text1" w:themeTint="F2"/>
                <w:sz w:val="24"/>
                <w14:textFill>
                  <w14:solidFill>
                    <w14:schemeClr w14:val="tx1">
                      <w14:lumMod w14:val="95000"/>
                      <w14:lumOff w14:val="5000"/>
                    </w14:schemeClr>
                  </w14:solidFill>
                </w14:textFill>
              </w:rPr>
              <w:t>在采取合理有效的污染防治措施后，可以确保污染物达标排放。项目建设及运行排放的污染物对大气</w:t>
            </w:r>
            <w:r>
              <w:rPr>
                <w:rFonts w:hint="eastAsia" w:cs="宋体"/>
                <w:color w:val="0D0D0D" w:themeColor="text1" w:themeTint="F2"/>
                <w:sz w:val="24"/>
                <w14:textFill>
                  <w14:solidFill>
                    <w14:schemeClr w14:val="tx1">
                      <w14:lumMod w14:val="95000"/>
                      <w14:lumOff w14:val="5000"/>
                    </w14:schemeClr>
                  </w14:solidFill>
                </w14:textFill>
              </w:rPr>
              <w:t>环境</w:t>
            </w:r>
            <w:r>
              <w:rPr>
                <w:rFonts w:cs="宋体"/>
                <w:color w:val="0D0D0D" w:themeColor="text1" w:themeTint="F2"/>
                <w:sz w:val="24"/>
                <w14:textFill>
                  <w14:solidFill>
                    <w14:schemeClr w14:val="tx1">
                      <w14:lumMod w14:val="95000"/>
                      <w14:lumOff w14:val="5000"/>
                    </w14:schemeClr>
                  </w14:solidFill>
                </w14:textFill>
              </w:rPr>
              <w:t>、声环境、水环境及生态环境等影响较小，不会改变区域环境功能。因此，在严格落实各项环保措施、环保</w:t>
            </w:r>
            <w:r>
              <w:rPr>
                <w:rFonts w:hint="eastAsia" w:cs="宋体"/>
                <w:color w:val="0D0D0D" w:themeColor="text1" w:themeTint="F2"/>
                <w:sz w:val="24"/>
                <w14:textFill>
                  <w14:solidFill>
                    <w14:schemeClr w14:val="tx1">
                      <w14:lumMod w14:val="95000"/>
                      <w14:lumOff w14:val="5000"/>
                    </w14:schemeClr>
                  </w14:solidFill>
                </w14:textFill>
              </w:rPr>
              <w:t>“</w:t>
            </w:r>
            <w:r>
              <w:rPr>
                <w:rFonts w:cs="宋体"/>
                <w:color w:val="0D0D0D" w:themeColor="text1" w:themeTint="F2"/>
                <w:sz w:val="24"/>
                <w14:textFill>
                  <w14:solidFill>
                    <w14:schemeClr w14:val="tx1">
                      <w14:lumMod w14:val="95000"/>
                      <w14:lumOff w14:val="5000"/>
                    </w14:schemeClr>
                  </w14:solidFill>
                </w14:textFill>
              </w:rPr>
              <w:t>三同时</w:t>
            </w:r>
            <w:r>
              <w:rPr>
                <w:rFonts w:hint="eastAsia" w:cs="宋体"/>
                <w:color w:val="0D0D0D" w:themeColor="text1" w:themeTint="F2"/>
                <w:sz w:val="24"/>
                <w14:textFill>
                  <w14:solidFill>
                    <w14:schemeClr w14:val="tx1">
                      <w14:lumMod w14:val="95000"/>
                      <w14:lumOff w14:val="5000"/>
                    </w14:schemeClr>
                  </w14:solidFill>
                </w14:textFill>
              </w:rPr>
              <w:t>”</w:t>
            </w:r>
            <w:r>
              <w:rPr>
                <w:rFonts w:cs="宋体"/>
                <w:color w:val="0D0D0D" w:themeColor="text1" w:themeTint="F2"/>
                <w:sz w:val="24"/>
                <w14:textFill>
                  <w14:solidFill>
                    <w14:schemeClr w14:val="tx1">
                      <w14:lumMod w14:val="95000"/>
                      <w14:lumOff w14:val="5000"/>
                    </w14:schemeClr>
                  </w14:solidFill>
                </w14:textFill>
              </w:rPr>
              <w:t>制度的前提下，从环境保护的角度，本项目建设是可行的。</w:t>
            </w:r>
          </w:p>
        </w:tc>
      </w:tr>
    </w:tbl>
    <w:p w14:paraId="312140C7">
      <w:pPr>
        <w:widowControl/>
        <w:adjustRightInd w:val="0"/>
        <w:snapToGrid w:val="0"/>
        <w:spacing w:line="648" w:lineRule="auto"/>
        <w:jc w:val="left"/>
        <w:outlineLvl w:val="0"/>
        <w:rPr>
          <w:snapToGrid w:val="0"/>
          <w:color w:val="0D0D0D" w:themeColor="text1" w:themeTint="F2"/>
          <w:kern w:val="0"/>
          <w:sz w:val="32"/>
          <w:szCs w:val="32"/>
          <w14:textFill>
            <w14:solidFill>
              <w14:schemeClr w14:val="tx1">
                <w14:lumMod w14:val="95000"/>
                <w14:lumOff w14:val="5000"/>
              </w14:schemeClr>
            </w14:solidFill>
          </w14:textFill>
        </w:rPr>
        <w:sectPr>
          <w:footerReference r:id="rId6" w:type="default"/>
          <w:pgSz w:w="11906" w:h="16838"/>
          <w:pgMar w:top="1701" w:right="1531" w:bottom="1701" w:left="1531" w:header="851" w:footer="851" w:gutter="0"/>
          <w:cols w:space="720" w:num="1"/>
          <w:docGrid w:linePitch="312" w:charSpace="0"/>
        </w:sectPr>
      </w:pPr>
    </w:p>
    <w:p w14:paraId="4DB7294A">
      <w:pPr>
        <w:widowControl/>
        <w:adjustRightInd w:val="0"/>
        <w:snapToGrid w:val="0"/>
        <w:spacing w:line="552" w:lineRule="auto"/>
        <w:jc w:val="center"/>
        <w:outlineLvl w:val="0"/>
        <w:rPr>
          <w:snapToGrid w:val="0"/>
          <w:color w:val="0D0D0D" w:themeColor="text1" w:themeTint="F2"/>
          <w:kern w:val="0"/>
          <w:sz w:val="38"/>
          <w:szCs w:val="38"/>
          <w14:textFill>
            <w14:solidFill>
              <w14:schemeClr w14:val="tx1">
                <w14:lumMod w14:val="95000"/>
                <w14:lumOff w14:val="5000"/>
              </w14:schemeClr>
            </w14:solidFill>
          </w14:textFill>
        </w:rPr>
      </w:pPr>
      <w:bookmarkStart w:id="14" w:name="_Toc136522029"/>
      <w:r>
        <w:rPr>
          <w:rFonts w:hint="eastAsia"/>
          <w:snapToGrid w:val="0"/>
          <w:color w:val="0D0D0D" w:themeColor="text1" w:themeTint="F2"/>
          <w:kern w:val="0"/>
          <w:sz w:val="38"/>
          <w:szCs w:val="38"/>
          <w14:textFill>
            <w14:solidFill>
              <w14:schemeClr w14:val="tx1">
                <w14:lumMod w14:val="95000"/>
                <w14:lumOff w14:val="5000"/>
              </w14:schemeClr>
            </w14:solidFill>
          </w14:textFill>
        </w:rPr>
        <w:t>建设项目污染物排放量汇总表</w:t>
      </w:r>
      <w:bookmarkEnd w:id="14"/>
    </w:p>
    <w:tbl>
      <w:tblPr>
        <w:tblStyle w:val="21"/>
        <w:tblW w:w="137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887"/>
        <w:gridCol w:w="898"/>
      </w:tblGrid>
      <w:tr w14:paraId="4DF5F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tcMar>
              <w:left w:w="28" w:type="dxa"/>
              <w:right w:w="28" w:type="dxa"/>
            </w:tcMar>
            <w:vAlign w:val="center"/>
          </w:tcPr>
          <w:p w14:paraId="58A28871">
            <w:pPr>
              <w:adjustRightInd w:val="0"/>
              <w:snapToGrid w:val="0"/>
              <w:jc w:val="center"/>
              <w:rPr>
                <w:rFonts w:cs="宋体"/>
                <w:snapToGrid w:val="0"/>
                <w:color w:val="0D0D0D" w:themeColor="text1" w:themeTint="F2"/>
                <w:spacing w:val="-6"/>
                <w:kern w:val="21"/>
                <w:szCs w:val="21"/>
                <w14:textFill>
                  <w14:solidFill>
                    <w14:schemeClr w14:val="tx1">
                      <w14:lumMod w14:val="95000"/>
                      <w14:lumOff w14:val="5000"/>
                    </w14:schemeClr>
                  </w14:solidFill>
                </w14:textFill>
              </w:rPr>
            </w:pPr>
            <w:r>
              <w:rPr>
                <w:rFonts w:hint="eastAsia" w:cs="宋体"/>
                <w:snapToGrid w:val="0"/>
                <w:color w:val="0D0D0D" w:themeColor="text1" w:themeTint="F2"/>
                <w:spacing w:val="-6"/>
                <w:kern w:val="21"/>
                <w:szCs w:val="21"/>
                <w14:textFill>
                  <w14:solidFill>
                    <w14:schemeClr w14:val="tx1">
                      <w14:lumMod w14:val="95000"/>
                      <w14:lumOff w14:val="5000"/>
                    </w14:schemeClr>
                  </w14:solidFill>
                </w14:textFill>
              </w:rPr>
              <w:t>项目分类</w:t>
            </w:r>
          </w:p>
        </w:tc>
        <w:tc>
          <w:tcPr>
            <w:tcW w:w="1417" w:type="dxa"/>
            <w:tcMar>
              <w:left w:w="28" w:type="dxa"/>
              <w:right w:w="28" w:type="dxa"/>
            </w:tcMar>
            <w:vAlign w:val="center"/>
          </w:tcPr>
          <w:p w14:paraId="6E59462B">
            <w:pPr>
              <w:adjustRightInd w:val="0"/>
              <w:snapToGrid w:val="0"/>
              <w:jc w:val="center"/>
              <w:rPr>
                <w:rFonts w:cs="宋体"/>
                <w:snapToGrid w:val="0"/>
                <w:color w:val="0D0D0D" w:themeColor="text1" w:themeTint="F2"/>
                <w:spacing w:val="-6"/>
                <w:kern w:val="21"/>
                <w:szCs w:val="21"/>
                <w14:textFill>
                  <w14:solidFill>
                    <w14:schemeClr w14:val="tx1">
                      <w14:lumMod w14:val="95000"/>
                      <w14:lumOff w14:val="5000"/>
                    </w14:schemeClr>
                  </w14:solidFill>
                </w14:textFill>
              </w:rPr>
            </w:pPr>
            <w:r>
              <w:rPr>
                <w:rFonts w:hint="eastAsia" w:cs="宋体"/>
                <w:snapToGrid w:val="0"/>
                <w:color w:val="0D0D0D" w:themeColor="text1" w:themeTint="F2"/>
                <w:spacing w:val="-6"/>
                <w:kern w:val="21"/>
                <w:szCs w:val="21"/>
                <w14:textFill>
                  <w14:solidFill>
                    <w14:schemeClr w14:val="tx1">
                      <w14:lumMod w14:val="95000"/>
                      <w14:lumOff w14:val="5000"/>
                    </w14:schemeClr>
                  </w14:solidFill>
                </w14:textFill>
              </w:rPr>
              <w:t>污染物名称</w:t>
            </w:r>
          </w:p>
        </w:tc>
        <w:tc>
          <w:tcPr>
            <w:tcW w:w="1701" w:type="dxa"/>
            <w:tcMar>
              <w:left w:w="28" w:type="dxa"/>
              <w:right w:w="28" w:type="dxa"/>
            </w:tcMar>
            <w:vAlign w:val="center"/>
          </w:tcPr>
          <w:p w14:paraId="71E5C7C5">
            <w:pPr>
              <w:adjustRightInd w:val="0"/>
              <w:snapToGrid w:val="0"/>
              <w:jc w:val="center"/>
              <w:rPr>
                <w:snapToGrid w:val="0"/>
                <w:color w:val="0D0D0D" w:themeColor="text1" w:themeTint="F2"/>
                <w:spacing w:val="-6"/>
                <w:kern w:val="21"/>
                <w:szCs w:val="21"/>
                <w14:textFill>
                  <w14:solidFill>
                    <w14:schemeClr w14:val="tx1">
                      <w14:lumMod w14:val="95000"/>
                      <w14:lumOff w14:val="5000"/>
                    </w14:schemeClr>
                  </w14:solidFill>
                </w14:textFill>
              </w:rPr>
            </w:pPr>
            <w:r>
              <w:rPr>
                <w:snapToGrid w:val="0"/>
                <w:color w:val="0D0D0D" w:themeColor="text1" w:themeTint="F2"/>
                <w:spacing w:val="-6"/>
                <w:kern w:val="21"/>
                <w:szCs w:val="21"/>
                <w14:textFill>
                  <w14:solidFill>
                    <w14:schemeClr w14:val="tx1">
                      <w14:lumMod w14:val="95000"/>
                      <w14:lumOff w14:val="5000"/>
                    </w14:schemeClr>
                  </w14:solidFill>
                </w14:textFill>
              </w:rPr>
              <w:t>现有工程</w:t>
            </w:r>
          </w:p>
          <w:p w14:paraId="172DBCFE">
            <w:pPr>
              <w:adjustRightInd w:val="0"/>
              <w:snapToGrid w:val="0"/>
              <w:jc w:val="center"/>
              <w:rPr>
                <w:snapToGrid w:val="0"/>
                <w:color w:val="0D0D0D" w:themeColor="text1" w:themeTint="F2"/>
                <w:spacing w:val="-6"/>
                <w:kern w:val="21"/>
                <w:szCs w:val="21"/>
                <w14:textFill>
                  <w14:solidFill>
                    <w14:schemeClr w14:val="tx1">
                      <w14:lumMod w14:val="95000"/>
                      <w14:lumOff w14:val="5000"/>
                    </w14:schemeClr>
                  </w14:solidFill>
                </w14:textFill>
              </w:rPr>
            </w:pPr>
            <w:r>
              <w:rPr>
                <w:snapToGrid w:val="0"/>
                <w:color w:val="0D0D0D" w:themeColor="text1" w:themeTint="F2"/>
                <w:spacing w:val="-6"/>
                <w:kern w:val="21"/>
                <w:szCs w:val="21"/>
                <w14:textFill>
                  <w14:solidFill>
                    <w14:schemeClr w14:val="tx1">
                      <w14:lumMod w14:val="95000"/>
                      <w14:lumOff w14:val="5000"/>
                    </w14:schemeClr>
                  </w14:solidFill>
                </w14:textFill>
              </w:rPr>
              <w:t>排放量（固</w:t>
            </w:r>
            <w:r>
              <w:rPr>
                <w:rFonts w:hint="eastAsia"/>
                <w:snapToGrid w:val="0"/>
                <w:color w:val="0D0D0D" w:themeColor="text1" w:themeTint="F2"/>
                <w:spacing w:val="-6"/>
                <w:kern w:val="21"/>
                <w:szCs w:val="21"/>
                <w14:textFill>
                  <w14:solidFill>
                    <w14:schemeClr w14:val="tx1">
                      <w14:lumMod w14:val="95000"/>
                      <w14:lumOff w14:val="5000"/>
                    </w14:schemeClr>
                  </w14:solidFill>
                </w14:textFill>
              </w:rPr>
              <w:t>体</w:t>
            </w:r>
            <w:r>
              <w:rPr>
                <w:snapToGrid w:val="0"/>
                <w:color w:val="0D0D0D" w:themeColor="text1" w:themeTint="F2"/>
                <w:spacing w:val="-6"/>
                <w:kern w:val="21"/>
                <w:szCs w:val="21"/>
                <w14:textFill>
                  <w14:solidFill>
                    <w14:schemeClr w14:val="tx1">
                      <w14:lumMod w14:val="95000"/>
                      <w14:lumOff w14:val="5000"/>
                    </w14:schemeClr>
                  </w14:solidFill>
                </w14:textFill>
              </w:rPr>
              <w:t>废</w:t>
            </w:r>
            <w:r>
              <w:rPr>
                <w:rFonts w:hint="eastAsia"/>
                <w:snapToGrid w:val="0"/>
                <w:color w:val="0D0D0D" w:themeColor="text1" w:themeTint="F2"/>
                <w:spacing w:val="-6"/>
                <w:kern w:val="21"/>
                <w:szCs w:val="21"/>
                <w14:textFill>
                  <w14:solidFill>
                    <w14:schemeClr w14:val="tx1">
                      <w14:lumMod w14:val="95000"/>
                      <w14:lumOff w14:val="5000"/>
                    </w14:schemeClr>
                  </w14:solidFill>
                </w14:textFill>
              </w:rPr>
              <w:t>物</w:t>
            </w:r>
            <w:r>
              <w:rPr>
                <w:snapToGrid w:val="0"/>
                <w:color w:val="0D0D0D" w:themeColor="text1" w:themeTint="F2"/>
                <w:spacing w:val="-6"/>
                <w:kern w:val="21"/>
                <w:szCs w:val="21"/>
                <w14:textFill>
                  <w14:solidFill>
                    <w14:schemeClr w14:val="tx1">
                      <w14:lumMod w14:val="95000"/>
                      <w14:lumOff w14:val="5000"/>
                    </w14:schemeClr>
                  </w14:solidFill>
                </w14:textFill>
              </w:rPr>
              <w:t>产生量）</w:t>
            </w:r>
            <w:r>
              <w:rPr>
                <w:snapToGrid w:val="0"/>
                <w:color w:val="0D0D0D" w:themeColor="text1" w:themeTint="F2"/>
                <w:spacing w:val="-6"/>
                <w:kern w:val="21"/>
                <w:szCs w:val="21"/>
                <w14:textFill>
                  <w14:solidFill>
                    <w14:schemeClr w14:val="tx1">
                      <w14:lumMod w14:val="95000"/>
                      <w14:lumOff w14:val="5000"/>
                    </w14:schemeClr>
                  </w14:solidFill>
                </w14:textFill>
              </w:rPr>
              <w:fldChar w:fldCharType="begin"/>
            </w:r>
            <w:r>
              <w:rPr>
                <w:snapToGrid w:val="0"/>
                <w:color w:val="0D0D0D" w:themeColor="text1" w:themeTint="F2"/>
                <w:spacing w:val="-6"/>
                <w:kern w:val="21"/>
                <w:szCs w:val="21"/>
                <w14:textFill>
                  <w14:solidFill>
                    <w14:schemeClr w14:val="tx1">
                      <w14:lumMod w14:val="95000"/>
                      <w14:lumOff w14:val="5000"/>
                    </w14:schemeClr>
                  </w14:solidFill>
                </w14:textFill>
              </w:rPr>
              <w:instrText xml:space="preserve"> = 1 \* GB3 \* MERGEFORMAT </w:instrText>
            </w:r>
            <w:r>
              <w:rPr>
                <w:snapToGrid w:val="0"/>
                <w:color w:val="0D0D0D" w:themeColor="text1" w:themeTint="F2"/>
                <w:spacing w:val="-6"/>
                <w:kern w:val="21"/>
                <w:szCs w:val="21"/>
                <w14:textFill>
                  <w14:solidFill>
                    <w14:schemeClr w14:val="tx1">
                      <w14:lumMod w14:val="95000"/>
                      <w14:lumOff w14:val="5000"/>
                    </w14:schemeClr>
                  </w14:solidFill>
                </w14:textFill>
              </w:rPr>
              <w:fldChar w:fldCharType="separate"/>
            </w:r>
            <w:r>
              <w:rPr>
                <w:rFonts w:hint="eastAsia" w:cs="宋体"/>
                <w:color w:val="0D0D0D" w:themeColor="text1" w:themeTint="F2"/>
                <w:szCs w:val="21"/>
                <w14:textFill>
                  <w14:solidFill>
                    <w14:schemeClr w14:val="tx1">
                      <w14:lumMod w14:val="95000"/>
                      <w14:lumOff w14:val="5000"/>
                    </w14:schemeClr>
                  </w14:solidFill>
                </w14:textFill>
              </w:rPr>
              <w:t>①</w:t>
            </w:r>
            <w:r>
              <w:rPr>
                <w:snapToGrid w:val="0"/>
                <w:color w:val="0D0D0D" w:themeColor="text1" w:themeTint="F2"/>
                <w:spacing w:val="-6"/>
                <w:kern w:val="21"/>
                <w:szCs w:val="21"/>
                <w14:textFill>
                  <w14:solidFill>
                    <w14:schemeClr w14:val="tx1">
                      <w14:lumMod w14:val="95000"/>
                      <w14:lumOff w14:val="5000"/>
                    </w14:schemeClr>
                  </w14:solidFill>
                </w14:textFill>
              </w:rPr>
              <w:fldChar w:fldCharType="end"/>
            </w:r>
          </w:p>
        </w:tc>
        <w:tc>
          <w:tcPr>
            <w:tcW w:w="1276" w:type="dxa"/>
            <w:tcMar>
              <w:left w:w="28" w:type="dxa"/>
              <w:right w:w="28" w:type="dxa"/>
            </w:tcMar>
            <w:vAlign w:val="center"/>
          </w:tcPr>
          <w:p w14:paraId="50B80974">
            <w:pPr>
              <w:adjustRightInd w:val="0"/>
              <w:snapToGrid w:val="0"/>
              <w:jc w:val="center"/>
              <w:rPr>
                <w:snapToGrid w:val="0"/>
                <w:color w:val="0D0D0D" w:themeColor="text1" w:themeTint="F2"/>
                <w:spacing w:val="-6"/>
                <w:kern w:val="21"/>
                <w:szCs w:val="21"/>
                <w14:textFill>
                  <w14:solidFill>
                    <w14:schemeClr w14:val="tx1">
                      <w14:lumMod w14:val="95000"/>
                      <w14:lumOff w14:val="5000"/>
                    </w14:schemeClr>
                  </w14:solidFill>
                </w14:textFill>
              </w:rPr>
            </w:pPr>
            <w:r>
              <w:rPr>
                <w:snapToGrid w:val="0"/>
                <w:color w:val="0D0D0D" w:themeColor="text1" w:themeTint="F2"/>
                <w:spacing w:val="-6"/>
                <w:kern w:val="21"/>
                <w:szCs w:val="21"/>
                <w14:textFill>
                  <w14:solidFill>
                    <w14:schemeClr w14:val="tx1">
                      <w14:lumMod w14:val="95000"/>
                      <w14:lumOff w14:val="5000"/>
                    </w14:schemeClr>
                  </w14:solidFill>
                </w14:textFill>
              </w:rPr>
              <w:t>现有工程</w:t>
            </w:r>
          </w:p>
          <w:p w14:paraId="3F4F9549">
            <w:pPr>
              <w:adjustRightInd w:val="0"/>
              <w:snapToGrid w:val="0"/>
              <w:jc w:val="center"/>
              <w:rPr>
                <w:snapToGrid w:val="0"/>
                <w:color w:val="0D0D0D" w:themeColor="text1" w:themeTint="F2"/>
                <w:spacing w:val="-6"/>
                <w:kern w:val="21"/>
                <w:szCs w:val="21"/>
                <w14:textFill>
                  <w14:solidFill>
                    <w14:schemeClr w14:val="tx1">
                      <w14:lumMod w14:val="95000"/>
                      <w14:lumOff w14:val="5000"/>
                    </w14:schemeClr>
                  </w14:solidFill>
                </w14:textFill>
              </w:rPr>
            </w:pPr>
            <w:r>
              <w:rPr>
                <w:snapToGrid w:val="0"/>
                <w:color w:val="0D0D0D" w:themeColor="text1" w:themeTint="F2"/>
                <w:spacing w:val="-6"/>
                <w:kern w:val="21"/>
                <w:szCs w:val="21"/>
                <w14:textFill>
                  <w14:solidFill>
                    <w14:schemeClr w14:val="tx1">
                      <w14:lumMod w14:val="95000"/>
                      <w14:lumOff w14:val="5000"/>
                    </w14:schemeClr>
                  </w14:solidFill>
                </w14:textFill>
              </w:rPr>
              <w:t>许可排放量</w:t>
            </w:r>
          </w:p>
          <w:p w14:paraId="6B1EEBCE">
            <w:pPr>
              <w:adjustRightInd w:val="0"/>
              <w:snapToGrid w:val="0"/>
              <w:spacing w:line="259" w:lineRule="auto"/>
              <w:jc w:val="center"/>
              <w:rPr>
                <w:snapToGrid w:val="0"/>
                <w:color w:val="0D0D0D" w:themeColor="text1" w:themeTint="F2"/>
                <w:spacing w:val="-6"/>
                <w:kern w:val="21"/>
                <w:szCs w:val="21"/>
                <w14:textFill>
                  <w14:solidFill>
                    <w14:schemeClr w14:val="tx1">
                      <w14:lumMod w14:val="95000"/>
                      <w14:lumOff w14:val="5000"/>
                    </w14:schemeClr>
                  </w14:solidFill>
                </w14:textFill>
              </w:rPr>
            </w:pPr>
            <w:r>
              <w:rPr>
                <w:snapToGrid w:val="0"/>
                <w:color w:val="0D0D0D" w:themeColor="text1" w:themeTint="F2"/>
                <w:spacing w:val="-6"/>
                <w:kern w:val="21"/>
                <w:szCs w:val="21"/>
                <w14:textFill>
                  <w14:solidFill>
                    <w14:schemeClr w14:val="tx1">
                      <w14:lumMod w14:val="95000"/>
                      <w14:lumOff w14:val="5000"/>
                    </w14:schemeClr>
                  </w14:solidFill>
                </w14:textFill>
              </w:rPr>
              <w:fldChar w:fldCharType="begin"/>
            </w:r>
            <w:r>
              <w:rPr>
                <w:snapToGrid w:val="0"/>
                <w:color w:val="0D0D0D" w:themeColor="text1" w:themeTint="F2"/>
                <w:spacing w:val="-6"/>
                <w:kern w:val="21"/>
                <w:szCs w:val="21"/>
                <w14:textFill>
                  <w14:solidFill>
                    <w14:schemeClr w14:val="tx1">
                      <w14:lumMod w14:val="95000"/>
                      <w14:lumOff w14:val="5000"/>
                    </w14:schemeClr>
                  </w14:solidFill>
                </w14:textFill>
              </w:rPr>
              <w:instrText xml:space="preserve"> = 2 \* GB3 \* MERGEFORMAT </w:instrText>
            </w:r>
            <w:r>
              <w:rPr>
                <w:snapToGrid w:val="0"/>
                <w:color w:val="0D0D0D" w:themeColor="text1" w:themeTint="F2"/>
                <w:spacing w:val="-6"/>
                <w:kern w:val="21"/>
                <w:szCs w:val="21"/>
                <w14:textFill>
                  <w14:solidFill>
                    <w14:schemeClr w14:val="tx1">
                      <w14:lumMod w14:val="95000"/>
                      <w14:lumOff w14:val="5000"/>
                    </w14:schemeClr>
                  </w14:solidFill>
                </w14:textFill>
              </w:rPr>
              <w:fldChar w:fldCharType="separate"/>
            </w:r>
            <w:r>
              <w:rPr>
                <w:rFonts w:hint="eastAsia" w:cs="宋体"/>
                <w:snapToGrid w:val="0"/>
                <w:color w:val="0D0D0D" w:themeColor="text1" w:themeTint="F2"/>
                <w:spacing w:val="-6"/>
                <w:kern w:val="21"/>
                <w:szCs w:val="21"/>
                <w14:textFill>
                  <w14:solidFill>
                    <w14:schemeClr w14:val="tx1">
                      <w14:lumMod w14:val="95000"/>
                      <w14:lumOff w14:val="5000"/>
                    </w14:schemeClr>
                  </w14:solidFill>
                </w14:textFill>
              </w:rPr>
              <w:t>②</w:t>
            </w:r>
            <w:r>
              <w:rPr>
                <w:snapToGrid w:val="0"/>
                <w:color w:val="0D0D0D" w:themeColor="text1" w:themeTint="F2"/>
                <w:spacing w:val="-6"/>
                <w:kern w:val="21"/>
                <w:szCs w:val="21"/>
                <w14:textFill>
                  <w14:solidFill>
                    <w14:schemeClr w14:val="tx1">
                      <w14:lumMod w14:val="95000"/>
                      <w14:lumOff w14:val="5000"/>
                    </w14:schemeClr>
                  </w14:solidFill>
                </w14:textFill>
              </w:rPr>
              <w:fldChar w:fldCharType="end"/>
            </w:r>
          </w:p>
        </w:tc>
        <w:tc>
          <w:tcPr>
            <w:tcW w:w="1701" w:type="dxa"/>
            <w:tcMar>
              <w:left w:w="28" w:type="dxa"/>
              <w:right w:w="28" w:type="dxa"/>
            </w:tcMar>
            <w:vAlign w:val="center"/>
          </w:tcPr>
          <w:p w14:paraId="1C493952">
            <w:pPr>
              <w:adjustRightInd w:val="0"/>
              <w:snapToGrid w:val="0"/>
              <w:jc w:val="center"/>
              <w:rPr>
                <w:snapToGrid w:val="0"/>
                <w:color w:val="0D0D0D" w:themeColor="text1" w:themeTint="F2"/>
                <w:spacing w:val="-6"/>
                <w:kern w:val="21"/>
                <w:szCs w:val="21"/>
                <w14:textFill>
                  <w14:solidFill>
                    <w14:schemeClr w14:val="tx1">
                      <w14:lumMod w14:val="95000"/>
                      <w14:lumOff w14:val="5000"/>
                    </w14:schemeClr>
                  </w14:solidFill>
                </w14:textFill>
              </w:rPr>
            </w:pPr>
            <w:r>
              <w:rPr>
                <w:snapToGrid w:val="0"/>
                <w:color w:val="0D0D0D" w:themeColor="text1" w:themeTint="F2"/>
                <w:spacing w:val="-6"/>
                <w:kern w:val="21"/>
                <w:szCs w:val="21"/>
                <w14:textFill>
                  <w14:solidFill>
                    <w14:schemeClr w14:val="tx1">
                      <w14:lumMod w14:val="95000"/>
                      <w14:lumOff w14:val="5000"/>
                    </w14:schemeClr>
                  </w14:solidFill>
                </w14:textFill>
              </w:rPr>
              <w:t>在建工程</w:t>
            </w:r>
          </w:p>
          <w:p w14:paraId="4028BF74">
            <w:pPr>
              <w:adjustRightInd w:val="0"/>
              <w:snapToGrid w:val="0"/>
              <w:jc w:val="center"/>
              <w:rPr>
                <w:snapToGrid w:val="0"/>
                <w:color w:val="0D0D0D" w:themeColor="text1" w:themeTint="F2"/>
                <w:spacing w:val="-6"/>
                <w:kern w:val="21"/>
                <w:szCs w:val="21"/>
                <w14:textFill>
                  <w14:solidFill>
                    <w14:schemeClr w14:val="tx1">
                      <w14:lumMod w14:val="95000"/>
                      <w14:lumOff w14:val="5000"/>
                    </w14:schemeClr>
                  </w14:solidFill>
                </w14:textFill>
              </w:rPr>
            </w:pPr>
            <w:r>
              <w:rPr>
                <w:snapToGrid w:val="0"/>
                <w:color w:val="0D0D0D" w:themeColor="text1" w:themeTint="F2"/>
                <w:spacing w:val="-6"/>
                <w:kern w:val="21"/>
                <w:szCs w:val="21"/>
                <w14:textFill>
                  <w14:solidFill>
                    <w14:schemeClr w14:val="tx1">
                      <w14:lumMod w14:val="95000"/>
                      <w14:lumOff w14:val="5000"/>
                    </w14:schemeClr>
                  </w14:solidFill>
                </w14:textFill>
              </w:rPr>
              <w:t>排放量（固</w:t>
            </w:r>
            <w:r>
              <w:rPr>
                <w:rFonts w:hint="eastAsia"/>
                <w:snapToGrid w:val="0"/>
                <w:color w:val="0D0D0D" w:themeColor="text1" w:themeTint="F2"/>
                <w:spacing w:val="-6"/>
                <w:kern w:val="21"/>
                <w:szCs w:val="21"/>
                <w14:textFill>
                  <w14:solidFill>
                    <w14:schemeClr w14:val="tx1">
                      <w14:lumMod w14:val="95000"/>
                      <w14:lumOff w14:val="5000"/>
                    </w14:schemeClr>
                  </w14:solidFill>
                </w14:textFill>
              </w:rPr>
              <w:t>体</w:t>
            </w:r>
            <w:r>
              <w:rPr>
                <w:snapToGrid w:val="0"/>
                <w:color w:val="0D0D0D" w:themeColor="text1" w:themeTint="F2"/>
                <w:spacing w:val="-6"/>
                <w:kern w:val="21"/>
                <w:szCs w:val="21"/>
                <w14:textFill>
                  <w14:solidFill>
                    <w14:schemeClr w14:val="tx1">
                      <w14:lumMod w14:val="95000"/>
                      <w14:lumOff w14:val="5000"/>
                    </w14:schemeClr>
                  </w14:solidFill>
                </w14:textFill>
              </w:rPr>
              <w:t>废</w:t>
            </w:r>
            <w:r>
              <w:rPr>
                <w:rFonts w:hint="eastAsia"/>
                <w:snapToGrid w:val="0"/>
                <w:color w:val="0D0D0D" w:themeColor="text1" w:themeTint="F2"/>
                <w:spacing w:val="-6"/>
                <w:kern w:val="21"/>
                <w:szCs w:val="21"/>
                <w14:textFill>
                  <w14:solidFill>
                    <w14:schemeClr w14:val="tx1">
                      <w14:lumMod w14:val="95000"/>
                      <w14:lumOff w14:val="5000"/>
                    </w14:schemeClr>
                  </w14:solidFill>
                </w14:textFill>
              </w:rPr>
              <w:t>物</w:t>
            </w:r>
            <w:r>
              <w:rPr>
                <w:snapToGrid w:val="0"/>
                <w:color w:val="0D0D0D" w:themeColor="text1" w:themeTint="F2"/>
                <w:spacing w:val="-6"/>
                <w:kern w:val="21"/>
                <w:szCs w:val="21"/>
                <w14:textFill>
                  <w14:solidFill>
                    <w14:schemeClr w14:val="tx1">
                      <w14:lumMod w14:val="95000"/>
                      <w14:lumOff w14:val="5000"/>
                    </w14:schemeClr>
                  </w14:solidFill>
                </w14:textFill>
              </w:rPr>
              <w:t>产生量）</w:t>
            </w:r>
            <w:r>
              <w:rPr>
                <w:snapToGrid w:val="0"/>
                <w:color w:val="0D0D0D" w:themeColor="text1" w:themeTint="F2"/>
                <w:spacing w:val="-6"/>
                <w:kern w:val="21"/>
                <w:szCs w:val="21"/>
                <w14:textFill>
                  <w14:solidFill>
                    <w14:schemeClr w14:val="tx1">
                      <w14:lumMod w14:val="95000"/>
                      <w14:lumOff w14:val="5000"/>
                    </w14:schemeClr>
                  </w14:solidFill>
                </w14:textFill>
              </w:rPr>
              <w:fldChar w:fldCharType="begin"/>
            </w:r>
            <w:r>
              <w:rPr>
                <w:snapToGrid w:val="0"/>
                <w:color w:val="0D0D0D" w:themeColor="text1" w:themeTint="F2"/>
                <w:spacing w:val="-6"/>
                <w:kern w:val="21"/>
                <w:szCs w:val="21"/>
                <w14:textFill>
                  <w14:solidFill>
                    <w14:schemeClr w14:val="tx1">
                      <w14:lumMod w14:val="95000"/>
                      <w14:lumOff w14:val="5000"/>
                    </w14:schemeClr>
                  </w14:solidFill>
                </w14:textFill>
              </w:rPr>
              <w:instrText xml:space="preserve"> = 3 \* GB3 \* MERGEFORMAT </w:instrText>
            </w:r>
            <w:r>
              <w:rPr>
                <w:snapToGrid w:val="0"/>
                <w:color w:val="0D0D0D" w:themeColor="text1" w:themeTint="F2"/>
                <w:spacing w:val="-6"/>
                <w:kern w:val="21"/>
                <w:szCs w:val="21"/>
                <w14:textFill>
                  <w14:solidFill>
                    <w14:schemeClr w14:val="tx1">
                      <w14:lumMod w14:val="95000"/>
                      <w14:lumOff w14:val="5000"/>
                    </w14:schemeClr>
                  </w14:solidFill>
                </w14:textFill>
              </w:rPr>
              <w:fldChar w:fldCharType="separate"/>
            </w:r>
            <w:r>
              <w:rPr>
                <w:rFonts w:hint="eastAsia" w:cs="宋体"/>
                <w:color w:val="0D0D0D" w:themeColor="text1" w:themeTint="F2"/>
                <w:szCs w:val="21"/>
                <w14:textFill>
                  <w14:solidFill>
                    <w14:schemeClr w14:val="tx1">
                      <w14:lumMod w14:val="95000"/>
                      <w14:lumOff w14:val="5000"/>
                    </w14:schemeClr>
                  </w14:solidFill>
                </w14:textFill>
              </w:rPr>
              <w:t>③</w:t>
            </w:r>
            <w:r>
              <w:rPr>
                <w:snapToGrid w:val="0"/>
                <w:color w:val="0D0D0D" w:themeColor="text1" w:themeTint="F2"/>
                <w:spacing w:val="-6"/>
                <w:kern w:val="21"/>
                <w:szCs w:val="21"/>
                <w14:textFill>
                  <w14:solidFill>
                    <w14:schemeClr w14:val="tx1">
                      <w14:lumMod w14:val="95000"/>
                      <w14:lumOff w14:val="5000"/>
                    </w14:schemeClr>
                  </w14:solidFill>
                </w14:textFill>
              </w:rPr>
              <w:fldChar w:fldCharType="end"/>
            </w:r>
          </w:p>
        </w:tc>
        <w:tc>
          <w:tcPr>
            <w:tcW w:w="1559" w:type="dxa"/>
            <w:tcMar>
              <w:left w:w="28" w:type="dxa"/>
              <w:right w:w="28" w:type="dxa"/>
            </w:tcMar>
            <w:vAlign w:val="center"/>
          </w:tcPr>
          <w:p w14:paraId="7645959C">
            <w:pPr>
              <w:adjustRightInd w:val="0"/>
              <w:snapToGrid w:val="0"/>
              <w:jc w:val="center"/>
              <w:rPr>
                <w:snapToGrid w:val="0"/>
                <w:color w:val="0D0D0D" w:themeColor="text1" w:themeTint="F2"/>
                <w:spacing w:val="-6"/>
                <w:kern w:val="21"/>
                <w:szCs w:val="21"/>
                <w14:textFill>
                  <w14:solidFill>
                    <w14:schemeClr w14:val="tx1">
                      <w14:lumMod w14:val="95000"/>
                      <w14:lumOff w14:val="5000"/>
                    </w14:schemeClr>
                  </w14:solidFill>
                </w14:textFill>
              </w:rPr>
            </w:pPr>
            <w:r>
              <w:rPr>
                <w:snapToGrid w:val="0"/>
                <w:color w:val="0D0D0D" w:themeColor="text1" w:themeTint="F2"/>
                <w:spacing w:val="-6"/>
                <w:kern w:val="21"/>
                <w:szCs w:val="21"/>
                <w14:textFill>
                  <w14:solidFill>
                    <w14:schemeClr w14:val="tx1">
                      <w14:lumMod w14:val="95000"/>
                      <w14:lumOff w14:val="5000"/>
                    </w14:schemeClr>
                  </w14:solidFill>
                </w14:textFill>
              </w:rPr>
              <w:t>本项目</w:t>
            </w:r>
          </w:p>
          <w:p w14:paraId="66898505">
            <w:pPr>
              <w:adjustRightInd w:val="0"/>
              <w:snapToGrid w:val="0"/>
              <w:jc w:val="center"/>
              <w:rPr>
                <w:snapToGrid w:val="0"/>
                <w:color w:val="0D0D0D" w:themeColor="text1" w:themeTint="F2"/>
                <w:spacing w:val="-6"/>
                <w:kern w:val="21"/>
                <w:szCs w:val="21"/>
                <w14:textFill>
                  <w14:solidFill>
                    <w14:schemeClr w14:val="tx1">
                      <w14:lumMod w14:val="95000"/>
                      <w14:lumOff w14:val="5000"/>
                    </w14:schemeClr>
                  </w14:solidFill>
                </w14:textFill>
              </w:rPr>
            </w:pPr>
            <w:r>
              <w:rPr>
                <w:snapToGrid w:val="0"/>
                <w:color w:val="0D0D0D" w:themeColor="text1" w:themeTint="F2"/>
                <w:spacing w:val="-6"/>
                <w:kern w:val="21"/>
                <w:szCs w:val="21"/>
                <w14:textFill>
                  <w14:solidFill>
                    <w14:schemeClr w14:val="tx1">
                      <w14:lumMod w14:val="95000"/>
                      <w14:lumOff w14:val="5000"/>
                    </w14:schemeClr>
                  </w14:solidFill>
                </w14:textFill>
              </w:rPr>
              <w:t>排放量（固</w:t>
            </w:r>
            <w:r>
              <w:rPr>
                <w:rFonts w:hint="eastAsia"/>
                <w:snapToGrid w:val="0"/>
                <w:color w:val="0D0D0D" w:themeColor="text1" w:themeTint="F2"/>
                <w:spacing w:val="-6"/>
                <w:kern w:val="21"/>
                <w:szCs w:val="21"/>
                <w14:textFill>
                  <w14:solidFill>
                    <w14:schemeClr w14:val="tx1">
                      <w14:lumMod w14:val="95000"/>
                      <w14:lumOff w14:val="5000"/>
                    </w14:schemeClr>
                  </w14:solidFill>
                </w14:textFill>
              </w:rPr>
              <w:t>体</w:t>
            </w:r>
            <w:r>
              <w:rPr>
                <w:snapToGrid w:val="0"/>
                <w:color w:val="0D0D0D" w:themeColor="text1" w:themeTint="F2"/>
                <w:spacing w:val="-6"/>
                <w:kern w:val="21"/>
                <w:szCs w:val="21"/>
                <w14:textFill>
                  <w14:solidFill>
                    <w14:schemeClr w14:val="tx1">
                      <w14:lumMod w14:val="95000"/>
                      <w14:lumOff w14:val="5000"/>
                    </w14:schemeClr>
                  </w14:solidFill>
                </w14:textFill>
              </w:rPr>
              <w:t>废</w:t>
            </w:r>
            <w:r>
              <w:rPr>
                <w:rFonts w:hint="eastAsia"/>
                <w:snapToGrid w:val="0"/>
                <w:color w:val="0D0D0D" w:themeColor="text1" w:themeTint="F2"/>
                <w:spacing w:val="-6"/>
                <w:kern w:val="21"/>
                <w:szCs w:val="21"/>
                <w14:textFill>
                  <w14:solidFill>
                    <w14:schemeClr w14:val="tx1">
                      <w14:lumMod w14:val="95000"/>
                      <w14:lumOff w14:val="5000"/>
                    </w14:schemeClr>
                  </w14:solidFill>
                </w14:textFill>
              </w:rPr>
              <w:t>物</w:t>
            </w:r>
            <w:r>
              <w:rPr>
                <w:snapToGrid w:val="0"/>
                <w:color w:val="0D0D0D" w:themeColor="text1" w:themeTint="F2"/>
                <w:spacing w:val="-6"/>
                <w:kern w:val="21"/>
                <w:szCs w:val="21"/>
                <w14:textFill>
                  <w14:solidFill>
                    <w14:schemeClr w14:val="tx1">
                      <w14:lumMod w14:val="95000"/>
                      <w14:lumOff w14:val="5000"/>
                    </w14:schemeClr>
                  </w14:solidFill>
                </w14:textFill>
              </w:rPr>
              <w:t>产生量）</w:t>
            </w:r>
            <w:r>
              <w:rPr>
                <w:snapToGrid w:val="0"/>
                <w:color w:val="0D0D0D" w:themeColor="text1" w:themeTint="F2"/>
                <w:spacing w:val="-6"/>
                <w:kern w:val="21"/>
                <w:szCs w:val="21"/>
                <w14:textFill>
                  <w14:solidFill>
                    <w14:schemeClr w14:val="tx1">
                      <w14:lumMod w14:val="95000"/>
                      <w14:lumOff w14:val="5000"/>
                    </w14:schemeClr>
                  </w14:solidFill>
                </w14:textFill>
              </w:rPr>
              <w:fldChar w:fldCharType="begin"/>
            </w:r>
            <w:r>
              <w:rPr>
                <w:snapToGrid w:val="0"/>
                <w:color w:val="0D0D0D" w:themeColor="text1" w:themeTint="F2"/>
                <w:spacing w:val="-6"/>
                <w:kern w:val="21"/>
                <w:szCs w:val="21"/>
                <w14:textFill>
                  <w14:solidFill>
                    <w14:schemeClr w14:val="tx1">
                      <w14:lumMod w14:val="95000"/>
                      <w14:lumOff w14:val="5000"/>
                    </w14:schemeClr>
                  </w14:solidFill>
                </w14:textFill>
              </w:rPr>
              <w:instrText xml:space="preserve"> = 4 \* GB3 \* MERGEFORMAT </w:instrText>
            </w:r>
            <w:r>
              <w:rPr>
                <w:snapToGrid w:val="0"/>
                <w:color w:val="0D0D0D" w:themeColor="text1" w:themeTint="F2"/>
                <w:spacing w:val="-6"/>
                <w:kern w:val="21"/>
                <w:szCs w:val="21"/>
                <w14:textFill>
                  <w14:solidFill>
                    <w14:schemeClr w14:val="tx1">
                      <w14:lumMod w14:val="95000"/>
                      <w14:lumOff w14:val="5000"/>
                    </w14:schemeClr>
                  </w14:solidFill>
                </w14:textFill>
              </w:rPr>
              <w:fldChar w:fldCharType="separate"/>
            </w:r>
            <w:r>
              <w:rPr>
                <w:rFonts w:hint="eastAsia" w:cs="宋体"/>
                <w:color w:val="0D0D0D" w:themeColor="text1" w:themeTint="F2"/>
                <w:szCs w:val="21"/>
                <w14:textFill>
                  <w14:solidFill>
                    <w14:schemeClr w14:val="tx1">
                      <w14:lumMod w14:val="95000"/>
                      <w14:lumOff w14:val="5000"/>
                    </w14:schemeClr>
                  </w14:solidFill>
                </w14:textFill>
              </w:rPr>
              <w:t>④</w:t>
            </w:r>
            <w:r>
              <w:rPr>
                <w:snapToGrid w:val="0"/>
                <w:color w:val="0D0D0D" w:themeColor="text1" w:themeTint="F2"/>
                <w:spacing w:val="-6"/>
                <w:kern w:val="21"/>
                <w:szCs w:val="21"/>
                <w14:textFill>
                  <w14:solidFill>
                    <w14:schemeClr w14:val="tx1">
                      <w14:lumMod w14:val="95000"/>
                      <w14:lumOff w14:val="5000"/>
                    </w14:schemeClr>
                  </w14:solidFill>
                </w14:textFill>
              </w:rPr>
              <w:fldChar w:fldCharType="end"/>
            </w:r>
          </w:p>
        </w:tc>
        <w:tc>
          <w:tcPr>
            <w:tcW w:w="1761" w:type="dxa"/>
            <w:tcMar>
              <w:left w:w="28" w:type="dxa"/>
              <w:right w:w="28" w:type="dxa"/>
            </w:tcMar>
            <w:vAlign w:val="center"/>
          </w:tcPr>
          <w:p w14:paraId="44C0FAB1">
            <w:pPr>
              <w:adjustRightInd w:val="0"/>
              <w:snapToGrid w:val="0"/>
              <w:jc w:val="center"/>
              <w:rPr>
                <w:snapToGrid w:val="0"/>
                <w:color w:val="0D0D0D" w:themeColor="text1" w:themeTint="F2"/>
                <w:spacing w:val="-16"/>
                <w:kern w:val="21"/>
                <w:szCs w:val="21"/>
                <w14:textFill>
                  <w14:solidFill>
                    <w14:schemeClr w14:val="tx1">
                      <w14:lumMod w14:val="95000"/>
                      <w14:lumOff w14:val="5000"/>
                    </w14:schemeClr>
                  </w14:solidFill>
                </w14:textFill>
              </w:rPr>
            </w:pPr>
            <w:r>
              <w:rPr>
                <w:snapToGrid w:val="0"/>
                <w:color w:val="0D0D0D" w:themeColor="text1" w:themeTint="F2"/>
                <w:spacing w:val="-16"/>
                <w:kern w:val="21"/>
                <w:szCs w:val="21"/>
                <w14:textFill>
                  <w14:solidFill>
                    <w14:schemeClr w14:val="tx1">
                      <w14:lumMod w14:val="95000"/>
                      <w14:lumOff w14:val="5000"/>
                    </w14:schemeClr>
                  </w14:solidFill>
                </w14:textFill>
              </w:rPr>
              <w:t>以新带老削减量</w:t>
            </w:r>
          </w:p>
          <w:p w14:paraId="3A5E2507">
            <w:pPr>
              <w:adjustRightInd w:val="0"/>
              <w:snapToGrid w:val="0"/>
              <w:jc w:val="center"/>
              <w:rPr>
                <w:snapToGrid w:val="0"/>
                <w:color w:val="0D0D0D" w:themeColor="text1" w:themeTint="F2"/>
                <w:spacing w:val="-16"/>
                <w:kern w:val="21"/>
                <w:szCs w:val="21"/>
                <w14:textFill>
                  <w14:solidFill>
                    <w14:schemeClr w14:val="tx1">
                      <w14:lumMod w14:val="95000"/>
                      <w14:lumOff w14:val="5000"/>
                    </w14:schemeClr>
                  </w14:solidFill>
                </w14:textFill>
              </w:rPr>
            </w:pPr>
            <w:r>
              <w:rPr>
                <w:snapToGrid w:val="0"/>
                <w:color w:val="0D0D0D" w:themeColor="text1" w:themeTint="F2"/>
                <w:spacing w:val="-16"/>
                <w:kern w:val="21"/>
                <w:szCs w:val="21"/>
                <w14:textFill>
                  <w14:solidFill>
                    <w14:schemeClr w14:val="tx1">
                      <w14:lumMod w14:val="95000"/>
                      <w14:lumOff w14:val="5000"/>
                    </w14:schemeClr>
                  </w14:solidFill>
                </w14:textFill>
              </w:rPr>
              <w:t>（新建项目不填）</w:t>
            </w:r>
            <w:r>
              <w:rPr>
                <w:snapToGrid w:val="0"/>
                <w:color w:val="0D0D0D" w:themeColor="text1" w:themeTint="F2"/>
                <w:spacing w:val="-16"/>
                <w:kern w:val="21"/>
                <w:szCs w:val="21"/>
                <w14:textFill>
                  <w14:solidFill>
                    <w14:schemeClr w14:val="tx1">
                      <w14:lumMod w14:val="95000"/>
                      <w14:lumOff w14:val="5000"/>
                    </w14:schemeClr>
                  </w14:solidFill>
                </w14:textFill>
              </w:rPr>
              <w:fldChar w:fldCharType="begin"/>
            </w:r>
            <w:r>
              <w:rPr>
                <w:snapToGrid w:val="0"/>
                <w:color w:val="0D0D0D" w:themeColor="text1" w:themeTint="F2"/>
                <w:spacing w:val="-16"/>
                <w:kern w:val="21"/>
                <w:szCs w:val="21"/>
                <w14:textFill>
                  <w14:solidFill>
                    <w14:schemeClr w14:val="tx1">
                      <w14:lumMod w14:val="95000"/>
                      <w14:lumOff w14:val="5000"/>
                    </w14:schemeClr>
                  </w14:solidFill>
                </w14:textFill>
              </w:rPr>
              <w:instrText xml:space="preserve"> = 5 \* GB3 \* MERGEFORMAT </w:instrText>
            </w:r>
            <w:r>
              <w:rPr>
                <w:snapToGrid w:val="0"/>
                <w:color w:val="0D0D0D" w:themeColor="text1" w:themeTint="F2"/>
                <w:spacing w:val="-16"/>
                <w:kern w:val="21"/>
                <w:szCs w:val="21"/>
                <w14:textFill>
                  <w14:solidFill>
                    <w14:schemeClr w14:val="tx1">
                      <w14:lumMod w14:val="95000"/>
                      <w14:lumOff w14:val="5000"/>
                    </w14:schemeClr>
                  </w14:solidFill>
                </w14:textFill>
              </w:rPr>
              <w:fldChar w:fldCharType="separate"/>
            </w:r>
            <w:r>
              <w:rPr>
                <w:rFonts w:hint="eastAsia" w:cs="宋体"/>
                <w:color w:val="0D0D0D" w:themeColor="text1" w:themeTint="F2"/>
                <w:szCs w:val="21"/>
                <w14:textFill>
                  <w14:solidFill>
                    <w14:schemeClr w14:val="tx1">
                      <w14:lumMod w14:val="95000"/>
                      <w14:lumOff w14:val="5000"/>
                    </w14:schemeClr>
                  </w14:solidFill>
                </w14:textFill>
              </w:rPr>
              <w:t>⑤</w:t>
            </w:r>
            <w:r>
              <w:rPr>
                <w:snapToGrid w:val="0"/>
                <w:color w:val="0D0D0D" w:themeColor="text1" w:themeTint="F2"/>
                <w:spacing w:val="-16"/>
                <w:kern w:val="21"/>
                <w:szCs w:val="21"/>
                <w14:textFill>
                  <w14:solidFill>
                    <w14:schemeClr w14:val="tx1">
                      <w14:lumMod w14:val="95000"/>
                      <w14:lumOff w14:val="5000"/>
                    </w14:schemeClr>
                  </w14:solidFill>
                </w14:textFill>
              </w:rPr>
              <w:fldChar w:fldCharType="end"/>
            </w:r>
          </w:p>
        </w:tc>
        <w:tc>
          <w:tcPr>
            <w:tcW w:w="1887" w:type="dxa"/>
            <w:tcMar>
              <w:left w:w="28" w:type="dxa"/>
              <w:right w:w="28" w:type="dxa"/>
            </w:tcMar>
            <w:vAlign w:val="center"/>
          </w:tcPr>
          <w:p w14:paraId="48BF5762">
            <w:pPr>
              <w:adjustRightInd w:val="0"/>
              <w:snapToGrid w:val="0"/>
              <w:jc w:val="center"/>
              <w:rPr>
                <w:snapToGrid w:val="0"/>
                <w:color w:val="0D0D0D" w:themeColor="text1" w:themeTint="F2"/>
                <w:spacing w:val="-16"/>
                <w:kern w:val="21"/>
                <w:szCs w:val="21"/>
                <w14:textFill>
                  <w14:solidFill>
                    <w14:schemeClr w14:val="tx1">
                      <w14:lumMod w14:val="95000"/>
                      <w14:lumOff w14:val="5000"/>
                    </w14:schemeClr>
                  </w14:solidFill>
                </w14:textFill>
              </w:rPr>
            </w:pPr>
            <w:r>
              <w:rPr>
                <w:snapToGrid w:val="0"/>
                <w:color w:val="0D0D0D" w:themeColor="text1" w:themeTint="F2"/>
                <w:spacing w:val="-16"/>
                <w:kern w:val="21"/>
                <w:szCs w:val="21"/>
                <w14:textFill>
                  <w14:solidFill>
                    <w14:schemeClr w14:val="tx1">
                      <w14:lumMod w14:val="95000"/>
                      <w14:lumOff w14:val="5000"/>
                    </w14:schemeClr>
                  </w14:solidFill>
                </w14:textFill>
              </w:rPr>
              <w:t>本项目建成后</w:t>
            </w:r>
          </w:p>
          <w:p w14:paraId="6F881C45">
            <w:pPr>
              <w:adjustRightInd w:val="0"/>
              <w:snapToGrid w:val="0"/>
              <w:jc w:val="center"/>
              <w:rPr>
                <w:snapToGrid w:val="0"/>
                <w:color w:val="0D0D0D" w:themeColor="text1" w:themeTint="F2"/>
                <w:spacing w:val="-16"/>
                <w:kern w:val="21"/>
                <w:szCs w:val="21"/>
                <w14:textFill>
                  <w14:solidFill>
                    <w14:schemeClr w14:val="tx1">
                      <w14:lumMod w14:val="95000"/>
                      <w14:lumOff w14:val="5000"/>
                    </w14:schemeClr>
                  </w14:solidFill>
                </w14:textFill>
              </w:rPr>
            </w:pPr>
            <w:r>
              <w:rPr>
                <w:rFonts w:hint="eastAsia"/>
                <w:snapToGrid w:val="0"/>
                <w:color w:val="0D0D0D" w:themeColor="text1" w:themeTint="F2"/>
                <w:spacing w:val="-16"/>
                <w:kern w:val="21"/>
                <w:szCs w:val="21"/>
                <w14:textFill>
                  <w14:solidFill>
                    <w14:schemeClr w14:val="tx1">
                      <w14:lumMod w14:val="95000"/>
                      <w14:lumOff w14:val="5000"/>
                    </w14:schemeClr>
                  </w14:solidFill>
                </w14:textFill>
              </w:rPr>
              <w:t>全厂</w:t>
            </w:r>
            <w:r>
              <w:rPr>
                <w:snapToGrid w:val="0"/>
                <w:color w:val="0D0D0D" w:themeColor="text1" w:themeTint="F2"/>
                <w:spacing w:val="-16"/>
                <w:kern w:val="21"/>
                <w:szCs w:val="21"/>
                <w14:textFill>
                  <w14:solidFill>
                    <w14:schemeClr w14:val="tx1">
                      <w14:lumMod w14:val="95000"/>
                      <w14:lumOff w14:val="5000"/>
                    </w14:schemeClr>
                  </w14:solidFill>
                </w14:textFill>
              </w:rPr>
              <w:t>排放量（固</w:t>
            </w:r>
            <w:r>
              <w:rPr>
                <w:rFonts w:hint="eastAsia"/>
                <w:snapToGrid w:val="0"/>
                <w:color w:val="0D0D0D" w:themeColor="text1" w:themeTint="F2"/>
                <w:spacing w:val="-16"/>
                <w:kern w:val="21"/>
                <w:szCs w:val="21"/>
                <w14:textFill>
                  <w14:solidFill>
                    <w14:schemeClr w14:val="tx1">
                      <w14:lumMod w14:val="95000"/>
                      <w14:lumOff w14:val="5000"/>
                    </w14:schemeClr>
                  </w14:solidFill>
                </w14:textFill>
              </w:rPr>
              <w:t>体</w:t>
            </w:r>
            <w:r>
              <w:rPr>
                <w:snapToGrid w:val="0"/>
                <w:color w:val="0D0D0D" w:themeColor="text1" w:themeTint="F2"/>
                <w:spacing w:val="-16"/>
                <w:kern w:val="21"/>
                <w:szCs w:val="21"/>
                <w14:textFill>
                  <w14:solidFill>
                    <w14:schemeClr w14:val="tx1">
                      <w14:lumMod w14:val="95000"/>
                      <w14:lumOff w14:val="5000"/>
                    </w14:schemeClr>
                  </w14:solidFill>
                </w14:textFill>
              </w:rPr>
              <w:t>废</w:t>
            </w:r>
            <w:r>
              <w:rPr>
                <w:rFonts w:hint="eastAsia"/>
                <w:snapToGrid w:val="0"/>
                <w:color w:val="0D0D0D" w:themeColor="text1" w:themeTint="F2"/>
                <w:spacing w:val="-16"/>
                <w:kern w:val="21"/>
                <w:szCs w:val="21"/>
                <w14:textFill>
                  <w14:solidFill>
                    <w14:schemeClr w14:val="tx1">
                      <w14:lumMod w14:val="95000"/>
                      <w14:lumOff w14:val="5000"/>
                    </w14:schemeClr>
                  </w14:solidFill>
                </w14:textFill>
              </w:rPr>
              <w:t>物</w:t>
            </w:r>
            <w:r>
              <w:rPr>
                <w:snapToGrid w:val="0"/>
                <w:color w:val="0D0D0D" w:themeColor="text1" w:themeTint="F2"/>
                <w:spacing w:val="-16"/>
                <w:kern w:val="21"/>
                <w:szCs w:val="21"/>
                <w14:textFill>
                  <w14:solidFill>
                    <w14:schemeClr w14:val="tx1">
                      <w14:lumMod w14:val="95000"/>
                      <w14:lumOff w14:val="5000"/>
                    </w14:schemeClr>
                  </w14:solidFill>
                </w14:textFill>
              </w:rPr>
              <w:t>产生量）</w:t>
            </w:r>
            <w:r>
              <w:rPr>
                <w:snapToGrid w:val="0"/>
                <w:color w:val="0D0D0D" w:themeColor="text1" w:themeTint="F2"/>
                <w:spacing w:val="-16"/>
                <w:kern w:val="21"/>
                <w:szCs w:val="21"/>
                <w14:textFill>
                  <w14:solidFill>
                    <w14:schemeClr w14:val="tx1">
                      <w14:lumMod w14:val="95000"/>
                      <w14:lumOff w14:val="5000"/>
                    </w14:schemeClr>
                  </w14:solidFill>
                </w14:textFill>
              </w:rPr>
              <w:fldChar w:fldCharType="begin"/>
            </w:r>
            <w:r>
              <w:rPr>
                <w:snapToGrid w:val="0"/>
                <w:color w:val="0D0D0D" w:themeColor="text1" w:themeTint="F2"/>
                <w:spacing w:val="-16"/>
                <w:kern w:val="21"/>
                <w:szCs w:val="21"/>
                <w14:textFill>
                  <w14:solidFill>
                    <w14:schemeClr w14:val="tx1">
                      <w14:lumMod w14:val="95000"/>
                      <w14:lumOff w14:val="5000"/>
                    </w14:schemeClr>
                  </w14:solidFill>
                </w14:textFill>
              </w:rPr>
              <w:instrText xml:space="preserve"> = 6 \* GB3 \* MERGEFORMAT </w:instrText>
            </w:r>
            <w:r>
              <w:rPr>
                <w:snapToGrid w:val="0"/>
                <w:color w:val="0D0D0D" w:themeColor="text1" w:themeTint="F2"/>
                <w:spacing w:val="-16"/>
                <w:kern w:val="21"/>
                <w:szCs w:val="21"/>
                <w14:textFill>
                  <w14:solidFill>
                    <w14:schemeClr w14:val="tx1">
                      <w14:lumMod w14:val="95000"/>
                      <w14:lumOff w14:val="5000"/>
                    </w14:schemeClr>
                  </w14:solidFill>
                </w14:textFill>
              </w:rPr>
              <w:fldChar w:fldCharType="separate"/>
            </w:r>
            <w:r>
              <w:rPr>
                <w:rFonts w:hint="eastAsia" w:cs="宋体"/>
                <w:color w:val="0D0D0D" w:themeColor="text1" w:themeTint="F2"/>
                <w:szCs w:val="21"/>
                <w14:textFill>
                  <w14:solidFill>
                    <w14:schemeClr w14:val="tx1">
                      <w14:lumMod w14:val="95000"/>
                      <w14:lumOff w14:val="5000"/>
                    </w14:schemeClr>
                  </w14:solidFill>
                </w14:textFill>
              </w:rPr>
              <w:t>⑥</w:t>
            </w:r>
            <w:r>
              <w:rPr>
                <w:snapToGrid w:val="0"/>
                <w:color w:val="0D0D0D" w:themeColor="text1" w:themeTint="F2"/>
                <w:spacing w:val="-16"/>
                <w:kern w:val="21"/>
                <w:szCs w:val="21"/>
                <w14:textFill>
                  <w14:solidFill>
                    <w14:schemeClr w14:val="tx1">
                      <w14:lumMod w14:val="95000"/>
                      <w14:lumOff w14:val="5000"/>
                    </w14:schemeClr>
                  </w14:solidFill>
                </w14:textFill>
              </w:rPr>
              <w:fldChar w:fldCharType="end"/>
            </w:r>
          </w:p>
        </w:tc>
        <w:tc>
          <w:tcPr>
            <w:tcW w:w="898" w:type="dxa"/>
            <w:tcMar>
              <w:left w:w="28" w:type="dxa"/>
              <w:right w:w="28" w:type="dxa"/>
            </w:tcMar>
            <w:vAlign w:val="center"/>
          </w:tcPr>
          <w:p w14:paraId="53B182D1">
            <w:pPr>
              <w:adjustRightInd w:val="0"/>
              <w:snapToGrid w:val="0"/>
              <w:jc w:val="center"/>
              <w:rPr>
                <w:snapToGrid w:val="0"/>
                <w:color w:val="0D0D0D" w:themeColor="text1" w:themeTint="F2"/>
                <w:spacing w:val="-6"/>
                <w:kern w:val="21"/>
                <w:szCs w:val="21"/>
                <w14:textFill>
                  <w14:solidFill>
                    <w14:schemeClr w14:val="tx1">
                      <w14:lumMod w14:val="95000"/>
                      <w14:lumOff w14:val="5000"/>
                    </w14:schemeClr>
                  </w14:solidFill>
                </w14:textFill>
              </w:rPr>
            </w:pPr>
            <w:r>
              <w:rPr>
                <w:snapToGrid w:val="0"/>
                <w:color w:val="0D0D0D" w:themeColor="text1" w:themeTint="F2"/>
                <w:spacing w:val="-6"/>
                <w:kern w:val="21"/>
                <w:szCs w:val="21"/>
                <w14:textFill>
                  <w14:solidFill>
                    <w14:schemeClr w14:val="tx1">
                      <w14:lumMod w14:val="95000"/>
                      <w14:lumOff w14:val="5000"/>
                    </w14:schemeClr>
                  </w14:solidFill>
                </w14:textFill>
              </w:rPr>
              <w:t>变化量</w:t>
            </w:r>
          </w:p>
          <w:p w14:paraId="5BF48096">
            <w:pPr>
              <w:adjustRightInd w:val="0"/>
              <w:snapToGrid w:val="0"/>
              <w:jc w:val="center"/>
              <w:rPr>
                <w:snapToGrid w:val="0"/>
                <w:color w:val="0D0D0D" w:themeColor="text1" w:themeTint="F2"/>
                <w:spacing w:val="-6"/>
                <w:kern w:val="21"/>
                <w:szCs w:val="21"/>
                <w14:textFill>
                  <w14:solidFill>
                    <w14:schemeClr w14:val="tx1">
                      <w14:lumMod w14:val="95000"/>
                      <w14:lumOff w14:val="5000"/>
                    </w14:schemeClr>
                  </w14:solidFill>
                </w14:textFill>
              </w:rPr>
            </w:pPr>
            <w:r>
              <w:rPr>
                <w:snapToGrid w:val="0"/>
                <w:color w:val="0D0D0D" w:themeColor="text1" w:themeTint="F2"/>
                <w:spacing w:val="-6"/>
                <w:kern w:val="21"/>
                <w:szCs w:val="21"/>
                <w14:textFill>
                  <w14:solidFill>
                    <w14:schemeClr w14:val="tx1">
                      <w14:lumMod w14:val="95000"/>
                      <w14:lumOff w14:val="5000"/>
                    </w14:schemeClr>
                  </w14:solidFill>
                </w14:textFill>
              </w:rPr>
              <w:fldChar w:fldCharType="begin"/>
            </w:r>
            <w:r>
              <w:rPr>
                <w:snapToGrid w:val="0"/>
                <w:color w:val="0D0D0D" w:themeColor="text1" w:themeTint="F2"/>
                <w:spacing w:val="-6"/>
                <w:kern w:val="21"/>
                <w:szCs w:val="21"/>
                <w14:textFill>
                  <w14:solidFill>
                    <w14:schemeClr w14:val="tx1">
                      <w14:lumMod w14:val="95000"/>
                      <w14:lumOff w14:val="5000"/>
                    </w14:schemeClr>
                  </w14:solidFill>
                </w14:textFill>
              </w:rPr>
              <w:instrText xml:space="preserve"> = 7 \* GB3 \* MERGEFORMAT </w:instrText>
            </w:r>
            <w:r>
              <w:rPr>
                <w:snapToGrid w:val="0"/>
                <w:color w:val="0D0D0D" w:themeColor="text1" w:themeTint="F2"/>
                <w:spacing w:val="-6"/>
                <w:kern w:val="21"/>
                <w:szCs w:val="21"/>
                <w14:textFill>
                  <w14:solidFill>
                    <w14:schemeClr w14:val="tx1">
                      <w14:lumMod w14:val="95000"/>
                      <w14:lumOff w14:val="5000"/>
                    </w14:schemeClr>
                  </w14:solidFill>
                </w14:textFill>
              </w:rPr>
              <w:fldChar w:fldCharType="separate"/>
            </w:r>
            <w:r>
              <w:rPr>
                <w:rFonts w:hint="eastAsia" w:cs="宋体"/>
                <w:color w:val="0D0D0D" w:themeColor="text1" w:themeTint="F2"/>
                <w:szCs w:val="21"/>
                <w14:textFill>
                  <w14:solidFill>
                    <w14:schemeClr w14:val="tx1">
                      <w14:lumMod w14:val="95000"/>
                      <w14:lumOff w14:val="5000"/>
                    </w14:schemeClr>
                  </w14:solidFill>
                </w14:textFill>
              </w:rPr>
              <w:t>⑦</w:t>
            </w:r>
            <w:r>
              <w:rPr>
                <w:snapToGrid w:val="0"/>
                <w:color w:val="0D0D0D" w:themeColor="text1" w:themeTint="F2"/>
                <w:spacing w:val="-6"/>
                <w:kern w:val="21"/>
                <w:szCs w:val="21"/>
                <w14:textFill>
                  <w14:solidFill>
                    <w14:schemeClr w14:val="tx1">
                      <w14:lumMod w14:val="95000"/>
                      <w14:lumOff w14:val="5000"/>
                    </w14:schemeClr>
                  </w14:solidFill>
                </w14:textFill>
              </w:rPr>
              <w:fldChar w:fldCharType="end"/>
            </w:r>
          </w:p>
        </w:tc>
      </w:tr>
      <w:tr w14:paraId="753F6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restart"/>
            <w:vAlign w:val="center"/>
          </w:tcPr>
          <w:p w14:paraId="6F8E3C9F">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废气</w:t>
            </w:r>
          </w:p>
        </w:tc>
        <w:tc>
          <w:tcPr>
            <w:tcW w:w="1417" w:type="dxa"/>
            <w:vAlign w:val="center"/>
          </w:tcPr>
          <w:p w14:paraId="3EB88105">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颗粒物</w:t>
            </w:r>
          </w:p>
        </w:tc>
        <w:tc>
          <w:tcPr>
            <w:tcW w:w="1701" w:type="dxa"/>
            <w:vAlign w:val="center"/>
          </w:tcPr>
          <w:p w14:paraId="473A6DF7">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27996BB5">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43C5C377">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14E8755D">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0.22</w:t>
            </w:r>
          </w:p>
        </w:tc>
        <w:tc>
          <w:tcPr>
            <w:tcW w:w="1761" w:type="dxa"/>
            <w:vAlign w:val="center"/>
          </w:tcPr>
          <w:p w14:paraId="34EB2F0D">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3D78DD64">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0.22</w:t>
            </w:r>
          </w:p>
        </w:tc>
        <w:tc>
          <w:tcPr>
            <w:tcW w:w="898" w:type="dxa"/>
            <w:vAlign w:val="center"/>
          </w:tcPr>
          <w:p w14:paraId="60D20CBC">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+0.22</w:t>
            </w:r>
          </w:p>
        </w:tc>
      </w:tr>
      <w:tr w14:paraId="3BBCC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continue"/>
            <w:vAlign w:val="center"/>
          </w:tcPr>
          <w:p w14:paraId="29EDC049">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1417" w:type="dxa"/>
            <w:vAlign w:val="center"/>
          </w:tcPr>
          <w:p w14:paraId="20F66E43">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非甲烷总烃</w:t>
            </w:r>
          </w:p>
        </w:tc>
        <w:tc>
          <w:tcPr>
            <w:tcW w:w="1701" w:type="dxa"/>
            <w:vAlign w:val="center"/>
          </w:tcPr>
          <w:p w14:paraId="28F0CD98">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390BFE1C">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1C20535D">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1F2ACC70">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0.16</w:t>
            </w:r>
          </w:p>
        </w:tc>
        <w:tc>
          <w:tcPr>
            <w:tcW w:w="1761" w:type="dxa"/>
            <w:vAlign w:val="center"/>
          </w:tcPr>
          <w:p w14:paraId="47F19A43">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1AB7D150">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0.16</w:t>
            </w:r>
          </w:p>
        </w:tc>
        <w:tc>
          <w:tcPr>
            <w:tcW w:w="898" w:type="dxa"/>
            <w:vAlign w:val="center"/>
          </w:tcPr>
          <w:p w14:paraId="18E59CCB">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+0.16</w:t>
            </w:r>
          </w:p>
        </w:tc>
      </w:tr>
      <w:tr w14:paraId="080CE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continue"/>
            <w:vAlign w:val="center"/>
          </w:tcPr>
          <w:p w14:paraId="692A4004">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1417" w:type="dxa"/>
            <w:vAlign w:val="center"/>
          </w:tcPr>
          <w:p w14:paraId="14E6C880">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二甲苯</w:t>
            </w:r>
          </w:p>
        </w:tc>
        <w:tc>
          <w:tcPr>
            <w:tcW w:w="1701" w:type="dxa"/>
            <w:vAlign w:val="center"/>
          </w:tcPr>
          <w:p w14:paraId="74A69151">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3521C0D2">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6AEEFD72">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6D7DF15A">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0.12</w:t>
            </w:r>
          </w:p>
        </w:tc>
        <w:tc>
          <w:tcPr>
            <w:tcW w:w="1761" w:type="dxa"/>
            <w:vAlign w:val="center"/>
          </w:tcPr>
          <w:p w14:paraId="13A0FC1D">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21F4A619">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0.12</w:t>
            </w:r>
          </w:p>
        </w:tc>
        <w:tc>
          <w:tcPr>
            <w:tcW w:w="898" w:type="dxa"/>
            <w:vAlign w:val="center"/>
          </w:tcPr>
          <w:p w14:paraId="4194E473">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+0.12</w:t>
            </w:r>
          </w:p>
        </w:tc>
      </w:tr>
      <w:tr w14:paraId="13B99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restart"/>
            <w:vAlign w:val="center"/>
          </w:tcPr>
          <w:p w14:paraId="1C3D0389">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废水</w:t>
            </w:r>
          </w:p>
        </w:tc>
        <w:tc>
          <w:tcPr>
            <w:tcW w:w="1417" w:type="dxa"/>
            <w:vAlign w:val="center"/>
          </w:tcPr>
          <w:p w14:paraId="6BBD5DA2">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C</w:t>
            </w:r>
            <w:r>
              <w:rPr>
                <w:rFonts w:cs="宋体"/>
                <w:snapToGrid w:val="0"/>
                <w:color w:val="0D0D0D" w:themeColor="text1" w:themeTint="F2"/>
                <w:kern w:val="21"/>
                <w:szCs w:val="21"/>
                <w14:textFill>
                  <w14:solidFill>
                    <w14:schemeClr w14:val="tx1">
                      <w14:lumMod w14:val="95000"/>
                      <w14:lumOff w14:val="5000"/>
                    </w14:schemeClr>
                  </w14:solidFill>
                </w14:textFill>
              </w:rPr>
              <w:t>OD</w:t>
            </w:r>
          </w:p>
        </w:tc>
        <w:tc>
          <w:tcPr>
            <w:tcW w:w="1701" w:type="dxa"/>
            <w:vAlign w:val="center"/>
          </w:tcPr>
          <w:p w14:paraId="5ABDF8E6">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450282DF">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0C636D65">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5D688100">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0.16</w:t>
            </w:r>
          </w:p>
        </w:tc>
        <w:tc>
          <w:tcPr>
            <w:tcW w:w="1761" w:type="dxa"/>
            <w:vAlign w:val="center"/>
          </w:tcPr>
          <w:p w14:paraId="0D29B784">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1472069E">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0.16</w:t>
            </w:r>
          </w:p>
        </w:tc>
        <w:tc>
          <w:tcPr>
            <w:tcW w:w="898" w:type="dxa"/>
            <w:vAlign w:val="center"/>
          </w:tcPr>
          <w:p w14:paraId="75748FB2">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+0.16</w:t>
            </w:r>
          </w:p>
        </w:tc>
      </w:tr>
      <w:tr w14:paraId="20EDA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continue"/>
            <w:vAlign w:val="center"/>
          </w:tcPr>
          <w:p w14:paraId="51FAA79F">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1417" w:type="dxa"/>
            <w:vAlign w:val="center"/>
          </w:tcPr>
          <w:p w14:paraId="17FD5814">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氨氮</w:t>
            </w:r>
          </w:p>
        </w:tc>
        <w:tc>
          <w:tcPr>
            <w:tcW w:w="1701" w:type="dxa"/>
            <w:vAlign w:val="center"/>
          </w:tcPr>
          <w:p w14:paraId="6D28BE85">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4F21EA8D">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63301556">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46AF7695">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0.13</w:t>
            </w:r>
          </w:p>
        </w:tc>
        <w:tc>
          <w:tcPr>
            <w:tcW w:w="1761" w:type="dxa"/>
            <w:vAlign w:val="center"/>
          </w:tcPr>
          <w:p w14:paraId="54651303">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44972E9C">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0.13</w:t>
            </w:r>
          </w:p>
        </w:tc>
        <w:tc>
          <w:tcPr>
            <w:tcW w:w="898" w:type="dxa"/>
            <w:vAlign w:val="center"/>
          </w:tcPr>
          <w:p w14:paraId="76E3EC50">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+0.13</w:t>
            </w:r>
          </w:p>
        </w:tc>
      </w:tr>
      <w:tr w14:paraId="101CD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restart"/>
            <w:vAlign w:val="center"/>
          </w:tcPr>
          <w:p w14:paraId="023ECB62">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一般工业</w:t>
            </w:r>
          </w:p>
          <w:p w14:paraId="638F58FD">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固体废物</w:t>
            </w:r>
          </w:p>
        </w:tc>
        <w:tc>
          <w:tcPr>
            <w:tcW w:w="1417" w:type="dxa"/>
            <w:vAlign w:val="center"/>
          </w:tcPr>
          <w:p w14:paraId="0D55DCB9">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不合格钢材</w:t>
            </w:r>
          </w:p>
        </w:tc>
        <w:tc>
          <w:tcPr>
            <w:tcW w:w="1701" w:type="dxa"/>
            <w:vAlign w:val="center"/>
          </w:tcPr>
          <w:p w14:paraId="32014D85">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7707B683">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7DF1BF90">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3E4F00CE">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0.52</w:t>
            </w:r>
          </w:p>
        </w:tc>
        <w:tc>
          <w:tcPr>
            <w:tcW w:w="1761" w:type="dxa"/>
            <w:vAlign w:val="center"/>
          </w:tcPr>
          <w:p w14:paraId="77DEC4A9">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382B81D4">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0.52</w:t>
            </w:r>
          </w:p>
        </w:tc>
        <w:tc>
          <w:tcPr>
            <w:tcW w:w="898" w:type="dxa"/>
            <w:vAlign w:val="center"/>
          </w:tcPr>
          <w:p w14:paraId="7820745C">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+0.52</w:t>
            </w:r>
          </w:p>
        </w:tc>
      </w:tr>
      <w:tr w14:paraId="73645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continue"/>
            <w:vAlign w:val="center"/>
          </w:tcPr>
          <w:p w14:paraId="3AF45E14">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1417" w:type="dxa"/>
            <w:vAlign w:val="center"/>
          </w:tcPr>
          <w:p w14:paraId="4BC9E876">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除尘设备废滤芯</w:t>
            </w:r>
          </w:p>
        </w:tc>
        <w:tc>
          <w:tcPr>
            <w:tcW w:w="1701" w:type="dxa"/>
            <w:vAlign w:val="center"/>
          </w:tcPr>
          <w:p w14:paraId="1BE7DD99">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292CEB2F">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3B47312F">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35369A03">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0.1</w:t>
            </w:r>
          </w:p>
        </w:tc>
        <w:tc>
          <w:tcPr>
            <w:tcW w:w="1761" w:type="dxa"/>
            <w:vAlign w:val="center"/>
          </w:tcPr>
          <w:p w14:paraId="0ABF38F0">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64F80C7A">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0.1</w:t>
            </w:r>
          </w:p>
        </w:tc>
        <w:tc>
          <w:tcPr>
            <w:tcW w:w="898" w:type="dxa"/>
            <w:vAlign w:val="center"/>
          </w:tcPr>
          <w:p w14:paraId="1B03947E">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+0.1</w:t>
            </w:r>
          </w:p>
        </w:tc>
      </w:tr>
      <w:tr w14:paraId="5971F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continue"/>
            <w:vAlign w:val="center"/>
          </w:tcPr>
          <w:p w14:paraId="63D47A8B">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1417" w:type="dxa"/>
            <w:vAlign w:val="center"/>
          </w:tcPr>
          <w:p w14:paraId="696E15C3">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除尘器收集粉尘</w:t>
            </w:r>
          </w:p>
        </w:tc>
        <w:tc>
          <w:tcPr>
            <w:tcW w:w="1701" w:type="dxa"/>
            <w:vAlign w:val="center"/>
          </w:tcPr>
          <w:p w14:paraId="3F45CFED">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74469B20">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53BA0745">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22B5CA98">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0.98</w:t>
            </w:r>
          </w:p>
        </w:tc>
        <w:tc>
          <w:tcPr>
            <w:tcW w:w="1761" w:type="dxa"/>
            <w:vAlign w:val="center"/>
          </w:tcPr>
          <w:p w14:paraId="3329EB9B">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6A407099">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0.98</w:t>
            </w:r>
          </w:p>
        </w:tc>
        <w:tc>
          <w:tcPr>
            <w:tcW w:w="898" w:type="dxa"/>
            <w:vAlign w:val="center"/>
          </w:tcPr>
          <w:p w14:paraId="452C8EE0">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+0.98</w:t>
            </w:r>
          </w:p>
        </w:tc>
      </w:tr>
      <w:tr w14:paraId="27564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continue"/>
            <w:vAlign w:val="center"/>
          </w:tcPr>
          <w:p w14:paraId="570E5497">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1417" w:type="dxa"/>
            <w:vAlign w:val="center"/>
          </w:tcPr>
          <w:p w14:paraId="5BD01313">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废钢丸</w:t>
            </w:r>
          </w:p>
        </w:tc>
        <w:tc>
          <w:tcPr>
            <w:tcW w:w="1701" w:type="dxa"/>
            <w:vAlign w:val="center"/>
          </w:tcPr>
          <w:p w14:paraId="5878A128">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26CB72E5">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66037C3A">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2EC1B063">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4</w:t>
            </w:r>
          </w:p>
        </w:tc>
        <w:tc>
          <w:tcPr>
            <w:tcW w:w="1761" w:type="dxa"/>
            <w:vAlign w:val="center"/>
          </w:tcPr>
          <w:p w14:paraId="57988E58">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1299B1A5">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4</w:t>
            </w:r>
          </w:p>
        </w:tc>
        <w:tc>
          <w:tcPr>
            <w:tcW w:w="898" w:type="dxa"/>
            <w:vAlign w:val="center"/>
          </w:tcPr>
          <w:p w14:paraId="2D40BB18">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+4</w:t>
            </w:r>
          </w:p>
        </w:tc>
      </w:tr>
      <w:tr w14:paraId="204D0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restart"/>
            <w:vAlign w:val="center"/>
          </w:tcPr>
          <w:p w14:paraId="03948474">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危险废物</w:t>
            </w:r>
          </w:p>
        </w:tc>
        <w:tc>
          <w:tcPr>
            <w:tcW w:w="1417" w:type="dxa"/>
            <w:vAlign w:val="center"/>
          </w:tcPr>
          <w:p w14:paraId="73AA002C">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废油漆桶</w:t>
            </w:r>
          </w:p>
        </w:tc>
        <w:tc>
          <w:tcPr>
            <w:tcW w:w="1701" w:type="dxa"/>
            <w:vAlign w:val="center"/>
          </w:tcPr>
          <w:p w14:paraId="5BD5945D">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2BA9A1B5">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25AD6224">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079ABA33">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1.10</w:t>
            </w:r>
          </w:p>
        </w:tc>
        <w:tc>
          <w:tcPr>
            <w:tcW w:w="1761" w:type="dxa"/>
            <w:vAlign w:val="center"/>
          </w:tcPr>
          <w:p w14:paraId="55E5F611">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721DC536">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1.10</w:t>
            </w:r>
          </w:p>
        </w:tc>
        <w:tc>
          <w:tcPr>
            <w:tcW w:w="898" w:type="dxa"/>
            <w:vAlign w:val="center"/>
          </w:tcPr>
          <w:p w14:paraId="7B239D0D">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+1.10</w:t>
            </w:r>
          </w:p>
        </w:tc>
      </w:tr>
      <w:tr w14:paraId="7AAF0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continue"/>
            <w:vAlign w:val="center"/>
          </w:tcPr>
          <w:p w14:paraId="0F59192E">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1417" w:type="dxa"/>
            <w:vAlign w:val="center"/>
          </w:tcPr>
          <w:p w14:paraId="6827BC2C">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漆渣</w:t>
            </w:r>
          </w:p>
        </w:tc>
        <w:tc>
          <w:tcPr>
            <w:tcW w:w="1701" w:type="dxa"/>
            <w:vAlign w:val="center"/>
          </w:tcPr>
          <w:p w14:paraId="576AC23E">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35AAB1B2">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706FC617">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0B0F44B0">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0.72</w:t>
            </w:r>
          </w:p>
        </w:tc>
        <w:tc>
          <w:tcPr>
            <w:tcW w:w="1761" w:type="dxa"/>
            <w:vAlign w:val="center"/>
          </w:tcPr>
          <w:p w14:paraId="63CACFCE">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7692F0B1">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0.72</w:t>
            </w:r>
          </w:p>
        </w:tc>
        <w:tc>
          <w:tcPr>
            <w:tcW w:w="898" w:type="dxa"/>
            <w:vAlign w:val="center"/>
          </w:tcPr>
          <w:p w14:paraId="7E28B4DA">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+0.72</w:t>
            </w:r>
          </w:p>
        </w:tc>
      </w:tr>
      <w:tr w14:paraId="2F5B6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continue"/>
            <w:vAlign w:val="center"/>
          </w:tcPr>
          <w:p w14:paraId="05D719DE">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1417" w:type="dxa"/>
            <w:vAlign w:val="center"/>
          </w:tcPr>
          <w:p w14:paraId="28081930">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废过滤棉</w:t>
            </w:r>
          </w:p>
        </w:tc>
        <w:tc>
          <w:tcPr>
            <w:tcW w:w="1701" w:type="dxa"/>
            <w:vAlign w:val="center"/>
          </w:tcPr>
          <w:p w14:paraId="59BB2179">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1276" w:type="dxa"/>
            <w:vAlign w:val="center"/>
          </w:tcPr>
          <w:p w14:paraId="7B001364">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1701" w:type="dxa"/>
            <w:vAlign w:val="center"/>
          </w:tcPr>
          <w:p w14:paraId="4CF4EDDF">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1559" w:type="dxa"/>
            <w:vAlign w:val="center"/>
          </w:tcPr>
          <w:p w14:paraId="6B56584E">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0.23</w:t>
            </w:r>
          </w:p>
        </w:tc>
        <w:tc>
          <w:tcPr>
            <w:tcW w:w="1761" w:type="dxa"/>
            <w:vAlign w:val="center"/>
          </w:tcPr>
          <w:p w14:paraId="6A868F6F">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47399321">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0.23</w:t>
            </w:r>
          </w:p>
        </w:tc>
        <w:tc>
          <w:tcPr>
            <w:tcW w:w="898" w:type="dxa"/>
            <w:vAlign w:val="center"/>
          </w:tcPr>
          <w:p w14:paraId="06CE31DB">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+0.23</w:t>
            </w:r>
          </w:p>
        </w:tc>
      </w:tr>
      <w:tr w14:paraId="62EC3F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continue"/>
            <w:vAlign w:val="center"/>
          </w:tcPr>
          <w:p w14:paraId="5FA041DE">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1417" w:type="dxa"/>
            <w:vAlign w:val="center"/>
          </w:tcPr>
          <w:p w14:paraId="220BD26B">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废活性炭</w:t>
            </w:r>
          </w:p>
        </w:tc>
        <w:tc>
          <w:tcPr>
            <w:tcW w:w="1701" w:type="dxa"/>
            <w:vAlign w:val="center"/>
          </w:tcPr>
          <w:p w14:paraId="3A941482">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1276" w:type="dxa"/>
            <w:vAlign w:val="center"/>
          </w:tcPr>
          <w:p w14:paraId="5DE39D8F">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1701" w:type="dxa"/>
            <w:vAlign w:val="center"/>
          </w:tcPr>
          <w:p w14:paraId="00206B18">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1559" w:type="dxa"/>
            <w:vAlign w:val="center"/>
          </w:tcPr>
          <w:p w14:paraId="76B919A9">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0.35</w:t>
            </w:r>
          </w:p>
        </w:tc>
        <w:tc>
          <w:tcPr>
            <w:tcW w:w="1761" w:type="dxa"/>
            <w:vAlign w:val="center"/>
          </w:tcPr>
          <w:p w14:paraId="361A4D1A">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2A0CA51B">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0.35</w:t>
            </w:r>
          </w:p>
        </w:tc>
        <w:tc>
          <w:tcPr>
            <w:tcW w:w="898" w:type="dxa"/>
            <w:vAlign w:val="center"/>
          </w:tcPr>
          <w:p w14:paraId="4226BB4D">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+0.35</w:t>
            </w:r>
          </w:p>
        </w:tc>
      </w:tr>
      <w:tr w14:paraId="60B88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continue"/>
            <w:vAlign w:val="center"/>
          </w:tcPr>
          <w:p w14:paraId="24D1BA76">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1417" w:type="dxa"/>
            <w:vAlign w:val="center"/>
          </w:tcPr>
          <w:p w14:paraId="1CEB1889">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废机油</w:t>
            </w:r>
          </w:p>
        </w:tc>
        <w:tc>
          <w:tcPr>
            <w:tcW w:w="1701" w:type="dxa"/>
            <w:vAlign w:val="center"/>
          </w:tcPr>
          <w:p w14:paraId="0219072E">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1276" w:type="dxa"/>
            <w:vAlign w:val="center"/>
          </w:tcPr>
          <w:p w14:paraId="15352729">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1701" w:type="dxa"/>
            <w:vAlign w:val="center"/>
          </w:tcPr>
          <w:p w14:paraId="332C1342">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1559" w:type="dxa"/>
            <w:vAlign w:val="center"/>
          </w:tcPr>
          <w:p w14:paraId="3CEBA0C5">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0.01</w:t>
            </w:r>
          </w:p>
        </w:tc>
        <w:tc>
          <w:tcPr>
            <w:tcW w:w="1761" w:type="dxa"/>
            <w:vAlign w:val="center"/>
          </w:tcPr>
          <w:p w14:paraId="36837E95">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6D9BEBE0">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0.01</w:t>
            </w:r>
          </w:p>
        </w:tc>
        <w:tc>
          <w:tcPr>
            <w:tcW w:w="898" w:type="dxa"/>
            <w:vAlign w:val="center"/>
          </w:tcPr>
          <w:p w14:paraId="11B4D0BC">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+0.01</w:t>
            </w:r>
          </w:p>
        </w:tc>
      </w:tr>
      <w:tr w14:paraId="402AC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588" w:type="dxa"/>
            <w:vMerge w:val="continue"/>
            <w:vAlign w:val="center"/>
          </w:tcPr>
          <w:p w14:paraId="3BFC1070">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p>
        </w:tc>
        <w:tc>
          <w:tcPr>
            <w:tcW w:w="1417" w:type="dxa"/>
            <w:vAlign w:val="center"/>
          </w:tcPr>
          <w:p w14:paraId="500F5FDE">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废含油抹布和劳保用品</w:t>
            </w:r>
          </w:p>
        </w:tc>
        <w:tc>
          <w:tcPr>
            <w:tcW w:w="1701" w:type="dxa"/>
            <w:vAlign w:val="center"/>
          </w:tcPr>
          <w:p w14:paraId="78DDB6EA">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276" w:type="dxa"/>
            <w:vAlign w:val="center"/>
          </w:tcPr>
          <w:p w14:paraId="6CBF2518">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701" w:type="dxa"/>
            <w:vAlign w:val="center"/>
          </w:tcPr>
          <w:p w14:paraId="7BFEEDBF">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559" w:type="dxa"/>
            <w:vAlign w:val="center"/>
          </w:tcPr>
          <w:p w14:paraId="7DF3A51B">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0.01</w:t>
            </w:r>
          </w:p>
        </w:tc>
        <w:tc>
          <w:tcPr>
            <w:tcW w:w="1761" w:type="dxa"/>
            <w:vAlign w:val="center"/>
          </w:tcPr>
          <w:p w14:paraId="0711EC3B">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w:t>
            </w:r>
          </w:p>
        </w:tc>
        <w:tc>
          <w:tcPr>
            <w:tcW w:w="1887" w:type="dxa"/>
            <w:vAlign w:val="center"/>
          </w:tcPr>
          <w:p w14:paraId="55A04ACE">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0.01</w:t>
            </w:r>
          </w:p>
        </w:tc>
        <w:tc>
          <w:tcPr>
            <w:tcW w:w="898" w:type="dxa"/>
            <w:vAlign w:val="center"/>
          </w:tcPr>
          <w:p w14:paraId="0162A398">
            <w:pPr>
              <w:adjustRightInd w:val="0"/>
              <w:snapToGrid w:val="0"/>
              <w:jc w:val="center"/>
              <w:rPr>
                <w:rFonts w:cs="宋体"/>
                <w:snapToGrid w:val="0"/>
                <w:color w:val="0D0D0D" w:themeColor="text1" w:themeTint="F2"/>
                <w:kern w:val="21"/>
                <w:szCs w:val="21"/>
                <w14:textFill>
                  <w14:solidFill>
                    <w14:schemeClr w14:val="tx1">
                      <w14:lumMod w14:val="95000"/>
                      <w14:lumOff w14:val="5000"/>
                    </w14:schemeClr>
                  </w14:solidFill>
                </w14:textFill>
              </w:rPr>
            </w:pPr>
            <w:r>
              <w:rPr>
                <w:rFonts w:hint="eastAsia" w:cs="宋体"/>
                <w:snapToGrid w:val="0"/>
                <w:color w:val="0D0D0D" w:themeColor="text1" w:themeTint="F2"/>
                <w:kern w:val="21"/>
                <w:szCs w:val="21"/>
                <w14:textFill>
                  <w14:solidFill>
                    <w14:schemeClr w14:val="tx1">
                      <w14:lumMod w14:val="95000"/>
                      <w14:lumOff w14:val="5000"/>
                    </w14:schemeClr>
                  </w14:solidFill>
                </w14:textFill>
              </w:rPr>
              <w:t>+0.01</w:t>
            </w:r>
          </w:p>
        </w:tc>
      </w:tr>
    </w:tbl>
    <w:p w14:paraId="2D3DC04B">
      <w:pPr>
        <w:adjustRightInd w:val="0"/>
        <w:snapToGrid w:val="0"/>
        <w:spacing w:before="192" w:beforeLines="80" w:after="24" w:afterLines="10" w:line="259" w:lineRule="auto"/>
        <w:jc w:val="left"/>
        <w:rPr>
          <w:snapToGrid w:val="0"/>
          <w:color w:val="0D0D0D" w:themeColor="text1" w:themeTint="F2"/>
          <w:spacing w:val="-6"/>
          <w:kern w:val="21"/>
          <w:szCs w:val="21"/>
          <w14:textFill>
            <w14:solidFill>
              <w14:schemeClr w14:val="tx1">
                <w14:lumMod w14:val="95000"/>
                <w14:lumOff w14:val="5000"/>
              </w14:schemeClr>
            </w14:solidFill>
          </w14:textFill>
        </w:rPr>
      </w:pPr>
      <w:r>
        <w:rPr>
          <w:snapToGrid w:val="0"/>
          <w:color w:val="0D0D0D" w:themeColor="text1" w:themeTint="F2"/>
          <w:kern w:val="21"/>
          <w:szCs w:val="21"/>
          <w14:textFill>
            <w14:solidFill>
              <w14:schemeClr w14:val="tx1">
                <w14:lumMod w14:val="95000"/>
                <w14:lumOff w14:val="5000"/>
              </w14:schemeClr>
            </w14:solidFill>
          </w14:textFill>
        </w:rPr>
        <w:t>注：</w:t>
      </w:r>
      <w:r>
        <w:rPr>
          <w:snapToGrid w:val="0"/>
          <w:color w:val="0D0D0D" w:themeColor="text1" w:themeTint="F2"/>
          <w:spacing w:val="-16"/>
          <w:kern w:val="21"/>
          <w:szCs w:val="21"/>
          <w14:textFill>
            <w14:solidFill>
              <w14:schemeClr w14:val="tx1">
                <w14:lumMod w14:val="95000"/>
                <w14:lumOff w14:val="5000"/>
              </w14:schemeClr>
            </w14:solidFill>
          </w14:textFill>
        </w:rPr>
        <w:fldChar w:fldCharType="begin"/>
      </w:r>
      <w:r>
        <w:rPr>
          <w:snapToGrid w:val="0"/>
          <w:color w:val="0D0D0D" w:themeColor="text1" w:themeTint="F2"/>
          <w:spacing w:val="-16"/>
          <w:kern w:val="21"/>
          <w:szCs w:val="21"/>
          <w14:textFill>
            <w14:solidFill>
              <w14:schemeClr w14:val="tx1">
                <w14:lumMod w14:val="95000"/>
                <w14:lumOff w14:val="5000"/>
              </w14:schemeClr>
            </w14:solidFill>
          </w14:textFill>
        </w:rPr>
        <w:instrText xml:space="preserve"> = 6 \* GB3 \* MERGEFORMAT </w:instrText>
      </w:r>
      <w:r>
        <w:rPr>
          <w:snapToGrid w:val="0"/>
          <w:color w:val="0D0D0D" w:themeColor="text1" w:themeTint="F2"/>
          <w:spacing w:val="-16"/>
          <w:kern w:val="21"/>
          <w:szCs w:val="21"/>
          <w14:textFill>
            <w14:solidFill>
              <w14:schemeClr w14:val="tx1">
                <w14:lumMod w14:val="95000"/>
                <w14:lumOff w14:val="5000"/>
              </w14:schemeClr>
            </w14:solidFill>
          </w14:textFill>
        </w:rPr>
        <w:fldChar w:fldCharType="separate"/>
      </w:r>
      <w:r>
        <w:rPr>
          <w:rFonts w:hint="eastAsia"/>
          <w:color w:val="0D0D0D" w:themeColor="text1" w:themeTint="F2"/>
          <w:kern w:val="0"/>
          <w:szCs w:val="21"/>
          <w14:textFill>
            <w14:solidFill>
              <w14:schemeClr w14:val="tx1">
                <w14:lumMod w14:val="95000"/>
                <w14:lumOff w14:val="5000"/>
              </w14:schemeClr>
            </w14:solidFill>
          </w14:textFill>
        </w:rPr>
        <w:t>⑥</w:t>
      </w:r>
      <w:r>
        <w:rPr>
          <w:snapToGrid w:val="0"/>
          <w:color w:val="0D0D0D" w:themeColor="text1" w:themeTint="F2"/>
          <w:spacing w:val="-16"/>
          <w:kern w:val="21"/>
          <w:szCs w:val="21"/>
          <w14:textFill>
            <w14:solidFill>
              <w14:schemeClr w14:val="tx1">
                <w14:lumMod w14:val="95000"/>
                <w14:lumOff w14:val="5000"/>
              </w14:schemeClr>
            </w14:solidFill>
          </w14:textFill>
        </w:rPr>
        <w:fldChar w:fldCharType="end"/>
      </w:r>
      <w:r>
        <w:rPr>
          <w:snapToGrid w:val="0"/>
          <w:color w:val="0D0D0D" w:themeColor="text1" w:themeTint="F2"/>
          <w:spacing w:val="-16"/>
          <w:kern w:val="21"/>
          <w:szCs w:val="21"/>
          <w14:textFill>
            <w14:solidFill>
              <w14:schemeClr w14:val="tx1">
                <w14:lumMod w14:val="95000"/>
                <w14:lumOff w14:val="5000"/>
              </w14:schemeClr>
            </w14:solidFill>
          </w14:textFill>
        </w:rPr>
        <w:t>=</w:t>
      </w:r>
      <w:r>
        <w:rPr>
          <w:snapToGrid w:val="0"/>
          <w:color w:val="0D0D0D" w:themeColor="text1" w:themeTint="F2"/>
          <w:spacing w:val="-6"/>
          <w:kern w:val="21"/>
          <w:szCs w:val="21"/>
          <w14:textFill>
            <w14:solidFill>
              <w14:schemeClr w14:val="tx1">
                <w14:lumMod w14:val="95000"/>
                <w14:lumOff w14:val="5000"/>
              </w14:schemeClr>
            </w14:solidFill>
          </w14:textFill>
        </w:rPr>
        <w:fldChar w:fldCharType="begin"/>
      </w:r>
      <w:r>
        <w:rPr>
          <w:snapToGrid w:val="0"/>
          <w:color w:val="0D0D0D" w:themeColor="text1" w:themeTint="F2"/>
          <w:spacing w:val="-6"/>
          <w:kern w:val="21"/>
          <w:szCs w:val="21"/>
          <w14:textFill>
            <w14:solidFill>
              <w14:schemeClr w14:val="tx1">
                <w14:lumMod w14:val="95000"/>
                <w14:lumOff w14:val="5000"/>
              </w14:schemeClr>
            </w14:solidFill>
          </w14:textFill>
        </w:rPr>
        <w:instrText xml:space="preserve"> = 1 \* GB3 \* MERGEFORMAT </w:instrText>
      </w:r>
      <w:r>
        <w:rPr>
          <w:snapToGrid w:val="0"/>
          <w:color w:val="0D0D0D" w:themeColor="text1" w:themeTint="F2"/>
          <w:spacing w:val="-6"/>
          <w:kern w:val="21"/>
          <w:szCs w:val="21"/>
          <w14:textFill>
            <w14:solidFill>
              <w14:schemeClr w14:val="tx1">
                <w14:lumMod w14:val="95000"/>
                <w14:lumOff w14:val="5000"/>
              </w14:schemeClr>
            </w14:solidFill>
          </w14:textFill>
        </w:rPr>
        <w:fldChar w:fldCharType="separate"/>
      </w:r>
      <w:r>
        <w:rPr>
          <w:rFonts w:hint="eastAsia"/>
          <w:color w:val="0D0D0D" w:themeColor="text1" w:themeTint="F2"/>
          <w:kern w:val="0"/>
          <w:szCs w:val="21"/>
          <w14:textFill>
            <w14:solidFill>
              <w14:schemeClr w14:val="tx1">
                <w14:lumMod w14:val="95000"/>
                <w14:lumOff w14:val="5000"/>
              </w14:schemeClr>
            </w14:solidFill>
          </w14:textFill>
        </w:rPr>
        <w:t>①</w:t>
      </w:r>
      <w:r>
        <w:rPr>
          <w:snapToGrid w:val="0"/>
          <w:color w:val="0D0D0D" w:themeColor="text1" w:themeTint="F2"/>
          <w:spacing w:val="-6"/>
          <w:kern w:val="21"/>
          <w:szCs w:val="21"/>
          <w14:textFill>
            <w14:solidFill>
              <w14:schemeClr w14:val="tx1">
                <w14:lumMod w14:val="95000"/>
                <w14:lumOff w14:val="5000"/>
              </w14:schemeClr>
            </w14:solidFill>
          </w14:textFill>
        </w:rPr>
        <w:fldChar w:fldCharType="end"/>
      </w:r>
      <w:r>
        <w:rPr>
          <w:snapToGrid w:val="0"/>
          <w:color w:val="0D0D0D" w:themeColor="text1" w:themeTint="F2"/>
          <w:spacing w:val="-6"/>
          <w:kern w:val="21"/>
          <w:szCs w:val="21"/>
          <w14:textFill>
            <w14:solidFill>
              <w14:schemeClr w14:val="tx1">
                <w14:lumMod w14:val="95000"/>
                <w14:lumOff w14:val="5000"/>
              </w14:schemeClr>
            </w14:solidFill>
          </w14:textFill>
        </w:rPr>
        <w:t>+</w:t>
      </w:r>
      <w:r>
        <w:rPr>
          <w:snapToGrid w:val="0"/>
          <w:color w:val="0D0D0D" w:themeColor="text1" w:themeTint="F2"/>
          <w:spacing w:val="-6"/>
          <w:kern w:val="21"/>
          <w:szCs w:val="21"/>
          <w14:textFill>
            <w14:solidFill>
              <w14:schemeClr w14:val="tx1">
                <w14:lumMod w14:val="95000"/>
                <w14:lumOff w14:val="5000"/>
              </w14:schemeClr>
            </w14:solidFill>
          </w14:textFill>
        </w:rPr>
        <w:fldChar w:fldCharType="begin"/>
      </w:r>
      <w:r>
        <w:rPr>
          <w:snapToGrid w:val="0"/>
          <w:color w:val="0D0D0D" w:themeColor="text1" w:themeTint="F2"/>
          <w:spacing w:val="-6"/>
          <w:kern w:val="21"/>
          <w:szCs w:val="21"/>
          <w14:textFill>
            <w14:solidFill>
              <w14:schemeClr w14:val="tx1">
                <w14:lumMod w14:val="95000"/>
                <w14:lumOff w14:val="5000"/>
              </w14:schemeClr>
            </w14:solidFill>
          </w14:textFill>
        </w:rPr>
        <w:instrText xml:space="preserve"> = 3 \* GB3 \* MERGEFORMAT </w:instrText>
      </w:r>
      <w:r>
        <w:rPr>
          <w:snapToGrid w:val="0"/>
          <w:color w:val="0D0D0D" w:themeColor="text1" w:themeTint="F2"/>
          <w:spacing w:val="-6"/>
          <w:kern w:val="21"/>
          <w:szCs w:val="21"/>
          <w14:textFill>
            <w14:solidFill>
              <w14:schemeClr w14:val="tx1">
                <w14:lumMod w14:val="95000"/>
                <w14:lumOff w14:val="5000"/>
              </w14:schemeClr>
            </w14:solidFill>
          </w14:textFill>
        </w:rPr>
        <w:fldChar w:fldCharType="separate"/>
      </w:r>
      <w:r>
        <w:rPr>
          <w:rFonts w:hint="eastAsia"/>
          <w:color w:val="0D0D0D" w:themeColor="text1" w:themeTint="F2"/>
          <w:kern w:val="0"/>
          <w:szCs w:val="21"/>
          <w14:textFill>
            <w14:solidFill>
              <w14:schemeClr w14:val="tx1">
                <w14:lumMod w14:val="95000"/>
                <w14:lumOff w14:val="5000"/>
              </w14:schemeClr>
            </w14:solidFill>
          </w14:textFill>
        </w:rPr>
        <w:t>③</w:t>
      </w:r>
      <w:r>
        <w:rPr>
          <w:snapToGrid w:val="0"/>
          <w:color w:val="0D0D0D" w:themeColor="text1" w:themeTint="F2"/>
          <w:spacing w:val="-6"/>
          <w:kern w:val="21"/>
          <w:szCs w:val="21"/>
          <w14:textFill>
            <w14:solidFill>
              <w14:schemeClr w14:val="tx1">
                <w14:lumMod w14:val="95000"/>
                <w14:lumOff w14:val="5000"/>
              </w14:schemeClr>
            </w14:solidFill>
          </w14:textFill>
        </w:rPr>
        <w:fldChar w:fldCharType="end"/>
      </w:r>
      <w:r>
        <w:rPr>
          <w:snapToGrid w:val="0"/>
          <w:color w:val="0D0D0D" w:themeColor="text1" w:themeTint="F2"/>
          <w:spacing w:val="-6"/>
          <w:kern w:val="21"/>
          <w:szCs w:val="21"/>
          <w14:textFill>
            <w14:solidFill>
              <w14:schemeClr w14:val="tx1">
                <w14:lumMod w14:val="95000"/>
                <w14:lumOff w14:val="5000"/>
              </w14:schemeClr>
            </w14:solidFill>
          </w14:textFill>
        </w:rPr>
        <w:t>+</w:t>
      </w:r>
      <w:r>
        <w:rPr>
          <w:snapToGrid w:val="0"/>
          <w:color w:val="0D0D0D" w:themeColor="text1" w:themeTint="F2"/>
          <w:spacing w:val="-6"/>
          <w:kern w:val="21"/>
          <w:szCs w:val="21"/>
          <w14:textFill>
            <w14:solidFill>
              <w14:schemeClr w14:val="tx1">
                <w14:lumMod w14:val="95000"/>
                <w14:lumOff w14:val="5000"/>
              </w14:schemeClr>
            </w14:solidFill>
          </w14:textFill>
        </w:rPr>
        <w:fldChar w:fldCharType="begin"/>
      </w:r>
      <w:r>
        <w:rPr>
          <w:snapToGrid w:val="0"/>
          <w:color w:val="0D0D0D" w:themeColor="text1" w:themeTint="F2"/>
          <w:spacing w:val="-6"/>
          <w:kern w:val="21"/>
          <w:szCs w:val="21"/>
          <w14:textFill>
            <w14:solidFill>
              <w14:schemeClr w14:val="tx1">
                <w14:lumMod w14:val="95000"/>
                <w14:lumOff w14:val="5000"/>
              </w14:schemeClr>
            </w14:solidFill>
          </w14:textFill>
        </w:rPr>
        <w:instrText xml:space="preserve"> = 4 \* GB3 \* MERGEFORMAT </w:instrText>
      </w:r>
      <w:r>
        <w:rPr>
          <w:snapToGrid w:val="0"/>
          <w:color w:val="0D0D0D" w:themeColor="text1" w:themeTint="F2"/>
          <w:spacing w:val="-6"/>
          <w:kern w:val="21"/>
          <w:szCs w:val="21"/>
          <w14:textFill>
            <w14:solidFill>
              <w14:schemeClr w14:val="tx1">
                <w14:lumMod w14:val="95000"/>
                <w14:lumOff w14:val="5000"/>
              </w14:schemeClr>
            </w14:solidFill>
          </w14:textFill>
        </w:rPr>
        <w:fldChar w:fldCharType="separate"/>
      </w:r>
      <w:r>
        <w:rPr>
          <w:rFonts w:hint="eastAsia"/>
          <w:color w:val="0D0D0D" w:themeColor="text1" w:themeTint="F2"/>
          <w:kern w:val="0"/>
          <w:szCs w:val="21"/>
          <w14:textFill>
            <w14:solidFill>
              <w14:schemeClr w14:val="tx1">
                <w14:lumMod w14:val="95000"/>
                <w14:lumOff w14:val="5000"/>
              </w14:schemeClr>
            </w14:solidFill>
          </w14:textFill>
        </w:rPr>
        <w:t>④</w:t>
      </w:r>
      <w:r>
        <w:rPr>
          <w:snapToGrid w:val="0"/>
          <w:color w:val="0D0D0D" w:themeColor="text1" w:themeTint="F2"/>
          <w:spacing w:val="-6"/>
          <w:kern w:val="21"/>
          <w:szCs w:val="21"/>
          <w14:textFill>
            <w14:solidFill>
              <w14:schemeClr w14:val="tx1">
                <w14:lumMod w14:val="95000"/>
                <w14:lumOff w14:val="5000"/>
              </w14:schemeClr>
            </w14:solidFill>
          </w14:textFill>
        </w:rPr>
        <w:fldChar w:fldCharType="end"/>
      </w:r>
      <w:r>
        <w:rPr>
          <w:snapToGrid w:val="0"/>
          <w:color w:val="0D0D0D" w:themeColor="text1" w:themeTint="F2"/>
          <w:spacing w:val="-6"/>
          <w:kern w:val="21"/>
          <w:szCs w:val="21"/>
          <w14:textFill>
            <w14:solidFill>
              <w14:schemeClr w14:val="tx1">
                <w14:lumMod w14:val="95000"/>
                <w14:lumOff w14:val="5000"/>
              </w14:schemeClr>
            </w14:solidFill>
          </w14:textFill>
        </w:rPr>
        <w:t>-</w:t>
      </w:r>
      <w:r>
        <w:rPr>
          <w:snapToGrid w:val="0"/>
          <w:color w:val="0D0D0D" w:themeColor="text1" w:themeTint="F2"/>
          <w:spacing w:val="-16"/>
          <w:kern w:val="21"/>
          <w:szCs w:val="21"/>
          <w14:textFill>
            <w14:solidFill>
              <w14:schemeClr w14:val="tx1">
                <w14:lumMod w14:val="95000"/>
                <w14:lumOff w14:val="5000"/>
              </w14:schemeClr>
            </w14:solidFill>
          </w14:textFill>
        </w:rPr>
        <w:fldChar w:fldCharType="begin"/>
      </w:r>
      <w:r>
        <w:rPr>
          <w:snapToGrid w:val="0"/>
          <w:color w:val="0D0D0D" w:themeColor="text1" w:themeTint="F2"/>
          <w:spacing w:val="-16"/>
          <w:kern w:val="21"/>
          <w:szCs w:val="21"/>
          <w14:textFill>
            <w14:solidFill>
              <w14:schemeClr w14:val="tx1">
                <w14:lumMod w14:val="95000"/>
                <w14:lumOff w14:val="5000"/>
              </w14:schemeClr>
            </w14:solidFill>
          </w14:textFill>
        </w:rPr>
        <w:instrText xml:space="preserve"> = 5 \* GB3 \* MERGEFORMAT </w:instrText>
      </w:r>
      <w:r>
        <w:rPr>
          <w:snapToGrid w:val="0"/>
          <w:color w:val="0D0D0D" w:themeColor="text1" w:themeTint="F2"/>
          <w:spacing w:val="-16"/>
          <w:kern w:val="21"/>
          <w:szCs w:val="21"/>
          <w14:textFill>
            <w14:solidFill>
              <w14:schemeClr w14:val="tx1">
                <w14:lumMod w14:val="95000"/>
                <w14:lumOff w14:val="5000"/>
              </w14:schemeClr>
            </w14:solidFill>
          </w14:textFill>
        </w:rPr>
        <w:fldChar w:fldCharType="separate"/>
      </w:r>
      <w:r>
        <w:rPr>
          <w:rFonts w:hint="eastAsia"/>
          <w:color w:val="0D0D0D" w:themeColor="text1" w:themeTint="F2"/>
          <w:kern w:val="0"/>
          <w:szCs w:val="21"/>
          <w14:textFill>
            <w14:solidFill>
              <w14:schemeClr w14:val="tx1">
                <w14:lumMod w14:val="95000"/>
                <w14:lumOff w14:val="5000"/>
              </w14:schemeClr>
            </w14:solidFill>
          </w14:textFill>
        </w:rPr>
        <w:t>⑤</w:t>
      </w:r>
      <w:r>
        <w:rPr>
          <w:snapToGrid w:val="0"/>
          <w:color w:val="0D0D0D" w:themeColor="text1" w:themeTint="F2"/>
          <w:spacing w:val="-16"/>
          <w:kern w:val="21"/>
          <w:szCs w:val="21"/>
          <w14:textFill>
            <w14:solidFill>
              <w14:schemeClr w14:val="tx1">
                <w14:lumMod w14:val="95000"/>
                <w14:lumOff w14:val="5000"/>
              </w14:schemeClr>
            </w14:solidFill>
          </w14:textFill>
        </w:rPr>
        <w:fldChar w:fldCharType="end"/>
      </w:r>
      <w:r>
        <w:rPr>
          <w:snapToGrid w:val="0"/>
          <w:color w:val="0D0D0D" w:themeColor="text1" w:themeTint="F2"/>
          <w:spacing w:val="-16"/>
          <w:kern w:val="21"/>
          <w:szCs w:val="21"/>
          <w14:textFill>
            <w14:solidFill>
              <w14:schemeClr w14:val="tx1">
                <w14:lumMod w14:val="95000"/>
                <w14:lumOff w14:val="5000"/>
              </w14:schemeClr>
            </w14:solidFill>
          </w14:textFill>
        </w:rPr>
        <w:t>；</w:t>
      </w:r>
      <w:r>
        <w:rPr>
          <w:snapToGrid w:val="0"/>
          <w:color w:val="0D0D0D" w:themeColor="text1" w:themeTint="F2"/>
          <w:spacing w:val="-6"/>
          <w:kern w:val="21"/>
          <w:szCs w:val="21"/>
          <w14:textFill>
            <w14:solidFill>
              <w14:schemeClr w14:val="tx1">
                <w14:lumMod w14:val="95000"/>
                <w14:lumOff w14:val="5000"/>
              </w14:schemeClr>
            </w14:solidFill>
          </w14:textFill>
        </w:rPr>
        <w:fldChar w:fldCharType="begin"/>
      </w:r>
      <w:r>
        <w:rPr>
          <w:snapToGrid w:val="0"/>
          <w:color w:val="0D0D0D" w:themeColor="text1" w:themeTint="F2"/>
          <w:spacing w:val="-6"/>
          <w:kern w:val="21"/>
          <w:szCs w:val="21"/>
          <w14:textFill>
            <w14:solidFill>
              <w14:schemeClr w14:val="tx1">
                <w14:lumMod w14:val="95000"/>
                <w14:lumOff w14:val="5000"/>
              </w14:schemeClr>
            </w14:solidFill>
          </w14:textFill>
        </w:rPr>
        <w:instrText xml:space="preserve"> = 7 \* GB3 \* MERGEFORMAT </w:instrText>
      </w:r>
      <w:r>
        <w:rPr>
          <w:snapToGrid w:val="0"/>
          <w:color w:val="0D0D0D" w:themeColor="text1" w:themeTint="F2"/>
          <w:spacing w:val="-6"/>
          <w:kern w:val="21"/>
          <w:szCs w:val="21"/>
          <w14:textFill>
            <w14:solidFill>
              <w14:schemeClr w14:val="tx1">
                <w14:lumMod w14:val="95000"/>
                <w14:lumOff w14:val="5000"/>
              </w14:schemeClr>
            </w14:solidFill>
          </w14:textFill>
        </w:rPr>
        <w:fldChar w:fldCharType="separate"/>
      </w:r>
      <w:r>
        <w:rPr>
          <w:rFonts w:hint="eastAsia"/>
          <w:color w:val="0D0D0D" w:themeColor="text1" w:themeTint="F2"/>
          <w:kern w:val="0"/>
          <w:szCs w:val="21"/>
          <w14:textFill>
            <w14:solidFill>
              <w14:schemeClr w14:val="tx1">
                <w14:lumMod w14:val="95000"/>
                <w14:lumOff w14:val="5000"/>
              </w14:schemeClr>
            </w14:solidFill>
          </w14:textFill>
        </w:rPr>
        <w:t>⑦</w:t>
      </w:r>
      <w:r>
        <w:rPr>
          <w:snapToGrid w:val="0"/>
          <w:color w:val="0D0D0D" w:themeColor="text1" w:themeTint="F2"/>
          <w:spacing w:val="-6"/>
          <w:kern w:val="21"/>
          <w:szCs w:val="21"/>
          <w14:textFill>
            <w14:solidFill>
              <w14:schemeClr w14:val="tx1">
                <w14:lumMod w14:val="95000"/>
                <w14:lumOff w14:val="5000"/>
              </w14:schemeClr>
            </w14:solidFill>
          </w14:textFill>
        </w:rPr>
        <w:fldChar w:fldCharType="end"/>
      </w:r>
      <w:r>
        <w:rPr>
          <w:snapToGrid w:val="0"/>
          <w:color w:val="0D0D0D" w:themeColor="text1" w:themeTint="F2"/>
          <w:spacing w:val="-6"/>
          <w:kern w:val="21"/>
          <w:szCs w:val="21"/>
          <w14:textFill>
            <w14:solidFill>
              <w14:schemeClr w14:val="tx1">
                <w14:lumMod w14:val="95000"/>
                <w14:lumOff w14:val="5000"/>
              </w14:schemeClr>
            </w14:solidFill>
          </w14:textFill>
        </w:rPr>
        <w:t>=</w:t>
      </w:r>
      <w:r>
        <w:rPr>
          <w:snapToGrid w:val="0"/>
          <w:color w:val="0D0D0D" w:themeColor="text1" w:themeTint="F2"/>
          <w:spacing w:val="-16"/>
          <w:kern w:val="21"/>
          <w:szCs w:val="21"/>
          <w14:textFill>
            <w14:solidFill>
              <w14:schemeClr w14:val="tx1">
                <w14:lumMod w14:val="95000"/>
                <w14:lumOff w14:val="5000"/>
              </w14:schemeClr>
            </w14:solidFill>
          </w14:textFill>
        </w:rPr>
        <w:fldChar w:fldCharType="begin"/>
      </w:r>
      <w:r>
        <w:rPr>
          <w:snapToGrid w:val="0"/>
          <w:color w:val="0D0D0D" w:themeColor="text1" w:themeTint="F2"/>
          <w:spacing w:val="-16"/>
          <w:kern w:val="21"/>
          <w:szCs w:val="21"/>
          <w14:textFill>
            <w14:solidFill>
              <w14:schemeClr w14:val="tx1">
                <w14:lumMod w14:val="95000"/>
                <w14:lumOff w14:val="5000"/>
              </w14:schemeClr>
            </w14:solidFill>
          </w14:textFill>
        </w:rPr>
        <w:instrText xml:space="preserve"> = 6 \* GB3 \* MERGEFORMAT </w:instrText>
      </w:r>
      <w:r>
        <w:rPr>
          <w:snapToGrid w:val="0"/>
          <w:color w:val="0D0D0D" w:themeColor="text1" w:themeTint="F2"/>
          <w:spacing w:val="-16"/>
          <w:kern w:val="21"/>
          <w:szCs w:val="21"/>
          <w14:textFill>
            <w14:solidFill>
              <w14:schemeClr w14:val="tx1">
                <w14:lumMod w14:val="95000"/>
                <w14:lumOff w14:val="5000"/>
              </w14:schemeClr>
            </w14:solidFill>
          </w14:textFill>
        </w:rPr>
        <w:fldChar w:fldCharType="separate"/>
      </w:r>
      <w:r>
        <w:rPr>
          <w:rFonts w:hint="eastAsia"/>
          <w:color w:val="0D0D0D" w:themeColor="text1" w:themeTint="F2"/>
          <w:kern w:val="0"/>
          <w:szCs w:val="21"/>
          <w14:textFill>
            <w14:solidFill>
              <w14:schemeClr w14:val="tx1">
                <w14:lumMod w14:val="95000"/>
                <w14:lumOff w14:val="5000"/>
              </w14:schemeClr>
            </w14:solidFill>
          </w14:textFill>
        </w:rPr>
        <w:t>⑥</w:t>
      </w:r>
      <w:r>
        <w:rPr>
          <w:snapToGrid w:val="0"/>
          <w:color w:val="0D0D0D" w:themeColor="text1" w:themeTint="F2"/>
          <w:spacing w:val="-16"/>
          <w:kern w:val="21"/>
          <w:szCs w:val="21"/>
          <w14:textFill>
            <w14:solidFill>
              <w14:schemeClr w14:val="tx1">
                <w14:lumMod w14:val="95000"/>
                <w14:lumOff w14:val="5000"/>
              </w14:schemeClr>
            </w14:solidFill>
          </w14:textFill>
        </w:rPr>
        <w:fldChar w:fldCharType="end"/>
      </w:r>
      <w:r>
        <w:rPr>
          <w:snapToGrid w:val="0"/>
          <w:color w:val="0D0D0D" w:themeColor="text1" w:themeTint="F2"/>
          <w:spacing w:val="-16"/>
          <w:kern w:val="21"/>
          <w:szCs w:val="21"/>
          <w14:textFill>
            <w14:solidFill>
              <w14:schemeClr w14:val="tx1">
                <w14:lumMod w14:val="95000"/>
                <w14:lumOff w14:val="5000"/>
              </w14:schemeClr>
            </w14:solidFill>
          </w14:textFill>
        </w:rPr>
        <w:t>-</w:t>
      </w:r>
      <w:r>
        <w:rPr>
          <w:snapToGrid w:val="0"/>
          <w:color w:val="0D0D0D" w:themeColor="text1" w:themeTint="F2"/>
          <w:spacing w:val="-6"/>
          <w:kern w:val="21"/>
          <w:szCs w:val="21"/>
          <w14:textFill>
            <w14:solidFill>
              <w14:schemeClr w14:val="tx1">
                <w14:lumMod w14:val="95000"/>
                <w14:lumOff w14:val="5000"/>
              </w14:schemeClr>
            </w14:solidFill>
          </w14:textFill>
        </w:rPr>
        <w:fldChar w:fldCharType="begin"/>
      </w:r>
      <w:r>
        <w:rPr>
          <w:snapToGrid w:val="0"/>
          <w:color w:val="0D0D0D" w:themeColor="text1" w:themeTint="F2"/>
          <w:spacing w:val="-6"/>
          <w:kern w:val="21"/>
          <w:szCs w:val="21"/>
          <w14:textFill>
            <w14:solidFill>
              <w14:schemeClr w14:val="tx1">
                <w14:lumMod w14:val="95000"/>
                <w14:lumOff w14:val="5000"/>
              </w14:schemeClr>
            </w14:solidFill>
          </w14:textFill>
        </w:rPr>
        <w:instrText xml:space="preserve"> = 1 \* GB3 \* MERGEFORMAT </w:instrText>
      </w:r>
      <w:r>
        <w:rPr>
          <w:snapToGrid w:val="0"/>
          <w:color w:val="0D0D0D" w:themeColor="text1" w:themeTint="F2"/>
          <w:spacing w:val="-6"/>
          <w:kern w:val="21"/>
          <w:szCs w:val="21"/>
          <w14:textFill>
            <w14:solidFill>
              <w14:schemeClr w14:val="tx1">
                <w14:lumMod w14:val="95000"/>
                <w14:lumOff w14:val="5000"/>
              </w14:schemeClr>
            </w14:solidFill>
          </w14:textFill>
        </w:rPr>
        <w:fldChar w:fldCharType="separate"/>
      </w:r>
      <w:r>
        <w:rPr>
          <w:rFonts w:hint="eastAsia"/>
          <w:color w:val="0D0D0D" w:themeColor="text1" w:themeTint="F2"/>
          <w:kern w:val="0"/>
          <w:szCs w:val="21"/>
          <w14:textFill>
            <w14:solidFill>
              <w14:schemeClr w14:val="tx1">
                <w14:lumMod w14:val="95000"/>
                <w14:lumOff w14:val="5000"/>
              </w14:schemeClr>
            </w14:solidFill>
          </w14:textFill>
        </w:rPr>
        <w:t>①</w:t>
      </w:r>
      <w:r>
        <w:rPr>
          <w:snapToGrid w:val="0"/>
          <w:color w:val="0D0D0D" w:themeColor="text1" w:themeTint="F2"/>
          <w:spacing w:val="-6"/>
          <w:kern w:val="21"/>
          <w:szCs w:val="21"/>
          <w14:textFill>
            <w14:solidFill>
              <w14:schemeClr w14:val="tx1">
                <w14:lumMod w14:val="95000"/>
                <w14:lumOff w14:val="5000"/>
              </w14:schemeClr>
            </w14:solidFill>
          </w14:textFill>
        </w:rPr>
        <w:fldChar w:fldCharType="end"/>
      </w:r>
    </w:p>
    <w:p w14:paraId="3506C9E6">
      <w:pPr>
        <w:rPr>
          <w:color w:val="0D0D0D" w:themeColor="text1" w:themeTint="F2"/>
          <w14:textFill>
            <w14:solidFill>
              <w14:schemeClr w14:val="tx1">
                <w14:lumMod w14:val="95000"/>
                <w14:lumOff w14:val="5000"/>
              </w14:schemeClr>
            </w14:solidFill>
          </w14:textFill>
        </w:rPr>
      </w:pPr>
    </w:p>
    <w:p w14:paraId="607C4F6C">
      <w:pPr>
        <w:rPr>
          <w:color w:val="0D0D0D" w:themeColor="text1" w:themeTint="F2"/>
          <w14:textFill>
            <w14:solidFill>
              <w14:schemeClr w14:val="tx1">
                <w14:lumMod w14:val="95000"/>
                <w14:lumOff w14:val="5000"/>
              </w14:schemeClr>
            </w14:solidFill>
          </w14:textFill>
        </w:rPr>
      </w:pPr>
    </w:p>
    <w:sectPr>
      <w:pgSz w:w="16838" w:h="11906" w:orient="landscape"/>
      <w:pgMar w:top="1531" w:right="1701" w:bottom="1531" w:left="1701"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仿宋_GB2312">
    <w:panose1 w:val="02010609030101010101"/>
    <w:charset w:val="86"/>
    <w:family w:val="modern"/>
    <w:pitch w:val="default"/>
    <w:sig w:usb0="00000001" w:usb1="080E0000" w:usb2="00000000" w:usb3="00000000" w:csb0="00040000" w:csb1="00000000"/>
  </w:font>
  <w:font w:name="Wingdings 2">
    <w:panose1 w:val="05020102010507070707"/>
    <w:charset w:val="02"/>
    <w:family w:val="roman"/>
    <w:pitch w:val="default"/>
    <w:sig w:usb0="00000000" w:usb1="00000000" w:usb2="00000000" w:usb3="00000000" w:csb0="80000000" w:csb1="00000000"/>
  </w:font>
  <w:font w:name="Cambria Math">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F4C054">
    <w:pPr>
      <w:pStyle w:val="14"/>
      <w:framePr w:wrap="around" w:vAnchor="text" w:hAnchor="margin" w:xAlign="outside" w:y="1"/>
      <w:rPr>
        <w:rStyle w:val="24"/>
        <w:rFonts w:hint="eastAsia" w:ascii="宋体" w:hAnsi="宋体"/>
        <w:sz w:val="28"/>
        <w:szCs w:val="28"/>
      </w:rPr>
    </w:pPr>
    <w:r>
      <w:rPr>
        <w:rStyle w:val="24"/>
        <w:rFonts w:hint="eastAsia" w:ascii="宋体" w:hAnsi="宋体"/>
        <w:sz w:val="20"/>
      </w:rPr>
      <w:t xml:space="preserve">    </w:t>
    </w:r>
  </w:p>
  <w:p w14:paraId="78835A9C">
    <w:pPr>
      <w:pStyle w:val="14"/>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91DD9B">
    <w:pPr>
      <w:pStyle w:val="14"/>
    </w:pPr>
    <w:r>
      <w:rPr>
        <w:rFonts w:asciiTheme="majorHAnsi" w:hAnsiTheme="majorHAnsi" w:eastAsiaTheme="majorEastAsia" w:cstheme="majorBidi"/>
        <w:sz w:val="28"/>
        <w:szCs w:val="28"/>
        <w:lang w:val="zh-CN"/>
      </w:rPr>
      <w:fldChar w:fldCharType="begin"/>
    </w:r>
    <w:r>
      <w:rPr>
        <w:rFonts w:asciiTheme="majorHAnsi" w:hAnsiTheme="majorHAnsi" w:eastAsiaTheme="majorEastAsia" w:cstheme="majorBidi"/>
        <w:sz w:val="28"/>
        <w:szCs w:val="28"/>
        <w:lang w:val="zh-CN"/>
      </w:rPr>
      <w:instrText xml:space="preserve">PAGE   \* MERGEFORMAT</w:instrText>
    </w:r>
    <w:r>
      <w:rPr>
        <w:rFonts w:asciiTheme="majorHAnsi" w:hAnsiTheme="majorHAnsi" w:eastAsiaTheme="majorEastAsia" w:cstheme="majorBidi"/>
        <w:sz w:val="28"/>
        <w:szCs w:val="28"/>
        <w:lang w:val="zh-CN"/>
      </w:rPr>
      <w:fldChar w:fldCharType="separate"/>
    </w:r>
    <w:r>
      <w:rPr>
        <w:rFonts w:asciiTheme="majorHAnsi" w:hAnsiTheme="majorHAnsi" w:eastAsiaTheme="majorEastAsia" w:cstheme="majorBidi"/>
        <w:sz w:val="28"/>
        <w:szCs w:val="28"/>
        <w:lang w:val="zh-CN"/>
      </w:rPr>
      <w:t>1</w:t>
    </w:r>
    <w:r>
      <w:rPr>
        <w:rFonts w:asciiTheme="majorHAnsi" w:hAnsiTheme="majorHAnsi" w:eastAsiaTheme="majorEastAsia" w:cstheme="majorBidi"/>
        <w:sz w:val="28"/>
        <w:szCs w:val="28"/>
        <w:lang w:val="zh-CN"/>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19101413"/>
    </w:sdtPr>
    <w:sdtContent>
      <w:p w14:paraId="60780FF3">
        <w:pPr>
          <w:pStyle w:val="14"/>
          <w:jc w:val="center"/>
        </w:pPr>
        <w:r>
          <w:fldChar w:fldCharType="begin"/>
        </w:r>
        <w:r>
          <w:instrText xml:space="preserve">PAGE   \* MERGEFORMAT</w:instrText>
        </w:r>
        <w:r>
          <w:fldChar w:fldCharType="separate"/>
        </w:r>
        <w:r>
          <w:rPr>
            <w:lang w:val="zh-CN"/>
          </w:rPr>
          <w:t>54</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33489347"/>
    </w:sdtPr>
    <w:sdtContent>
      <w:p w14:paraId="39E5B53D">
        <w:pPr>
          <w:pStyle w:val="14"/>
          <w:jc w:val="center"/>
        </w:pPr>
        <w:r>
          <w:fldChar w:fldCharType="begin"/>
        </w:r>
        <w:r>
          <w:instrText xml:space="preserve">PAGE   \* MERGEFORMAT</w:instrText>
        </w:r>
        <w:r>
          <w:fldChar w:fldCharType="separate"/>
        </w:r>
        <w:r>
          <w:rPr>
            <w:lang w:val="zh-CN"/>
          </w:rPr>
          <w:t>58</w:t>
        </w:r>
        <w:r>
          <w:fldChar w:fldCharType="end"/>
        </w:r>
      </w:p>
    </w:sdtContent>
  </w:sdt>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noPunctuationKerning w:val="1"/>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c3YzYwMGQxNGJiZWI2NWI2MGEyNjJmMmU1OGM4NmEifQ=="/>
  </w:docVars>
  <w:rsids>
    <w:rsidRoot w:val="00A14947"/>
    <w:rsid w:val="00000FBB"/>
    <w:rsid w:val="0000293F"/>
    <w:rsid w:val="0000414C"/>
    <w:rsid w:val="0000469F"/>
    <w:rsid w:val="0000487C"/>
    <w:rsid w:val="00005059"/>
    <w:rsid w:val="000060B3"/>
    <w:rsid w:val="0001203A"/>
    <w:rsid w:val="0001246D"/>
    <w:rsid w:val="000134F8"/>
    <w:rsid w:val="00013A46"/>
    <w:rsid w:val="00013DE6"/>
    <w:rsid w:val="00014016"/>
    <w:rsid w:val="000148E5"/>
    <w:rsid w:val="0001607D"/>
    <w:rsid w:val="0001743F"/>
    <w:rsid w:val="000174B9"/>
    <w:rsid w:val="00024367"/>
    <w:rsid w:val="0002454D"/>
    <w:rsid w:val="00025B06"/>
    <w:rsid w:val="00025FA7"/>
    <w:rsid w:val="00025FB8"/>
    <w:rsid w:val="00027997"/>
    <w:rsid w:val="00033CEF"/>
    <w:rsid w:val="00033FD8"/>
    <w:rsid w:val="0003481F"/>
    <w:rsid w:val="000355FF"/>
    <w:rsid w:val="000356D2"/>
    <w:rsid w:val="000376A3"/>
    <w:rsid w:val="00037A7A"/>
    <w:rsid w:val="000400EA"/>
    <w:rsid w:val="00041032"/>
    <w:rsid w:val="0004364B"/>
    <w:rsid w:val="00044801"/>
    <w:rsid w:val="00045586"/>
    <w:rsid w:val="00045A44"/>
    <w:rsid w:val="00045BC3"/>
    <w:rsid w:val="00046EB8"/>
    <w:rsid w:val="00046F0E"/>
    <w:rsid w:val="000473BF"/>
    <w:rsid w:val="000478FD"/>
    <w:rsid w:val="00051476"/>
    <w:rsid w:val="00053368"/>
    <w:rsid w:val="00053A37"/>
    <w:rsid w:val="00055044"/>
    <w:rsid w:val="000569E9"/>
    <w:rsid w:val="00057E48"/>
    <w:rsid w:val="0006086F"/>
    <w:rsid w:val="000610C4"/>
    <w:rsid w:val="00061172"/>
    <w:rsid w:val="00061590"/>
    <w:rsid w:val="00061B1F"/>
    <w:rsid w:val="000620A1"/>
    <w:rsid w:val="000620D5"/>
    <w:rsid w:val="00062D01"/>
    <w:rsid w:val="00063734"/>
    <w:rsid w:val="00064859"/>
    <w:rsid w:val="00065264"/>
    <w:rsid w:val="00066069"/>
    <w:rsid w:val="000722B4"/>
    <w:rsid w:val="00072676"/>
    <w:rsid w:val="000728EF"/>
    <w:rsid w:val="00072D16"/>
    <w:rsid w:val="000733C4"/>
    <w:rsid w:val="00073F4D"/>
    <w:rsid w:val="00074783"/>
    <w:rsid w:val="00075A5B"/>
    <w:rsid w:val="0007662B"/>
    <w:rsid w:val="0007679E"/>
    <w:rsid w:val="000769FD"/>
    <w:rsid w:val="00077017"/>
    <w:rsid w:val="0007705F"/>
    <w:rsid w:val="0008049C"/>
    <w:rsid w:val="0008070B"/>
    <w:rsid w:val="000810AC"/>
    <w:rsid w:val="00081A02"/>
    <w:rsid w:val="00082091"/>
    <w:rsid w:val="00082231"/>
    <w:rsid w:val="00083AE0"/>
    <w:rsid w:val="00085A05"/>
    <w:rsid w:val="00086353"/>
    <w:rsid w:val="00086C37"/>
    <w:rsid w:val="00087FA2"/>
    <w:rsid w:val="00090D1C"/>
    <w:rsid w:val="000914E3"/>
    <w:rsid w:val="00091B79"/>
    <w:rsid w:val="000920FD"/>
    <w:rsid w:val="00092D38"/>
    <w:rsid w:val="00092DB8"/>
    <w:rsid w:val="00092F40"/>
    <w:rsid w:val="0009377B"/>
    <w:rsid w:val="000946BD"/>
    <w:rsid w:val="00094BA3"/>
    <w:rsid w:val="0009505C"/>
    <w:rsid w:val="00095684"/>
    <w:rsid w:val="00095889"/>
    <w:rsid w:val="00095DBF"/>
    <w:rsid w:val="00095DC5"/>
    <w:rsid w:val="000A0ACC"/>
    <w:rsid w:val="000A1B77"/>
    <w:rsid w:val="000A1C56"/>
    <w:rsid w:val="000A20C9"/>
    <w:rsid w:val="000A2E38"/>
    <w:rsid w:val="000A4859"/>
    <w:rsid w:val="000A65A7"/>
    <w:rsid w:val="000A75EA"/>
    <w:rsid w:val="000A784B"/>
    <w:rsid w:val="000A7A43"/>
    <w:rsid w:val="000B058F"/>
    <w:rsid w:val="000B139E"/>
    <w:rsid w:val="000B150E"/>
    <w:rsid w:val="000B2DCC"/>
    <w:rsid w:val="000B4467"/>
    <w:rsid w:val="000B4DB9"/>
    <w:rsid w:val="000B51AD"/>
    <w:rsid w:val="000B5AC4"/>
    <w:rsid w:val="000B71E4"/>
    <w:rsid w:val="000B7E67"/>
    <w:rsid w:val="000C0236"/>
    <w:rsid w:val="000C03C1"/>
    <w:rsid w:val="000C09AC"/>
    <w:rsid w:val="000C0B2A"/>
    <w:rsid w:val="000C20F9"/>
    <w:rsid w:val="000C43B2"/>
    <w:rsid w:val="000C4DFC"/>
    <w:rsid w:val="000C5C7F"/>
    <w:rsid w:val="000C6E0A"/>
    <w:rsid w:val="000C72B2"/>
    <w:rsid w:val="000C767F"/>
    <w:rsid w:val="000D0385"/>
    <w:rsid w:val="000D0772"/>
    <w:rsid w:val="000D0B57"/>
    <w:rsid w:val="000D0F58"/>
    <w:rsid w:val="000D295F"/>
    <w:rsid w:val="000D2E33"/>
    <w:rsid w:val="000D36BB"/>
    <w:rsid w:val="000D433E"/>
    <w:rsid w:val="000D4836"/>
    <w:rsid w:val="000D5A44"/>
    <w:rsid w:val="000D6181"/>
    <w:rsid w:val="000D7351"/>
    <w:rsid w:val="000E0303"/>
    <w:rsid w:val="000E0427"/>
    <w:rsid w:val="000E0EEB"/>
    <w:rsid w:val="000E128D"/>
    <w:rsid w:val="000E1969"/>
    <w:rsid w:val="000E1B1B"/>
    <w:rsid w:val="000E2068"/>
    <w:rsid w:val="000E338F"/>
    <w:rsid w:val="000E396F"/>
    <w:rsid w:val="000E3ED2"/>
    <w:rsid w:val="000E4AF5"/>
    <w:rsid w:val="000E4C7F"/>
    <w:rsid w:val="000E4F17"/>
    <w:rsid w:val="000E7819"/>
    <w:rsid w:val="000F0938"/>
    <w:rsid w:val="000F0B8A"/>
    <w:rsid w:val="000F0D36"/>
    <w:rsid w:val="000F2248"/>
    <w:rsid w:val="000F23C6"/>
    <w:rsid w:val="000F23CC"/>
    <w:rsid w:val="000F23D2"/>
    <w:rsid w:val="000F4352"/>
    <w:rsid w:val="000F494C"/>
    <w:rsid w:val="000F49EB"/>
    <w:rsid w:val="000F5188"/>
    <w:rsid w:val="000F5A51"/>
    <w:rsid w:val="000F5DF5"/>
    <w:rsid w:val="000F6BE2"/>
    <w:rsid w:val="000F796B"/>
    <w:rsid w:val="001044E3"/>
    <w:rsid w:val="00104B4B"/>
    <w:rsid w:val="001053DD"/>
    <w:rsid w:val="001062A6"/>
    <w:rsid w:val="0011016E"/>
    <w:rsid w:val="00113FD6"/>
    <w:rsid w:val="00114FC4"/>
    <w:rsid w:val="00114FE0"/>
    <w:rsid w:val="001154E3"/>
    <w:rsid w:val="00117AF8"/>
    <w:rsid w:val="00117E33"/>
    <w:rsid w:val="0012041C"/>
    <w:rsid w:val="00120A65"/>
    <w:rsid w:val="001229AE"/>
    <w:rsid w:val="00123A34"/>
    <w:rsid w:val="001241D3"/>
    <w:rsid w:val="00125144"/>
    <w:rsid w:val="001268E2"/>
    <w:rsid w:val="001304B7"/>
    <w:rsid w:val="00130B3D"/>
    <w:rsid w:val="00130C04"/>
    <w:rsid w:val="001311C7"/>
    <w:rsid w:val="00131D98"/>
    <w:rsid w:val="00131F42"/>
    <w:rsid w:val="00134B26"/>
    <w:rsid w:val="00135354"/>
    <w:rsid w:val="001357F1"/>
    <w:rsid w:val="001378A7"/>
    <w:rsid w:val="00140FA8"/>
    <w:rsid w:val="001415F0"/>
    <w:rsid w:val="001427A3"/>
    <w:rsid w:val="00142F6F"/>
    <w:rsid w:val="00142FEB"/>
    <w:rsid w:val="00143A2D"/>
    <w:rsid w:val="001458CD"/>
    <w:rsid w:val="00145A41"/>
    <w:rsid w:val="00145ED1"/>
    <w:rsid w:val="00146203"/>
    <w:rsid w:val="00147998"/>
    <w:rsid w:val="00147B0A"/>
    <w:rsid w:val="00150A48"/>
    <w:rsid w:val="00150DD1"/>
    <w:rsid w:val="00151334"/>
    <w:rsid w:val="00151675"/>
    <w:rsid w:val="001521DF"/>
    <w:rsid w:val="001534FF"/>
    <w:rsid w:val="00153872"/>
    <w:rsid w:val="00153BF7"/>
    <w:rsid w:val="00154276"/>
    <w:rsid w:val="0015432B"/>
    <w:rsid w:val="001548F0"/>
    <w:rsid w:val="00155AF7"/>
    <w:rsid w:val="00155C96"/>
    <w:rsid w:val="00157435"/>
    <w:rsid w:val="00157BC8"/>
    <w:rsid w:val="001601D3"/>
    <w:rsid w:val="00162706"/>
    <w:rsid w:val="00162E9A"/>
    <w:rsid w:val="001633DB"/>
    <w:rsid w:val="00163758"/>
    <w:rsid w:val="00164833"/>
    <w:rsid w:val="00164AEA"/>
    <w:rsid w:val="00164C15"/>
    <w:rsid w:val="00165A48"/>
    <w:rsid w:val="00165FFC"/>
    <w:rsid w:val="001668D1"/>
    <w:rsid w:val="001678A6"/>
    <w:rsid w:val="001708D1"/>
    <w:rsid w:val="00170AE2"/>
    <w:rsid w:val="00171C2C"/>
    <w:rsid w:val="0017218E"/>
    <w:rsid w:val="00172FB9"/>
    <w:rsid w:val="00173D13"/>
    <w:rsid w:val="001749FE"/>
    <w:rsid w:val="00174A70"/>
    <w:rsid w:val="0017504D"/>
    <w:rsid w:val="00175279"/>
    <w:rsid w:val="001757C4"/>
    <w:rsid w:val="00175B4E"/>
    <w:rsid w:val="00176634"/>
    <w:rsid w:val="0017671A"/>
    <w:rsid w:val="001773FC"/>
    <w:rsid w:val="00177422"/>
    <w:rsid w:val="00177F4C"/>
    <w:rsid w:val="00177F71"/>
    <w:rsid w:val="00180F07"/>
    <w:rsid w:val="00180F0A"/>
    <w:rsid w:val="0018104A"/>
    <w:rsid w:val="001816DC"/>
    <w:rsid w:val="001819EB"/>
    <w:rsid w:val="0018397E"/>
    <w:rsid w:val="00184590"/>
    <w:rsid w:val="00184AA6"/>
    <w:rsid w:val="00184AD6"/>
    <w:rsid w:val="0018546C"/>
    <w:rsid w:val="001870D1"/>
    <w:rsid w:val="0018781E"/>
    <w:rsid w:val="001909CE"/>
    <w:rsid w:val="0019262D"/>
    <w:rsid w:val="00192766"/>
    <w:rsid w:val="00192CBD"/>
    <w:rsid w:val="001936D8"/>
    <w:rsid w:val="00194035"/>
    <w:rsid w:val="00194545"/>
    <w:rsid w:val="001968C2"/>
    <w:rsid w:val="00196B16"/>
    <w:rsid w:val="00196C39"/>
    <w:rsid w:val="00197916"/>
    <w:rsid w:val="00197DC7"/>
    <w:rsid w:val="001A08E7"/>
    <w:rsid w:val="001A0CC7"/>
    <w:rsid w:val="001A1678"/>
    <w:rsid w:val="001A1B35"/>
    <w:rsid w:val="001A1FC5"/>
    <w:rsid w:val="001A3BEB"/>
    <w:rsid w:val="001A3C81"/>
    <w:rsid w:val="001A48A2"/>
    <w:rsid w:val="001A61D3"/>
    <w:rsid w:val="001A665B"/>
    <w:rsid w:val="001A6743"/>
    <w:rsid w:val="001A6F61"/>
    <w:rsid w:val="001A7B6F"/>
    <w:rsid w:val="001A7F0D"/>
    <w:rsid w:val="001A7FD8"/>
    <w:rsid w:val="001B0173"/>
    <w:rsid w:val="001B097C"/>
    <w:rsid w:val="001B1236"/>
    <w:rsid w:val="001B1C9C"/>
    <w:rsid w:val="001B22E6"/>
    <w:rsid w:val="001B298A"/>
    <w:rsid w:val="001B42FB"/>
    <w:rsid w:val="001B5297"/>
    <w:rsid w:val="001B6E22"/>
    <w:rsid w:val="001B72B8"/>
    <w:rsid w:val="001C01DD"/>
    <w:rsid w:val="001C2CB3"/>
    <w:rsid w:val="001C3A7A"/>
    <w:rsid w:val="001C4CE2"/>
    <w:rsid w:val="001C5E80"/>
    <w:rsid w:val="001C69B3"/>
    <w:rsid w:val="001D095B"/>
    <w:rsid w:val="001D111D"/>
    <w:rsid w:val="001D2A33"/>
    <w:rsid w:val="001D337D"/>
    <w:rsid w:val="001D384C"/>
    <w:rsid w:val="001D3DEA"/>
    <w:rsid w:val="001D4042"/>
    <w:rsid w:val="001D46B7"/>
    <w:rsid w:val="001D4E4C"/>
    <w:rsid w:val="001D5595"/>
    <w:rsid w:val="001D67C7"/>
    <w:rsid w:val="001D6987"/>
    <w:rsid w:val="001D6E2A"/>
    <w:rsid w:val="001D6E78"/>
    <w:rsid w:val="001D740D"/>
    <w:rsid w:val="001D7874"/>
    <w:rsid w:val="001D7877"/>
    <w:rsid w:val="001D7F22"/>
    <w:rsid w:val="001E0E85"/>
    <w:rsid w:val="001E111D"/>
    <w:rsid w:val="001E2DC1"/>
    <w:rsid w:val="001E3296"/>
    <w:rsid w:val="001E40FD"/>
    <w:rsid w:val="001E4A6A"/>
    <w:rsid w:val="001E52EA"/>
    <w:rsid w:val="001F016F"/>
    <w:rsid w:val="001F0F17"/>
    <w:rsid w:val="001F1A35"/>
    <w:rsid w:val="001F1ED5"/>
    <w:rsid w:val="001F2B6E"/>
    <w:rsid w:val="001F3347"/>
    <w:rsid w:val="001F4E17"/>
    <w:rsid w:val="001F69E4"/>
    <w:rsid w:val="001F72C6"/>
    <w:rsid w:val="00200347"/>
    <w:rsid w:val="0020101C"/>
    <w:rsid w:val="0020103C"/>
    <w:rsid w:val="0020472F"/>
    <w:rsid w:val="00204EBB"/>
    <w:rsid w:val="00205A5A"/>
    <w:rsid w:val="00206F69"/>
    <w:rsid w:val="00207EF2"/>
    <w:rsid w:val="00210058"/>
    <w:rsid w:val="00210AB6"/>
    <w:rsid w:val="00210F05"/>
    <w:rsid w:val="00211315"/>
    <w:rsid w:val="002125B4"/>
    <w:rsid w:val="00212945"/>
    <w:rsid w:val="00212B6F"/>
    <w:rsid w:val="002135AF"/>
    <w:rsid w:val="00214176"/>
    <w:rsid w:val="00214B93"/>
    <w:rsid w:val="00214F09"/>
    <w:rsid w:val="002155B8"/>
    <w:rsid w:val="00215B45"/>
    <w:rsid w:val="00215E5F"/>
    <w:rsid w:val="00216926"/>
    <w:rsid w:val="00217716"/>
    <w:rsid w:val="00220A60"/>
    <w:rsid w:val="00221A5F"/>
    <w:rsid w:val="00222ADA"/>
    <w:rsid w:val="002237D8"/>
    <w:rsid w:val="00224327"/>
    <w:rsid w:val="00224839"/>
    <w:rsid w:val="002249B2"/>
    <w:rsid w:val="00224DCF"/>
    <w:rsid w:val="00226574"/>
    <w:rsid w:val="002278EC"/>
    <w:rsid w:val="002312FE"/>
    <w:rsid w:val="00231CC6"/>
    <w:rsid w:val="00232503"/>
    <w:rsid w:val="00232624"/>
    <w:rsid w:val="0023280E"/>
    <w:rsid w:val="002337C4"/>
    <w:rsid w:val="002344FF"/>
    <w:rsid w:val="0023516B"/>
    <w:rsid w:val="002352F3"/>
    <w:rsid w:val="002362DC"/>
    <w:rsid w:val="00236516"/>
    <w:rsid w:val="00236842"/>
    <w:rsid w:val="00236FA4"/>
    <w:rsid w:val="00237409"/>
    <w:rsid w:val="002377D1"/>
    <w:rsid w:val="00237D18"/>
    <w:rsid w:val="00237E3D"/>
    <w:rsid w:val="002409FC"/>
    <w:rsid w:val="00243E6A"/>
    <w:rsid w:val="00247D8C"/>
    <w:rsid w:val="002506BC"/>
    <w:rsid w:val="002515D9"/>
    <w:rsid w:val="00251E43"/>
    <w:rsid w:val="0025394C"/>
    <w:rsid w:val="00253B66"/>
    <w:rsid w:val="00254345"/>
    <w:rsid w:val="00254918"/>
    <w:rsid w:val="00254FC2"/>
    <w:rsid w:val="00257852"/>
    <w:rsid w:val="00260E88"/>
    <w:rsid w:val="00262745"/>
    <w:rsid w:val="0026277D"/>
    <w:rsid w:val="002634C3"/>
    <w:rsid w:val="00263BA4"/>
    <w:rsid w:val="00263DBB"/>
    <w:rsid w:val="00264557"/>
    <w:rsid w:val="00265244"/>
    <w:rsid w:val="00265975"/>
    <w:rsid w:val="00265EAF"/>
    <w:rsid w:val="002677B3"/>
    <w:rsid w:val="0027219D"/>
    <w:rsid w:val="00272495"/>
    <w:rsid w:val="00273563"/>
    <w:rsid w:val="0027379B"/>
    <w:rsid w:val="00275EC3"/>
    <w:rsid w:val="002772CE"/>
    <w:rsid w:val="002777A8"/>
    <w:rsid w:val="002800DC"/>
    <w:rsid w:val="002805AB"/>
    <w:rsid w:val="00281277"/>
    <w:rsid w:val="002818B8"/>
    <w:rsid w:val="00284204"/>
    <w:rsid w:val="00286389"/>
    <w:rsid w:val="00286FC3"/>
    <w:rsid w:val="00291773"/>
    <w:rsid w:val="002936D1"/>
    <w:rsid w:val="00294B4E"/>
    <w:rsid w:val="00295174"/>
    <w:rsid w:val="0029606B"/>
    <w:rsid w:val="00296AF6"/>
    <w:rsid w:val="0029700F"/>
    <w:rsid w:val="002A168C"/>
    <w:rsid w:val="002A1866"/>
    <w:rsid w:val="002A3AEF"/>
    <w:rsid w:val="002A3DC7"/>
    <w:rsid w:val="002A4150"/>
    <w:rsid w:val="002A53F9"/>
    <w:rsid w:val="002A58D6"/>
    <w:rsid w:val="002A65E6"/>
    <w:rsid w:val="002A7EC8"/>
    <w:rsid w:val="002B0D3A"/>
    <w:rsid w:val="002B1286"/>
    <w:rsid w:val="002B1BD8"/>
    <w:rsid w:val="002B2331"/>
    <w:rsid w:val="002B27A5"/>
    <w:rsid w:val="002B293E"/>
    <w:rsid w:val="002B33A5"/>
    <w:rsid w:val="002B3D7C"/>
    <w:rsid w:val="002B484C"/>
    <w:rsid w:val="002B49E2"/>
    <w:rsid w:val="002B6051"/>
    <w:rsid w:val="002B6163"/>
    <w:rsid w:val="002B6A46"/>
    <w:rsid w:val="002B6BEC"/>
    <w:rsid w:val="002B7B00"/>
    <w:rsid w:val="002B7C44"/>
    <w:rsid w:val="002C01B5"/>
    <w:rsid w:val="002C1384"/>
    <w:rsid w:val="002C1797"/>
    <w:rsid w:val="002C19AD"/>
    <w:rsid w:val="002C1CA6"/>
    <w:rsid w:val="002C1FC1"/>
    <w:rsid w:val="002C20C3"/>
    <w:rsid w:val="002C28AF"/>
    <w:rsid w:val="002C2B17"/>
    <w:rsid w:val="002C4023"/>
    <w:rsid w:val="002C51D2"/>
    <w:rsid w:val="002C6F43"/>
    <w:rsid w:val="002C7605"/>
    <w:rsid w:val="002D0695"/>
    <w:rsid w:val="002D2C10"/>
    <w:rsid w:val="002D35D9"/>
    <w:rsid w:val="002D3DD0"/>
    <w:rsid w:val="002D3E32"/>
    <w:rsid w:val="002D4AFE"/>
    <w:rsid w:val="002D5E78"/>
    <w:rsid w:val="002D6EC9"/>
    <w:rsid w:val="002D6FDD"/>
    <w:rsid w:val="002D70B2"/>
    <w:rsid w:val="002D71DE"/>
    <w:rsid w:val="002D7499"/>
    <w:rsid w:val="002D74EF"/>
    <w:rsid w:val="002D7C11"/>
    <w:rsid w:val="002E1AB5"/>
    <w:rsid w:val="002E1B47"/>
    <w:rsid w:val="002E1F3A"/>
    <w:rsid w:val="002E298A"/>
    <w:rsid w:val="002E51B1"/>
    <w:rsid w:val="002E5498"/>
    <w:rsid w:val="002E5516"/>
    <w:rsid w:val="002E7486"/>
    <w:rsid w:val="002F14A1"/>
    <w:rsid w:val="002F14D2"/>
    <w:rsid w:val="002F23DF"/>
    <w:rsid w:val="002F3F16"/>
    <w:rsid w:val="002F4BCE"/>
    <w:rsid w:val="002F4E49"/>
    <w:rsid w:val="002F55EC"/>
    <w:rsid w:val="002F5A3B"/>
    <w:rsid w:val="002F7B3C"/>
    <w:rsid w:val="00300179"/>
    <w:rsid w:val="00301978"/>
    <w:rsid w:val="00302B72"/>
    <w:rsid w:val="003032B8"/>
    <w:rsid w:val="0030332C"/>
    <w:rsid w:val="003041CB"/>
    <w:rsid w:val="003051C2"/>
    <w:rsid w:val="00306F91"/>
    <w:rsid w:val="00306FB1"/>
    <w:rsid w:val="003100E4"/>
    <w:rsid w:val="00310F63"/>
    <w:rsid w:val="00312296"/>
    <w:rsid w:val="00312673"/>
    <w:rsid w:val="00313D65"/>
    <w:rsid w:val="00314DF5"/>
    <w:rsid w:val="00314F0E"/>
    <w:rsid w:val="003154AE"/>
    <w:rsid w:val="003155A5"/>
    <w:rsid w:val="00317265"/>
    <w:rsid w:val="003175B0"/>
    <w:rsid w:val="003214EE"/>
    <w:rsid w:val="00321D8E"/>
    <w:rsid w:val="00322350"/>
    <w:rsid w:val="0032315D"/>
    <w:rsid w:val="00323511"/>
    <w:rsid w:val="0032435A"/>
    <w:rsid w:val="00325928"/>
    <w:rsid w:val="00325ADB"/>
    <w:rsid w:val="00325EFA"/>
    <w:rsid w:val="0032656A"/>
    <w:rsid w:val="003269D9"/>
    <w:rsid w:val="003274A8"/>
    <w:rsid w:val="0033193A"/>
    <w:rsid w:val="00331E65"/>
    <w:rsid w:val="00332863"/>
    <w:rsid w:val="00333140"/>
    <w:rsid w:val="00334097"/>
    <w:rsid w:val="00334993"/>
    <w:rsid w:val="0033510B"/>
    <w:rsid w:val="00335FF4"/>
    <w:rsid w:val="00336819"/>
    <w:rsid w:val="0033684D"/>
    <w:rsid w:val="00337A34"/>
    <w:rsid w:val="00337B42"/>
    <w:rsid w:val="003404E7"/>
    <w:rsid w:val="00341B42"/>
    <w:rsid w:val="00342617"/>
    <w:rsid w:val="0034348F"/>
    <w:rsid w:val="003434E8"/>
    <w:rsid w:val="003447B6"/>
    <w:rsid w:val="0034505B"/>
    <w:rsid w:val="00345160"/>
    <w:rsid w:val="0034532D"/>
    <w:rsid w:val="003454EE"/>
    <w:rsid w:val="00345AA2"/>
    <w:rsid w:val="00345B42"/>
    <w:rsid w:val="00346FB0"/>
    <w:rsid w:val="0034756D"/>
    <w:rsid w:val="00350EBE"/>
    <w:rsid w:val="003521E8"/>
    <w:rsid w:val="00352C00"/>
    <w:rsid w:val="00352C88"/>
    <w:rsid w:val="0035374C"/>
    <w:rsid w:val="003564EF"/>
    <w:rsid w:val="00356653"/>
    <w:rsid w:val="003568CD"/>
    <w:rsid w:val="00356BCA"/>
    <w:rsid w:val="00357082"/>
    <w:rsid w:val="0035743F"/>
    <w:rsid w:val="003575A9"/>
    <w:rsid w:val="00357BE2"/>
    <w:rsid w:val="00360059"/>
    <w:rsid w:val="003603F3"/>
    <w:rsid w:val="00360FA5"/>
    <w:rsid w:val="0036170C"/>
    <w:rsid w:val="003626D6"/>
    <w:rsid w:val="0036311E"/>
    <w:rsid w:val="00364276"/>
    <w:rsid w:val="003649B2"/>
    <w:rsid w:val="003655B0"/>
    <w:rsid w:val="00365EA3"/>
    <w:rsid w:val="0036639A"/>
    <w:rsid w:val="00366852"/>
    <w:rsid w:val="00366918"/>
    <w:rsid w:val="00366E0F"/>
    <w:rsid w:val="00366F51"/>
    <w:rsid w:val="00366F5E"/>
    <w:rsid w:val="00367EF4"/>
    <w:rsid w:val="003706B3"/>
    <w:rsid w:val="003706E6"/>
    <w:rsid w:val="003711E7"/>
    <w:rsid w:val="00372D6F"/>
    <w:rsid w:val="003734CB"/>
    <w:rsid w:val="00373516"/>
    <w:rsid w:val="00373DAF"/>
    <w:rsid w:val="00374C5A"/>
    <w:rsid w:val="00377ADD"/>
    <w:rsid w:val="00380A80"/>
    <w:rsid w:val="00380F04"/>
    <w:rsid w:val="00381265"/>
    <w:rsid w:val="00381A72"/>
    <w:rsid w:val="003824FB"/>
    <w:rsid w:val="00384676"/>
    <w:rsid w:val="003847C2"/>
    <w:rsid w:val="00384DA7"/>
    <w:rsid w:val="00385248"/>
    <w:rsid w:val="003854E7"/>
    <w:rsid w:val="003855FB"/>
    <w:rsid w:val="00385EBE"/>
    <w:rsid w:val="003872AA"/>
    <w:rsid w:val="00387E44"/>
    <w:rsid w:val="00390857"/>
    <w:rsid w:val="00391B98"/>
    <w:rsid w:val="003922D4"/>
    <w:rsid w:val="003960B5"/>
    <w:rsid w:val="00396306"/>
    <w:rsid w:val="00397598"/>
    <w:rsid w:val="003A0EF7"/>
    <w:rsid w:val="003A2377"/>
    <w:rsid w:val="003A4BF3"/>
    <w:rsid w:val="003A5019"/>
    <w:rsid w:val="003A5C41"/>
    <w:rsid w:val="003A5D78"/>
    <w:rsid w:val="003A5DB3"/>
    <w:rsid w:val="003A5DB4"/>
    <w:rsid w:val="003A5ED2"/>
    <w:rsid w:val="003B0D2F"/>
    <w:rsid w:val="003B248A"/>
    <w:rsid w:val="003B283A"/>
    <w:rsid w:val="003B378E"/>
    <w:rsid w:val="003B420D"/>
    <w:rsid w:val="003B4460"/>
    <w:rsid w:val="003B6504"/>
    <w:rsid w:val="003B7ABE"/>
    <w:rsid w:val="003C080C"/>
    <w:rsid w:val="003C11F4"/>
    <w:rsid w:val="003C1585"/>
    <w:rsid w:val="003C19DB"/>
    <w:rsid w:val="003C1AE9"/>
    <w:rsid w:val="003C21BA"/>
    <w:rsid w:val="003C2A4A"/>
    <w:rsid w:val="003C36AF"/>
    <w:rsid w:val="003C42C8"/>
    <w:rsid w:val="003C4A3C"/>
    <w:rsid w:val="003C582B"/>
    <w:rsid w:val="003C6C16"/>
    <w:rsid w:val="003C70E8"/>
    <w:rsid w:val="003D1211"/>
    <w:rsid w:val="003D13C1"/>
    <w:rsid w:val="003D1B16"/>
    <w:rsid w:val="003D3600"/>
    <w:rsid w:val="003D6074"/>
    <w:rsid w:val="003D710D"/>
    <w:rsid w:val="003D794D"/>
    <w:rsid w:val="003E0413"/>
    <w:rsid w:val="003E0EBD"/>
    <w:rsid w:val="003E1B43"/>
    <w:rsid w:val="003E1D6C"/>
    <w:rsid w:val="003E270F"/>
    <w:rsid w:val="003E2DAC"/>
    <w:rsid w:val="003E3058"/>
    <w:rsid w:val="003E3D45"/>
    <w:rsid w:val="003E3D77"/>
    <w:rsid w:val="003E418A"/>
    <w:rsid w:val="003E44C9"/>
    <w:rsid w:val="003E4D09"/>
    <w:rsid w:val="003E6258"/>
    <w:rsid w:val="003E647E"/>
    <w:rsid w:val="003E691E"/>
    <w:rsid w:val="003E76A9"/>
    <w:rsid w:val="003F0809"/>
    <w:rsid w:val="003F13BD"/>
    <w:rsid w:val="003F38A9"/>
    <w:rsid w:val="003F54AA"/>
    <w:rsid w:val="003F5666"/>
    <w:rsid w:val="003F697B"/>
    <w:rsid w:val="003F6A8C"/>
    <w:rsid w:val="003F709C"/>
    <w:rsid w:val="003F755C"/>
    <w:rsid w:val="003F7AA9"/>
    <w:rsid w:val="003F7BFD"/>
    <w:rsid w:val="00401748"/>
    <w:rsid w:val="00401DE4"/>
    <w:rsid w:val="0040464B"/>
    <w:rsid w:val="0040552E"/>
    <w:rsid w:val="004056E9"/>
    <w:rsid w:val="00405D23"/>
    <w:rsid w:val="00406F01"/>
    <w:rsid w:val="0040751E"/>
    <w:rsid w:val="00407964"/>
    <w:rsid w:val="00407AEF"/>
    <w:rsid w:val="00407C01"/>
    <w:rsid w:val="004116D8"/>
    <w:rsid w:val="00411CE9"/>
    <w:rsid w:val="00413D73"/>
    <w:rsid w:val="00414886"/>
    <w:rsid w:val="00415BF1"/>
    <w:rsid w:val="00416D41"/>
    <w:rsid w:val="00416D50"/>
    <w:rsid w:val="00416FD5"/>
    <w:rsid w:val="00417772"/>
    <w:rsid w:val="004206C2"/>
    <w:rsid w:val="00420E6A"/>
    <w:rsid w:val="00421112"/>
    <w:rsid w:val="00423A0B"/>
    <w:rsid w:val="00425A9E"/>
    <w:rsid w:val="00425D6A"/>
    <w:rsid w:val="00426561"/>
    <w:rsid w:val="00426D6B"/>
    <w:rsid w:val="00430243"/>
    <w:rsid w:val="00431222"/>
    <w:rsid w:val="0043175E"/>
    <w:rsid w:val="00431E6C"/>
    <w:rsid w:val="00432A66"/>
    <w:rsid w:val="00433A38"/>
    <w:rsid w:val="00433CE7"/>
    <w:rsid w:val="00434A14"/>
    <w:rsid w:val="00434EB7"/>
    <w:rsid w:val="0043534A"/>
    <w:rsid w:val="00435954"/>
    <w:rsid w:val="00436CC5"/>
    <w:rsid w:val="0044062C"/>
    <w:rsid w:val="00441133"/>
    <w:rsid w:val="004420C5"/>
    <w:rsid w:val="00442B3A"/>
    <w:rsid w:val="00442CD6"/>
    <w:rsid w:val="00442D77"/>
    <w:rsid w:val="00443B4F"/>
    <w:rsid w:val="00444498"/>
    <w:rsid w:val="00444EE7"/>
    <w:rsid w:val="004451D3"/>
    <w:rsid w:val="0044539E"/>
    <w:rsid w:val="00446C5F"/>
    <w:rsid w:val="004519B1"/>
    <w:rsid w:val="00452738"/>
    <w:rsid w:val="00454239"/>
    <w:rsid w:val="004546F6"/>
    <w:rsid w:val="00454B4C"/>
    <w:rsid w:val="00454FD3"/>
    <w:rsid w:val="00455C0D"/>
    <w:rsid w:val="00456091"/>
    <w:rsid w:val="004563B0"/>
    <w:rsid w:val="00456980"/>
    <w:rsid w:val="00457BE0"/>
    <w:rsid w:val="004603AA"/>
    <w:rsid w:val="004607A5"/>
    <w:rsid w:val="004624E5"/>
    <w:rsid w:val="004638F2"/>
    <w:rsid w:val="00464285"/>
    <w:rsid w:val="00465EA8"/>
    <w:rsid w:val="00466321"/>
    <w:rsid w:val="00467B67"/>
    <w:rsid w:val="00473D88"/>
    <w:rsid w:val="00474F3A"/>
    <w:rsid w:val="00477ECF"/>
    <w:rsid w:val="00477FCC"/>
    <w:rsid w:val="00480333"/>
    <w:rsid w:val="00481470"/>
    <w:rsid w:val="00481ECD"/>
    <w:rsid w:val="0048236C"/>
    <w:rsid w:val="00484B9B"/>
    <w:rsid w:val="004855E6"/>
    <w:rsid w:val="004855F6"/>
    <w:rsid w:val="00485D04"/>
    <w:rsid w:val="0048661E"/>
    <w:rsid w:val="00486C4D"/>
    <w:rsid w:val="004906B1"/>
    <w:rsid w:val="004915E3"/>
    <w:rsid w:val="00491B88"/>
    <w:rsid w:val="0049265C"/>
    <w:rsid w:val="004943A0"/>
    <w:rsid w:val="00494670"/>
    <w:rsid w:val="00494FA1"/>
    <w:rsid w:val="004953FB"/>
    <w:rsid w:val="00495BA8"/>
    <w:rsid w:val="0049608A"/>
    <w:rsid w:val="004975B6"/>
    <w:rsid w:val="00497924"/>
    <w:rsid w:val="00497A2E"/>
    <w:rsid w:val="00497C37"/>
    <w:rsid w:val="004A0475"/>
    <w:rsid w:val="004A3823"/>
    <w:rsid w:val="004A4576"/>
    <w:rsid w:val="004A4F9D"/>
    <w:rsid w:val="004A5D88"/>
    <w:rsid w:val="004A7664"/>
    <w:rsid w:val="004A7C23"/>
    <w:rsid w:val="004B1A00"/>
    <w:rsid w:val="004B1CC3"/>
    <w:rsid w:val="004B3C39"/>
    <w:rsid w:val="004B51FC"/>
    <w:rsid w:val="004B6C0F"/>
    <w:rsid w:val="004B762B"/>
    <w:rsid w:val="004C0A58"/>
    <w:rsid w:val="004C2A3C"/>
    <w:rsid w:val="004C30BA"/>
    <w:rsid w:val="004C42E7"/>
    <w:rsid w:val="004C452B"/>
    <w:rsid w:val="004C5F5E"/>
    <w:rsid w:val="004C6539"/>
    <w:rsid w:val="004C7B28"/>
    <w:rsid w:val="004D053A"/>
    <w:rsid w:val="004D1117"/>
    <w:rsid w:val="004D17B8"/>
    <w:rsid w:val="004D1EAE"/>
    <w:rsid w:val="004D20AC"/>
    <w:rsid w:val="004D4D3D"/>
    <w:rsid w:val="004D528D"/>
    <w:rsid w:val="004D681E"/>
    <w:rsid w:val="004D7D7A"/>
    <w:rsid w:val="004E02BF"/>
    <w:rsid w:val="004E03E9"/>
    <w:rsid w:val="004E044D"/>
    <w:rsid w:val="004E1CE0"/>
    <w:rsid w:val="004E25A5"/>
    <w:rsid w:val="004E4318"/>
    <w:rsid w:val="004E43DF"/>
    <w:rsid w:val="004E5D29"/>
    <w:rsid w:val="004E6944"/>
    <w:rsid w:val="004E6946"/>
    <w:rsid w:val="004F0903"/>
    <w:rsid w:val="004F0D7A"/>
    <w:rsid w:val="004F1491"/>
    <w:rsid w:val="004F1AD8"/>
    <w:rsid w:val="004F1FA4"/>
    <w:rsid w:val="004F4294"/>
    <w:rsid w:val="004F5E4D"/>
    <w:rsid w:val="0050054C"/>
    <w:rsid w:val="00502507"/>
    <w:rsid w:val="0050339B"/>
    <w:rsid w:val="005039CB"/>
    <w:rsid w:val="0050500F"/>
    <w:rsid w:val="0050558F"/>
    <w:rsid w:val="00505871"/>
    <w:rsid w:val="00505CA8"/>
    <w:rsid w:val="00505F0D"/>
    <w:rsid w:val="00506286"/>
    <w:rsid w:val="00507A9B"/>
    <w:rsid w:val="00510813"/>
    <w:rsid w:val="00511889"/>
    <w:rsid w:val="00511990"/>
    <w:rsid w:val="00511DE0"/>
    <w:rsid w:val="00512AC1"/>
    <w:rsid w:val="00513C5B"/>
    <w:rsid w:val="00514870"/>
    <w:rsid w:val="00514B9B"/>
    <w:rsid w:val="00515F71"/>
    <w:rsid w:val="005166BC"/>
    <w:rsid w:val="00516959"/>
    <w:rsid w:val="00516D33"/>
    <w:rsid w:val="00517033"/>
    <w:rsid w:val="00517F02"/>
    <w:rsid w:val="00520289"/>
    <w:rsid w:val="005205BC"/>
    <w:rsid w:val="00522188"/>
    <w:rsid w:val="00523811"/>
    <w:rsid w:val="00524303"/>
    <w:rsid w:val="00524618"/>
    <w:rsid w:val="00524A4E"/>
    <w:rsid w:val="005258A2"/>
    <w:rsid w:val="00526A1C"/>
    <w:rsid w:val="00526AAD"/>
    <w:rsid w:val="00527958"/>
    <w:rsid w:val="00527C89"/>
    <w:rsid w:val="00533D06"/>
    <w:rsid w:val="005360B4"/>
    <w:rsid w:val="005369A6"/>
    <w:rsid w:val="005401AE"/>
    <w:rsid w:val="0054251F"/>
    <w:rsid w:val="00542E07"/>
    <w:rsid w:val="00545135"/>
    <w:rsid w:val="00545424"/>
    <w:rsid w:val="00545DD2"/>
    <w:rsid w:val="00547202"/>
    <w:rsid w:val="00547C6A"/>
    <w:rsid w:val="00550716"/>
    <w:rsid w:val="00550A64"/>
    <w:rsid w:val="00550F56"/>
    <w:rsid w:val="005531F2"/>
    <w:rsid w:val="0055337F"/>
    <w:rsid w:val="005534F6"/>
    <w:rsid w:val="00554A7B"/>
    <w:rsid w:val="00555514"/>
    <w:rsid w:val="0055572C"/>
    <w:rsid w:val="005557AE"/>
    <w:rsid w:val="005560C4"/>
    <w:rsid w:val="005563AA"/>
    <w:rsid w:val="00556458"/>
    <w:rsid w:val="005572DE"/>
    <w:rsid w:val="005577A6"/>
    <w:rsid w:val="00560CC0"/>
    <w:rsid w:val="0056106A"/>
    <w:rsid w:val="005610EF"/>
    <w:rsid w:val="00561399"/>
    <w:rsid w:val="00561C09"/>
    <w:rsid w:val="00562883"/>
    <w:rsid w:val="005643B0"/>
    <w:rsid w:val="00564D2B"/>
    <w:rsid w:val="005662F1"/>
    <w:rsid w:val="00567510"/>
    <w:rsid w:val="005705A3"/>
    <w:rsid w:val="00570FAF"/>
    <w:rsid w:val="005716A4"/>
    <w:rsid w:val="00571978"/>
    <w:rsid w:val="00571D32"/>
    <w:rsid w:val="00571F56"/>
    <w:rsid w:val="005720AE"/>
    <w:rsid w:val="0057387F"/>
    <w:rsid w:val="00576A2F"/>
    <w:rsid w:val="0057717F"/>
    <w:rsid w:val="00577651"/>
    <w:rsid w:val="00577ED5"/>
    <w:rsid w:val="005824DA"/>
    <w:rsid w:val="00586C37"/>
    <w:rsid w:val="00590217"/>
    <w:rsid w:val="005903F3"/>
    <w:rsid w:val="005919A8"/>
    <w:rsid w:val="005919C5"/>
    <w:rsid w:val="00593290"/>
    <w:rsid w:val="005933A2"/>
    <w:rsid w:val="00593613"/>
    <w:rsid w:val="00593E7A"/>
    <w:rsid w:val="00594D77"/>
    <w:rsid w:val="005969E4"/>
    <w:rsid w:val="00596D83"/>
    <w:rsid w:val="00597950"/>
    <w:rsid w:val="005A0081"/>
    <w:rsid w:val="005A06B7"/>
    <w:rsid w:val="005A0771"/>
    <w:rsid w:val="005A1759"/>
    <w:rsid w:val="005A1B07"/>
    <w:rsid w:val="005A1CCE"/>
    <w:rsid w:val="005A4218"/>
    <w:rsid w:val="005A5A3A"/>
    <w:rsid w:val="005A5A52"/>
    <w:rsid w:val="005A5DE4"/>
    <w:rsid w:val="005A68A7"/>
    <w:rsid w:val="005B01A1"/>
    <w:rsid w:val="005B140F"/>
    <w:rsid w:val="005B3903"/>
    <w:rsid w:val="005B3A9B"/>
    <w:rsid w:val="005B42DF"/>
    <w:rsid w:val="005B59EE"/>
    <w:rsid w:val="005B792D"/>
    <w:rsid w:val="005C27D1"/>
    <w:rsid w:val="005C293B"/>
    <w:rsid w:val="005C31EE"/>
    <w:rsid w:val="005C4E14"/>
    <w:rsid w:val="005C5A1E"/>
    <w:rsid w:val="005C60E3"/>
    <w:rsid w:val="005C6450"/>
    <w:rsid w:val="005C7E40"/>
    <w:rsid w:val="005D058D"/>
    <w:rsid w:val="005D36AB"/>
    <w:rsid w:val="005D4724"/>
    <w:rsid w:val="005D4D75"/>
    <w:rsid w:val="005D5C67"/>
    <w:rsid w:val="005E1E13"/>
    <w:rsid w:val="005E2D12"/>
    <w:rsid w:val="005E2D6F"/>
    <w:rsid w:val="005E2D85"/>
    <w:rsid w:val="005E304C"/>
    <w:rsid w:val="005E4E8F"/>
    <w:rsid w:val="005E52F5"/>
    <w:rsid w:val="005E6E7C"/>
    <w:rsid w:val="005E7D21"/>
    <w:rsid w:val="005F0046"/>
    <w:rsid w:val="005F0BB9"/>
    <w:rsid w:val="005F15D5"/>
    <w:rsid w:val="005F1AD3"/>
    <w:rsid w:val="005F2F9B"/>
    <w:rsid w:val="005F3643"/>
    <w:rsid w:val="005F3F41"/>
    <w:rsid w:val="005F46FB"/>
    <w:rsid w:val="005F5D46"/>
    <w:rsid w:val="005F6B89"/>
    <w:rsid w:val="005F7BA1"/>
    <w:rsid w:val="006018D9"/>
    <w:rsid w:val="00601DF8"/>
    <w:rsid w:val="00602DE0"/>
    <w:rsid w:val="00603DEB"/>
    <w:rsid w:val="00604857"/>
    <w:rsid w:val="00604D6C"/>
    <w:rsid w:val="0060526B"/>
    <w:rsid w:val="00606F4C"/>
    <w:rsid w:val="00607419"/>
    <w:rsid w:val="00607CDE"/>
    <w:rsid w:val="00607D31"/>
    <w:rsid w:val="0061137C"/>
    <w:rsid w:val="00611F3F"/>
    <w:rsid w:val="006133AB"/>
    <w:rsid w:val="0061506E"/>
    <w:rsid w:val="006156E8"/>
    <w:rsid w:val="006175F5"/>
    <w:rsid w:val="00617658"/>
    <w:rsid w:val="00617CC3"/>
    <w:rsid w:val="00620432"/>
    <w:rsid w:val="0062083A"/>
    <w:rsid w:val="00620D71"/>
    <w:rsid w:val="00620EF6"/>
    <w:rsid w:val="0062118F"/>
    <w:rsid w:val="00621235"/>
    <w:rsid w:val="0062168A"/>
    <w:rsid w:val="006229E0"/>
    <w:rsid w:val="00622DAE"/>
    <w:rsid w:val="00624711"/>
    <w:rsid w:val="00624E17"/>
    <w:rsid w:val="00625A54"/>
    <w:rsid w:val="006321C0"/>
    <w:rsid w:val="00632D90"/>
    <w:rsid w:val="006331D5"/>
    <w:rsid w:val="00633422"/>
    <w:rsid w:val="00634364"/>
    <w:rsid w:val="00635DC5"/>
    <w:rsid w:val="00636990"/>
    <w:rsid w:val="006377A6"/>
    <w:rsid w:val="00637A3D"/>
    <w:rsid w:val="0064003D"/>
    <w:rsid w:val="00640786"/>
    <w:rsid w:val="00640C57"/>
    <w:rsid w:val="006411EF"/>
    <w:rsid w:val="006418FE"/>
    <w:rsid w:val="00642282"/>
    <w:rsid w:val="00642505"/>
    <w:rsid w:val="00642672"/>
    <w:rsid w:val="00643154"/>
    <w:rsid w:val="00644A13"/>
    <w:rsid w:val="00644AEE"/>
    <w:rsid w:val="0064662C"/>
    <w:rsid w:val="006475E2"/>
    <w:rsid w:val="00650152"/>
    <w:rsid w:val="0065078B"/>
    <w:rsid w:val="00650D60"/>
    <w:rsid w:val="0065120D"/>
    <w:rsid w:val="00651D54"/>
    <w:rsid w:val="00652072"/>
    <w:rsid w:val="006546A5"/>
    <w:rsid w:val="00655F30"/>
    <w:rsid w:val="00657A5A"/>
    <w:rsid w:val="00657B6D"/>
    <w:rsid w:val="00657F45"/>
    <w:rsid w:val="00660157"/>
    <w:rsid w:val="00660315"/>
    <w:rsid w:val="00662280"/>
    <w:rsid w:val="00662BEF"/>
    <w:rsid w:val="00663308"/>
    <w:rsid w:val="00664C65"/>
    <w:rsid w:val="0066529F"/>
    <w:rsid w:val="006658E4"/>
    <w:rsid w:val="00665F02"/>
    <w:rsid w:val="0066696D"/>
    <w:rsid w:val="006707C5"/>
    <w:rsid w:val="00672511"/>
    <w:rsid w:val="00672804"/>
    <w:rsid w:val="006744AE"/>
    <w:rsid w:val="006748B8"/>
    <w:rsid w:val="006749C6"/>
    <w:rsid w:val="006763F9"/>
    <w:rsid w:val="00676637"/>
    <w:rsid w:val="00676B57"/>
    <w:rsid w:val="006775C3"/>
    <w:rsid w:val="00680F73"/>
    <w:rsid w:val="006811EE"/>
    <w:rsid w:val="0068264A"/>
    <w:rsid w:val="00683966"/>
    <w:rsid w:val="00683F26"/>
    <w:rsid w:val="006845D5"/>
    <w:rsid w:val="00684D7B"/>
    <w:rsid w:val="00686D4B"/>
    <w:rsid w:val="00687471"/>
    <w:rsid w:val="0069025A"/>
    <w:rsid w:val="0069072F"/>
    <w:rsid w:val="00690C71"/>
    <w:rsid w:val="00690D64"/>
    <w:rsid w:val="0069181E"/>
    <w:rsid w:val="00691922"/>
    <w:rsid w:val="0069290A"/>
    <w:rsid w:val="00694546"/>
    <w:rsid w:val="00694C5E"/>
    <w:rsid w:val="00694E29"/>
    <w:rsid w:val="00694FBB"/>
    <w:rsid w:val="006967C6"/>
    <w:rsid w:val="00696F13"/>
    <w:rsid w:val="0069775A"/>
    <w:rsid w:val="00697813"/>
    <w:rsid w:val="006A0D4D"/>
    <w:rsid w:val="006A3A3E"/>
    <w:rsid w:val="006A3EE8"/>
    <w:rsid w:val="006A423A"/>
    <w:rsid w:val="006A5C26"/>
    <w:rsid w:val="006A6D2C"/>
    <w:rsid w:val="006A72BF"/>
    <w:rsid w:val="006B03F2"/>
    <w:rsid w:val="006B09DF"/>
    <w:rsid w:val="006B0C0B"/>
    <w:rsid w:val="006B1243"/>
    <w:rsid w:val="006B1F18"/>
    <w:rsid w:val="006B24A5"/>
    <w:rsid w:val="006B3701"/>
    <w:rsid w:val="006B37DC"/>
    <w:rsid w:val="006B4126"/>
    <w:rsid w:val="006B42AC"/>
    <w:rsid w:val="006B4F68"/>
    <w:rsid w:val="006B70B6"/>
    <w:rsid w:val="006B797C"/>
    <w:rsid w:val="006C0592"/>
    <w:rsid w:val="006C1A87"/>
    <w:rsid w:val="006C1BD4"/>
    <w:rsid w:val="006C272E"/>
    <w:rsid w:val="006C3E5E"/>
    <w:rsid w:val="006C4886"/>
    <w:rsid w:val="006C5479"/>
    <w:rsid w:val="006C5975"/>
    <w:rsid w:val="006C5A6B"/>
    <w:rsid w:val="006C7BD9"/>
    <w:rsid w:val="006C7D26"/>
    <w:rsid w:val="006C7D50"/>
    <w:rsid w:val="006D13B5"/>
    <w:rsid w:val="006D1743"/>
    <w:rsid w:val="006D23E3"/>
    <w:rsid w:val="006D2809"/>
    <w:rsid w:val="006D2888"/>
    <w:rsid w:val="006D329B"/>
    <w:rsid w:val="006D3633"/>
    <w:rsid w:val="006D3CCC"/>
    <w:rsid w:val="006D3E6F"/>
    <w:rsid w:val="006D5748"/>
    <w:rsid w:val="006D74B7"/>
    <w:rsid w:val="006D7B5E"/>
    <w:rsid w:val="006E00EC"/>
    <w:rsid w:val="006E0647"/>
    <w:rsid w:val="006E064C"/>
    <w:rsid w:val="006E0C89"/>
    <w:rsid w:val="006E12FF"/>
    <w:rsid w:val="006E3750"/>
    <w:rsid w:val="006E58BD"/>
    <w:rsid w:val="006E607E"/>
    <w:rsid w:val="006E673B"/>
    <w:rsid w:val="006E6F6A"/>
    <w:rsid w:val="006E7D88"/>
    <w:rsid w:val="006F06AF"/>
    <w:rsid w:val="006F23D4"/>
    <w:rsid w:val="006F2ADA"/>
    <w:rsid w:val="006F330A"/>
    <w:rsid w:val="006F5BA1"/>
    <w:rsid w:val="006F601D"/>
    <w:rsid w:val="006F6170"/>
    <w:rsid w:val="006F6951"/>
    <w:rsid w:val="006F789B"/>
    <w:rsid w:val="006F7D71"/>
    <w:rsid w:val="007002A8"/>
    <w:rsid w:val="007007FE"/>
    <w:rsid w:val="00701D68"/>
    <w:rsid w:val="007021F7"/>
    <w:rsid w:val="007027EF"/>
    <w:rsid w:val="00705913"/>
    <w:rsid w:val="00706C5D"/>
    <w:rsid w:val="0070751E"/>
    <w:rsid w:val="00707B33"/>
    <w:rsid w:val="007117F7"/>
    <w:rsid w:val="007138E1"/>
    <w:rsid w:val="00714687"/>
    <w:rsid w:val="00714CFE"/>
    <w:rsid w:val="0071603E"/>
    <w:rsid w:val="00716845"/>
    <w:rsid w:val="00717485"/>
    <w:rsid w:val="0071781E"/>
    <w:rsid w:val="00720572"/>
    <w:rsid w:val="007211ED"/>
    <w:rsid w:val="00721532"/>
    <w:rsid w:val="00721A7E"/>
    <w:rsid w:val="007226AF"/>
    <w:rsid w:val="00725B9B"/>
    <w:rsid w:val="00725DCA"/>
    <w:rsid w:val="00730816"/>
    <w:rsid w:val="00731984"/>
    <w:rsid w:val="00731B0D"/>
    <w:rsid w:val="00731D29"/>
    <w:rsid w:val="00732922"/>
    <w:rsid w:val="0073295F"/>
    <w:rsid w:val="0073322F"/>
    <w:rsid w:val="007332AF"/>
    <w:rsid w:val="00733A8A"/>
    <w:rsid w:val="00734447"/>
    <w:rsid w:val="00736DAB"/>
    <w:rsid w:val="007371E2"/>
    <w:rsid w:val="007374EC"/>
    <w:rsid w:val="00740777"/>
    <w:rsid w:val="00742997"/>
    <w:rsid w:val="00742DAB"/>
    <w:rsid w:val="00743072"/>
    <w:rsid w:val="00743ABF"/>
    <w:rsid w:val="00743D71"/>
    <w:rsid w:val="007449C3"/>
    <w:rsid w:val="0074529E"/>
    <w:rsid w:val="007454A1"/>
    <w:rsid w:val="00746546"/>
    <w:rsid w:val="0075029C"/>
    <w:rsid w:val="0075162E"/>
    <w:rsid w:val="0075171E"/>
    <w:rsid w:val="0075182B"/>
    <w:rsid w:val="00751991"/>
    <w:rsid w:val="00751E33"/>
    <w:rsid w:val="0075269B"/>
    <w:rsid w:val="00753795"/>
    <w:rsid w:val="00754034"/>
    <w:rsid w:val="007548DC"/>
    <w:rsid w:val="007551B6"/>
    <w:rsid w:val="007558F3"/>
    <w:rsid w:val="00756556"/>
    <w:rsid w:val="00757B14"/>
    <w:rsid w:val="00760824"/>
    <w:rsid w:val="007611F4"/>
    <w:rsid w:val="0076142A"/>
    <w:rsid w:val="00761720"/>
    <w:rsid w:val="00761855"/>
    <w:rsid w:val="007618C4"/>
    <w:rsid w:val="00761B5F"/>
    <w:rsid w:val="00761F57"/>
    <w:rsid w:val="00763587"/>
    <w:rsid w:val="0076424A"/>
    <w:rsid w:val="0076467B"/>
    <w:rsid w:val="00764975"/>
    <w:rsid w:val="00764DAD"/>
    <w:rsid w:val="00764EC1"/>
    <w:rsid w:val="00765699"/>
    <w:rsid w:val="00765C3A"/>
    <w:rsid w:val="00766E35"/>
    <w:rsid w:val="007674EF"/>
    <w:rsid w:val="007677AD"/>
    <w:rsid w:val="00767980"/>
    <w:rsid w:val="00767F50"/>
    <w:rsid w:val="00770B19"/>
    <w:rsid w:val="00772239"/>
    <w:rsid w:val="00773DA5"/>
    <w:rsid w:val="007741CE"/>
    <w:rsid w:val="007745FA"/>
    <w:rsid w:val="0077463F"/>
    <w:rsid w:val="007746F7"/>
    <w:rsid w:val="0077520B"/>
    <w:rsid w:val="00775D74"/>
    <w:rsid w:val="00776AF4"/>
    <w:rsid w:val="00776D3F"/>
    <w:rsid w:val="00780CAF"/>
    <w:rsid w:val="007818FF"/>
    <w:rsid w:val="00781983"/>
    <w:rsid w:val="00781D23"/>
    <w:rsid w:val="00782160"/>
    <w:rsid w:val="00782881"/>
    <w:rsid w:val="00783379"/>
    <w:rsid w:val="007836EA"/>
    <w:rsid w:val="007840E9"/>
    <w:rsid w:val="00784CDA"/>
    <w:rsid w:val="00786AF9"/>
    <w:rsid w:val="00786DE2"/>
    <w:rsid w:val="00786E90"/>
    <w:rsid w:val="007906C4"/>
    <w:rsid w:val="00791310"/>
    <w:rsid w:val="00791686"/>
    <w:rsid w:val="00791C50"/>
    <w:rsid w:val="00791DDD"/>
    <w:rsid w:val="00792440"/>
    <w:rsid w:val="00792779"/>
    <w:rsid w:val="007935F1"/>
    <w:rsid w:val="007940EA"/>
    <w:rsid w:val="007967E8"/>
    <w:rsid w:val="00797108"/>
    <w:rsid w:val="007A20FD"/>
    <w:rsid w:val="007A2170"/>
    <w:rsid w:val="007A22BF"/>
    <w:rsid w:val="007A285E"/>
    <w:rsid w:val="007A3323"/>
    <w:rsid w:val="007A43B6"/>
    <w:rsid w:val="007A480B"/>
    <w:rsid w:val="007A4BFA"/>
    <w:rsid w:val="007A5205"/>
    <w:rsid w:val="007A5240"/>
    <w:rsid w:val="007A6D04"/>
    <w:rsid w:val="007A6FFE"/>
    <w:rsid w:val="007A72FA"/>
    <w:rsid w:val="007B0A92"/>
    <w:rsid w:val="007B26A4"/>
    <w:rsid w:val="007B2E5C"/>
    <w:rsid w:val="007B4E75"/>
    <w:rsid w:val="007B4F3C"/>
    <w:rsid w:val="007B4FE9"/>
    <w:rsid w:val="007B51E4"/>
    <w:rsid w:val="007B51F3"/>
    <w:rsid w:val="007B691E"/>
    <w:rsid w:val="007B6ACB"/>
    <w:rsid w:val="007B6C57"/>
    <w:rsid w:val="007B6F7E"/>
    <w:rsid w:val="007B72B8"/>
    <w:rsid w:val="007B7A58"/>
    <w:rsid w:val="007C01ED"/>
    <w:rsid w:val="007C0D70"/>
    <w:rsid w:val="007C136D"/>
    <w:rsid w:val="007C1D4F"/>
    <w:rsid w:val="007C21B5"/>
    <w:rsid w:val="007C37E1"/>
    <w:rsid w:val="007C4FC7"/>
    <w:rsid w:val="007C5C26"/>
    <w:rsid w:val="007C7D17"/>
    <w:rsid w:val="007D02AC"/>
    <w:rsid w:val="007D2154"/>
    <w:rsid w:val="007D228B"/>
    <w:rsid w:val="007D3076"/>
    <w:rsid w:val="007D3E6E"/>
    <w:rsid w:val="007D6E7A"/>
    <w:rsid w:val="007E05C3"/>
    <w:rsid w:val="007E0E52"/>
    <w:rsid w:val="007E1763"/>
    <w:rsid w:val="007E2811"/>
    <w:rsid w:val="007E35A3"/>
    <w:rsid w:val="007E3837"/>
    <w:rsid w:val="007E3CF7"/>
    <w:rsid w:val="007E4744"/>
    <w:rsid w:val="007E4BD2"/>
    <w:rsid w:val="007E533F"/>
    <w:rsid w:val="007E548A"/>
    <w:rsid w:val="007E56B3"/>
    <w:rsid w:val="007E61A9"/>
    <w:rsid w:val="007E6ABC"/>
    <w:rsid w:val="007F0254"/>
    <w:rsid w:val="007F0832"/>
    <w:rsid w:val="007F1FBC"/>
    <w:rsid w:val="007F2DDA"/>
    <w:rsid w:val="007F2EC7"/>
    <w:rsid w:val="007F4D71"/>
    <w:rsid w:val="007F539D"/>
    <w:rsid w:val="007F53E3"/>
    <w:rsid w:val="007F5BF2"/>
    <w:rsid w:val="007F6675"/>
    <w:rsid w:val="007F6C72"/>
    <w:rsid w:val="007F7EA9"/>
    <w:rsid w:val="0080010F"/>
    <w:rsid w:val="00800AE3"/>
    <w:rsid w:val="00800F94"/>
    <w:rsid w:val="00801393"/>
    <w:rsid w:val="00801B04"/>
    <w:rsid w:val="0080248D"/>
    <w:rsid w:val="00802F88"/>
    <w:rsid w:val="008033A6"/>
    <w:rsid w:val="008034CE"/>
    <w:rsid w:val="008039C7"/>
    <w:rsid w:val="0080498A"/>
    <w:rsid w:val="008105FF"/>
    <w:rsid w:val="00810A56"/>
    <w:rsid w:val="00812049"/>
    <w:rsid w:val="0081293E"/>
    <w:rsid w:val="00812979"/>
    <w:rsid w:val="00812A50"/>
    <w:rsid w:val="00813294"/>
    <w:rsid w:val="00813DCB"/>
    <w:rsid w:val="00815465"/>
    <w:rsid w:val="00815C8B"/>
    <w:rsid w:val="00816651"/>
    <w:rsid w:val="00817929"/>
    <w:rsid w:val="00817E9A"/>
    <w:rsid w:val="00820C04"/>
    <w:rsid w:val="008214ED"/>
    <w:rsid w:val="008220EF"/>
    <w:rsid w:val="00824516"/>
    <w:rsid w:val="00826232"/>
    <w:rsid w:val="008269D7"/>
    <w:rsid w:val="00827FF2"/>
    <w:rsid w:val="008306BD"/>
    <w:rsid w:val="00830A6E"/>
    <w:rsid w:val="00830BD0"/>
    <w:rsid w:val="008310B6"/>
    <w:rsid w:val="00831A80"/>
    <w:rsid w:val="00833743"/>
    <w:rsid w:val="00833B02"/>
    <w:rsid w:val="008340A4"/>
    <w:rsid w:val="0083416E"/>
    <w:rsid w:val="008343EA"/>
    <w:rsid w:val="00836287"/>
    <w:rsid w:val="0083636B"/>
    <w:rsid w:val="00837FDA"/>
    <w:rsid w:val="0084011D"/>
    <w:rsid w:val="008401F5"/>
    <w:rsid w:val="00840790"/>
    <w:rsid w:val="008418A5"/>
    <w:rsid w:val="00842E37"/>
    <w:rsid w:val="00843FD4"/>
    <w:rsid w:val="00845721"/>
    <w:rsid w:val="008457F3"/>
    <w:rsid w:val="008513CF"/>
    <w:rsid w:val="008527D8"/>
    <w:rsid w:val="00854D0D"/>
    <w:rsid w:val="008552F6"/>
    <w:rsid w:val="008557E2"/>
    <w:rsid w:val="00855F2B"/>
    <w:rsid w:val="00856937"/>
    <w:rsid w:val="0085702A"/>
    <w:rsid w:val="008612DE"/>
    <w:rsid w:val="00862B53"/>
    <w:rsid w:val="008635AA"/>
    <w:rsid w:val="00863D33"/>
    <w:rsid w:val="00864040"/>
    <w:rsid w:val="00865FDC"/>
    <w:rsid w:val="00870DDF"/>
    <w:rsid w:val="008711EB"/>
    <w:rsid w:val="0087135F"/>
    <w:rsid w:val="00871CBF"/>
    <w:rsid w:val="00872D94"/>
    <w:rsid w:val="00873DFB"/>
    <w:rsid w:val="00875589"/>
    <w:rsid w:val="00875B92"/>
    <w:rsid w:val="00876EC1"/>
    <w:rsid w:val="0087740A"/>
    <w:rsid w:val="008777E9"/>
    <w:rsid w:val="00880364"/>
    <w:rsid w:val="008804BA"/>
    <w:rsid w:val="00881B24"/>
    <w:rsid w:val="00882070"/>
    <w:rsid w:val="00886955"/>
    <w:rsid w:val="008901E8"/>
    <w:rsid w:val="00891592"/>
    <w:rsid w:val="00891E9E"/>
    <w:rsid w:val="00892384"/>
    <w:rsid w:val="0089544E"/>
    <w:rsid w:val="00896267"/>
    <w:rsid w:val="008979FE"/>
    <w:rsid w:val="008A0355"/>
    <w:rsid w:val="008A07C1"/>
    <w:rsid w:val="008A0967"/>
    <w:rsid w:val="008A0F5A"/>
    <w:rsid w:val="008A20E9"/>
    <w:rsid w:val="008A2558"/>
    <w:rsid w:val="008A2D96"/>
    <w:rsid w:val="008A2F68"/>
    <w:rsid w:val="008A4B32"/>
    <w:rsid w:val="008A745C"/>
    <w:rsid w:val="008A75E3"/>
    <w:rsid w:val="008A7C77"/>
    <w:rsid w:val="008B0270"/>
    <w:rsid w:val="008B03C5"/>
    <w:rsid w:val="008B0FBA"/>
    <w:rsid w:val="008B1113"/>
    <w:rsid w:val="008B2353"/>
    <w:rsid w:val="008B2D36"/>
    <w:rsid w:val="008B2F93"/>
    <w:rsid w:val="008B4FA6"/>
    <w:rsid w:val="008B5282"/>
    <w:rsid w:val="008B5362"/>
    <w:rsid w:val="008B6AF2"/>
    <w:rsid w:val="008B7632"/>
    <w:rsid w:val="008B7C17"/>
    <w:rsid w:val="008C0930"/>
    <w:rsid w:val="008C1DFA"/>
    <w:rsid w:val="008C2D01"/>
    <w:rsid w:val="008C2D0F"/>
    <w:rsid w:val="008C32F5"/>
    <w:rsid w:val="008C3F80"/>
    <w:rsid w:val="008C40E6"/>
    <w:rsid w:val="008C6122"/>
    <w:rsid w:val="008D05E5"/>
    <w:rsid w:val="008D0F7A"/>
    <w:rsid w:val="008D1414"/>
    <w:rsid w:val="008D1678"/>
    <w:rsid w:val="008D1766"/>
    <w:rsid w:val="008D286B"/>
    <w:rsid w:val="008D2EBD"/>
    <w:rsid w:val="008D45EF"/>
    <w:rsid w:val="008D61A4"/>
    <w:rsid w:val="008D68E4"/>
    <w:rsid w:val="008D79C1"/>
    <w:rsid w:val="008D7C17"/>
    <w:rsid w:val="008E0506"/>
    <w:rsid w:val="008E07D4"/>
    <w:rsid w:val="008E0CFF"/>
    <w:rsid w:val="008E1881"/>
    <w:rsid w:val="008E2D6C"/>
    <w:rsid w:val="008E3093"/>
    <w:rsid w:val="008E44FF"/>
    <w:rsid w:val="008E4C22"/>
    <w:rsid w:val="008E57A8"/>
    <w:rsid w:val="008E5D6B"/>
    <w:rsid w:val="008E62CE"/>
    <w:rsid w:val="008E6A37"/>
    <w:rsid w:val="008E6F82"/>
    <w:rsid w:val="008E76F0"/>
    <w:rsid w:val="008F03F8"/>
    <w:rsid w:val="008F15FE"/>
    <w:rsid w:val="008F1996"/>
    <w:rsid w:val="008F1B50"/>
    <w:rsid w:val="008F2D29"/>
    <w:rsid w:val="008F2F3A"/>
    <w:rsid w:val="008F352F"/>
    <w:rsid w:val="008F3A61"/>
    <w:rsid w:val="008F5187"/>
    <w:rsid w:val="008F60D8"/>
    <w:rsid w:val="008F6EE4"/>
    <w:rsid w:val="008F725A"/>
    <w:rsid w:val="0090019F"/>
    <w:rsid w:val="00901223"/>
    <w:rsid w:val="0090164D"/>
    <w:rsid w:val="00901B5C"/>
    <w:rsid w:val="009021CD"/>
    <w:rsid w:val="00902727"/>
    <w:rsid w:val="0090312B"/>
    <w:rsid w:val="00903CA3"/>
    <w:rsid w:val="00904A95"/>
    <w:rsid w:val="00905A64"/>
    <w:rsid w:val="00905BA9"/>
    <w:rsid w:val="00907D0E"/>
    <w:rsid w:val="00911EFE"/>
    <w:rsid w:val="00912C81"/>
    <w:rsid w:val="009134CB"/>
    <w:rsid w:val="00913B4B"/>
    <w:rsid w:val="00913CE9"/>
    <w:rsid w:val="00914ACF"/>
    <w:rsid w:val="00916BAE"/>
    <w:rsid w:val="0091736D"/>
    <w:rsid w:val="0092027F"/>
    <w:rsid w:val="009208D6"/>
    <w:rsid w:val="009215E2"/>
    <w:rsid w:val="00923A4D"/>
    <w:rsid w:val="0092543E"/>
    <w:rsid w:val="00926919"/>
    <w:rsid w:val="00926A3E"/>
    <w:rsid w:val="00926D56"/>
    <w:rsid w:val="00927594"/>
    <w:rsid w:val="00927705"/>
    <w:rsid w:val="00927F77"/>
    <w:rsid w:val="00930064"/>
    <w:rsid w:val="0093037A"/>
    <w:rsid w:val="0093042C"/>
    <w:rsid w:val="00930F9C"/>
    <w:rsid w:val="00931E89"/>
    <w:rsid w:val="00932230"/>
    <w:rsid w:val="0093256A"/>
    <w:rsid w:val="00934D2F"/>
    <w:rsid w:val="0093570D"/>
    <w:rsid w:val="00936A00"/>
    <w:rsid w:val="00936C6D"/>
    <w:rsid w:val="009372F5"/>
    <w:rsid w:val="009408D8"/>
    <w:rsid w:val="00940BC1"/>
    <w:rsid w:val="0094154D"/>
    <w:rsid w:val="009420BC"/>
    <w:rsid w:val="009425B7"/>
    <w:rsid w:val="00942B9A"/>
    <w:rsid w:val="00942C11"/>
    <w:rsid w:val="009431C6"/>
    <w:rsid w:val="00943A39"/>
    <w:rsid w:val="00943D68"/>
    <w:rsid w:val="009446E2"/>
    <w:rsid w:val="009455D0"/>
    <w:rsid w:val="00945C99"/>
    <w:rsid w:val="00945FBF"/>
    <w:rsid w:val="00946905"/>
    <w:rsid w:val="00946D27"/>
    <w:rsid w:val="00947983"/>
    <w:rsid w:val="0095155F"/>
    <w:rsid w:val="0095162D"/>
    <w:rsid w:val="00953832"/>
    <w:rsid w:val="00954429"/>
    <w:rsid w:val="00955368"/>
    <w:rsid w:val="00955C34"/>
    <w:rsid w:val="00955C90"/>
    <w:rsid w:val="00956358"/>
    <w:rsid w:val="009563CE"/>
    <w:rsid w:val="009576D8"/>
    <w:rsid w:val="00961DD7"/>
    <w:rsid w:val="009641AA"/>
    <w:rsid w:val="00964C94"/>
    <w:rsid w:val="00965403"/>
    <w:rsid w:val="00966090"/>
    <w:rsid w:val="00966CA3"/>
    <w:rsid w:val="00966CE8"/>
    <w:rsid w:val="00967E55"/>
    <w:rsid w:val="00970596"/>
    <w:rsid w:val="00970AAC"/>
    <w:rsid w:val="00972713"/>
    <w:rsid w:val="00974C6C"/>
    <w:rsid w:val="0097558E"/>
    <w:rsid w:val="0097572C"/>
    <w:rsid w:val="00976328"/>
    <w:rsid w:val="0097680D"/>
    <w:rsid w:val="00977AE6"/>
    <w:rsid w:val="00977C2C"/>
    <w:rsid w:val="00982438"/>
    <w:rsid w:val="0098404C"/>
    <w:rsid w:val="00985283"/>
    <w:rsid w:val="00985936"/>
    <w:rsid w:val="00986487"/>
    <w:rsid w:val="00986571"/>
    <w:rsid w:val="00986662"/>
    <w:rsid w:val="00986FDC"/>
    <w:rsid w:val="0098770F"/>
    <w:rsid w:val="00990211"/>
    <w:rsid w:val="00992542"/>
    <w:rsid w:val="009927A8"/>
    <w:rsid w:val="00995020"/>
    <w:rsid w:val="00995992"/>
    <w:rsid w:val="009A03E5"/>
    <w:rsid w:val="009A05EA"/>
    <w:rsid w:val="009A0DF9"/>
    <w:rsid w:val="009A0F3B"/>
    <w:rsid w:val="009A1264"/>
    <w:rsid w:val="009A1BB4"/>
    <w:rsid w:val="009A1C3D"/>
    <w:rsid w:val="009A244F"/>
    <w:rsid w:val="009A2628"/>
    <w:rsid w:val="009A3200"/>
    <w:rsid w:val="009A374A"/>
    <w:rsid w:val="009A4327"/>
    <w:rsid w:val="009A643A"/>
    <w:rsid w:val="009A66C7"/>
    <w:rsid w:val="009A72CB"/>
    <w:rsid w:val="009A7BC4"/>
    <w:rsid w:val="009A7EDD"/>
    <w:rsid w:val="009B0897"/>
    <w:rsid w:val="009B0ED2"/>
    <w:rsid w:val="009B3CCD"/>
    <w:rsid w:val="009B4EE6"/>
    <w:rsid w:val="009B5AFA"/>
    <w:rsid w:val="009B5DBA"/>
    <w:rsid w:val="009B70DF"/>
    <w:rsid w:val="009B7BD9"/>
    <w:rsid w:val="009C251A"/>
    <w:rsid w:val="009C29B0"/>
    <w:rsid w:val="009C2C2B"/>
    <w:rsid w:val="009C44E1"/>
    <w:rsid w:val="009C74CA"/>
    <w:rsid w:val="009C7DD5"/>
    <w:rsid w:val="009D0194"/>
    <w:rsid w:val="009D64A8"/>
    <w:rsid w:val="009D6CC8"/>
    <w:rsid w:val="009D7F2B"/>
    <w:rsid w:val="009E16FA"/>
    <w:rsid w:val="009E227D"/>
    <w:rsid w:val="009E3102"/>
    <w:rsid w:val="009E43B2"/>
    <w:rsid w:val="009E4F23"/>
    <w:rsid w:val="009E5019"/>
    <w:rsid w:val="009E598E"/>
    <w:rsid w:val="009E602E"/>
    <w:rsid w:val="009E6FA7"/>
    <w:rsid w:val="009F0318"/>
    <w:rsid w:val="009F0D9F"/>
    <w:rsid w:val="009F17CA"/>
    <w:rsid w:val="009F1887"/>
    <w:rsid w:val="009F25AD"/>
    <w:rsid w:val="009F3953"/>
    <w:rsid w:val="009F4D5B"/>
    <w:rsid w:val="009F5ACD"/>
    <w:rsid w:val="009F5BF4"/>
    <w:rsid w:val="009F639A"/>
    <w:rsid w:val="009F6E7E"/>
    <w:rsid w:val="00A00E3E"/>
    <w:rsid w:val="00A01EC4"/>
    <w:rsid w:val="00A02065"/>
    <w:rsid w:val="00A0270F"/>
    <w:rsid w:val="00A02D95"/>
    <w:rsid w:val="00A043BA"/>
    <w:rsid w:val="00A04F1B"/>
    <w:rsid w:val="00A0501B"/>
    <w:rsid w:val="00A05386"/>
    <w:rsid w:val="00A05898"/>
    <w:rsid w:val="00A06A6E"/>
    <w:rsid w:val="00A1138A"/>
    <w:rsid w:val="00A118B7"/>
    <w:rsid w:val="00A13B66"/>
    <w:rsid w:val="00A14134"/>
    <w:rsid w:val="00A14178"/>
    <w:rsid w:val="00A1449E"/>
    <w:rsid w:val="00A146E0"/>
    <w:rsid w:val="00A14947"/>
    <w:rsid w:val="00A15ED1"/>
    <w:rsid w:val="00A16B1C"/>
    <w:rsid w:val="00A20048"/>
    <w:rsid w:val="00A202E6"/>
    <w:rsid w:val="00A20381"/>
    <w:rsid w:val="00A20FDF"/>
    <w:rsid w:val="00A24C7B"/>
    <w:rsid w:val="00A279BE"/>
    <w:rsid w:val="00A306F2"/>
    <w:rsid w:val="00A31AC7"/>
    <w:rsid w:val="00A3267D"/>
    <w:rsid w:val="00A32A83"/>
    <w:rsid w:val="00A3367D"/>
    <w:rsid w:val="00A33C49"/>
    <w:rsid w:val="00A3414E"/>
    <w:rsid w:val="00A34613"/>
    <w:rsid w:val="00A34CF5"/>
    <w:rsid w:val="00A35836"/>
    <w:rsid w:val="00A364A5"/>
    <w:rsid w:val="00A368B7"/>
    <w:rsid w:val="00A368DB"/>
    <w:rsid w:val="00A36B10"/>
    <w:rsid w:val="00A37459"/>
    <w:rsid w:val="00A37AC8"/>
    <w:rsid w:val="00A401C9"/>
    <w:rsid w:val="00A41A51"/>
    <w:rsid w:val="00A423AA"/>
    <w:rsid w:val="00A43A97"/>
    <w:rsid w:val="00A50A9E"/>
    <w:rsid w:val="00A50AFE"/>
    <w:rsid w:val="00A5236B"/>
    <w:rsid w:val="00A53EC6"/>
    <w:rsid w:val="00A54391"/>
    <w:rsid w:val="00A549D3"/>
    <w:rsid w:val="00A54B6A"/>
    <w:rsid w:val="00A55893"/>
    <w:rsid w:val="00A559D1"/>
    <w:rsid w:val="00A55C0F"/>
    <w:rsid w:val="00A60221"/>
    <w:rsid w:val="00A60320"/>
    <w:rsid w:val="00A60EBF"/>
    <w:rsid w:val="00A62CBE"/>
    <w:rsid w:val="00A62E08"/>
    <w:rsid w:val="00A634C0"/>
    <w:rsid w:val="00A64257"/>
    <w:rsid w:val="00A65058"/>
    <w:rsid w:val="00A652FD"/>
    <w:rsid w:val="00A6623E"/>
    <w:rsid w:val="00A663ED"/>
    <w:rsid w:val="00A6663F"/>
    <w:rsid w:val="00A6684C"/>
    <w:rsid w:val="00A72650"/>
    <w:rsid w:val="00A73604"/>
    <w:rsid w:val="00A74B23"/>
    <w:rsid w:val="00A77168"/>
    <w:rsid w:val="00A80281"/>
    <w:rsid w:val="00A80962"/>
    <w:rsid w:val="00A8098C"/>
    <w:rsid w:val="00A81735"/>
    <w:rsid w:val="00A82B0C"/>
    <w:rsid w:val="00A83597"/>
    <w:rsid w:val="00A84D88"/>
    <w:rsid w:val="00A85CA9"/>
    <w:rsid w:val="00A867BA"/>
    <w:rsid w:val="00A8713F"/>
    <w:rsid w:val="00A90BA1"/>
    <w:rsid w:val="00A92148"/>
    <w:rsid w:val="00A923A6"/>
    <w:rsid w:val="00A976E0"/>
    <w:rsid w:val="00A97A9A"/>
    <w:rsid w:val="00A97FE1"/>
    <w:rsid w:val="00AA0671"/>
    <w:rsid w:val="00AA18B2"/>
    <w:rsid w:val="00AA1AF5"/>
    <w:rsid w:val="00AA2531"/>
    <w:rsid w:val="00AA37E5"/>
    <w:rsid w:val="00AA3B9B"/>
    <w:rsid w:val="00AA40C1"/>
    <w:rsid w:val="00AA4901"/>
    <w:rsid w:val="00AA5683"/>
    <w:rsid w:val="00AA587F"/>
    <w:rsid w:val="00AA710D"/>
    <w:rsid w:val="00AA7211"/>
    <w:rsid w:val="00AA7D4F"/>
    <w:rsid w:val="00AB15E5"/>
    <w:rsid w:val="00AB1E09"/>
    <w:rsid w:val="00AB5330"/>
    <w:rsid w:val="00AB6451"/>
    <w:rsid w:val="00AB6EDD"/>
    <w:rsid w:val="00AB73C0"/>
    <w:rsid w:val="00AB7747"/>
    <w:rsid w:val="00AC14CE"/>
    <w:rsid w:val="00AC2A56"/>
    <w:rsid w:val="00AC2DD9"/>
    <w:rsid w:val="00AC33EE"/>
    <w:rsid w:val="00AC38D7"/>
    <w:rsid w:val="00AC392A"/>
    <w:rsid w:val="00AC4BFA"/>
    <w:rsid w:val="00AC5067"/>
    <w:rsid w:val="00AC542D"/>
    <w:rsid w:val="00AC574F"/>
    <w:rsid w:val="00AC696C"/>
    <w:rsid w:val="00AC6E56"/>
    <w:rsid w:val="00AC7FB0"/>
    <w:rsid w:val="00AD055E"/>
    <w:rsid w:val="00AD06B0"/>
    <w:rsid w:val="00AD1571"/>
    <w:rsid w:val="00AD1F98"/>
    <w:rsid w:val="00AD2C79"/>
    <w:rsid w:val="00AD408E"/>
    <w:rsid w:val="00AD44A7"/>
    <w:rsid w:val="00AD47A7"/>
    <w:rsid w:val="00AD531E"/>
    <w:rsid w:val="00AD5D23"/>
    <w:rsid w:val="00AD609E"/>
    <w:rsid w:val="00AD70C1"/>
    <w:rsid w:val="00AD721B"/>
    <w:rsid w:val="00AD7729"/>
    <w:rsid w:val="00AE001B"/>
    <w:rsid w:val="00AE1FFE"/>
    <w:rsid w:val="00AE2646"/>
    <w:rsid w:val="00AE305C"/>
    <w:rsid w:val="00AE33A5"/>
    <w:rsid w:val="00AE3882"/>
    <w:rsid w:val="00AE3F84"/>
    <w:rsid w:val="00AE4B84"/>
    <w:rsid w:val="00AE4E67"/>
    <w:rsid w:val="00AE611F"/>
    <w:rsid w:val="00AE7545"/>
    <w:rsid w:val="00AF0CBF"/>
    <w:rsid w:val="00AF1195"/>
    <w:rsid w:val="00AF257F"/>
    <w:rsid w:val="00AF33CF"/>
    <w:rsid w:val="00AF3816"/>
    <w:rsid w:val="00AF3A59"/>
    <w:rsid w:val="00AF3E2B"/>
    <w:rsid w:val="00AF4D50"/>
    <w:rsid w:val="00AF5919"/>
    <w:rsid w:val="00AF6098"/>
    <w:rsid w:val="00AF6179"/>
    <w:rsid w:val="00AF65E0"/>
    <w:rsid w:val="00AF7D12"/>
    <w:rsid w:val="00AF7FE3"/>
    <w:rsid w:val="00B0092C"/>
    <w:rsid w:val="00B02601"/>
    <w:rsid w:val="00B02F40"/>
    <w:rsid w:val="00B0462C"/>
    <w:rsid w:val="00B0580A"/>
    <w:rsid w:val="00B05FAA"/>
    <w:rsid w:val="00B06301"/>
    <w:rsid w:val="00B068BF"/>
    <w:rsid w:val="00B06AD9"/>
    <w:rsid w:val="00B10BC1"/>
    <w:rsid w:val="00B117EF"/>
    <w:rsid w:val="00B11AAD"/>
    <w:rsid w:val="00B1282E"/>
    <w:rsid w:val="00B1295A"/>
    <w:rsid w:val="00B12B2B"/>
    <w:rsid w:val="00B12BC1"/>
    <w:rsid w:val="00B1364E"/>
    <w:rsid w:val="00B13B45"/>
    <w:rsid w:val="00B14826"/>
    <w:rsid w:val="00B15349"/>
    <w:rsid w:val="00B16541"/>
    <w:rsid w:val="00B168D4"/>
    <w:rsid w:val="00B168FA"/>
    <w:rsid w:val="00B1737B"/>
    <w:rsid w:val="00B17D3B"/>
    <w:rsid w:val="00B20334"/>
    <w:rsid w:val="00B204A6"/>
    <w:rsid w:val="00B20A45"/>
    <w:rsid w:val="00B21852"/>
    <w:rsid w:val="00B22C5C"/>
    <w:rsid w:val="00B24B73"/>
    <w:rsid w:val="00B24F30"/>
    <w:rsid w:val="00B266F2"/>
    <w:rsid w:val="00B26993"/>
    <w:rsid w:val="00B31097"/>
    <w:rsid w:val="00B31AA6"/>
    <w:rsid w:val="00B31ABF"/>
    <w:rsid w:val="00B329D5"/>
    <w:rsid w:val="00B33BE3"/>
    <w:rsid w:val="00B33CA9"/>
    <w:rsid w:val="00B34563"/>
    <w:rsid w:val="00B35757"/>
    <w:rsid w:val="00B35DBE"/>
    <w:rsid w:val="00B40375"/>
    <w:rsid w:val="00B426C2"/>
    <w:rsid w:val="00B43ADE"/>
    <w:rsid w:val="00B44370"/>
    <w:rsid w:val="00B4504B"/>
    <w:rsid w:val="00B452E2"/>
    <w:rsid w:val="00B47DB6"/>
    <w:rsid w:val="00B501AD"/>
    <w:rsid w:val="00B50B09"/>
    <w:rsid w:val="00B512A2"/>
    <w:rsid w:val="00B53336"/>
    <w:rsid w:val="00B53B5D"/>
    <w:rsid w:val="00B53C18"/>
    <w:rsid w:val="00B53DD6"/>
    <w:rsid w:val="00B55689"/>
    <w:rsid w:val="00B55C1E"/>
    <w:rsid w:val="00B55EA1"/>
    <w:rsid w:val="00B57569"/>
    <w:rsid w:val="00B6034B"/>
    <w:rsid w:val="00B6055E"/>
    <w:rsid w:val="00B6317D"/>
    <w:rsid w:val="00B63C51"/>
    <w:rsid w:val="00B65D01"/>
    <w:rsid w:val="00B71945"/>
    <w:rsid w:val="00B756F5"/>
    <w:rsid w:val="00B76D1F"/>
    <w:rsid w:val="00B76F7C"/>
    <w:rsid w:val="00B7723F"/>
    <w:rsid w:val="00B77E79"/>
    <w:rsid w:val="00B80534"/>
    <w:rsid w:val="00B80715"/>
    <w:rsid w:val="00B81813"/>
    <w:rsid w:val="00B82486"/>
    <w:rsid w:val="00B826E5"/>
    <w:rsid w:val="00B82D5A"/>
    <w:rsid w:val="00B8433C"/>
    <w:rsid w:val="00B86CEB"/>
    <w:rsid w:val="00B8704F"/>
    <w:rsid w:val="00B87491"/>
    <w:rsid w:val="00B90861"/>
    <w:rsid w:val="00B90A60"/>
    <w:rsid w:val="00B90B75"/>
    <w:rsid w:val="00B93DEF"/>
    <w:rsid w:val="00B94168"/>
    <w:rsid w:val="00B9421C"/>
    <w:rsid w:val="00B945B2"/>
    <w:rsid w:val="00B94861"/>
    <w:rsid w:val="00B94B18"/>
    <w:rsid w:val="00B94C04"/>
    <w:rsid w:val="00B9555C"/>
    <w:rsid w:val="00B96845"/>
    <w:rsid w:val="00B96EBE"/>
    <w:rsid w:val="00B96FEC"/>
    <w:rsid w:val="00B974E7"/>
    <w:rsid w:val="00B975C3"/>
    <w:rsid w:val="00BA1539"/>
    <w:rsid w:val="00BA1B71"/>
    <w:rsid w:val="00BA266C"/>
    <w:rsid w:val="00BA2784"/>
    <w:rsid w:val="00BA29E9"/>
    <w:rsid w:val="00BA2A07"/>
    <w:rsid w:val="00BA3AFB"/>
    <w:rsid w:val="00BA3C79"/>
    <w:rsid w:val="00BA49C3"/>
    <w:rsid w:val="00BA7010"/>
    <w:rsid w:val="00BA7142"/>
    <w:rsid w:val="00BA7B52"/>
    <w:rsid w:val="00BA7FCE"/>
    <w:rsid w:val="00BB015E"/>
    <w:rsid w:val="00BB237C"/>
    <w:rsid w:val="00BB2797"/>
    <w:rsid w:val="00BB2FFA"/>
    <w:rsid w:val="00BB30F7"/>
    <w:rsid w:val="00BB4081"/>
    <w:rsid w:val="00BB41A3"/>
    <w:rsid w:val="00BB4F0E"/>
    <w:rsid w:val="00BB5185"/>
    <w:rsid w:val="00BB565F"/>
    <w:rsid w:val="00BB5F70"/>
    <w:rsid w:val="00BB625E"/>
    <w:rsid w:val="00BB64B6"/>
    <w:rsid w:val="00BC0341"/>
    <w:rsid w:val="00BC147B"/>
    <w:rsid w:val="00BC173C"/>
    <w:rsid w:val="00BC17F2"/>
    <w:rsid w:val="00BC27B0"/>
    <w:rsid w:val="00BC2E40"/>
    <w:rsid w:val="00BC32DC"/>
    <w:rsid w:val="00BC3360"/>
    <w:rsid w:val="00BC357A"/>
    <w:rsid w:val="00BC35B6"/>
    <w:rsid w:val="00BC55C7"/>
    <w:rsid w:val="00BC62D3"/>
    <w:rsid w:val="00BC64D4"/>
    <w:rsid w:val="00BC6B94"/>
    <w:rsid w:val="00BD05AE"/>
    <w:rsid w:val="00BD079F"/>
    <w:rsid w:val="00BD0CD5"/>
    <w:rsid w:val="00BD13B2"/>
    <w:rsid w:val="00BD1B51"/>
    <w:rsid w:val="00BD4596"/>
    <w:rsid w:val="00BD48D7"/>
    <w:rsid w:val="00BD4BE6"/>
    <w:rsid w:val="00BD5356"/>
    <w:rsid w:val="00BD6432"/>
    <w:rsid w:val="00BD7FD0"/>
    <w:rsid w:val="00BE0F9F"/>
    <w:rsid w:val="00BE132F"/>
    <w:rsid w:val="00BE1405"/>
    <w:rsid w:val="00BE14E4"/>
    <w:rsid w:val="00BE1806"/>
    <w:rsid w:val="00BE2A81"/>
    <w:rsid w:val="00BE3112"/>
    <w:rsid w:val="00BE312A"/>
    <w:rsid w:val="00BE312D"/>
    <w:rsid w:val="00BE6878"/>
    <w:rsid w:val="00BE7BF5"/>
    <w:rsid w:val="00BE7F46"/>
    <w:rsid w:val="00BF0622"/>
    <w:rsid w:val="00BF0D36"/>
    <w:rsid w:val="00BF12F0"/>
    <w:rsid w:val="00BF1C20"/>
    <w:rsid w:val="00BF46CF"/>
    <w:rsid w:val="00BF4CA1"/>
    <w:rsid w:val="00BF664B"/>
    <w:rsid w:val="00BF6F18"/>
    <w:rsid w:val="00BF717C"/>
    <w:rsid w:val="00BF7AAF"/>
    <w:rsid w:val="00C0139A"/>
    <w:rsid w:val="00C0211B"/>
    <w:rsid w:val="00C0380B"/>
    <w:rsid w:val="00C0385F"/>
    <w:rsid w:val="00C04A7E"/>
    <w:rsid w:val="00C04BDD"/>
    <w:rsid w:val="00C05075"/>
    <w:rsid w:val="00C056D6"/>
    <w:rsid w:val="00C06F85"/>
    <w:rsid w:val="00C10128"/>
    <w:rsid w:val="00C10578"/>
    <w:rsid w:val="00C10FDD"/>
    <w:rsid w:val="00C11575"/>
    <w:rsid w:val="00C12A2D"/>
    <w:rsid w:val="00C12AF1"/>
    <w:rsid w:val="00C135BC"/>
    <w:rsid w:val="00C13889"/>
    <w:rsid w:val="00C14FA6"/>
    <w:rsid w:val="00C15C95"/>
    <w:rsid w:val="00C165DE"/>
    <w:rsid w:val="00C1670A"/>
    <w:rsid w:val="00C1749C"/>
    <w:rsid w:val="00C17AC8"/>
    <w:rsid w:val="00C20253"/>
    <w:rsid w:val="00C21736"/>
    <w:rsid w:val="00C23A68"/>
    <w:rsid w:val="00C2596A"/>
    <w:rsid w:val="00C25C1F"/>
    <w:rsid w:val="00C25D3C"/>
    <w:rsid w:val="00C2669D"/>
    <w:rsid w:val="00C26B87"/>
    <w:rsid w:val="00C26B92"/>
    <w:rsid w:val="00C27537"/>
    <w:rsid w:val="00C304EA"/>
    <w:rsid w:val="00C31B4C"/>
    <w:rsid w:val="00C328FE"/>
    <w:rsid w:val="00C33068"/>
    <w:rsid w:val="00C33375"/>
    <w:rsid w:val="00C33507"/>
    <w:rsid w:val="00C339C4"/>
    <w:rsid w:val="00C341C3"/>
    <w:rsid w:val="00C344A3"/>
    <w:rsid w:val="00C347E1"/>
    <w:rsid w:val="00C349C9"/>
    <w:rsid w:val="00C35652"/>
    <w:rsid w:val="00C3572C"/>
    <w:rsid w:val="00C35C58"/>
    <w:rsid w:val="00C360C8"/>
    <w:rsid w:val="00C36223"/>
    <w:rsid w:val="00C36467"/>
    <w:rsid w:val="00C3698D"/>
    <w:rsid w:val="00C40684"/>
    <w:rsid w:val="00C40700"/>
    <w:rsid w:val="00C40E60"/>
    <w:rsid w:val="00C41C74"/>
    <w:rsid w:val="00C41F32"/>
    <w:rsid w:val="00C4409D"/>
    <w:rsid w:val="00C441F3"/>
    <w:rsid w:val="00C447C2"/>
    <w:rsid w:val="00C44A18"/>
    <w:rsid w:val="00C44E72"/>
    <w:rsid w:val="00C452B6"/>
    <w:rsid w:val="00C45664"/>
    <w:rsid w:val="00C4566B"/>
    <w:rsid w:val="00C45A06"/>
    <w:rsid w:val="00C45EC7"/>
    <w:rsid w:val="00C46800"/>
    <w:rsid w:val="00C46A58"/>
    <w:rsid w:val="00C46D99"/>
    <w:rsid w:val="00C47DFB"/>
    <w:rsid w:val="00C47E5B"/>
    <w:rsid w:val="00C51073"/>
    <w:rsid w:val="00C510F9"/>
    <w:rsid w:val="00C5299F"/>
    <w:rsid w:val="00C53F44"/>
    <w:rsid w:val="00C553CD"/>
    <w:rsid w:val="00C55A3E"/>
    <w:rsid w:val="00C56132"/>
    <w:rsid w:val="00C56956"/>
    <w:rsid w:val="00C61351"/>
    <w:rsid w:val="00C61E4B"/>
    <w:rsid w:val="00C62881"/>
    <w:rsid w:val="00C63F09"/>
    <w:rsid w:val="00C64BFF"/>
    <w:rsid w:val="00C6538C"/>
    <w:rsid w:val="00C673DA"/>
    <w:rsid w:val="00C6743C"/>
    <w:rsid w:val="00C677D8"/>
    <w:rsid w:val="00C7031F"/>
    <w:rsid w:val="00C704E9"/>
    <w:rsid w:val="00C7198E"/>
    <w:rsid w:val="00C72457"/>
    <w:rsid w:val="00C736A7"/>
    <w:rsid w:val="00C759A6"/>
    <w:rsid w:val="00C763C9"/>
    <w:rsid w:val="00C776F5"/>
    <w:rsid w:val="00C80057"/>
    <w:rsid w:val="00C81056"/>
    <w:rsid w:val="00C8145C"/>
    <w:rsid w:val="00C81C49"/>
    <w:rsid w:val="00C82232"/>
    <w:rsid w:val="00C82913"/>
    <w:rsid w:val="00C834BC"/>
    <w:rsid w:val="00C84470"/>
    <w:rsid w:val="00C87420"/>
    <w:rsid w:val="00C902D8"/>
    <w:rsid w:val="00C90E45"/>
    <w:rsid w:val="00C90F36"/>
    <w:rsid w:val="00C91C07"/>
    <w:rsid w:val="00C91D6F"/>
    <w:rsid w:val="00C91E86"/>
    <w:rsid w:val="00C92F23"/>
    <w:rsid w:val="00C9340D"/>
    <w:rsid w:val="00C93791"/>
    <w:rsid w:val="00C9429E"/>
    <w:rsid w:val="00C94457"/>
    <w:rsid w:val="00C94835"/>
    <w:rsid w:val="00C94B59"/>
    <w:rsid w:val="00C95658"/>
    <w:rsid w:val="00C95CD1"/>
    <w:rsid w:val="00C96982"/>
    <w:rsid w:val="00C972B1"/>
    <w:rsid w:val="00C973E7"/>
    <w:rsid w:val="00C975A3"/>
    <w:rsid w:val="00C97FD0"/>
    <w:rsid w:val="00CA2CCE"/>
    <w:rsid w:val="00CA2FF1"/>
    <w:rsid w:val="00CA382E"/>
    <w:rsid w:val="00CA3A50"/>
    <w:rsid w:val="00CA43FD"/>
    <w:rsid w:val="00CA5152"/>
    <w:rsid w:val="00CA6F92"/>
    <w:rsid w:val="00CA7EF8"/>
    <w:rsid w:val="00CB1556"/>
    <w:rsid w:val="00CB1C5F"/>
    <w:rsid w:val="00CB219D"/>
    <w:rsid w:val="00CB2278"/>
    <w:rsid w:val="00CB2406"/>
    <w:rsid w:val="00CB3C7B"/>
    <w:rsid w:val="00CB42E4"/>
    <w:rsid w:val="00CB6E62"/>
    <w:rsid w:val="00CB732C"/>
    <w:rsid w:val="00CB76F9"/>
    <w:rsid w:val="00CC04CD"/>
    <w:rsid w:val="00CC0925"/>
    <w:rsid w:val="00CC140E"/>
    <w:rsid w:val="00CC25C5"/>
    <w:rsid w:val="00CC3BD3"/>
    <w:rsid w:val="00CC489B"/>
    <w:rsid w:val="00CC51EB"/>
    <w:rsid w:val="00CC526A"/>
    <w:rsid w:val="00CC6A8A"/>
    <w:rsid w:val="00CC6E14"/>
    <w:rsid w:val="00CC790A"/>
    <w:rsid w:val="00CC7BF1"/>
    <w:rsid w:val="00CC7E7B"/>
    <w:rsid w:val="00CD0BFE"/>
    <w:rsid w:val="00CD1905"/>
    <w:rsid w:val="00CD1F1D"/>
    <w:rsid w:val="00CD21F5"/>
    <w:rsid w:val="00CD27AF"/>
    <w:rsid w:val="00CD2BCD"/>
    <w:rsid w:val="00CD3284"/>
    <w:rsid w:val="00CD34C7"/>
    <w:rsid w:val="00CD3A4C"/>
    <w:rsid w:val="00CD3FB3"/>
    <w:rsid w:val="00CD41E6"/>
    <w:rsid w:val="00CD484F"/>
    <w:rsid w:val="00CD4954"/>
    <w:rsid w:val="00CE10E9"/>
    <w:rsid w:val="00CE2910"/>
    <w:rsid w:val="00CE49D2"/>
    <w:rsid w:val="00CE4FFF"/>
    <w:rsid w:val="00CE5393"/>
    <w:rsid w:val="00CE53F2"/>
    <w:rsid w:val="00CE5819"/>
    <w:rsid w:val="00CE5B93"/>
    <w:rsid w:val="00CE5C5C"/>
    <w:rsid w:val="00CF08F8"/>
    <w:rsid w:val="00CF1ED1"/>
    <w:rsid w:val="00CF2B09"/>
    <w:rsid w:val="00CF36BE"/>
    <w:rsid w:val="00CF3A41"/>
    <w:rsid w:val="00CF3B06"/>
    <w:rsid w:val="00CF3C0D"/>
    <w:rsid w:val="00CF5C46"/>
    <w:rsid w:val="00CF5FB7"/>
    <w:rsid w:val="00CF6000"/>
    <w:rsid w:val="00CF71B8"/>
    <w:rsid w:val="00CF73E5"/>
    <w:rsid w:val="00D003F3"/>
    <w:rsid w:val="00D004AE"/>
    <w:rsid w:val="00D00A2F"/>
    <w:rsid w:val="00D01529"/>
    <w:rsid w:val="00D035FF"/>
    <w:rsid w:val="00D0364F"/>
    <w:rsid w:val="00D0370D"/>
    <w:rsid w:val="00D03C3B"/>
    <w:rsid w:val="00D04356"/>
    <w:rsid w:val="00D04449"/>
    <w:rsid w:val="00D06834"/>
    <w:rsid w:val="00D07114"/>
    <w:rsid w:val="00D072D7"/>
    <w:rsid w:val="00D074C9"/>
    <w:rsid w:val="00D10093"/>
    <w:rsid w:val="00D100DE"/>
    <w:rsid w:val="00D109F7"/>
    <w:rsid w:val="00D11A49"/>
    <w:rsid w:val="00D1271B"/>
    <w:rsid w:val="00D12D83"/>
    <w:rsid w:val="00D137D8"/>
    <w:rsid w:val="00D137DC"/>
    <w:rsid w:val="00D13EE2"/>
    <w:rsid w:val="00D14453"/>
    <w:rsid w:val="00D17433"/>
    <w:rsid w:val="00D17B15"/>
    <w:rsid w:val="00D20DDB"/>
    <w:rsid w:val="00D20F6E"/>
    <w:rsid w:val="00D20F7C"/>
    <w:rsid w:val="00D210CA"/>
    <w:rsid w:val="00D2151D"/>
    <w:rsid w:val="00D21F20"/>
    <w:rsid w:val="00D23D6F"/>
    <w:rsid w:val="00D23EE6"/>
    <w:rsid w:val="00D243CA"/>
    <w:rsid w:val="00D24E50"/>
    <w:rsid w:val="00D25622"/>
    <w:rsid w:val="00D25B6D"/>
    <w:rsid w:val="00D26411"/>
    <w:rsid w:val="00D26486"/>
    <w:rsid w:val="00D27D29"/>
    <w:rsid w:val="00D308ED"/>
    <w:rsid w:val="00D30CCF"/>
    <w:rsid w:val="00D31B07"/>
    <w:rsid w:val="00D31CDB"/>
    <w:rsid w:val="00D32956"/>
    <w:rsid w:val="00D36D86"/>
    <w:rsid w:val="00D3730F"/>
    <w:rsid w:val="00D379E7"/>
    <w:rsid w:val="00D412D8"/>
    <w:rsid w:val="00D41BD9"/>
    <w:rsid w:val="00D425DB"/>
    <w:rsid w:val="00D428AA"/>
    <w:rsid w:val="00D43C47"/>
    <w:rsid w:val="00D44B9F"/>
    <w:rsid w:val="00D45F63"/>
    <w:rsid w:val="00D46AA4"/>
    <w:rsid w:val="00D470BD"/>
    <w:rsid w:val="00D50101"/>
    <w:rsid w:val="00D50668"/>
    <w:rsid w:val="00D50A34"/>
    <w:rsid w:val="00D519B8"/>
    <w:rsid w:val="00D52A73"/>
    <w:rsid w:val="00D53EFA"/>
    <w:rsid w:val="00D5450D"/>
    <w:rsid w:val="00D55320"/>
    <w:rsid w:val="00D557FA"/>
    <w:rsid w:val="00D562AE"/>
    <w:rsid w:val="00D567A7"/>
    <w:rsid w:val="00D5680A"/>
    <w:rsid w:val="00D5699C"/>
    <w:rsid w:val="00D571C1"/>
    <w:rsid w:val="00D57A6A"/>
    <w:rsid w:val="00D57CD2"/>
    <w:rsid w:val="00D604F4"/>
    <w:rsid w:val="00D61861"/>
    <w:rsid w:val="00D61CCE"/>
    <w:rsid w:val="00D6347D"/>
    <w:rsid w:val="00D63836"/>
    <w:rsid w:val="00D64255"/>
    <w:rsid w:val="00D6461F"/>
    <w:rsid w:val="00D66DC4"/>
    <w:rsid w:val="00D70A0E"/>
    <w:rsid w:val="00D710D4"/>
    <w:rsid w:val="00D715AD"/>
    <w:rsid w:val="00D72630"/>
    <w:rsid w:val="00D732F4"/>
    <w:rsid w:val="00D736DE"/>
    <w:rsid w:val="00D76006"/>
    <w:rsid w:val="00D76E23"/>
    <w:rsid w:val="00D825E0"/>
    <w:rsid w:val="00D84FB3"/>
    <w:rsid w:val="00D8781F"/>
    <w:rsid w:val="00D87CDB"/>
    <w:rsid w:val="00D87E27"/>
    <w:rsid w:val="00D90E4B"/>
    <w:rsid w:val="00D9193E"/>
    <w:rsid w:val="00D927B0"/>
    <w:rsid w:val="00D92838"/>
    <w:rsid w:val="00D94A7C"/>
    <w:rsid w:val="00D95896"/>
    <w:rsid w:val="00D95AA6"/>
    <w:rsid w:val="00D95EA7"/>
    <w:rsid w:val="00D96223"/>
    <w:rsid w:val="00D96492"/>
    <w:rsid w:val="00DA065E"/>
    <w:rsid w:val="00DA399F"/>
    <w:rsid w:val="00DA74AD"/>
    <w:rsid w:val="00DA7BD0"/>
    <w:rsid w:val="00DB0C93"/>
    <w:rsid w:val="00DB1A11"/>
    <w:rsid w:val="00DB1BA8"/>
    <w:rsid w:val="00DB1BB4"/>
    <w:rsid w:val="00DB2120"/>
    <w:rsid w:val="00DB2983"/>
    <w:rsid w:val="00DB39A3"/>
    <w:rsid w:val="00DB3E49"/>
    <w:rsid w:val="00DB4193"/>
    <w:rsid w:val="00DB678D"/>
    <w:rsid w:val="00DB763A"/>
    <w:rsid w:val="00DC1257"/>
    <w:rsid w:val="00DC1650"/>
    <w:rsid w:val="00DC3DC0"/>
    <w:rsid w:val="00DC40C8"/>
    <w:rsid w:val="00DC4FAA"/>
    <w:rsid w:val="00DC5692"/>
    <w:rsid w:val="00DC5B2B"/>
    <w:rsid w:val="00DC67C2"/>
    <w:rsid w:val="00DC6B29"/>
    <w:rsid w:val="00DC77D9"/>
    <w:rsid w:val="00DD0CEB"/>
    <w:rsid w:val="00DD19AF"/>
    <w:rsid w:val="00DD318D"/>
    <w:rsid w:val="00DD4345"/>
    <w:rsid w:val="00DD5C10"/>
    <w:rsid w:val="00DD6644"/>
    <w:rsid w:val="00DD6BBE"/>
    <w:rsid w:val="00DD740E"/>
    <w:rsid w:val="00DD74B7"/>
    <w:rsid w:val="00DE031D"/>
    <w:rsid w:val="00DE198B"/>
    <w:rsid w:val="00DE2409"/>
    <w:rsid w:val="00DE3F94"/>
    <w:rsid w:val="00DE42B0"/>
    <w:rsid w:val="00DE6D11"/>
    <w:rsid w:val="00DE7C7D"/>
    <w:rsid w:val="00DF0A43"/>
    <w:rsid w:val="00DF17F6"/>
    <w:rsid w:val="00DF2E12"/>
    <w:rsid w:val="00DF3296"/>
    <w:rsid w:val="00DF3D41"/>
    <w:rsid w:val="00DF3EFD"/>
    <w:rsid w:val="00DF3F3A"/>
    <w:rsid w:val="00DF514A"/>
    <w:rsid w:val="00DF549C"/>
    <w:rsid w:val="00DF5A7C"/>
    <w:rsid w:val="00DF6690"/>
    <w:rsid w:val="00DF67BA"/>
    <w:rsid w:val="00DF6804"/>
    <w:rsid w:val="00DF6D35"/>
    <w:rsid w:val="00DF6E2D"/>
    <w:rsid w:val="00DF7E93"/>
    <w:rsid w:val="00E010B0"/>
    <w:rsid w:val="00E01F9D"/>
    <w:rsid w:val="00E02268"/>
    <w:rsid w:val="00E0249E"/>
    <w:rsid w:val="00E029DA"/>
    <w:rsid w:val="00E03024"/>
    <w:rsid w:val="00E0358D"/>
    <w:rsid w:val="00E0380F"/>
    <w:rsid w:val="00E04323"/>
    <w:rsid w:val="00E06601"/>
    <w:rsid w:val="00E070A2"/>
    <w:rsid w:val="00E10049"/>
    <w:rsid w:val="00E13001"/>
    <w:rsid w:val="00E14E48"/>
    <w:rsid w:val="00E155FA"/>
    <w:rsid w:val="00E16A15"/>
    <w:rsid w:val="00E174AF"/>
    <w:rsid w:val="00E17A84"/>
    <w:rsid w:val="00E20159"/>
    <w:rsid w:val="00E248B0"/>
    <w:rsid w:val="00E24D67"/>
    <w:rsid w:val="00E2656A"/>
    <w:rsid w:val="00E26794"/>
    <w:rsid w:val="00E30611"/>
    <w:rsid w:val="00E3074B"/>
    <w:rsid w:val="00E32A5D"/>
    <w:rsid w:val="00E32E89"/>
    <w:rsid w:val="00E342C8"/>
    <w:rsid w:val="00E34EA5"/>
    <w:rsid w:val="00E3594D"/>
    <w:rsid w:val="00E3793F"/>
    <w:rsid w:val="00E40E90"/>
    <w:rsid w:val="00E412D0"/>
    <w:rsid w:val="00E41350"/>
    <w:rsid w:val="00E41E5D"/>
    <w:rsid w:val="00E4211B"/>
    <w:rsid w:val="00E42590"/>
    <w:rsid w:val="00E439F7"/>
    <w:rsid w:val="00E4447C"/>
    <w:rsid w:val="00E446DF"/>
    <w:rsid w:val="00E46ADA"/>
    <w:rsid w:val="00E520B2"/>
    <w:rsid w:val="00E54092"/>
    <w:rsid w:val="00E542AB"/>
    <w:rsid w:val="00E54705"/>
    <w:rsid w:val="00E54C45"/>
    <w:rsid w:val="00E55FD1"/>
    <w:rsid w:val="00E56322"/>
    <w:rsid w:val="00E60982"/>
    <w:rsid w:val="00E611FB"/>
    <w:rsid w:val="00E61280"/>
    <w:rsid w:val="00E6287C"/>
    <w:rsid w:val="00E62B09"/>
    <w:rsid w:val="00E62C62"/>
    <w:rsid w:val="00E6388E"/>
    <w:rsid w:val="00E63D41"/>
    <w:rsid w:val="00E64305"/>
    <w:rsid w:val="00E64AE0"/>
    <w:rsid w:val="00E654C1"/>
    <w:rsid w:val="00E65D97"/>
    <w:rsid w:val="00E65EA3"/>
    <w:rsid w:val="00E676E0"/>
    <w:rsid w:val="00E70FCA"/>
    <w:rsid w:val="00E713BA"/>
    <w:rsid w:val="00E72A5A"/>
    <w:rsid w:val="00E72B28"/>
    <w:rsid w:val="00E72D90"/>
    <w:rsid w:val="00E73354"/>
    <w:rsid w:val="00E7335C"/>
    <w:rsid w:val="00E73A54"/>
    <w:rsid w:val="00E75B49"/>
    <w:rsid w:val="00E763E0"/>
    <w:rsid w:val="00E80B2A"/>
    <w:rsid w:val="00E80F89"/>
    <w:rsid w:val="00E8175B"/>
    <w:rsid w:val="00E81C08"/>
    <w:rsid w:val="00E82ADC"/>
    <w:rsid w:val="00E83ACA"/>
    <w:rsid w:val="00E847BD"/>
    <w:rsid w:val="00E85727"/>
    <w:rsid w:val="00E858D9"/>
    <w:rsid w:val="00E87027"/>
    <w:rsid w:val="00E876E0"/>
    <w:rsid w:val="00E90188"/>
    <w:rsid w:val="00E91CB7"/>
    <w:rsid w:val="00E9242D"/>
    <w:rsid w:val="00E93948"/>
    <w:rsid w:val="00E93BE8"/>
    <w:rsid w:val="00E95428"/>
    <w:rsid w:val="00E95430"/>
    <w:rsid w:val="00E96D00"/>
    <w:rsid w:val="00EA051A"/>
    <w:rsid w:val="00EA096D"/>
    <w:rsid w:val="00EA0D08"/>
    <w:rsid w:val="00EA2BC9"/>
    <w:rsid w:val="00EA338A"/>
    <w:rsid w:val="00EA3B74"/>
    <w:rsid w:val="00EA3BF5"/>
    <w:rsid w:val="00EA460D"/>
    <w:rsid w:val="00EA5872"/>
    <w:rsid w:val="00EA6357"/>
    <w:rsid w:val="00EA799D"/>
    <w:rsid w:val="00EB05A5"/>
    <w:rsid w:val="00EB0EFF"/>
    <w:rsid w:val="00EB20CD"/>
    <w:rsid w:val="00EB349F"/>
    <w:rsid w:val="00EB5255"/>
    <w:rsid w:val="00EB54BB"/>
    <w:rsid w:val="00EB5517"/>
    <w:rsid w:val="00EB5C47"/>
    <w:rsid w:val="00EB6058"/>
    <w:rsid w:val="00EB68FF"/>
    <w:rsid w:val="00EC10A7"/>
    <w:rsid w:val="00EC16C3"/>
    <w:rsid w:val="00EC1832"/>
    <w:rsid w:val="00EC4692"/>
    <w:rsid w:val="00EC613C"/>
    <w:rsid w:val="00EC66A2"/>
    <w:rsid w:val="00EC6931"/>
    <w:rsid w:val="00ED0114"/>
    <w:rsid w:val="00ED0639"/>
    <w:rsid w:val="00ED7877"/>
    <w:rsid w:val="00EE0477"/>
    <w:rsid w:val="00EE17AF"/>
    <w:rsid w:val="00EE22F1"/>
    <w:rsid w:val="00EE2FF6"/>
    <w:rsid w:val="00EE3FA4"/>
    <w:rsid w:val="00EE435B"/>
    <w:rsid w:val="00EF0A12"/>
    <w:rsid w:val="00EF240F"/>
    <w:rsid w:val="00EF4540"/>
    <w:rsid w:val="00EF4755"/>
    <w:rsid w:val="00EF5539"/>
    <w:rsid w:val="00EF5AFA"/>
    <w:rsid w:val="00EF5B1A"/>
    <w:rsid w:val="00EF5CAF"/>
    <w:rsid w:val="00EF7135"/>
    <w:rsid w:val="00F005B5"/>
    <w:rsid w:val="00F00E85"/>
    <w:rsid w:val="00F0252B"/>
    <w:rsid w:val="00F027DB"/>
    <w:rsid w:val="00F02DB8"/>
    <w:rsid w:val="00F05B89"/>
    <w:rsid w:val="00F06A61"/>
    <w:rsid w:val="00F06CB6"/>
    <w:rsid w:val="00F07769"/>
    <w:rsid w:val="00F10954"/>
    <w:rsid w:val="00F10BA1"/>
    <w:rsid w:val="00F11904"/>
    <w:rsid w:val="00F1215C"/>
    <w:rsid w:val="00F14A7A"/>
    <w:rsid w:val="00F160CB"/>
    <w:rsid w:val="00F164A9"/>
    <w:rsid w:val="00F1684B"/>
    <w:rsid w:val="00F16AF5"/>
    <w:rsid w:val="00F203B4"/>
    <w:rsid w:val="00F21A52"/>
    <w:rsid w:val="00F2226E"/>
    <w:rsid w:val="00F22985"/>
    <w:rsid w:val="00F22ABE"/>
    <w:rsid w:val="00F22DF1"/>
    <w:rsid w:val="00F239F3"/>
    <w:rsid w:val="00F23BBF"/>
    <w:rsid w:val="00F24A48"/>
    <w:rsid w:val="00F259DE"/>
    <w:rsid w:val="00F25B50"/>
    <w:rsid w:val="00F3112F"/>
    <w:rsid w:val="00F3115E"/>
    <w:rsid w:val="00F321D1"/>
    <w:rsid w:val="00F32CCF"/>
    <w:rsid w:val="00F3368D"/>
    <w:rsid w:val="00F3383E"/>
    <w:rsid w:val="00F342DE"/>
    <w:rsid w:val="00F34F47"/>
    <w:rsid w:val="00F354E5"/>
    <w:rsid w:val="00F3788C"/>
    <w:rsid w:val="00F40A79"/>
    <w:rsid w:val="00F41606"/>
    <w:rsid w:val="00F421EE"/>
    <w:rsid w:val="00F42361"/>
    <w:rsid w:val="00F440C1"/>
    <w:rsid w:val="00F465A7"/>
    <w:rsid w:val="00F46E9B"/>
    <w:rsid w:val="00F5094B"/>
    <w:rsid w:val="00F50B7C"/>
    <w:rsid w:val="00F5133B"/>
    <w:rsid w:val="00F515D9"/>
    <w:rsid w:val="00F51D12"/>
    <w:rsid w:val="00F52363"/>
    <w:rsid w:val="00F52D8E"/>
    <w:rsid w:val="00F550E6"/>
    <w:rsid w:val="00F60567"/>
    <w:rsid w:val="00F61463"/>
    <w:rsid w:val="00F61768"/>
    <w:rsid w:val="00F62202"/>
    <w:rsid w:val="00F62328"/>
    <w:rsid w:val="00F62DAF"/>
    <w:rsid w:val="00F63374"/>
    <w:rsid w:val="00F652E6"/>
    <w:rsid w:val="00F659E6"/>
    <w:rsid w:val="00F66FB7"/>
    <w:rsid w:val="00F6725A"/>
    <w:rsid w:val="00F6725B"/>
    <w:rsid w:val="00F673B9"/>
    <w:rsid w:val="00F705D6"/>
    <w:rsid w:val="00F716A8"/>
    <w:rsid w:val="00F72CA5"/>
    <w:rsid w:val="00F73DB8"/>
    <w:rsid w:val="00F74345"/>
    <w:rsid w:val="00F74646"/>
    <w:rsid w:val="00F74C7A"/>
    <w:rsid w:val="00F7667A"/>
    <w:rsid w:val="00F76FEE"/>
    <w:rsid w:val="00F779F2"/>
    <w:rsid w:val="00F80A0A"/>
    <w:rsid w:val="00F816AA"/>
    <w:rsid w:val="00F82B19"/>
    <w:rsid w:val="00F835C5"/>
    <w:rsid w:val="00F83623"/>
    <w:rsid w:val="00F838A0"/>
    <w:rsid w:val="00F849E5"/>
    <w:rsid w:val="00F84BCE"/>
    <w:rsid w:val="00F863A6"/>
    <w:rsid w:val="00F8709F"/>
    <w:rsid w:val="00F87322"/>
    <w:rsid w:val="00F91695"/>
    <w:rsid w:val="00F91AD4"/>
    <w:rsid w:val="00F9212D"/>
    <w:rsid w:val="00F92860"/>
    <w:rsid w:val="00F93CC3"/>
    <w:rsid w:val="00F9484E"/>
    <w:rsid w:val="00F94873"/>
    <w:rsid w:val="00F9606A"/>
    <w:rsid w:val="00F96244"/>
    <w:rsid w:val="00F965B5"/>
    <w:rsid w:val="00F965DA"/>
    <w:rsid w:val="00F96AFD"/>
    <w:rsid w:val="00F977D7"/>
    <w:rsid w:val="00FA1F1E"/>
    <w:rsid w:val="00FA24C7"/>
    <w:rsid w:val="00FA35CB"/>
    <w:rsid w:val="00FA36ED"/>
    <w:rsid w:val="00FA406A"/>
    <w:rsid w:val="00FA796C"/>
    <w:rsid w:val="00FA7C28"/>
    <w:rsid w:val="00FB0092"/>
    <w:rsid w:val="00FB293F"/>
    <w:rsid w:val="00FB32F0"/>
    <w:rsid w:val="00FB503A"/>
    <w:rsid w:val="00FB516C"/>
    <w:rsid w:val="00FB60A7"/>
    <w:rsid w:val="00FB6586"/>
    <w:rsid w:val="00FB683B"/>
    <w:rsid w:val="00FB6D68"/>
    <w:rsid w:val="00FB6F42"/>
    <w:rsid w:val="00FB7425"/>
    <w:rsid w:val="00FC1B0B"/>
    <w:rsid w:val="00FC2605"/>
    <w:rsid w:val="00FC28BA"/>
    <w:rsid w:val="00FC30BA"/>
    <w:rsid w:val="00FC444D"/>
    <w:rsid w:val="00FC4491"/>
    <w:rsid w:val="00FC480D"/>
    <w:rsid w:val="00FC5B55"/>
    <w:rsid w:val="00FC73ED"/>
    <w:rsid w:val="00FC7D1A"/>
    <w:rsid w:val="00FC7E22"/>
    <w:rsid w:val="00FD0236"/>
    <w:rsid w:val="00FD02D2"/>
    <w:rsid w:val="00FD0BF9"/>
    <w:rsid w:val="00FD18F4"/>
    <w:rsid w:val="00FD1F4A"/>
    <w:rsid w:val="00FD2F17"/>
    <w:rsid w:val="00FD3046"/>
    <w:rsid w:val="00FD4302"/>
    <w:rsid w:val="00FD4ADD"/>
    <w:rsid w:val="00FD54DB"/>
    <w:rsid w:val="00FD619F"/>
    <w:rsid w:val="00FD6C2B"/>
    <w:rsid w:val="00FE17CA"/>
    <w:rsid w:val="00FE17FB"/>
    <w:rsid w:val="00FE2CA8"/>
    <w:rsid w:val="00FE3791"/>
    <w:rsid w:val="00FE4072"/>
    <w:rsid w:val="00FE42FE"/>
    <w:rsid w:val="00FE4639"/>
    <w:rsid w:val="00FE5E74"/>
    <w:rsid w:val="00FE6DBB"/>
    <w:rsid w:val="00FE6EB5"/>
    <w:rsid w:val="00FF0844"/>
    <w:rsid w:val="00FF2326"/>
    <w:rsid w:val="00FF2CB6"/>
    <w:rsid w:val="00FF4202"/>
    <w:rsid w:val="00FF68FA"/>
    <w:rsid w:val="00FF74AC"/>
    <w:rsid w:val="01290F7E"/>
    <w:rsid w:val="015D1E09"/>
    <w:rsid w:val="023B4AFF"/>
    <w:rsid w:val="02697903"/>
    <w:rsid w:val="02F96569"/>
    <w:rsid w:val="03EA7B21"/>
    <w:rsid w:val="04BC24CC"/>
    <w:rsid w:val="05F83EAE"/>
    <w:rsid w:val="062E0FB2"/>
    <w:rsid w:val="063E7D85"/>
    <w:rsid w:val="06744454"/>
    <w:rsid w:val="07282B7B"/>
    <w:rsid w:val="07293586"/>
    <w:rsid w:val="07295285"/>
    <w:rsid w:val="07636392"/>
    <w:rsid w:val="07770C56"/>
    <w:rsid w:val="0834209B"/>
    <w:rsid w:val="087D0B66"/>
    <w:rsid w:val="092217DD"/>
    <w:rsid w:val="093A7294"/>
    <w:rsid w:val="09D40BCF"/>
    <w:rsid w:val="0A263993"/>
    <w:rsid w:val="0A2D3AC2"/>
    <w:rsid w:val="0A7520E4"/>
    <w:rsid w:val="0AA755DF"/>
    <w:rsid w:val="0B120D44"/>
    <w:rsid w:val="0BC655A9"/>
    <w:rsid w:val="0BD07B44"/>
    <w:rsid w:val="0BD27BF6"/>
    <w:rsid w:val="0BDE38AB"/>
    <w:rsid w:val="0C120997"/>
    <w:rsid w:val="0C3B3C7D"/>
    <w:rsid w:val="0CAB2EAE"/>
    <w:rsid w:val="0CDF70A8"/>
    <w:rsid w:val="0D621C7D"/>
    <w:rsid w:val="0E1E1875"/>
    <w:rsid w:val="0E73034D"/>
    <w:rsid w:val="0F13775A"/>
    <w:rsid w:val="0F550F20"/>
    <w:rsid w:val="0F5F45FE"/>
    <w:rsid w:val="0F9A112B"/>
    <w:rsid w:val="10665CA4"/>
    <w:rsid w:val="106D2F64"/>
    <w:rsid w:val="10B63710"/>
    <w:rsid w:val="10F10820"/>
    <w:rsid w:val="111C2F7A"/>
    <w:rsid w:val="11665CA1"/>
    <w:rsid w:val="120B27DF"/>
    <w:rsid w:val="12FD69C3"/>
    <w:rsid w:val="13951726"/>
    <w:rsid w:val="13A445CA"/>
    <w:rsid w:val="14396509"/>
    <w:rsid w:val="14515DD5"/>
    <w:rsid w:val="14DD2C3C"/>
    <w:rsid w:val="15367CC0"/>
    <w:rsid w:val="15512BE2"/>
    <w:rsid w:val="155E2E9F"/>
    <w:rsid w:val="16087E1D"/>
    <w:rsid w:val="17701D14"/>
    <w:rsid w:val="17735226"/>
    <w:rsid w:val="17DC344A"/>
    <w:rsid w:val="18256832"/>
    <w:rsid w:val="189F624C"/>
    <w:rsid w:val="18AB09CC"/>
    <w:rsid w:val="1A1C66C0"/>
    <w:rsid w:val="1A42393B"/>
    <w:rsid w:val="1AAD45DE"/>
    <w:rsid w:val="1B046F80"/>
    <w:rsid w:val="1B3267B5"/>
    <w:rsid w:val="1B40161D"/>
    <w:rsid w:val="1B441859"/>
    <w:rsid w:val="1B6606B1"/>
    <w:rsid w:val="1C5E7925"/>
    <w:rsid w:val="1CFD070F"/>
    <w:rsid w:val="1D5C3908"/>
    <w:rsid w:val="1D5F6196"/>
    <w:rsid w:val="1D6132A5"/>
    <w:rsid w:val="1D8E56D5"/>
    <w:rsid w:val="1E7A43DA"/>
    <w:rsid w:val="1F6966C8"/>
    <w:rsid w:val="1FE7539E"/>
    <w:rsid w:val="1FF97A4C"/>
    <w:rsid w:val="20671BE0"/>
    <w:rsid w:val="20963CB8"/>
    <w:rsid w:val="20A81A1B"/>
    <w:rsid w:val="20B07FB6"/>
    <w:rsid w:val="20B646FB"/>
    <w:rsid w:val="20D3178A"/>
    <w:rsid w:val="213B74B1"/>
    <w:rsid w:val="215A2310"/>
    <w:rsid w:val="2179467D"/>
    <w:rsid w:val="21DE318A"/>
    <w:rsid w:val="21EF5B80"/>
    <w:rsid w:val="22576990"/>
    <w:rsid w:val="229B274C"/>
    <w:rsid w:val="22F47480"/>
    <w:rsid w:val="233B1369"/>
    <w:rsid w:val="23452FA8"/>
    <w:rsid w:val="23C23F61"/>
    <w:rsid w:val="23DE1C48"/>
    <w:rsid w:val="240210CD"/>
    <w:rsid w:val="24BF09F7"/>
    <w:rsid w:val="24CE6604"/>
    <w:rsid w:val="252D53FE"/>
    <w:rsid w:val="257C55A6"/>
    <w:rsid w:val="25EC2D81"/>
    <w:rsid w:val="277057A2"/>
    <w:rsid w:val="29121B7F"/>
    <w:rsid w:val="29206EB8"/>
    <w:rsid w:val="29595666"/>
    <w:rsid w:val="29874881"/>
    <w:rsid w:val="29E325E0"/>
    <w:rsid w:val="29FA7E27"/>
    <w:rsid w:val="2A452503"/>
    <w:rsid w:val="2ABB23D2"/>
    <w:rsid w:val="2B616987"/>
    <w:rsid w:val="2BA936A8"/>
    <w:rsid w:val="2C315A5A"/>
    <w:rsid w:val="2C4B1C25"/>
    <w:rsid w:val="2D9E56F5"/>
    <w:rsid w:val="2E667F96"/>
    <w:rsid w:val="2E8226AB"/>
    <w:rsid w:val="2F3F2D87"/>
    <w:rsid w:val="2FCE55B2"/>
    <w:rsid w:val="2FD065E6"/>
    <w:rsid w:val="2FD96870"/>
    <w:rsid w:val="303F0AAF"/>
    <w:rsid w:val="30505489"/>
    <w:rsid w:val="30580BC9"/>
    <w:rsid w:val="311E2ED7"/>
    <w:rsid w:val="3148438F"/>
    <w:rsid w:val="315619EE"/>
    <w:rsid w:val="315C449C"/>
    <w:rsid w:val="31B82709"/>
    <w:rsid w:val="31D05482"/>
    <w:rsid w:val="32400B34"/>
    <w:rsid w:val="329E6876"/>
    <w:rsid w:val="333015F2"/>
    <w:rsid w:val="334B6320"/>
    <w:rsid w:val="33B224A7"/>
    <w:rsid w:val="33D934D4"/>
    <w:rsid w:val="33FE2F6A"/>
    <w:rsid w:val="340E07E5"/>
    <w:rsid w:val="34235BF7"/>
    <w:rsid w:val="34FD36E3"/>
    <w:rsid w:val="358160C2"/>
    <w:rsid w:val="358C5FA8"/>
    <w:rsid w:val="35C15DF1"/>
    <w:rsid w:val="36074A7F"/>
    <w:rsid w:val="36923549"/>
    <w:rsid w:val="36B75FBF"/>
    <w:rsid w:val="36BD0C45"/>
    <w:rsid w:val="373A1067"/>
    <w:rsid w:val="37CD57DD"/>
    <w:rsid w:val="37E00298"/>
    <w:rsid w:val="38B302F9"/>
    <w:rsid w:val="38F12CD3"/>
    <w:rsid w:val="38F94775"/>
    <w:rsid w:val="392971ED"/>
    <w:rsid w:val="39325651"/>
    <w:rsid w:val="39CC2DEE"/>
    <w:rsid w:val="3A0C182C"/>
    <w:rsid w:val="3A2079D9"/>
    <w:rsid w:val="3A872856"/>
    <w:rsid w:val="3B3763D1"/>
    <w:rsid w:val="3C2F6E1E"/>
    <w:rsid w:val="3C4F64BA"/>
    <w:rsid w:val="3C961A2D"/>
    <w:rsid w:val="3CDA245A"/>
    <w:rsid w:val="3CFA72E6"/>
    <w:rsid w:val="3D1E06B7"/>
    <w:rsid w:val="3D411BF2"/>
    <w:rsid w:val="3E111FAD"/>
    <w:rsid w:val="3E1D640E"/>
    <w:rsid w:val="3EDA0523"/>
    <w:rsid w:val="3FFA1C1E"/>
    <w:rsid w:val="402204A1"/>
    <w:rsid w:val="402A48EF"/>
    <w:rsid w:val="407A6407"/>
    <w:rsid w:val="413C416B"/>
    <w:rsid w:val="41B9630E"/>
    <w:rsid w:val="4200449D"/>
    <w:rsid w:val="423A3BCC"/>
    <w:rsid w:val="424E57D2"/>
    <w:rsid w:val="42B26C49"/>
    <w:rsid w:val="43136F0A"/>
    <w:rsid w:val="432C52D2"/>
    <w:rsid w:val="432E02EA"/>
    <w:rsid w:val="433A6FE6"/>
    <w:rsid w:val="43480868"/>
    <w:rsid w:val="4350713C"/>
    <w:rsid w:val="436653E0"/>
    <w:rsid w:val="43C4431A"/>
    <w:rsid w:val="44B951CC"/>
    <w:rsid w:val="44CD14E0"/>
    <w:rsid w:val="44F20B0B"/>
    <w:rsid w:val="452E5F4C"/>
    <w:rsid w:val="45612018"/>
    <w:rsid w:val="458946E9"/>
    <w:rsid w:val="45A47C0E"/>
    <w:rsid w:val="46577FD6"/>
    <w:rsid w:val="467C0CDE"/>
    <w:rsid w:val="46D955A7"/>
    <w:rsid w:val="47133957"/>
    <w:rsid w:val="47A07E0C"/>
    <w:rsid w:val="48037054"/>
    <w:rsid w:val="48505428"/>
    <w:rsid w:val="4870272E"/>
    <w:rsid w:val="488751C2"/>
    <w:rsid w:val="48A85B70"/>
    <w:rsid w:val="48DC5A14"/>
    <w:rsid w:val="49DC7715"/>
    <w:rsid w:val="4A023139"/>
    <w:rsid w:val="4A381BB7"/>
    <w:rsid w:val="4A7B576F"/>
    <w:rsid w:val="4AF561A9"/>
    <w:rsid w:val="4BA11BF3"/>
    <w:rsid w:val="4C4A0649"/>
    <w:rsid w:val="4C7E5ECA"/>
    <w:rsid w:val="4C876AA5"/>
    <w:rsid w:val="4D0E00FB"/>
    <w:rsid w:val="4D176606"/>
    <w:rsid w:val="4DEC4FB0"/>
    <w:rsid w:val="4E075D8A"/>
    <w:rsid w:val="4E4168DE"/>
    <w:rsid w:val="4EC00FAD"/>
    <w:rsid w:val="4F9843DC"/>
    <w:rsid w:val="4FC62A8C"/>
    <w:rsid w:val="4FE20F0D"/>
    <w:rsid w:val="4FE51552"/>
    <w:rsid w:val="50504C4B"/>
    <w:rsid w:val="509C6E7C"/>
    <w:rsid w:val="5162104E"/>
    <w:rsid w:val="518E173B"/>
    <w:rsid w:val="52136EB4"/>
    <w:rsid w:val="52427A4F"/>
    <w:rsid w:val="53A039CC"/>
    <w:rsid w:val="53A1505A"/>
    <w:rsid w:val="54063E08"/>
    <w:rsid w:val="543437E8"/>
    <w:rsid w:val="54F73313"/>
    <w:rsid w:val="54F80955"/>
    <w:rsid w:val="555170A7"/>
    <w:rsid w:val="557C71DD"/>
    <w:rsid w:val="5587536D"/>
    <w:rsid w:val="559B174B"/>
    <w:rsid w:val="55CE0CF4"/>
    <w:rsid w:val="56B22A9C"/>
    <w:rsid w:val="56C10ACE"/>
    <w:rsid w:val="5723129F"/>
    <w:rsid w:val="57713D91"/>
    <w:rsid w:val="57B72A76"/>
    <w:rsid w:val="57C3426C"/>
    <w:rsid w:val="57CE1F93"/>
    <w:rsid w:val="588743D1"/>
    <w:rsid w:val="5887701A"/>
    <w:rsid w:val="590A55E8"/>
    <w:rsid w:val="59612280"/>
    <w:rsid w:val="59C0439F"/>
    <w:rsid w:val="59D76A9E"/>
    <w:rsid w:val="5ABE2233"/>
    <w:rsid w:val="5BBD57F6"/>
    <w:rsid w:val="5BDF5D95"/>
    <w:rsid w:val="5BFE7528"/>
    <w:rsid w:val="5CA72002"/>
    <w:rsid w:val="5D5A04E9"/>
    <w:rsid w:val="5DFE18E9"/>
    <w:rsid w:val="5E2467F1"/>
    <w:rsid w:val="5F1A2B43"/>
    <w:rsid w:val="5FB837BB"/>
    <w:rsid w:val="60CC405A"/>
    <w:rsid w:val="61E215D8"/>
    <w:rsid w:val="621B3775"/>
    <w:rsid w:val="62364782"/>
    <w:rsid w:val="627C183B"/>
    <w:rsid w:val="6394356A"/>
    <w:rsid w:val="63C61B2C"/>
    <w:rsid w:val="63D40BE9"/>
    <w:rsid w:val="64102431"/>
    <w:rsid w:val="64A5243A"/>
    <w:rsid w:val="64B422A8"/>
    <w:rsid w:val="64F531DE"/>
    <w:rsid w:val="65373578"/>
    <w:rsid w:val="65A215B9"/>
    <w:rsid w:val="65E87046"/>
    <w:rsid w:val="671F124A"/>
    <w:rsid w:val="677A33C6"/>
    <w:rsid w:val="67EB2B83"/>
    <w:rsid w:val="681F6961"/>
    <w:rsid w:val="68610A2F"/>
    <w:rsid w:val="68805514"/>
    <w:rsid w:val="68E34597"/>
    <w:rsid w:val="690346F7"/>
    <w:rsid w:val="69122411"/>
    <w:rsid w:val="69316E2F"/>
    <w:rsid w:val="694E2071"/>
    <w:rsid w:val="69766163"/>
    <w:rsid w:val="697A3B33"/>
    <w:rsid w:val="6990017A"/>
    <w:rsid w:val="69D44760"/>
    <w:rsid w:val="6A520EC7"/>
    <w:rsid w:val="6A9455F7"/>
    <w:rsid w:val="6AF87E20"/>
    <w:rsid w:val="6B322639"/>
    <w:rsid w:val="6BF40694"/>
    <w:rsid w:val="6C636C38"/>
    <w:rsid w:val="6DB34098"/>
    <w:rsid w:val="6DB545B6"/>
    <w:rsid w:val="6DE02FB4"/>
    <w:rsid w:val="6E1363C7"/>
    <w:rsid w:val="6E4522FE"/>
    <w:rsid w:val="6E514CED"/>
    <w:rsid w:val="6EA61D86"/>
    <w:rsid w:val="6EB563D5"/>
    <w:rsid w:val="6ED92677"/>
    <w:rsid w:val="6F225983"/>
    <w:rsid w:val="6F55769C"/>
    <w:rsid w:val="6FFC5590"/>
    <w:rsid w:val="706D1DD0"/>
    <w:rsid w:val="7076605F"/>
    <w:rsid w:val="70856B87"/>
    <w:rsid w:val="70D527EE"/>
    <w:rsid w:val="715B5300"/>
    <w:rsid w:val="718364A0"/>
    <w:rsid w:val="71D27F8A"/>
    <w:rsid w:val="72553024"/>
    <w:rsid w:val="73122968"/>
    <w:rsid w:val="731F5D5E"/>
    <w:rsid w:val="735C5427"/>
    <w:rsid w:val="73C51AD5"/>
    <w:rsid w:val="741E793C"/>
    <w:rsid w:val="745E3944"/>
    <w:rsid w:val="75751D19"/>
    <w:rsid w:val="760F2C0F"/>
    <w:rsid w:val="7635099D"/>
    <w:rsid w:val="76B61F15"/>
    <w:rsid w:val="77762421"/>
    <w:rsid w:val="779A6FB7"/>
    <w:rsid w:val="77B56B1F"/>
    <w:rsid w:val="780F09F4"/>
    <w:rsid w:val="78A039B3"/>
    <w:rsid w:val="78A90480"/>
    <w:rsid w:val="79CA7E41"/>
    <w:rsid w:val="7A364017"/>
    <w:rsid w:val="7A8265E1"/>
    <w:rsid w:val="7B686D42"/>
    <w:rsid w:val="7B841746"/>
    <w:rsid w:val="7BB5368C"/>
    <w:rsid w:val="7C6C5AC7"/>
    <w:rsid w:val="7CC6544B"/>
    <w:rsid w:val="7D0239FF"/>
    <w:rsid w:val="7D5E40CD"/>
    <w:rsid w:val="7DCD56F2"/>
    <w:rsid w:val="7E054432"/>
    <w:rsid w:val="7E5751DF"/>
    <w:rsid w:val="7F001CE7"/>
    <w:rsid w:val="7F563008"/>
    <w:rsid w:val="7F972EB3"/>
    <w:rsid w:val="7FD92C52"/>
    <w:rsid w:val="7FE47E50"/>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EmbedSmartTag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99"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99"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unhideWhenUsed="0" w:uiPriority="0" w:semiHidden="0" w:name="Block Text" w:locked="1"/>
    <w:lsdException w:qFormat="1" w:uiPriority="99"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iPriority="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link w:val="44"/>
    <w:semiHidden/>
    <w:unhideWhenUsed/>
    <w:qFormat/>
    <w:locked/>
    <w:uiPriority w:val="0"/>
    <w:pPr>
      <w:keepNext/>
      <w:keepLines/>
      <w:spacing w:before="260" w:after="260" w:line="416" w:lineRule="auto"/>
      <w:outlineLvl w:val="1"/>
    </w:pPr>
    <w:rPr>
      <w:rFonts w:ascii="等线 Light" w:hAnsi="等线 Light" w:eastAsia="等线 Light"/>
      <w:b/>
      <w:bCs/>
      <w:sz w:val="32"/>
      <w:szCs w:val="32"/>
    </w:rPr>
  </w:style>
  <w:style w:type="paragraph" w:styleId="4">
    <w:name w:val="heading 3"/>
    <w:basedOn w:val="1"/>
    <w:next w:val="1"/>
    <w:link w:val="51"/>
    <w:semiHidden/>
    <w:unhideWhenUsed/>
    <w:qFormat/>
    <w:locked/>
    <w:uiPriority w:val="0"/>
    <w:pPr>
      <w:keepNext/>
      <w:keepLines/>
      <w:spacing w:before="260" w:after="260" w:line="416" w:lineRule="auto"/>
      <w:outlineLvl w:val="2"/>
    </w:pPr>
    <w:rPr>
      <w:b/>
      <w:bCs/>
      <w:sz w:val="32"/>
      <w:szCs w:val="32"/>
    </w:rPr>
  </w:style>
  <w:style w:type="paragraph" w:styleId="5">
    <w:name w:val="heading 5"/>
    <w:basedOn w:val="1"/>
    <w:next w:val="1"/>
    <w:link w:val="72"/>
    <w:semiHidden/>
    <w:unhideWhenUsed/>
    <w:qFormat/>
    <w:locked/>
    <w:uiPriority w:val="0"/>
    <w:pPr>
      <w:keepNext/>
      <w:keepLines/>
      <w:spacing w:before="280" w:after="290" w:line="376" w:lineRule="auto"/>
      <w:outlineLvl w:val="4"/>
    </w:pPr>
    <w:rPr>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locked/>
    <w:uiPriority w:val="0"/>
    <w:pPr>
      <w:ind w:firstLine="420"/>
      <w:jc w:val="left"/>
    </w:pPr>
    <w:rPr>
      <w:rFonts w:ascii="Calibri" w:hAnsi="Calibri"/>
      <w:kern w:val="0"/>
      <w:sz w:val="24"/>
      <w:szCs w:val="22"/>
      <w:lang w:eastAsia="en-US"/>
    </w:rPr>
  </w:style>
  <w:style w:type="paragraph" w:styleId="7">
    <w:name w:val="annotation text"/>
    <w:basedOn w:val="1"/>
    <w:link w:val="29"/>
    <w:qFormat/>
    <w:uiPriority w:val="99"/>
    <w:pPr>
      <w:jc w:val="left"/>
    </w:pPr>
    <w:rPr>
      <w:kern w:val="0"/>
      <w:sz w:val="24"/>
      <w:szCs w:val="20"/>
    </w:rPr>
  </w:style>
  <w:style w:type="paragraph" w:styleId="8">
    <w:name w:val="Body Text"/>
    <w:basedOn w:val="1"/>
    <w:link w:val="37"/>
    <w:qFormat/>
    <w:uiPriority w:val="1"/>
    <w:pPr>
      <w:widowControl/>
      <w:snapToGrid w:val="0"/>
      <w:spacing w:before="60" w:after="160" w:line="259" w:lineRule="auto"/>
      <w:ind w:right="113"/>
    </w:pPr>
    <w:rPr>
      <w:kern w:val="0"/>
      <w:sz w:val="18"/>
      <w:szCs w:val="20"/>
    </w:rPr>
  </w:style>
  <w:style w:type="paragraph" w:styleId="9">
    <w:name w:val="Body Text Indent"/>
    <w:basedOn w:val="1"/>
    <w:link w:val="38"/>
    <w:qFormat/>
    <w:uiPriority w:val="0"/>
    <w:pPr>
      <w:spacing w:after="120"/>
      <w:ind w:left="420" w:leftChars="200"/>
    </w:pPr>
    <w:rPr>
      <w:kern w:val="0"/>
      <w:sz w:val="24"/>
      <w:szCs w:val="20"/>
    </w:rPr>
  </w:style>
  <w:style w:type="paragraph" w:styleId="10">
    <w:name w:val="Plain Text"/>
    <w:basedOn w:val="1"/>
    <w:link w:val="54"/>
    <w:unhideWhenUsed/>
    <w:qFormat/>
    <w:locked/>
    <w:uiPriority w:val="0"/>
    <w:rPr>
      <w:rFonts w:ascii="宋体" w:hAnsi="Courier New"/>
      <w:sz w:val="20"/>
      <w:szCs w:val="20"/>
    </w:rPr>
  </w:style>
  <w:style w:type="paragraph" w:styleId="11">
    <w:name w:val="Date"/>
    <w:basedOn w:val="1"/>
    <w:next w:val="1"/>
    <w:link w:val="34"/>
    <w:qFormat/>
    <w:uiPriority w:val="0"/>
    <w:pPr>
      <w:ind w:left="100" w:leftChars="2500"/>
    </w:pPr>
    <w:rPr>
      <w:kern w:val="0"/>
      <w:sz w:val="24"/>
      <w:szCs w:val="20"/>
    </w:rPr>
  </w:style>
  <w:style w:type="paragraph" w:styleId="12">
    <w:name w:val="Body Text Indent 2"/>
    <w:basedOn w:val="1"/>
    <w:link w:val="49"/>
    <w:qFormat/>
    <w:locked/>
    <w:uiPriority w:val="0"/>
    <w:pPr>
      <w:spacing w:after="120" w:line="480" w:lineRule="auto"/>
      <w:ind w:left="420" w:leftChars="200"/>
    </w:pPr>
  </w:style>
  <w:style w:type="paragraph" w:styleId="13">
    <w:name w:val="Balloon Text"/>
    <w:basedOn w:val="1"/>
    <w:link w:val="27"/>
    <w:semiHidden/>
    <w:qFormat/>
    <w:uiPriority w:val="0"/>
    <w:rPr>
      <w:kern w:val="0"/>
      <w:sz w:val="18"/>
      <w:szCs w:val="20"/>
    </w:rPr>
  </w:style>
  <w:style w:type="paragraph" w:styleId="14">
    <w:name w:val="footer"/>
    <w:basedOn w:val="1"/>
    <w:link w:val="36"/>
    <w:qFormat/>
    <w:uiPriority w:val="99"/>
    <w:pPr>
      <w:tabs>
        <w:tab w:val="center" w:pos="4153"/>
        <w:tab w:val="right" w:pos="8306"/>
      </w:tabs>
      <w:snapToGrid w:val="0"/>
      <w:jc w:val="left"/>
    </w:pPr>
    <w:rPr>
      <w:kern w:val="0"/>
      <w:sz w:val="18"/>
      <w:szCs w:val="20"/>
    </w:rPr>
  </w:style>
  <w:style w:type="paragraph" w:styleId="15">
    <w:name w:val="header"/>
    <w:basedOn w:val="1"/>
    <w:link w:val="41"/>
    <w:qFormat/>
    <w:uiPriority w:val="0"/>
    <w:pPr>
      <w:pBdr>
        <w:bottom w:val="single" w:color="auto" w:sz="6" w:space="1"/>
      </w:pBdr>
      <w:tabs>
        <w:tab w:val="center" w:pos="4153"/>
        <w:tab w:val="right" w:pos="8306"/>
      </w:tabs>
      <w:snapToGrid w:val="0"/>
      <w:jc w:val="center"/>
    </w:pPr>
    <w:rPr>
      <w:kern w:val="0"/>
      <w:sz w:val="18"/>
      <w:szCs w:val="20"/>
    </w:rPr>
  </w:style>
  <w:style w:type="paragraph" w:styleId="16">
    <w:name w:val="toc 1"/>
    <w:basedOn w:val="1"/>
    <w:next w:val="1"/>
    <w:qFormat/>
    <w:locked/>
    <w:uiPriority w:val="39"/>
  </w:style>
  <w:style w:type="paragraph" w:styleId="17">
    <w:name w:val="Body Text 2"/>
    <w:basedOn w:val="1"/>
    <w:link w:val="50"/>
    <w:qFormat/>
    <w:locked/>
    <w:uiPriority w:val="0"/>
    <w:pPr>
      <w:spacing w:after="120" w:line="480" w:lineRule="auto"/>
    </w:pPr>
  </w:style>
  <w:style w:type="paragraph" w:styleId="18">
    <w:name w:val="Normal (Web)"/>
    <w:basedOn w:val="1"/>
    <w:link w:val="33"/>
    <w:qFormat/>
    <w:uiPriority w:val="0"/>
    <w:pPr>
      <w:widowControl/>
      <w:spacing w:before="100" w:beforeAutospacing="1" w:after="100" w:afterAutospacing="1"/>
      <w:jc w:val="left"/>
    </w:pPr>
    <w:rPr>
      <w:rFonts w:ascii="宋体" w:hAnsi="宋体"/>
      <w:kern w:val="0"/>
      <w:sz w:val="24"/>
      <w:szCs w:val="20"/>
    </w:rPr>
  </w:style>
  <w:style w:type="paragraph" w:styleId="19">
    <w:name w:val="annotation subject"/>
    <w:basedOn w:val="7"/>
    <w:next w:val="7"/>
    <w:link w:val="39"/>
    <w:semiHidden/>
    <w:qFormat/>
    <w:uiPriority w:val="0"/>
    <w:rPr>
      <w:b/>
    </w:rPr>
  </w:style>
  <w:style w:type="paragraph" w:styleId="20">
    <w:name w:val="Body Text First Indent 2"/>
    <w:basedOn w:val="9"/>
    <w:link w:val="47"/>
    <w:qFormat/>
    <w:locked/>
    <w:uiPriority w:val="0"/>
    <w:pPr>
      <w:ind w:left="0" w:leftChars="0" w:firstLine="210"/>
      <w:jc w:val="left"/>
    </w:pPr>
    <w:rPr>
      <w:rFonts w:ascii="Calibri" w:hAnsi="Calibri"/>
      <w:sz w:val="22"/>
      <w:lang w:eastAsia="en-US"/>
    </w:rPr>
  </w:style>
  <w:style w:type="table" w:styleId="22">
    <w:name w:val="Table Grid"/>
    <w:basedOn w:val="2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page number"/>
    <w:basedOn w:val="23"/>
    <w:qFormat/>
    <w:locked/>
    <w:uiPriority w:val="0"/>
  </w:style>
  <w:style w:type="character" w:styleId="25">
    <w:name w:val="Hyperlink"/>
    <w:unhideWhenUsed/>
    <w:qFormat/>
    <w:locked/>
    <w:uiPriority w:val="99"/>
    <w:rPr>
      <w:color w:val="0563C1"/>
      <w:u w:val="single"/>
    </w:rPr>
  </w:style>
  <w:style w:type="character" w:styleId="26">
    <w:name w:val="annotation reference"/>
    <w:qFormat/>
    <w:uiPriority w:val="99"/>
    <w:rPr>
      <w:sz w:val="21"/>
    </w:rPr>
  </w:style>
  <w:style w:type="character" w:customStyle="1" w:styleId="27">
    <w:name w:val="批注框文本 字符"/>
    <w:link w:val="13"/>
    <w:semiHidden/>
    <w:qFormat/>
    <w:locked/>
    <w:uiPriority w:val="0"/>
    <w:rPr>
      <w:rFonts w:ascii="Times New Roman" w:hAnsi="Times New Roman" w:eastAsia="宋体"/>
      <w:sz w:val="18"/>
    </w:rPr>
  </w:style>
  <w:style w:type="character" w:customStyle="1" w:styleId="28">
    <w:name w:val="日期 字符"/>
    <w:semiHidden/>
    <w:qFormat/>
    <w:uiPriority w:val="0"/>
    <w:rPr>
      <w:rFonts w:ascii="Times New Roman" w:hAnsi="Times New Roman" w:eastAsia="宋体"/>
      <w:sz w:val="24"/>
    </w:rPr>
  </w:style>
  <w:style w:type="character" w:customStyle="1" w:styleId="29">
    <w:name w:val="批注文字 字符"/>
    <w:link w:val="7"/>
    <w:qFormat/>
    <w:locked/>
    <w:uiPriority w:val="99"/>
    <w:rPr>
      <w:rFonts w:ascii="Times New Roman" w:hAnsi="Times New Roman" w:eastAsia="宋体"/>
      <w:sz w:val="24"/>
    </w:rPr>
  </w:style>
  <w:style w:type="character" w:customStyle="1" w:styleId="30">
    <w:name w:val="表格 Char"/>
    <w:link w:val="31"/>
    <w:qFormat/>
    <w:locked/>
    <w:uiPriority w:val="0"/>
    <w:rPr>
      <w:rFonts w:ascii="宋体"/>
      <w:sz w:val="21"/>
    </w:rPr>
  </w:style>
  <w:style w:type="paragraph" w:customStyle="1" w:styleId="31">
    <w:name w:val="表格"/>
    <w:basedOn w:val="1"/>
    <w:next w:val="1"/>
    <w:link w:val="30"/>
    <w:qFormat/>
    <w:uiPriority w:val="0"/>
    <w:pPr>
      <w:adjustRightInd w:val="0"/>
      <w:snapToGrid w:val="0"/>
      <w:spacing w:beforeLines="10" w:afterLines="10" w:line="259" w:lineRule="auto"/>
      <w:jc w:val="center"/>
    </w:pPr>
    <w:rPr>
      <w:rFonts w:ascii="宋体"/>
      <w:kern w:val="0"/>
      <w:szCs w:val="20"/>
    </w:rPr>
  </w:style>
  <w:style w:type="character" w:customStyle="1" w:styleId="32">
    <w:name w:val="正文文本 字符1"/>
    <w:semiHidden/>
    <w:qFormat/>
    <w:uiPriority w:val="0"/>
    <w:rPr>
      <w:rFonts w:ascii="Times New Roman" w:hAnsi="Times New Roman" w:eastAsia="宋体"/>
      <w:sz w:val="24"/>
    </w:rPr>
  </w:style>
  <w:style w:type="character" w:customStyle="1" w:styleId="33">
    <w:name w:val="普通(网站) 字符"/>
    <w:link w:val="18"/>
    <w:qFormat/>
    <w:locked/>
    <w:uiPriority w:val="0"/>
    <w:rPr>
      <w:rFonts w:ascii="宋体" w:hAnsi="宋体" w:eastAsia="宋体"/>
      <w:sz w:val="24"/>
    </w:rPr>
  </w:style>
  <w:style w:type="character" w:customStyle="1" w:styleId="34">
    <w:name w:val="日期 字符1"/>
    <w:link w:val="11"/>
    <w:qFormat/>
    <w:locked/>
    <w:uiPriority w:val="0"/>
    <w:rPr>
      <w:rFonts w:ascii="Times New Roman" w:hAnsi="Times New Roman" w:eastAsia="宋体"/>
      <w:sz w:val="24"/>
    </w:rPr>
  </w:style>
  <w:style w:type="character" w:customStyle="1" w:styleId="35">
    <w:name w:val="页脚 字符"/>
    <w:basedOn w:val="23"/>
    <w:qFormat/>
    <w:uiPriority w:val="99"/>
  </w:style>
  <w:style w:type="character" w:customStyle="1" w:styleId="36">
    <w:name w:val="页脚 字符1"/>
    <w:link w:val="14"/>
    <w:qFormat/>
    <w:locked/>
    <w:uiPriority w:val="99"/>
    <w:rPr>
      <w:sz w:val="18"/>
    </w:rPr>
  </w:style>
  <w:style w:type="character" w:customStyle="1" w:styleId="37">
    <w:name w:val="正文文本 字符"/>
    <w:link w:val="8"/>
    <w:qFormat/>
    <w:locked/>
    <w:uiPriority w:val="0"/>
    <w:rPr>
      <w:sz w:val="18"/>
    </w:rPr>
  </w:style>
  <w:style w:type="character" w:customStyle="1" w:styleId="38">
    <w:name w:val="正文文本缩进 字符"/>
    <w:link w:val="9"/>
    <w:semiHidden/>
    <w:qFormat/>
    <w:locked/>
    <w:uiPriority w:val="0"/>
    <w:rPr>
      <w:rFonts w:ascii="Times New Roman" w:hAnsi="Times New Roman" w:eastAsia="宋体"/>
      <w:sz w:val="24"/>
    </w:rPr>
  </w:style>
  <w:style w:type="character" w:customStyle="1" w:styleId="39">
    <w:name w:val="批注主题 字符"/>
    <w:link w:val="19"/>
    <w:semiHidden/>
    <w:qFormat/>
    <w:locked/>
    <w:uiPriority w:val="0"/>
    <w:rPr>
      <w:rFonts w:ascii="Times New Roman" w:hAnsi="Times New Roman" w:eastAsia="宋体"/>
      <w:b/>
      <w:kern w:val="2"/>
      <w:sz w:val="24"/>
    </w:rPr>
  </w:style>
  <w:style w:type="character" w:customStyle="1" w:styleId="40">
    <w:name w:val="批注文字 字符1"/>
    <w:semiHidden/>
    <w:qFormat/>
    <w:uiPriority w:val="0"/>
    <w:rPr>
      <w:rFonts w:ascii="Times New Roman" w:hAnsi="Times New Roman" w:eastAsia="宋体"/>
      <w:sz w:val="24"/>
    </w:rPr>
  </w:style>
  <w:style w:type="character" w:customStyle="1" w:styleId="41">
    <w:name w:val="页眉 字符"/>
    <w:link w:val="15"/>
    <w:qFormat/>
    <w:locked/>
    <w:uiPriority w:val="0"/>
    <w:rPr>
      <w:sz w:val="18"/>
    </w:rPr>
  </w:style>
  <w:style w:type="paragraph" w:customStyle="1" w:styleId="42">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3">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44">
    <w:name w:val="标题 2 字符"/>
    <w:link w:val="3"/>
    <w:semiHidden/>
    <w:qFormat/>
    <w:uiPriority w:val="0"/>
    <w:rPr>
      <w:rFonts w:ascii="等线 Light" w:hAnsi="等线 Light" w:eastAsia="等线 Light" w:cs="Times New Roman"/>
      <w:b/>
      <w:bCs/>
      <w:kern w:val="2"/>
      <w:sz w:val="32"/>
      <w:szCs w:val="32"/>
    </w:rPr>
  </w:style>
  <w:style w:type="paragraph" w:customStyle="1" w:styleId="45">
    <w:name w:val="Table Paragraph"/>
    <w:basedOn w:val="1"/>
    <w:qFormat/>
    <w:uiPriority w:val="1"/>
    <w:pPr>
      <w:jc w:val="left"/>
    </w:pPr>
    <w:rPr>
      <w:rFonts w:ascii="Calibri" w:hAnsi="Calibri"/>
      <w:kern w:val="0"/>
      <w:sz w:val="22"/>
      <w:szCs w:val="22"/>
      <w:lang w:eastAsia="en-US"/>
    </w:rPr>
  </w:style>
  <w:style w:type="paragraph" w:customStyle="1" w:styleId="46">
    <w:name w:val="修订1"/>
    <w:hidden/>
    <w:unhideWhenUsed/>
    <w:qFormat/>
    <w:uiPriority w:val="99"/>
    <w:rPr>
      <w:rFonts w:ascii="Times New Roman" w:hAnsi="Times New Roman" w:eastAsia="宋体" w:cs="Times New Roman"/>
      <w:kern w:val="2"/>
      <w:sz w:val="21"/>
      <w:szCs w:val="24"/>
      <w:lang w:val="en-US" w:eastAsia="zh-CN" w:bidi="ar-SA"/>
    </w:rPr>
  </w:style>
  <w:style w:type="character" w:customStyle="1" w:styleId="47">
    <w:name w:val="正文文本首行缩进 2 字符"/>
    <w:link w:val="20"/>
    <w:qFormat/>
    <w:uiPriority w:val="0"/>
    <w:rPr>
      <w:rFonts w:ascii="Calibri" w:hAnsi="Calibri" w:eastAsia="宋体"/>
      <w:sz w:val="22"/>
      <w:lang w:eastAsia="en-US"/>
    </w:rPr>
  </w:style>
  <w:style w:type="paragraph" w:customStyle="1" w:styleId="48">
    <w:name w:val="标准正文"/>
    <w:basedOn w:val="1"/>
    <w:qFormat/>
    <w:uiPriority w:val="0"/>
    <w:pPr>
      <w:spacing w:line="500" w:lineRule="exact"/>
      <w:ind w:firstLine="200" w:firstLineChars="200"/>
      <w:jc w:val="left"/>
    </w:pPr>
    <w:rPr>
      <w:rFonts w:ascii="Calibri" w:hAnsi="Calibri"/>
      <w:kern w:val="0"/>
      <w:sz w:val="24"/>
      <w:szCs w:val="22"/>
      <w:lang w:eastAsia="en-US"/>
    </w:rPr>
  </w:style>
  <w:style w:type="character" w:customStyle="1" w:styleId="49">
    <w:name w:val="正文文本缩进 2 字符"/>
    <w:link w:val="12"/>
    <w:qFormat/>
    <w:uiPriority w:val="0"/>
    <w:rPr>
      <w:kern w:val="2"/>
      <w:sz w:val="21"/>
      <w:szCs w:val="24"/>
    </w:rPr>
  </w:style>
  <w:style w:type="character" w:customStyle="1" w:styleId="50">
    <w:name w:val="正文文本 2 字符"/>
    <w:link w:val="17"/>
    <w:qFormat/>
    <w:uiPriority w:val="0"/>
    <w:rPr>
      <w:kern w:val="2"/>
      <w:sz w:val="21"/>
      <w:szCs w:val="24"/>
    </w:rPr>
  </w:style>
  <w:style w:type="character" w:customStyle="1" w:styleId="51">
    <w:name w:val="标题 3 字符"/>
    <w:link w:val="4"/>
    <w:semiHidden/>
    <w:qFormat/>
    <w:uiPriority w:val="0"/>
    <w:rPr>
      <w:b/>
      <w:bCs/>
      <w:kern w:val="2"/>
      <w:sz w:val="32"/>
      <w:szCs w:val="32"/>
    </w:rPr>
  </w:style>
  <w:style w:type="paragraph" w:customStyle="1" w:styleId="52">
    <w:name w:val="正文首行缩进 21"/>
    <w:basedOn w:val="9"/>
    <w:next w:val="1"/>
    <w:qFormat/>
    <w:uiPriority w:val="0"/>
    <w:pPr>
      <w:ind w:firstLine="420"/>
    </w:pPr>
    <w:rPr>
      <w:sz w:val="20"/>
      <w:szCs w:val="24"/>
      <w:lang w:val="zh-CN"/>
    </w:rPr>
  </w:style>
  <w:style w:type="character" w:customStyle="1" w:styleId="53">
    <w:name w:val="纯文本 字符"/>
    <w:qFormat/>
    <w:uiPriority w:val="0"/>
    <w:rPr>
      <w:rFonts w:ascii="宋体" w:hAnsi="Courier New" w:cs="Courier New"/>
      <w:kern w:val="2"/>
      <w:sz w:val="21"/>
      <w:szCs w:val="21"/>
    </w:rPr>
  </w:style>
  <w:style w:type="character" w:customStyle="1" w:styleId="54">
    <w:name w:val="纯文本 字符1"/>
    <w:link w:val="10"/>
    <w:qFormat/>
    <w:locked/>
    <w:uiPriority w:val="0"/>
    <w:rPr>
      <w:rFonts w:ascii="宋体" w:hAnsi="Courier New"/>
      <w:kern w:val="2"/>
    </w:rPr>
  </w:style>
  <w:style w:type="character" w:customStyle="1" w:styleId="55">
    <w:name w:val="表内容 Char"/>
    <w:link w:val="56"/>
    <w:qFormat/>
    <w:locked/>
    <w:uiPriority w:val="0"/>
    <w:rPr>
      <w:rFonts w:ascii="宋体" w:hAnsi="宋体"/>
      <w:kern w:val="2"/>
      <w:sz w:val="21"/>
      <w:szCs w:val="21"/>
    </w:rPr>
  </w:style>
  <w:style w:type="paragraph" w:customStyle="1" w:styleId="56">
    <w:name w:val="表内容"/>
    <w:basedOn w:val="1"/>
    <w:link w:val="55"/>
    <w:qFormat/>
    <w:uiPriority w:val="0"/>
    <w:pPr>
      <w:adjustRightInd w:val="0"/>
      <w:snapToGrid w:val="0"/>
      <w:jc w:val="center"/>
    </w:pPr>
    <w:rPr>
      <w:rFonts w:ascii="宋体" w:hAnsi="宋体"/>
      <w:szCs w:val="21"/>
    </w:rPr>
  </w:style>
  <w:style w:type="paragraph" w:customStyle="1" w:styleId="57">
    <w:name w:val="TOC 标题1"/>
    <w:basedOn w:val="2"/>
    <w:next w:val="1"/>
    <w:unhideWhenUsed/>
    <w:qFormat/>
    <w:uiPriority w:val="39"/>
    <w:pPr>
      <w:keepLines/>
      <w:widowControl/>
      <w:overflowPunct/>
      <w:snapToGrid/>
      <w:spacing w:before="240" w:after="0"/>
      <w:ind w:left="0" w:firstLine="0"/>
      <w:jc w:val="left"/>
      <w:outlineLvl w:val="9"/>
    </w:pPr>
    <w:rPr>
      <w:rFonts w:ascii="等线 Light" w:hAnsi="等线 Light" w:eastAsia="等线 Light"/>
      <w:b w:val="0"/>
      <w:bCs w:val="0"/>
      <w:color w:val="2F5496"/>
      <w:kern w:val="0"/>
      <w:sz w:val="32"/>
      <w:szCs w:val="32"/>
    </w:rPr>
  </w:style>
  <w:style w:type="character" w:customStyle="1" w:styleId="58">
    <w:name w:val="未处理的提及1"/>
    <w:basedOn w:val="23"/>
    <w:semiHidden/>
    <w:unhideWhenUsed/>
    <w:qFormat/>
    <w:uiPriority w:val="99"/>
    <w:rPr>
      <w:color w:val="605E5C"/>
      <w:shd w:val="clear" w:color="auto" w:fill="E1DFDD"/>
    </w:rPr>
  </w:style>
  <w:style w:type="character" w:customStyle="1" w:styleId="59">
    <w:name w:val="未处理的提及2"/>
    <w:basedOn w:val="23"/>
    <w:semiHidden/>
    <w:unhideWhenUsed/>
    <w:qFormat/>
    <w:uiPriority w:val="99"/>
    <w:rPr>
      <w:color w:val="605E5C"/>
      <w:shd w:val="clear" w:color="auto" w:fill="E1DFDD"/>
    </w:rPr>
  </w:style>
  <w:style w:type="paragraph" w:customStyle="1" w:styleId="60">
    <w:name w:val="修订2"/>
    <w:hidden/>
    <w:semiHidden/>
    <w:qFormat/>
    <w:uiPriority w:val="99"/>
    <w:rPr>
      <w:rFonts w:ascii="Times New Roman" w:hAnsi="Times New Roman" w:eastAsia="宋体" w:cs="Times New Roman"/>
      <w:kern w:val="2"/>
      <w:sz w:val="21"/>
      <w:szCs w:val="24"/>
      <w:lang w:val="en-US" w:eastAsia="zh-CN" w:bidi="ar-SA"/>
    </w:rPr>
  </w:style>
  <w:style w:type="paragraph" w:styleId="61">
    <w:name w:val="List Paragraph"/>
    <w:basedOn w:val="1"/>
    <w:qFormat/>
    <w:uiPriority w:val="99"/>
    <w:pPr>
      <w:ind w:firstLine="420" w:firstLineChars="200"/>
    </w:pPr>
  </w:style>
  <w:style w:type="paragraph" w:customStyle="1" w:styleId="62">
    <w:name w:val="表格内容"/>
    <w:basedOn w:val="1"/>
    <w:qFormat/>
    <w:uiPriority w:val="0"/>
    <w:pPr>
      <w:adjustRightInd w:val="0"/>
      <w:snapToGrid w:val="0"/>
    </w:pPr>
    <w:rPr>
      <w:szCs w:val="21"/>
    </w:rPr>
  </w:style>
  <w:style w:type="paragraph" w:customStyle="1" w:styleId="63">
    <w:name w:val="表格首行"/>
    <w:basedOn w:val="1"/>
    <w:qFormat/>
    <w:uiPriority w:val="0"/>
    <w:pPr>
      <w:adjustRightInd w:val="0"/>
      <w:snapToGrid w:val="0"/>
      <w:jc w:val="center"/>
    </w:pPr>
    <w:rPr>
      <w:rFonts w:cs="宋体"/>
      <w:b/>
      <w:szCs w:val="20"/>
    </w:rPr>
  </w:style>
  <w:style w:type="paragraph" w:customStyle="1" w:styleId="64">
    <w:name w:val="修订3"/>
    <w:hidden/>
    <w:semiHidden/>
    <w:qFormat/>
    <w:uiPriority w:val="99"/>
    <w:rPr>
      <w:rFonts w:ascii="Times New Roman" w:hAnsi="Times New Roman" w:eastAsia="宋体" w:cs="Times New Roman"/>
      <w:kern w:val="2"/>
      <w:sz w:val="21"/>
      <w:szCs w:val="24"/>
      <w:lang w:val="en-US" w:eastAsia="zh-CN" w:bidi="ar-SA"/>
    </w:rPr>
  </w:style>
  <w:style w:type="paragraph" w:customStyle="1" w:styleId="65">
    <w:name w:val="修订4"/>
    <w:hidden/>
    <w:semiHidden/>
    <w:qFormat/>
    <w:uiPriority w:val="99"/>
    <w:rPr>
      <w:rFonts w:ascii="Times New Roman" w:hAnsi="Times New Roman" w:eastAsia="宋体" w:cs="Times New Roman"/>
      <w:kern w:val="2"/>
      <w:sz w:val="21"/>
      <w:szCs w:val="24"/>
      <w:lang w:val="en-US" w:eastAsia="zh-CN" w:bidi="ar-SA"/>
    </w:rPr>
  </w:style>
  <w:style w:type="paragraph" w:customStyle="1" w:styleId="66">
    <w:name w:val="修订5"/>
    <w:hidden/>
    <w:semiHidden/>
    <w:qFormat/>
    <w:uiPriority w:val="99"/>
    <w:rPr>
      <w:rFonts w:ascii="Times New Roman" w:hAnsi="Times New Roman" w:eastAsia="宋体" w:cs="Times New Roman"/>
      <w:kern w:val="2"/>
      <w:sz w:val="21"/>
      <w:szCs w:val="24"/>
      <w:lang w:val="en-US" w:eastAsia="zh-CN" w:bidi="ar-SA"/>
    </w:rPr>
  </w:style>
  <w:style w:type="character" w:styleId="67">
    <w:name w:val="Placeholder Text"/>
    <w:basedOn w:val="23"/>
    <w:semiHidden/>
    <w:qFormat/>
    <w:uiPriority w:val="99"/>
    <w:rPr>
      <w:color w:val="808080"/>
    </w:rPr>
  </w:style>
  <w:style w:type="paragraph" w:customStyle="1" w:styleId="68">
    <w:name w:val="修订6"/>
    <w:hidden/>
    <w:semiHidden/>
    <w:qFormat/>
    <w:uiPriority w:val="99"/>
    <w:rPr>
      <w:rFonts w:ascii="Times New Roman" w:hAnsi="Times New Roman" w:eastAsia="宋体" w:cs="Times New Roman"/>
      <w:kern w:val="2"/>
      <w:sz w:val="21"/>
      <w:szCs w:val="24"/>
      <w:lang w:val="en-US" w:eastAsia="zh-CN" w:bidi="ar-SA"/>
    </w:rPr>
  </w:style>
  <w:style w:type="paragraph" w:customStyle="1" w:styleId="69">
    <w:name w:val="修订7"/>
    <w:hidden/>
    <w:unhideWhenUsed/>
    <w:qFormat/>
    <w:uiPriority w:val="99"/>
    <w:rPr>
      <w:rFonts w:ascii="Times New Roman" w:hAnsi="Times New Roman" w:eastAsia="宋体" w:cs="Times New Roman"/>
      <w:kern w:val="2"/>
      <w:sz w:val="21"/>
      <w:szCs w:val="24"/>
      <w:lang w:val="en-US" w:eastAsia="zh-CN" w:bidi="ar-SA"/>
    </w:rPr>
  </w:style>
  <w:style w:type="paragraph" w:customStyle="1" w:styleId="70">
    <w:name w:val="修订8"/>
    <w:hidden/>
    <w:unhideWhenUsed/>
    <w:qFormat/>
    <w:uiPriority w:val="99"/>
    <w:rPr>
      <w:rFonts w:ascii="Times New Roman" w:hAnsi="Times New Roman" w:eastAsia="宋体" w:cs="Times New Roman"/>
      <w:kern w:val="2"/>
      <w:sz w:val="21"/>
      <w:szCs w:val="24"/>
      <w:lang w:val="en-US" w:eastAsia="zh-CN" w:bidi="ar-SA"/>
    </w:rPr>
  </w:style>
  <w:style w:type="paragraph" w:customStyle="1" w:styleId="71">
    <w:name w:val="修订9"/>
    <w:hidden/>
    <w:unhideWhenUsed/>
    <w:qFormat/>
    <w:uiPriority w:val="99"/>
    <w:rPr>
      <w:rFonts w:ascii="Times New Roman" w:hAnsi="Times New Roman" w:eastAsia="宋体" w:cs="Times New Roman"/>
      <w:kern w:val="2"/>
      <w:sz w:val="21"/>
      <w:szCs w:val="24"/>
      <w:lang w:val="en-US" w:eastAsia="zh-CN" w:bidi="ar-SA"/>
    </w:rPr>
  </w:style>
  <w:style w:type="character" w:customStyle="1" w:styleId="72">
    <w:name w:val="标题 5 字符"/>
    <w:basedOn w:val="23"/>
    <w:link w:val="5"/>
    <w:semiHidden/>
    <w:qFormat/>
    <w:uiPriority w:val="0"/>
    <w:rPr>
      <w:b/>
      <w:bCs/>
      <w:kern w:val="2"/>
      <w:sz w:val="28"/>
      <w:szCs w:val="28"/>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4.xml"/><Relationship Id="rId5" Type="http://schemas.openxmlformats.org/officeDocument/2006/relationships/footer" Target="footer3.xml"/><Relationship Id="rId44" Type="http://schemas.openxmlformats.org/officeDocument/2006/relationships/fontTable" Target="fontTable.xml"/><Relationship Id="rId43" Type="http://schemas.openxmlformats.org/officeDocument/2006/relationships/customXml" Target="../customXml/item1.xml"/><Relationship Id="rId42" Type="http://schemas.openxmlformats.org/officeDocument/2006/relationships/image" Target="media/image31.wmf"/><Relationship Id="rId41" Type="http://schemas.openxmlformats.org/officeDocument/2006/relationships/oleObject" Target="embeddings/oleObject2.bin"/><Relationship Id="rId40" Type="http://schemas.openxmlformats.org/officeDocument/2006/relationships/image" Target="media/image30.png"/><Relationship Id="rId4" Type="http://schemas.openxmlformats.org/officeDocument/2006/relationships/footer" Target="footer2.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png"/><Relationship Id="rId31" Type="http://schemas.openxmlformats.org/officeDocument/2006/relationships/image" Target="media/image21.wmf"/><Relationship Id="rId30" Type="http://schemas.openxmlformats.org/officeDocument/2006/relationships/oleObject" Target="embeddings/oleObject1.bin"/><Relationship Id="rId3" Type="http://schemas.openxmlformats.org/officeDocument/2006/relationships/footer" Target="footer1.xml"/><Relationship Id="rId29" Type="http://schemas.openxmlformats.org/officeDocument/2006/relationships/image" Target="media/image20.png"/><Relationship Id="rId28" Type="http://schemas.openxmlformats.org/officeDocument/2006/relationships/image" Target="media/image19.emf"/><Relationship Id="rId27" Type="http://schemas.openxmlformats.org/officeDocument/2006/relationships/package" Target="embeddings/Microsoft_Visio___2.vsdx"/><Relationship Id="rId26" Type="http://schemas.openxmlformats.org/officeDocument/2006/relationships/image" Target="media/image18.emf"/><Relationship Id="rId25" Type="http://schemas.openxmlformats.org/officeDocument/2006/relationships/package" Target="embeddings/Microsoft_Visio___1.vsdx"/><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jpe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黑体"/>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宋体"/>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612880-1FE9-4357-A06D-D6CD00AF6CB7}">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110</Pages>
  <Words>1377</Words>
  <Characters>1522</Characters>
  <Lines>1309</Lines>
  <Paragraphs>3701</Paragraphs>
  <TotalTime>1420</TotalTime>
  <ScaleCrop>false</ScaleCrop>
  <LinksUpToDate>false</LinksUpToDate>
  <CharactersWithSpaces>1580</CharactersWithSpaces>
  <Application>WPS Office_12.8.2.18205_F1E327BC-269C-435d-A152-05C5408002CA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2025-05-09T02:48:00Z</dcterms:created>
  <dc:creator>A</dc:creator>
  <cp:lastModifiedBy>20314</cp:lastModifiedBy>
  <cp:lastPrinted>2025-07-03T07:38:00Z</cp:lastPrinted>
  <dcterms:modified xsi:type="dcterms:W3CDTF">2025-07-10T09:14:00Z</dcterms:modified>
  <dc:title>建设项目环境影响报告表（污染影响类）</dc:title>
  <cp:revision>126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2052-12.8.2.18205</vt:lpwstr>
  </property>
  <property fmtid="{D5CDD505-2E9C-101B-9397-08002B2CF9AE}" pid="3" name="ICV">
    <vt:lpwstr>3CDC3C39799C444F8ED742769250C9D8</vt:lpwstr>
  </property>
  <property fmtid="{D5CDD505-2E9C-101B-9397-08002B2CF9AE}" pid="4" name="KSOTemplateDocerSaveRecord">
    <vt:lpwstr>eyJoZGlkIjoiN2I4YzVlMmUyMjc0YjZhY2E1YmJiMWRiMWI0YzAwNTIiLCJ1c2VySWQiOiIxMDM3NjMxMjY0In0=</vt:lpwstr>
  </property>
</Properties>
</file>