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BB2DC4">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01C18CA7">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3BA75D1E">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0E85B095">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4E4371F8">
      <w:pPr>
        <w:rPr>
          <w:rFonts w:hint="default" w:ascii="Times New Roman" w:hAnsi="Times New Roman" w:eastAsia="仿宋_GB2312" w:cs="Times New Roman"/>
          <w:color w:val="000000" w:themeColor="text1"/>
          <w:sz w:val="36"/>
          <w:szCs w:val="36"/>
          <w:highlight w:val="none"/>
          <w14:textFill>
            <w14:solidFill>
              <w14:schemeClr w14:val="tx1"/>
            </w14:solidFill>
          </w14:textFill>
        </w:rPr>
      </w:pPr>
    </w:p>
    <w:p w14:paraId="302DA767">
      <w:pPr>
        <w:keepNext w:val="0"/>
        <w:keepLines w:val="0"/>
        <w:pageBreakBefore w:val="0"/>
        <w:widowControl/>
        <w:kinsoku/>
        <w:wordWrap/>
        <w:overflowPunct/>
        <w:topLinePunct w:val="0"/>
        <w:autoSpaceDE/>
        <w:autoSpaceDN/>
        <w:bidi w:val="0"/>
        <w:adjustRightInd/>
        <w:snapToGrid w:val="0"/>
        <w:jc w:val="center"/>
        <w:textAlignment w:val="auto"/>
        <w:outlineLvl w:val="9"/>
        <w:rPr>
          <w:rFonts w:hint="default" w:ascii="Times New Roman" w:hAnsi="Times New Roman" w:eastAsia="方正小标宋_GBK" w:cs="Times New Roman"/>
          <w:bCs/>
          <w:color w:val="000000" w:themeColor="text1"/>
          <w:sz w:val="72"/>
          <w:szCs w:val="72"/>
          <w:highlight w:val="none"/>
          <w14:textFill>
            <w14:solidFill>
              <w14:schemeClr w14:val="tx1"/>
            </w14:solidFill>
          </w14:textFill>
        </w:rPr>
      </w:pPr>
      <w:r>
        <w:rPr>
          <w:rFonts w:hint="default" w:ascii="Times New Roman" w:hAnsi="Times New Roman" w:eastAsia="方正小标宋_GBK" w:cs="Times New Roman"/>
          <w:bCs/>
          <w:color w:val="000000" w:themeColor="text1"/>
          <w:sz w:val="72"/>
          <w:szCs w:val="72"/>
          <w:highlight w:val="none"/>
          <w14:textFill>
            <w14:solidFill>
              <w14:schemeClr w14:val="tx1"/>
            </w14:solidFill>
          </w14:textFill>
        </w:rPr>
        <w:t>建设项目环境影响报告表</w:t>
      </w:r>
    </w:p>
    <w:p w14:paraId="7ED65A74">
      <w:pPr>
        <w:snapToGrid w:val="0"/>
        <w:spacing w:before="192" w:beforeLines="80"/>
        <w:jc w:val="center"/>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r>
        <w:rPr>
          <w:rFonts w:hint="default" w:ascii="Times New Roman" w:hAnsi="Times New Roman" w:eastAsia="楷体_GB2312" w:cs="Times New Roman"/>
          <w:bCs/>
          <w:color w:val="000000" w:themeColor="text1"/>
          <w:sz w:val="48"/>
          <w:szCs w:val="48"/>
          <w:highlight w:val="none"/>
          <w14:textFill>
            <w14:solidFill>
              <w14:schemeClr w14:val="tx1"/>
            </w14:solidFill>
          </w14:textFill>
        </w:rPr>
        <w:t>（污染影响类）</w:t>
      </w:r>
    </w:p>
    <w:p w14:paraId="79EB4036">
      <w:pPr>
        <w:snapToGrid w:val="0"/>
        <w:spacing w:before="192" w:beforeLines="80"/>
        <w:jc w:val="center"/>
        <w:rPr>
          <w:rFonts w:hint="eastAsia" w:ascii="Times New Roman" w:hAnsi="Times New Roman" w:eastAsia="楷体_GB2312" w:cs="Times New Roman"/>
          <w:bCs/>
          <w:color w:val="000000" w:themeColor="text1"/>
          <w:sz w:val="48"/>
          <w:szCs w:val="48"/>
          <w:highlight w:val="none"/>
          <w:lang w:eastAsia="zh-CN"/>
          <w14:textFill>
            <w14:solidFill>
              <w14:schemeClr w14:val="tx1"/>
            </w14:solidFill>
          </w14:textFill>
        </w:rPr>
      </w:pPr>
      <w:r>
        <w:rPr>
          <w:rFonts w:hint="eastAsia" w:ascii="Times New Roman" w:hAnsi="Times New Roman" w:eastAsia="楷体_GB2312" w:cs="Times New Roman"/>
          <w:bCs/>
          <w:color w:val="000000" w:themeColor="text1"/>
          <w:sz w:val="48"/>
          <w:szCs w:val="48"/>
          <w:highlight w:val="none"/>
          <w:lang w:eastAsia="zh-CN"/>
          <w14:textFill>
            <w14:solidFill>
              <w14:schemeClr w14:val="tx1"/>
            </w14:solidFill>
          </w14:textFill>
        </w:rPr>
        <w:t>（</w:t>
      </w:r>
      <w:r>
        <w:rPr>
          <w:rFonts w:hint="eastAsia" w:ascii="Times New Roman" w:hAnsi="Times New Roman" w:eastAsia="楷体_GB2312" w:cs="Times New Roman"/>
          <w:bCs/>
          <w:color w:val="000000" w:themeColor="text1"/>
          <w:sz w:val="48"/>
          <w:szCs w:val="48"/>
          <w:highlight w:val="none"/>
          <w:lang w:val="en-US" w:eastAsia="zh-CN"/>
          <w14:textFill>
            <w14:solidFill>
              <w14:schemeClr w14:val="tx1"/>
            </w14:solidFill>
          </w14:textFill>
        </w:rPr>
        <w:t>公示本</w:t>
      </w:r>
      <w:r>
        <w:rPr>
          <w:rFonts w:hint="eastAsia" w:ascii="Times New Roman" w:hAnsi="Times New Roman" w:eastAsia="楷体_GB2312" w:cs="Times New Roman"/>
          <w:bCs/>
          <w:color w:val="000000" w:themeColor="text1"/>
          <w:sz w:val="48"/>
          <w:szCs w:val="48"/>
          <w:highlight w:val="none"/>
          <w:lang w:eastAsia="zh-CN"/>
          <w14:textFill>
            <w14:solidFill>
              <w14:schemeClr w14:val="tx1"/>
            </w14:solidFill>
          </w14:textFill>
        </w:rPr>
        <w:t>）</w:t>
      </w:r>
    </w:p>
    <w:p w14:paraId="361C6EE1">
      <w:pPr>
        <w:snapToGrid w:val="0"/>
        <w:spacing w:before="192" w:beforeLines="80"/>
        <w:jc w:val="center"/>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p>
    <w:p w14:paraId="6956512D">
      <w:pPr>
        <w:snapToGrid w:val="0"/>
        <w:spacing w:before="192" w:beforeLines="80"/>
        <w:jc w:val="center"/>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p>
    <w:p w14:paraId="49000F66">
      <w:pPr>
        <w:snapToGrid w:val="0"/>
        <w:spacing w:before="192" w:beforeLines="80"/>
        <w:jc w:val="center"/>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p>
    <w:p w14:paraId="1D9D0F72">
      <w:pPr>
        <w:snapToGrid w:val="0"/>
        <w:spacing w:before="192" w:beforeLines="80"/>
        <w:jc w:val="center"/>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p>
    <w:p w14:paraId="1B5EC726">
      <w:pPr>
        <w:snapToGrid w:val="0"/>
        <w:spacing w:before="192" w:beforeLines="80"/>
        <w:jc w:val="center"/>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p>
    <w:p w14:paraId="409836F1">
      <w:pPr>
        <w:snapToGrid w:val="0"/>
        <w:spacing w:before="192" w:beforeLines="80"/>
        <w:jc w:val="center"/>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p>
    <w:p w14:paraId="245CCC0A">
      <w:pPr>
        <w:snapToGrid w:val="0"/>
        <w:spacing w:before="192" w:beforeLines="80"/>
        <w:jc w:val="center"/>
        <w:rPr>
          <w:rFonts w:hint="default" w:ascii="Times New Roman" w:hAnsi="Times New Roman" w:eastAsia="楷体_GB2312" w:cs="Times New Roman"/>
          <w:bCs/>
          <w:color w:val="000000" w:themeColor="text1"/>
          <w:sz w:val="48"/>
          <w:szCs w:val="48"/>
          <w:highlight w:val="none"/>
          <w14:textFill>
            <w14:solidFill>
              <w14:schemeClr w14:val="tx1"/>
            </w14:solidFill>
          </w14:textFill>
        </w:rPr>
      </w:pPr>
    </w:p>
    <w:tbl>
      <w:tblPr>
        <w:tblStyle w:val="16"/>
        <w:tblW w:w="5000" w:type="pct"/>
        <w:jc w:val="center"/>
        <w:tblLayout w:type="autofit"/>
        <w:tblCellMar>
          <w:top w:w="0" w:type="dxa"/>
          <w:left w:w="0" w:type="dxa"/>
          <w:bottom w:w="0" w:type="dxa"/>
          <w:right w:w="0" w:type="dxa"/>
        </w:tblCellMar>
      </w:tblPr>
      <w:tblGrid>
        <w:gridCol w:w="2610"/>
        <w:gridCol w:w="5696"/>
      </w:tblGrid>
      <w:tr w14:paraId="4DBBA716">
        <w:tblPrEx>
          <w:tblCellMar>
            <w:top w:w="0" w:type="dxa"/>
            <w:left w:w="0" w:type="dxa"/>
            <w:bottom w:w="0" w:type="dxa"/>
            <w:right w:w="0" w:type="dxa"/>
          </w:tblCellMar>
        </w:tblPrEx>
        <w:trPr>
          <w:trHeight w:val="169" w:hRule="atLeast"/>
          <w:jc w:val="center"/>
        </w:trPr>
        <w:tc>
          <w:tcPr>
            <w:tcW w:w="1571" w:type="pct"/>
            <w:shd w:val="clear" w:color="auto" w:fill="auto"/>
            <w:vAlign w:val="center"/>
          </w:tcPr>
          <w:p w14:paraId="572A463A">
            <w:pPr>
              <w:spacing w:line="480" w:lineRule="exact"/>
              <w:jc w:val="distribute"/>
              <w:rPr>
                <w:rFonts w:hint="default" w:ascii="Times New Roman" w:hAnsi="Times New Roman" w:cs="Times New Roman"/>
                <w:color w:val="000000" w:themeColor="text1"/>
                <w:sz w:val="22"/>
                <w:szCs w:val="22"/>
                <w:highlight w:val="none"/>
                <w14:textFill>
                  <w14:solidFill>
                    <w14:schemeClr w14:val="tx1"/>
                  </w14:solidFill>
                </w14:textFill>
              </w:rPr>
            </w:pPr>
            <w:r>
              <w:rPr>
                <w:rFonts w:hint="default" w:ascii="Times New Roman" w:hAnsi="Times New Roman" w:eastAsia="微软雅黑" w:cs="Times New Roman"/>
                <w:color w:val="000000" w:themeColor="text1"/>
                <w:sz w:val="32"/>
                <w:szCs w:val="32"/>
                <w:highlight w:val="none"/>
                <w14:textFill>
                  <w14:solidFill>
                    <w14:schemeClr w14:val="tx1"/>
                  </w14:solidFill>
                </w14:textFill>
              </w:rPr>
              <w:t>项目名称：</w:t>
            </w:r>
          </w:p>
        </w:tc>
        <w:tc>
          <w:tcPr>
            <w:tcW w:w="3428" w:type="pct"/>
            <w:tcBorders>
              <w:bottom w:val="single" w:color="auto" w:sz="4" w:space="0"/>
            </w:tcBorders>
            <w:shd w:val="clear" w:color="auto" w:fill="auto"/>
            <w:vAlign w:val="center"/>
          </w:tcPr>
          <w:p w14:paraId="02D8ABE0">
            <w:pPr>
              <w:spacing w:line="360" w:lineRule="exact"/>
              <w:jc w:val="center"/>
              <w:rPr>
                <w:rFonts w:hint="default" w:ascii="Times New Roman" w:hAnsi="Times New Roman" w:eastAsia="仿宋" w:cs="Times New Roman"/>
                <w:color w:val="000000" w:themeColor="text1"/>
                <w:sz w:val="36"/>
                <w:szCs w:val="36"/>
                <w:highlight w:val="none"/>
                <w:lang w:eastAsia="zh-CN"/>
                <w14:textFill>
                  <w14:solidFill>
                    <w14:schemeClr w14:val="tx1"/>
                  </w14:solidFill>
                </w14:textFill>
              </w:rPr>
            </w:pPr>
            <w:r>
              <w:rPr>
                <w:rFonts w:hint="default" w:ascii="Times New Roman" w:hAnsi="Times New Roman" w:eastAsia="仿宋" w:cs="Times New Roman"/>
                <w:b/>
                <w:bCs/>
                <w:color w:val="000000" w:themeColor="text1"/>
                <w:sz w:val="36"/>
                <w:szCs w:val="36"/>
                <w:highlight w:val="none"/>
                <w:lang w:eastAsia="zh-CN"/>
                <w14:textFill>
                  <w14:solidFill>
                    <w14:schemeClr w14:val="tx1"/>
                  </w14:solidFill>
                </w14:textFill>
              </w:rPr>
              <w:t>广西中马投控分布式能源有限公司供热配套锅炉增容改造项目</w:t>
            </w:r>
          </w:p>
        </w:tc>
      </w:tr>
      <w:tr w14:paraId="0D20A0B8">
        <w:tblPrEx>
          <w:tblCellMar>
            <w:top w:w="0" w:type="dxa"/>
            <w:left w:w="0" w:type="dxa"/>
            <w:bottom w:w="0" w:type="dxa"/>
            <w:right w:w="0" w:type="dxa"/>
          </w:tblCellMar>
        </w:tblPrEx>
        <w:trPr>
          <w:trHeight w:val="575" w:hRule="atLeast"/>
          <w:jc w:val="center"/>
        </w:trPr>
        <w:tc>
          <w:tcPr>
            <w:tcW w:w="1571" w:type="pct"/>
            <w:shd w:val="clear" w:color="auto" w:fill="auto"/>
            <w:vAlign w:val="center"/>
          </w:tcPr>
          <w:p w14:paraId="15959669">
            <w:pPr>
              <w:spacing w:line="640" w:lineRule="exact"/>
              <w:jc w:val="distribute"/>
              <w:rPr>
                <w:rFonts w:hint="default" w:ascii="Times New Roman" w:hAnsi="Times New Roman" w:cs="Times New Roman"/>
                <w:color w:val="000000" w:themeColor="text1"/>
                <w:sz w:val="22"/>
                <w:szCs w:val="22"/>
                <w:highlight w:val="none"/>
                <w14:textFill>
                  <w14:solidFill>
                    <w14:schemeClr w14:val="tx1"/>
                  </w14:solidFill>
                </w14:textFill>
              </w:rPr>
            </w:pPr>
            <w:r>
              <w:rPr>
                <w:rFonts w:hint="default" w:ascii="Times New Roman" w:hAnsi="Times New Roman" w:eastAsia="微软雅黑" w:cs="Times New Roman"/>
                <w:color w:val="000000" w:themeColor="text1"/>
                <w:sz w:val="32"/>
                <w:szCs w:val="32"/>
                <w:highlight w:val="none"/>
                <w14:textFill>
                  <w14:solidFill>
                    <w14:schemeClr w14:val="tx1"/>
                  </w14:solidFill>
                </w14:textFill>
              </w:rPr>
              <w:t>建设单位(盖章)：</w:t>
            </w:r>
          </w:p>
        </w:tc>
        <w:tc>
          <w:tcPr>
            <w:tcW w:w="3428" w:type="pct"/>
            <w:tcBorders>
              <w:top w:val="single" w:color="auto" w:sz="4" w:space="0"/>
              <w:bottom w:val="single" w:color="auto" w:sz="4" w:space="0"/>
            </w:tcBorders>
            <w:shd w:val="clear" w:color="auto" w:fill="auto"/>
            <w:vAlign w:val="center"/>
          </w:tcPr>
          <w:p w14:paraId="74C81DF7">
            <w:pPr>
              <w:spacing w:line="360" w:lineRule="exact"/>
              <w:jc w:val="center"/>
              <w:rPr>
                <w:rFonts w:hint="default" w:ascii="Times New Roman" w:hAnsi="Times New Roman" w:eastAsia="仿宋" w:cs="Times New Roman"/>
                <w:color w:val="000000" w:themeColor="text1"/>
                <w:sz w:val="36"/>
                <w:szCs w:val="36"/>
                <w:highlight w:val="none"/>
                <w:lang w:eastAsia="zh-CN"/>
                <w14:textFill>
                  <w14:solidFill>
                    <w14:schemeClr w14:val="tx1"/>
                  </w14:solidFill>
                </w14:textFill>
              </w:rPr>
            </w:pPr>
            <w:r>
              <w:rPr>
                <w:rFonts w:hint="default" w:ascii="Times New Roman" w:hAnsi="Times New Roman" w:eastAsia="仿宋" w:cs="Times New Roman"/>
                <w:b/>
                <w:bCs/>
                <w:color w:val="000000" w:themeColor="text1"/>
                <w:sz w:val="36"/>
                <w:szCs w:val="36"/>
                <w:highlight w:val="none"/>
                <w:lang w:eastAsia="zh-CN"/>
                <w14:textFill>
                  <w14:solidFill>
                    <w14:schemeClr w14:val="tx1"/>
                  </w14:solidFill>
                </w14:textFill>
              </w:rPr>
              <w:t>广西中马投控分布式能源有限公司</w:t>
            </w:r>
          </w:p>
        </w:tc>
      </w:tr>
      <w:tr w14:paraId="6A934891">
        <w:tblPrEx>
          <w:tblCellMar>
            <w:top w:w="0" w:type="dxa"/>
            <w:left w:w="0" w:type="dxa"/>
            <w:bottom w:w="0" w:type="dxa"/>
            <w:right w:w="0" w:type="dxa"/>
          </w:tblCellMar>
        </w:tblPrEx>
        <w:trPr>
          <w:jc w:val="center"/>
        </w:trPr>
        <w:tc>
          <w:tcPr>
            <w:tcW w:w="1571" w:type="pct"/>
            <w:shd w:val="clear" w:color="auto" w:fill="auto"/>
            <w:vAlign w:val="center"/>
          </w:tcPr>
          <w:p w14:paraId="430B2E97">
            <w:pPr>
              <w:spacing w:line="640" w:lineRule="exact"/>
              <w:jc w:val="distribute"/>
              <w:rPr>
                <w:rFonts w:hint="default" w:ascii="Times New Roman" w:hAnsi="Times New Roman" w:cs="Times New Roman"/>
                <w:color w:val="000000" w:themeColor="text1"/>
                <w:sz w:val="22"/>
                <w:szCs w:val="22"/>
                <w:highlight w:val="none"/>
                <w14:textFill>
                  <w14:solidFill>
                    <w14:schemeClr w14:val="tx1"/>
                  </w14:solidFill>
                </w14:textFill>
              </w:rPr>
            </w:pPr>
            <w:r>
              <w:rPr>
                <w:rFonts w:hint="default" w:ascii="Times New Roman" w:hAnsi="Times New Roman" w:eastAsia="微软雅黑" w:cs="Times New Roman"/>
                <w:color w:val="000000" w:themeColor="text1"/>
                <w:sz w:val="32"/>
                <w:szCs w:val="32"/>
                <w:highlight w:val="none"/>
                <w14:textFill>
                  <w14:solidFill>
                    <w14:schemeClr w14:val="tx1"/>
                  </w14:solidFill>
                </w14:textFill>
              </w:rPr>
              <w:t>编制日期：</w:t>
            </w:r>
          </w:p>
        </w:tc>
        <w:tc>
          <w:tcPr>
            <w:tcW w:w="3428" w:type="pct"/>
            <w:tcBorders>
              <w:top w:val="single" w:color="auto" w:sz="4" w:space="0"/>
              <w:bottom w:val="single" w:color="auto" w:sz="4" w:space="0"/>
            </w:tcBorders>
            <w:shd w:val="clear" w:color="auto" w:fill="auto"/>
            <w:vAlign w:val="center"/>
          </w:tcPr>
          <w:p w14:paraId="21742F12">
            <w:pPr>
              <w:spacing w:line="640" w:lineRule="exact"/>
              <w:jc w:val="center"/>
              <w:rPr>
                <w:rFonts w:hint="default" w:ascii="Times New Roman" w:hAnsi="Times New Roman" w:eastAsia="仿宋" w:cs="Times New Roman"/>
                <w:color w:val="000000" w:themeColor="text1"/>
                <w:sz w:val="36"/>
                <w:szCs w:val="36"/>
                <w:highlight w:val="none"/>
                <w14:textFill>
                  <w14:solidFill>
                    <w14:schemeClr w14:val="tx1"/>
                  </w14:solidFill>
                </w14:textFill>
              </w:rPr>
            </w:pPr>
            <w:r>
              <w:rPr>
                <w:rFonts w:hint="default" w:ascii="Times New Roman" w:hAnsi="Times New Roman" w:eastAsia="仿宋" w:cs="Times New Roman"/>
                <w:color w:val="000000" w:themeColor="text1"/>
                <w:sz w:val="36"/>
                <w:szCs w:val="36"/>
                <w:highlight w:val="none"/>
                <w14:textFill>
                  <w14:solidFill>
                    <w14:schemeClr w14:val="tx1"/>
                  </w14:solidFill>
                </w14:textFill>
              </w:rPr>
              <w:t>2025年</w:t>
            </w:r>
            <w:r>
              <w:rPr>
                <w:rFonts w:hint="eastAsia" w:eastAsia="仿宋" w:cs="Times New Roman"/>
                <w:color w:val="000000" w:themeColor="text1"/>
                <w:sz w:val="36"/>
                <w:szCs w:val="36"/>
                <w:highlight w:val="none"/>
                <w:lang w:val="en-US" w:eastAsia="zh-CN"/>
                <w14:textFill>
                  <w14:solidFill>
                    <w14:schemeClr w14:val="tx1"/>
                  </w14:solidFill>
                </w14:textFill>
              </w:rPr>
              <w:t>7</w:t>
            </w:r>
            <w:r>
              <w:rPr>
                <w:rFonts w:hint="default" w:ascii="Times New Roman" w:hAnsi="Times New Roman" w:eastAsia="仿宋" w:cs="Times New Roman"/>
                <w:color w:val="000000" w:themeColor="text1"/>
                <w:sz w:val="36"/>
                <w:szCs w:val="36"/>
                <w:highlight w:val="none"/>
                <w14:textFill>
                  <w14:solidFill>
                    <w14:schemeClr w14:val="tx1"/>
                  </w14:solidFill>
                </w14:textFill>
              </w:rPr>
              <w:t>月</w:t>
            </w:r>
          </w:p>
        </w:tc>
      </w:tr>
    </w:tbl>
    <w:p w14:paraId="108442D4">
      <w:pPr>
        <w:adjustRightInd w:val="0"/>
        <w:snapToGrid w:val="0"/>
        <w:spacing w:line="288" w:lineRule="auto"/>
        <w:jc w:val="center"/>
        <w:rPr>
          <w:rFonts w:hint="default" w:ascii="Times New Roman" w:hAnsi="Times New Roman" w:eastAsia="华文楷体" w:cs="Times New Roman"/>
          <w:color w:val="000000" w:themeColor="text1"/>
          <w:sz w:val="36"/>
          <w:szCs w:val="36"/>
          <w:highlight w:val="none"/>
          <w14:textFill>
            <w14:solidFill>
              <w14:schemeClr w14:val="tx1"/>
            </w14:solidFill>
          </w14:textFill>
        </w:rPr>
      </w:pPr>
    </w:p>
    <w:p w14:paraId="6F3309D4">
      <w:pPr>
        <w:adjustRightInd w:val="0"/>
        <w:snapToGrid w:val="0"/>
        <w:spacing w:line="288" w:lineRule="auto"/>
        <w:jc w:val="center"/>
        <w:rPr>
          <w:rFonts w:hint="default" w:ascii="Times New Roman" w:hAnsi="Times New Roman" w:eastAsia="华文楷体" w:cs="Times New Roman"/>
          <w:color w:val="000000" w:themeColor="text1"/>
          <w:sz w:val="36"/>
          <w:szCs w:val="36"/>
          <w:highlight w:val="none"/>
          <w14:textFill>
            <w14:solidFill>
              <w14:schemeClr w14:val="tx1"/>
            </w14:solidFill>
          </w14:textFill>
        </w:rPr>
        <w:sectPr>
          <w:footerReference r:id="rId3"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r>
        <w:rPr>
          <w:rFonts w:hint="default" w:ascii="Times New Roman" w:hAnsi="Times New Roman" w:eastAsia="华文楷体" w:cs="Times New Roman"/>
          <w:color w:val="000000" w:themeColor="text1"/>
          <w:sz w:val="36"/>
          <w:szCs w:val="36"/>
          <w:highlight w:val="none"/>
          <w14:textFill>
            <w14:solidFill>
              <w14:schemeClr w14:val="tx1"/>
            </w14:solidFill>
          </w14:textFill>
        </w:rPr>
        <w:t>中华人民共和国生态环境部制</w:t>
      </w:r>
    </w:p>
    <w:p w14:paraId="1844C758">
      <w:pPr>
        <w:pStyle w:val="13"/>
        <w:tabs>
          <w:tab w:val="right" w:leader="dot" w:pos="8306"/>
        </w:tabs>
        <w:jc w:val="center"/>
        <w:rPr>
          <w:rFonts w:hint="eastAsia" w:eastAsia="宋体"/>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目  录</w:t>
      </w:r>
    </w:p>
    <w:p w14:paraId="31111294">
      <w:pPr>
        <w:pStyle w:val="13"/>
        <w:tabs>
          <w:tab w:val="right" w:leader="dot" w:pos="830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TOC \o "1-1" \h \u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_Toc20706 </w:instrText>
      </w:r>
      <w:r>
        <w:rPr>
          <w:color w:val="000000" w:themeColor="text1"/>
          <w14:textFill>
            <w14:solidFill>
              <w14:schemeClr w14:val="tx1"/>
            </w14:solidFill>
          </w14:textFill>
        </w:rPr>
        <w:fldChar w:fldCharType="separate"/>
      </w:r>
      <w:r>
        <w:rPr>
          <w:rFonts w:hint="eastAsia" w:ascii="Times New Roman" w:hAnsi="Times New Roman" w:cs="Times New Roman"/>
          <w:snapToGrid w:val="0"/>
          <w:color w:val="000000" w:themeColor="text1"/>
          <w14:textFill>
            <w14:solidFill>
              <w14:schemeClr w14:val="tx1"/>
            </w14:solidFill>
          </w14:textFill>
        </w:rPr>
        <w:t xml:space="preserve">一、 </w:t>
      </w:r>
      <w:r>
        <w:rPr>
          <w:rFonts w:hint="default" w:ascii="Times New Roman" w:hAnsi="Times New Roman" w:cs="Times New Roman"/>
          <w:snapToGrid w:val="0"/>
          <w:color w:val="000000" w:themeColor="text1"/>
          <w:highlight w:val="none"/>
          <w14:textFill>
            <w14:solidFill>
              <w14:schemeClr w14:val="tx1"/>
            </w14:solidFill>
          </w14:textFill>
        </w:rPr>
        <w:t>建设项目基本情况</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_Toc20706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0C6A1216">
      <w:pPr>
        <w:pStyle w:val="13"/>
        <w:tabs>
          <w:tab w:val="right" w:leader="dot" w:pos="830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 </w:instrText>
      </w:r>
      <w:r>
        <w:rPr>
          <w:color w:val="000000" w:themeColor="text1"/>
          <w14:textFill>
            <w14:solidFill>
              <w14:schemeClr w14:val="tx1"/>
            </w14:solidFill>
          </w14:textFill>
        </w:rPr>
        <w:fldChar w:fldCharType="separate"/>
      </w:r>
      <w:r>
        <w:rPr>
          <w:rFonts w:hint="eastAsia" w:ascii="Times New Roman" w:hAnsi="Times New Roman" w:cs="Times New Roman"/>
          <w:color w:val="000000" w:themeColor="text1"/>
          <w14:textFill>
            <w14:solidFill>
              <w14:schemeClr w14:val="tx1"/>
            </w14:solidFill>
          </w14:textFill>
        </w:rPr>
        <w:t xml:space="preserve">二、 </w:t>
      </w:r>
      <w:r>
        <w:rPr>
          <w:rFonts w:hint="default" w:ascii="Times New Roman" w:hAnsi="Times New Roman" w:cs="Times New Roman"/>
          <w:snapToGrid w:val="0"/>
          <w:color w:val="000000" w:themeColor="text1"/>
          <w:highlight w:val="none"/>
          <w14:textFill>
            <w14:solidFill>
              <w14:schemeClr w14:val="tx1"/>
            </w14:solidFill>
          </w14:textFill>
        </w:rPr>
        <w:t>建设项目工程分析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3D129200">
      <w:pPr>
        <w:pStyle w:val="13"/>
        <w:tabs>
          <w:tab w:val="right" w:leader="dot" w:pos="830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_Toc10588 </w:instrText>
      </w:r>
      <w:r>
        <w:rPr>
          <w:color w:val="000000" w:themeColor="text1"/>
          <w14:textFill>
            <w14:solidFill>
              <w14:schemeClr w14:val="tx1"/>
            </w14:solidFill>
          </w14:textFill>
        </w:rPr>
        <w:fldChar w:fldCharType="separate"/>
      </w:r>
      <w:r>
        <w:rPr>
          <w:rFonts w:hint="default" w:ascii="Times New Roman" w:hAnsi="Times New Roman" w:cs="Times New Roman"/>
          <w:color w:val="000000" w:themeColor="text1"/>
          <w:highlight w:val="none"/>
          <w14:textFill>
            <w14:solidFill>
              <w14:schemeClr w14:val="tx1"/>
            </w14:solidFill>
          </w14:textFill>
        </w:rPr>
        <w:t>三、项目组成</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597BCFBD">
      <w:pPr>
        <w:pStyle w:val="13"/>
        <w:tabs>
          <w:tab w:val="right" w:leader="dot" w:pos="830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_Toc26507 </w:instrText>
      </w:r>
      <w:r>
        <w:rPr>
          <w:color w:val="000000" w:themeColor="text1"/>
          <w14:textFill>
            <w14:solidFill>
              <w14:schemeClr w14:val="tx1"/>
            </w14:solidFill>
          </w14:textFill>
        </w:rPr>
        <w:fldChar w:fldCharType="separate"/>
      </w:r>
      <w:r>
        <w:rPr>
          <w:rFonts w:hint="eastAsia" w:ascii="Times New Roman" w:hAnsi="Times New Roman" w:cs="Times New Roman"/>
          <w:snapToGrid w:val="0"/>
          <w:color w:val="000000" w:themeColor="text1"/>
          <w14:textFill>
            <w14:solidFill>
              <w14:schemeClr w14:val="tx1"/>
            </w14:solidFill>
          </w14:textFill>
        </w:rPr>
        <w:t xml:space="preserve">三、 </w:t>
      </w:r>
      <w:r>
        <w:rPr>
          <w:rFonts w:hint="default" w:ascii="Times New Roman" w:hAnsi="Times New Roman" w:cs="Times New Roman"/>
          <w:snapToGrid w:val="0"/>
          <w:color w:val="000000" w:themeColor="text1"/>
          <w:highlight w:val="none"/>
          <w14:textFill>
            <w14:solidFill>
              <w14:schemeClr w14:val="tx1"/>
            </w14:solidFill>
          </w14:textFill>
        </w:rPr>
        <w:t>区域环境质量现状、环境保护目标及评价标准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_Toc26507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6EA372AC">
      <w:pPr>
        <w:pStyle w:val="13"/>
        <w:tabs>
          <w:tab w:val="right" w:leader="dot" w:pos="830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_Toc8967 </w:instrText>
      </w:r>
      <w:r>
        <w:rPr>
          <w:color w:val="000000" w:themeColor="text1"/>
          <w14:textFill>
            <w14:solidFill>
              <w14:schemeClr w14:val="tx1"/>
            </w14:solidFill>
          </w14:textFill>
        </w:rPr>
        <w:fldChar w:fldCharType="separate"/>
      </w:r>
      <w:r>
        <w:rPr>
          <w:rFonts w:hint="eastAsia" w:ascii="Times New Roman" w:hAnsi="Times New Roman" w:cs="Times New Roman"/>
          <w:snapToGrid w:val="0"/>
          <w:color w:val="000000" w:themeColor="text1"/>
          <w14:textFill>
            <w14:solidFill>
              <w14:schemeClr w14:val="tx1"/>
            </w14:solidFill>
          </w14:textFill>
        </w:rPr>
        <w:t xml:space="preserve">四、 </w:t>
      </w:r>
      <w:r>
        <w:rPr>
          <w:rFonts w:hint="default" w:ascii="Times New Roman" w:hAnsi="Times New Roman" w:cs="Times New Roman"/>
          <w:snapToGrid w:val="0"/>
          <w:color w:val="000000" w:themeColor="text1"/>
          <w:highlight w:val="none"/>
          <w14:textFill>
            <w14:solidFill>
              <w14:schemeClr w14:val="tx1"/>
            </w14:solidFill>
          </w14:textFill>
        </w:rPr>
        <w:t>主要环境影响和保护措施</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_Toc8967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7012ED6A">
      <w:pPr>
        <w:pStyle w:val="13"/>
        <w:tabs>
          <w:tab w:val="right" w:leader="dot" w:pos="830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_Toc25261 </w:instrText>
      </w:r>
      <w:r>
        <w:rPr>
          <w:color w:val="000000" w:themeColor="text1"/>
          <w14:textFill>
            <w14:solidFill>
              <w14:schemeClr w14:val="tx1"/>
            </w14:solidFill>
          </w14:textFill>
        </w:rPr>
        <w:fldChar w:fldCharType="separate"/>
      </w:r>
      <w:r>
        <w:rPr>
          <w:rFonts w:hint="eastAsia" w:ascii="Times New Roman" w:hAnsi="Times New Roman" w:cs="Times New Roman"/>
          <w:snapToGrid w:val="0"/>
          <w:color w:val="000000" w:themeColor="text1"/>
          <w14:textFill>
            <w14:solidFill>
              <w14:schemeClr w14:val="tx1"/>
            </w14:solidFill>
          </w14:textFill>
        </w:rPr>
        <w:t xml:space="preserve">五、 </w:t>
      </w:r>
      <w:r>
        <w:rPr>
          <w:rFonts w:hint="default" w:ascii="Times New Roman" w:hAnsi="Times New Roman" w:cs="Times New Roman"/>
          <w:snapToGrid w:val="0"/>
          <w:color w:val="000000" w:themeColor="text1"/>
          <w:highlight w:val="none"/>
          <w14:textFill>
            <w14:solidFill>
              <w14:schemeClr w14:val="tx1"/>
            </w14:solidFill>
          </w14:textFill>
        </w:rPr>
        <w:t>环境保护措施监督检查清单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_Toc25261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23F66F3E">
      <w:pPr>
        <w:pStyle w:val="13"/>
        <w:tabs>
          <w:tab w:val="right" w:leader="dot" w:pos="8306"/>
        </w:tabs>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_Toc4317 </w:instrText>
      </w:r>
      <w:r>
        <w:rPr>
          <w:color w:val="000000" w:themeColor="text1"/>
          <w14:textFill>
            <w14:solidFill>
              <w14:schemeClr w14:val="tx1"/>
            </w14:solidFill>
          </w14:textFill>
        </w:rPr>
        <w:fldChar w:fldCharType="separate"/>
      </w:r>
      <w:r>
        <w:rPr>
          <w:rFonts w:hint="eastAsia" w:ascii="Times New Roman" w:hAnsi="Times New Roman" w:cs="Times New Roman"/>
          <w:snapToGrid w:val="0"/>
          <w:color w:val="000000" w:themeColor="text1"/>
          <w14:textFill>
            <w14:solidFill>
              <w14:schemeClr w14:val="tx1"/>
            </w14:solidFill>
          </w14:textFill>
        </w:rPr>
        <w:t xml:space="preserve">六、 </w:t>
      </w:r>
      <w:r>
        <w:rPr>
          <w:rFonts w:hint="default" w:ascii="Times New Roman" w:hAnsi="Times New Roman" w:cs="Times New Roman"/>
          <w:snapToGrid w:val="0"/>
          <w:color w:val="000000" w:themeColor="text1"/>
          <w:highlight w:val="none"/>
          <w14:textFill>
            <w14:solidFill>
              <w14:schemeClr w14:val="tx1"/>
            </w14:solidFill>
          </w14:textFill>
        </w:rPr>
        <w:t>结论</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_Toc4317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14:paraId="49CA8DCF">
      <w:pPr>
        <w:rPr>
          <w:color w:val="000000" w:themeColor="text1"/>
          <w14:textFill>
            <w14:solidFill>
              <w14:schemeClr w14:val="tx1"/>
            </w14:solidFill>
          </w14:textFill>
        </w:rPr>
      </w:pPr>
      <w:r>
        <w:rPr>
          <w:color w:val="000000" w:themeColor="text1"/>
          <w14:textFill>
            <w14:solidFill>
              <w14:schemeClr w14:val="tx1"/>
            </w14:solidFill>
          </w14:textFill>
        </w:rPr>
        <w:fldChar w:fldCharType="end"/>
      </w:r>
    </w:p>
    <w:p w14:paraId="2CF35A1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附图附件</w:t>
      </w:r>
    </w:p>
    <w:p w14:paraId="71257CC5">
      <w:pPr>
        <w:pStyle w:val="4"/>
        <w:ind w:firstLine="480"/>
        <w:rPr>
          <w:rFonts w:hint="default" w:ascii="Times New Roman" w:hAnsi="Times New Roman" w:cs="Times New Roman"/>
          <w:color w:val="000000" w:themeColor="text1"/>
          <w:sz w:val="22"/>
          <w:szCs w:val="22"/>
          <w:highlight w:val="none"/>
          <w14:textFill>
            <w14:solidFill>
              <w14:schemeClr w14:val="tx1"/>
            </w14:solidFill>
          </w14:textFill>
        </w:rPr>
      </w:pPr>
      <w:r>
        <w:rPr>
          <w:rFonts w:hint="default" w:ascii="Times New Roman" w:hAnsi="Times New Roman" w:cs="Times New Roman"/>
          <w:color w:val="000000" w:themeColor="text1"/>
          <w:sz w:val="22"/>
          <w:szCs w:val="22"/>
          <w:highlight w:val="none"/>
          <w14:textFill>
            <w14:solidFill>
              <w14:schemeClr w14:val="tx1"/>
            </w14:solidFill>
          </w14:textFill>
        </w:rPr>
        <w:t>附图1</w:t>
      </w:r>
      <w:r>
        <w:rPr>
          <w:rFonts w:hint="eastAsia" w:cs="Times New Roman"/>
          <w:color w:val="000000" w:themeColor="text1"/>
          <w:sz w:val="22"/>
          <w:szCs w:val="22"/>
          <w:highlight w:val="none"/>
          <w:lang w:eastAsia="zh-CN"/>
          <w14:textFill>
            <w14:solidFill>
              <w14:schemeClr w14:val="tx1"/>
            </w14:solidFill>
          </w14:textFill>
        </w:rPr>
        <w:t>：</w:t>
      </w:r>
      <w:r>
        <w:rPr>
          <w:rFonts w:hint="default" w:ascii="Times New Roman" w:hAnsi="Times New Roman" w:cs="Times New Roman"/>
          <w:color w:val="000000" w:themeColor="text1"/>
          <w:sz w:val="22"/>
          <w:szCs w:val="22"/>
          <w:highlight w:val="none"/>
          <w14:textFill>
            <w14:solidFill>
              <w14:schemeClr w14:val="tx1"/>
            </w14:solidFill>
          </w14:textFill>
        </w:rPr>
        <w:t>地理位置图</w:t>
      </w:r>
    </w:p>
    <w:p w14:paraId="0B13A9BE">
      <w:pPr>
        <w:pStyle w:val="4"/>
        <w:ind w:firstLine="480"/>
        <w:rPr>
          <w:rFonts w:hint="default" w:ascii="Times New Roman" w:hAnsi="Times New Roman" w:cs="Times New Roman"/>
          <w:color w:val="000000" w:themeColor="text1"/>
          <w:sz w:val="22"/>
          <w:szCs w:val="22"/>
          <w:highlight w:val="none"/>
          <w14:textFill>
            <w14:solidFill>
              <w14:schemeClr w14:val="tx1"/>
            </w14:solidFill>
          </w14:textFill>
        </w:rPr>
      </w:pPr>
      <w:r>
        <w:rPr>
          <w:rFonts w:hint="default" w:ascii="Times New Roman" w:hAnsi="Times New Roman" w:cs="Times New Roman"/>
          <w:color w:val="000000" w:themeColor="text1"/>
          <w:sz w:val="22"/>
          <w:szCs w:val="22"/>
          <w:highlight w:val="none"/>
          <w14:textFill>
            <w14:solidFill>
              <w14:schemeClr w14:val="tx1"/>
            </w14:solidFill>
          </w14:textFill>
        </w:rPr>
        <w:t>附图2-1</w:t>
      </w:r>
      <w:r>
        <w:rPr>
          <w:rFonts w:hint="eastAsia" w:cs="Times New Roman"/>
          <w:color w:val="000000" w:themeColor="text1"/>
          <w:sz w:val="22"/>
          <w:szCs w:val="22"/>
          <w:highlight w:val="none"/>
          <w:lang w:eastAsia="zh-CN"/>
          <w14:textFill>
            <w14:solidFill>
              <w14:schemeClr w14:val="tx1"/>
            </w14:solidFill>
          </w14:textFill>
        </w:rPr>
        <w:t>：</w:t>
      </w:r>
      <w:r>
        <w:rPr>
          <w:rFonts w:hint="default" w:ascii="Times New Roman" w:hAnsi="Times New Roman" w:cs="Times New Roman"/>
          <w:color w:val="000000" w:themeColor="text1"/>
          <w:sz w:val="22"/>
          <w:szCs w:val="22"/>
          <w:highlight w:val="none"/>
          <w14:textFill>
            <w14:solidFill>
              <w14:schemeClr w14:val="tx1"/>
            </w14:solidFill>
          </w14:textFill>
        </w:rPr>
        <w:t>总平面布置图</w:t>
      </w:r>
    </w:p>
    <w:p w14:paraId="3C74586D">
      <w:pPr>
        <w:pStyle w:val="4"/>
        <w:ind w:firstLine="480"/>
        <w:rPr>
          <w:rFonts w:hint="default" w:ascii="Times New Roman" w:hAnsi="Times New Roman" w:cs="Times New Roman"/>
          <w:color w:val="000000" w:themeColor="text1"/>
          <w:sz w:val="22"/>
          <w:szCs w:val="22"/>
          <w:highlight w:val="none"/>
          <w14:textFill>
            <w14:solidFill>
              <w14:schemeClr w14:val="tx1"/>
            </w14:solidFill>
          </w14:textFill>
        </w:rPr>
      </w:pPr>
      <w:r>
        <w:rPr>
          <w:rFonts w:hint="default" w:ascii="Times New Roman" w:hAnsi="Times New Roman" w:cs="Times New Roman"/>
          <w:color w:val="000000" w:themeColor="text1"/>
          <w:sz w:val="22"/>
          <w:szCs w:val="22"/>
          <w:highlight w:val="none"/>
          <w14:textFill>
            <w14:solidFill>
              <w14:schemeClr w14:val="tx1"/>
            </w14:solidFill>
          </w14:textFill>
        </w:rPr>
        <w:t>附图2-2</w:t>
      </w:r>
      <w:r>
        <w:rPr>
          <w:rFonts w:hint="eastAsia" w:cs="Times New Roman"/>
          <w:color w:val="000000" w:themeColor="text1"/>
          <w:sz w:val="22"/>
          <w:szCs w:val="22"/>
          <w:highlight w:val="none"/>
          <w:lang w:eastAsia="zh-CN"/>
          <w14:textFill>
            <w14:solidFill>
              <w14:schemeClr w14:val="tx1"/>
            </w14:solidFill>
          </w14:textFill>
        </w:rPr>
        <w:t>：</w:t>
      </w:r>
      <w:r>
        <w:rPr>
          <w:rFonts w:hint="default" w:ascii="Times New Roman" w:hAnsi="Times New Roman" w:cs="Times New Roman"/>
          <w:color w:val="000000" w:themeColor="text1"/>
          <w:sz w:val="22"/>
          <w:szCs w:val="22"/>
          <w:highlight w:val="none"/>
          <w14:textFill>
            <w14:solidFill>
              <w14:schemeClr w14:val="tx1"/>
            </w14:solidFill>
          </w14:textFill>
        </w:rPr>
        <w:t>锅炉房设备布置图</w:t>
      </w:r>
    </w:p>
    <w:p w14:paraId="2BFD371A">
      <w:pPr>
        <w:pStyle w:val="4"/>
        <w:ind w:firstLine="480"/>
        <w:rPr>
          <w:rFonts w:hint="default" w:ascii="Times New Roman" w:hAnsi="Times New Roman" w:cs="Times New Roman"/>
          <w:color w:val="000000" w:themeColor="text1"/>
          <w:sz w:val="22"/>
          <w:szCs w:val="22"/>
          <w:highlight w:val="none"/>
          <w14:textFill>
            <w14:solidFill>
              <w14:schemeClr w14:val="tx1"/>
            </w14:solidFill>
          </w14:textFill>
        </w:rPr>
      </w:pPr>
      <w:r>
        <w:rPr>
          <w:rFonts w:hint="default" w:ascii="Times New Roman" w:hAnsi="Times New Roman" w:cs="Times New Roman"/>
          <w:color w:val="000000" w:themeColor="text1"/>
          <w:sz w:val="22"/>
          <w:szCs w:val="22"/>
          <w:highlight w:val="none"/>
          <w14:textFill>
            <w14:solidFill>
              <w14:schemeClr w14:val="tx1"/>
            </w14:solidFill>
          </w14:textFill>
        </w:rPr>
        <w:t>附图3</w:t>
      </w:r>
      <w:r>
        <w:rPr>
          <w:rFonts w:hint="eastAsia" w:cs="Times New Roman"/>
          <w:color w:val="000000" w:themeColor="text1"/>
          <w:sz w:val="22"/>
          <w:szCs w:val="22"/>
          <w:highlight w:val="none"/>
          <w:lang w:eastAsia="zh-CN"/>
          <w14:textFill>
            <w14:solidFill>
              <w14:schemeClr w14:val="tx1"/>
            </w14:solidFill>
          </w14:textFill>
        </w:rPr>
        <w:t>：</w:t>
      </w:r>
      <w:r>
        <w:rPr>
          <w:rFonts w:hint="default" w:ascii="Times New Roman" w:hAnsi="Times New Roman" w:cs="Times New Roman"/>
          <w:color w:val="000000" w:themeColor="text1"/>
          <w:sz w:val="22"/>
          <w:szCs w:val="22"/>
          <w:highlight w:val="none"/>
          <w14:textFill>
            <w14:solidFill>
              <w14:schemeClr w14:val="tx1"/>
            </w14:solidFill>
          </w14:textFill>
        </w:rPr>
        <w:t>项目周边关系及环境保护目标分布图</w:t>
      </w:r>
    </w:p>
    <w:p w14:paraId="126F8494">
      <w:pPr>
        <w:pStyle w:val="4"/>
        <w:ind w:firstLine="480"/>
        <w:rPr>
          <w:rFonts w:hint="default" w:ascii="Times New Roman" w:hAnsi="Times New Roman" w:cs="Times New Roman"/>
          <w:color w:val="000000" w:themeColor="text1"/>
          <w:sz w:val="22"/>
          <w:szCs w:val="22"/>
          <w:highlight w:val="none"/>
          <w14:textFill>
            <w14:solidFill>
              <w14:schemeClr w14:val="tx1"/>
            </w14:solidFill>
          </w14:textFill>
        </w:rPr>
      </w:pPr>
      <w:r>
        <w:rPr>
          <w:rFonts w:hint="default" w:ascii="Times New Roman" w:hAnsi="Times New Roman" w:cs="Times New Roman"/>
          <w:color w:val="000000" w:themeColor="text1"/>
          <w:sz w:val="22"/>
          <w:szCs w:val="22"/>
          <w:highlight w:val="none"/>
          <w14:textFill>
            <w14:solidFill>
              <w14:schemeClr w14:val="tx1"/>
            </w14:solidFill>
          </w14:textFill>
        </w:rPr>
        <w:t>附图4</w:t>
      </w:r>
      <w:r>
        <w:rPr>
          <w:rFonts w:hint="eastAsia" w:cs="Times New Roman"/>
          <w:color w:val="000000" w:themeColor="text1"/>
          <w:sz w:val="22"/>
          <w:szCs w:val="22"/>
          <w:highlight w:val="none"/>
          <w:lang w:eastAsia="zh-CN"/>
          <w14:textFill>
            <w14:solidFill>
              <w14:schemeClr w14:val="tx1"/>
            </w14:solidFill>
          </w14:textFill>
        </w:rPr>
        <w:t>：</w:t>
      </w:r>
      <w:r>
        <w:rPr>
          <w:rFonts w:hint="default" w:ascii="Times New Roman" w:hAnsi="Times New Roman" w:cs="Times New Roman"/>
          <w:color w:val="000000" w:themeColor="text1"/>
          <w:sz w:val="22"/>
          <w:szCs w:val="22"/>
          <w:highlight w:val="none"/>
          <w14:textFill>
            <w14:solidFill>
              <w14:schemeClr w14:val="tx1"/>
            </w14:solidFill>
          </w14:textFill>
        </w:rPr>
        <w:t>项目与环境管控单元位置关系图</w:t>
      </w:r>
    </w:p>
    <w:p w14:paraId="6862EADC">
      <w:pPr>
        <w:pStyle w:val="4"/>
        <w:ind w:firstLine="480"/>
        <w:rPr>
          <w:rFonts w:hint="eastAsia" w:ascii="Times New Roman" w:hAnsi="Times New Roman" w:eastAsia="宋体" w:cs="Times New Roman"/>
          <w:b w:val="0"/>
          <w:snapToGrid w:val="0"/>
          <w:color w:val="000000" w:themeColor="text1"/>
          <w:sz w:val="22"/>
          <w:szCs w:val="22"/>
          <w:highlight w:val="none"/>
          <w:u w:val="single"/>
          <w:lang w:val="en-US" w:eastAsia="zh-CN" w:bidi="ar-SA"/>
          <w14:textFill>
            <w14:solidFill>
              <w14:schemeClr w14:val="tx1"/>
            </w14:solidFill>
          </w14:textFill>
          <w14:ligatures w14:val="standardContextual"/>
        </w:rPr>
      </w:pPr>
      <w:r>
        <w:rPr>
          <w:rFonts w:hint="eastAsia" w:ascii="Times New Roman" w:hAnsi="Times New Roman" w:eastAsia="宋体" w:cs="Times New Roman"/>
          <w:b w:val="0"/>
          <w:snapToGrid w:val="0"/>
          <w:color w:val="000000" w:themeColor="text1"/>
          <w:sz w:val="22"/>
          <w:szCs w:val="22"/>
          <w:highlight w:val="none"/>
          <w:u w:val="single"/>
          <w:lang w:val="en-US" w:eastAsia="zh-CN" w:bidi="ar-SA"/>
          <w14:textFill>
            <w14:solidFill>
              <w14:schemeClr w14:val="tx1"/>
            </w14:solidFill>
          </w14:textFill>
          <w14:ligatures w14:val="standardContextual"/>
        </w:rPr>
        <w:t>附图5：项目与土地利用规划位置关系图</w:t>
      </w:r>
    </w:p>
    <w:p w14:paraId="09FE438C">
      <w:pPr>
        <w:pStyle w:val="4"/>
        <w:ind w:firstLine="480"/>
        <w:rPr>
          <w:rFonts w:hint="default" w:ascii="Times New Roman" w:hAnsi="Times New Roman" w:cs="Times New Roman"/>
          <w:color w:val="000000" w:themeColor="text1"/>
          <w:sz w:val="22"/>
          <w:szCs w:val="22"/>
          <w:highlight w:val="none"/>
          <w14:textFill>
            <w14:solidFill>
              <w14:schemeClr w14:val="tx1"/>
            </w14:solidFill>
          </w14:textFill>
        </w:rPr>
      </w:pPr>
      <w:r>
        <w:rPr>
          <w:rFonts w:hint="default" w:ascii="Times New Roman" w:hAnsi="Times New Roman" w:cs="Times New Roman"/>
          <w:color w:val="000000" w:themeColor="text1"/>
          <w:sz w:val="22"/>
          <w:szCs w:val="22"/>
          <w:highlight w:val="none"/>
          <w14:textFill>
            <w14:solidFill>
              <w14:schemeClr w14:val="tx1"/>
            </w14:solidFill>
          </w14:textFill>
        </w:rPr>
        <w:t>附图</w:t>
      </w:r>
      <w:r>
        <w:rPr>
          <w:rFonts w:hint="eastAsia" w:cs="Times New Roman"/>
          <w:color w:val="000000" w:themeColor="text1"/>
          <w:sz w:val="22"/>
          <w:szCs w:val="22"/>
          <w:highlight w:val="none"/>
          <w:lang w:val="en-US" w:eastAsia="zh-CN"/>
          <w14:textFill>
            <w14:solidFill>
              <w14:schemeClr w14:val="tx1"/>
            </w14:solidFill>
          </w14:textFill>
        </w:rPr>
        <w:t>6</w:t>
      </w:r>
      <w:r>
        <w:rPr>
          <w:rFonts w:hint="eastAsia" w:cs="Times New Roman"/>
          <w:color w:val="000000" w:themeColor="text1"/>
          <w:sz w:val="22"/>
          <w:szCs w:val="22"/>
          <w:highlight w:val="none"/>
          <w:lang w:eastAsia="zh-CN"/>
          <w14:textFill>
            <w14:solidFill>
              <w14:schemeClr w14:val="tx1"/>
            </w14:solidFill>
          </w14:textFill>
        </w:rPr>
        <w:t>：</w:t>
      </w:r>
      <w:r>
        <w:rPr>
          <w:rFonts w:hint="default" w:ascii="Times New Roman" w:hAnsi="Times New Roman" w:cs="Times New Roman"/>
          <w:color w:val="000000" w:themeColor="text1"/>
          <w:sz w:val="22"/>
          <w:szCs w:val="22"/>
          <w:highlight w:val="none"/>
          <w14:textFill>
            <w14:solidFill>
              <w14:schemeClr w14:val="tx1"/>
            </w14:solidFill>
          </w14:textFill>
        </w:rPr>
        <w:t>项目现状图</w:t>
      </w:r>
    </w:p>
    <w:p w14:paraId="71E229D2">
      <w:pPr>
        <w:pStyle w:val="4"/>
        <w:ind w:firstLine="480"/>
        <w:rPr>
          <w:rFonts w:hint="default" w:ascii="Times New Roman" w:hAnsi="Times New Roman" w:cs="Times New Roman"/>
          <w:color w:val="000000" w:themeColor="text1"/>
          <w:sz w:val="22"/>
          <w:szCs w:val="22"/>
          <w:highlight w:val="none"/>
          <w:u w:val="single"/>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u w:val="single"/>
          <w:lang w:val="en-US" w:eastAsia="zh-CN"/>
          <w14:textFill>
            <w14:solidFill>
              <w14:schemeClr w14:val="tx1"/>
            </w14:solidFill>
          </w14:textFill>
        </w:rPr>
        <w:t>附图7：项目环境质量现状监测布点图（引用大气自行监测点与项目位置关系图）</w:t>
      </w:r>
    </w:p>
    <w:p w14:paraId="50CE9D00">
      <w:pPr>
        <w:pStyle w:val="4"/>
        <w:ind w:firstLine="480"/>
        <w:rPr>
          <w:rFonts w:hint="eastAsia" w:ascii="Times New Roman" w:hAnsi="Times New Roman" w:cs="Times New Roman"/>
          <w:color w:val="000000" w:themeColor="text1"/>
          <w:sz w:val="22"/>
          <w:szCs w:val="22"/>
          <w:highlight w:val="none"/>
          <w:u w:val="single"/>
          <w:lang w:val="en-US" w:eastAsia="zh-CN"/>
          <w14:textFill>
            <w14:solidFill>
              <w14:schemeClr w14:val="tx1"/>
            </w14:solidFill>
          </w14:textFill>
        </w:rPr>
      </w:pPr>
      <w:r>
        <w:rPr>
          <w:rFonts w:hint="eastAsia" w:ascii="Times New Roman" w:hAnsi="Times New Roman" w:cs="Times New Roman"/>
          <w:color w:val="000000" w:themeColor="text1"/>
          <w:sz w:val="22"/>
          <w:szCs w:val="22"/>
          <w:highlight w:val="none"/>
          <w:u w:val="single"/>
          <w:lang w:val="en-US" w:eastAsia="zh-CN"/>
          <w14:textFill>
            <w14:solidFill>
              <w14:schemeClr w14:val="tx1"/>
            </w14:solidFill>
          </w14:textFill>
        </w:rPr>
        <w:t>附图8：本项目与钦州市高污染燃料禁燃区图关系</w:t>
      </w:r>
    </w:p>
    <w:p w14:paraId="4684DF44">
      <w:pPr>
        <w:pStyle w:val="4"/>
        <w:ind w:firstLine="480"/>
        <w:rPr>
          <w:rFonts w:hint="default" w:ascii="Times New Roman" w:hAnsi="Times New Roman" w:cs="Times New Roman"/>
          <w:color w:val="000000" w:themeColor="text1"/>
          <w:sz w:val="22"/>
          <w:szCs w:val="22"/>
          <w:highlight w:val="none"/>
          <w:u w:val="single"/>
          <w:lang w:val="en-US" w:eastAsia="zh-CN"/>
          <w14:textFill>
            <w14:solidFill>
              <w14:schemeClr w14:val="tx1"/>
            </w14:solidFill>
          </w14:textFill>
        </w:rPr>
      </w:pPr>
      <w:r>
        <w:rPr>
          <w:rFonts w:hint="default" w:ascii="Times New Roman" w:hAnsi="Times New Roman" w:cs="Times New Roman"/>
          <w:color w:val="000000" w:themeColor="text1"/>
          <w:sz w:val="22"/>
          <w:szCs w:val="22"/>
          <w:highlight w:val="none"/>
          <w:u w:val="single"/>
          <w:lang w:val="en-US" w:eastAsia="zh-CN"/>
          <w14:textFill>
            <w14:solidFill>
              <w14:schemeClr w14:val="tx1"/>
            </w14:solidFill>
          </w14:textFill>
        </w:rPr>
        <w:t>附图9:</w:t>
      </w:r>
      <w:r>
        <w:rPr>
          <w:rFonts w:hint="eastAsia" w:cs="Times New Roman"/>
          <w:color w:val="000000" w:themeColor="text1"/>
          <w:sz w:val="22"/>
          <w:szCs w:val="22"/>
          <w:highlight w:val="none"/>
          <w:u w:val="single"/>
          <w:lang w:val="en-US" w:eastAsia="zh-CN"/>
          <w14:textFill>
            <w14:solidFill>
              <w14:schemeClr w14:val="tx1"/>
            </w14:solidFill>
          </w14:textFill>
        </w:rPr>
        <w:t xml:space="preserve"> </w:t>
      </w:r>
      <w:r>
        <w:rPr>
          <w:rFonts w:hint="default" w:ascii="Times New Roman" w:hAnsi="Times New Roman" w:cs="Times New Roman"/>
          <w:color w:val="000000" w:themeColor="text1"/>
          <w:sz w:val="22"/>
          <w:szCs w:val="22"/>
          <w:highlight w:val="none"/>
          <w:u w:val="single"/>
          <w:lang w:val="en-US" w:eastAsia="zh-CN"/>
          <w14:textFill>
            <w14:solidFill>
              <w14:schemeClr w14:val="tx1"/>
            </w14:solidFill>
          </w14:textFill>
        </w:rPr>
        <w:t>钦州市中心城区声环境功能区划图</w:t>
      </w:r>
    </w:p>
    <w:p w14:paraId="41A1BE80">
      <w:pPr>
        <w:pStyle w:val="4"/>
        <w:ind w:firstLine="480"/>
        <w:rPr>
          <w:rFonts w:hint="default" w:ascii="Times New Roman" w:hAnsi="Times New Roman" w:cs="Times New Roman"/>
          <w:color w:val="000000" w:themeColor="text1"/>
          <w:sz w:val="22"/>
          <w:szCs w:val="22"/>
          <w:highlight w:val="none"/>
          <w:u w:val="single"/>
          <w:lang w:val="en-US" w:eastAsia="zh-CN"/>
          <w14:textFill>
            <w14:solidFill>
              <w14:schemeClr w14:val="tx1"/>
            </w14:solidFill>
          </w14:textFill>
        </w:rPr>
      </w:pPr>
      <w:r>
        <w:rPr>
          <w:rFonts w:hint="default" w:ascii="Times New Roman" w:hAnsi="Times New Roman" w:cs="Times New Roman"/>
          <w:color w:val="000000" w:themeColor="text1"/>
          <w:sz w:val="22"/>
          <w:szCs w:val="22"/>
          <w:highlight w:val="none"/>
          <w:u w:val="single"/>
          <w:lang w:val="en-US" w:eastAsia="zh-CN"/>
          <w14:textFill>
            <w14:solidFill>
              <w14:schemeClr w14:val="tx1"/>
            </w14:solidFill>
          </w14:textFill>
        </w:rPr>
        <w:t>附图10:本项目与红树林相对位置图</w:t>
      </w:r>
    </w:p>
    <w:p w14:paraId="6A6D674D">
      <w:pPr>
        <w:pStyle w:val="4"/>
        <w:ind w:firstLine="480"/>
        <w:rPr>
          <w:rFonts w:hint="default" w:ascii="Times New Roman" w:hAnsi="Times New Roman" w:cs="Times New Roman"/>
          <w:color w:val="000000" w:themeColor="text1"/>
          <w:sz w:val="22"/>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22"/>
          <w:szCs w:val="22"/>
          <w:highlight w:val="none"/>
          <w:u w:val="single"/>
          <w:lang w:val="en-US" w:eastAsia="zh-CN"/>
          <w14:textFill>
            <w14:solidFill>
              <w14:schemeClr w14:val="tx1"/>
            </w14:solidFill>
          </w14:textFill>
        </w:rPr>
        <w:t>附图11:本项目与金窝水库二级保护区陆域区域相对位置图</w:t>
      </w:r>
    </w:p>
    <w:p w14:paraId="2B4107C6">
      <w:pPr>
        <w:pStyle w:val="4"/>
        <w:ind w:firstLine="480"/>
        <w:rPr>
          <w:rFonts w:hint="default" w:ascii="Times New Roman" w:hAnsi="Times New Roman" w:cs="Times New Roman"/>
          <w:color w:val="000000" w:themeColor="text1"/>
          <w:sz w:val="22"/>
          <w:szCs w:val="22"/>
          <w:highlight w:val="none"/>
          <w14:textFill>
            <w14:solidFill>
              <w14:schemeClr w14:val="tx1"/>
            </w14:solidFill>
          </w14:textFill>
        </w:rPr>
      </w:pPr>
      <w:r>
        <w:rPr>
          <w:rFonts w:hint="default" w:ascii="Times New Roman" w:hAnsi="Times New Roman" w:cs="Times New Roman"/>
          <w:color w:val="000000" w:themeColor="text1"/>
          <w:sz w:val="22"/>
          <w:szCs w:val="22"/>
          <w:highlight w:val="none"/>
          <w14:textFill>
            <w14:solidFill>
              <w14:schemeClr w14:val="tx1"/>
            </w14:solidFill>
          </w14:textFill>
        </w:rPr>
        <w:t>附件1</w:t>
      </w:r>
      <w:r>
        <w:rPr>
          <w:rFonts w:hint="eastAsia" w:cs="Times New Roman"/>
          <w:color w:val="000000" w:themeColor="text1"/>
          <w:sz w:val="22"/>
          <w:szCs w:val="22"/>
          <w:highlight w:val="none"/>
          <w:lang w:eastAsia="zh-CN"/>
          <w14:textFill>
            <w14:solidFill>
              <w14:schemeClr w14:val="tx1"/>
            </w14:solidFill>
          </w14:textFill>
        </w:rPr>
        <w:t>：</w:t>
      </w:r>
      <w:r>
        <w:rPr>
          <w:rFonts w:hint="default" w:ascii="Times New Roman" w:hAnsi="Times New Roman" w:cs="Times New Roman"/>
          <w:color w:val="000000" w:themeColor="text1"/>
          <w:sz w:val="22"/>
          <w:szCs w:val="22"/>
          <w:highlight w:val="none"/>
          <w14:textFill>
            <w14:solidFill>
              <w14:schemeClr w14:val="tx1"/>
            </w14:solidFill>
          </w14:textFill>
        </w:rPr>
        <w:t>委托书</w:t>
      </w:r>
    </w:p>
    <w:p w14:paraId="545E2EC2">
      <w:pPr>
        <w:pStyle w:val="4"/>
        <w:ind w:firstLine="480"/>
        <w:rPr>
          <w:rFonts w:hint="default" w:ascii="Times New Roman" w:hAnsi="Times New Roman" w:cs="Times New Roman"/>
          <w:color w:val="000000" w:themeColor="text1"/>
          <w:sz w:val="22"/>
          <w:szCs w:val="22"/>
          <w:highlight w:val="none"/>
          <w14:textFill>
            <w14:solidFill>
              <w14:schemeClr w14:val="tx1"/>
            </w14:solidFill>
          </w14:textFill>
        </w:rPr>
      </w:pPr>
      <w:r>
        <w:rPr>
          <w:rFonts w:hint="default" w:ascii="Times New Roman" w:hAnsi="Times New Roman" w:cs="Times New Roman"/>
          <w:color w:val="000000" w:themeColor="text1"/>
          <w:sz w:val="22"/>
          <w:szCs w:val="22"/>
          <w:highlight w:val="none"/>
          <w14:textFill>
            <w14:solidFill>
              <w14:schemeClr w14:val="tx1"/>
            </w14:solidFill>
          </w14:textFill>
        </w:rPr>
        <w:t>附件2</w:t>
      </w:r>
      <w:r>
        <w:rPr>
          <w:rFonts w:hint="eastAsia" w:cs="Times New Roman"/>
          <w:color w:val="000000" w:themeColor="text1"/>
          <w:sz w:val="22"/>
          <w:szCs w:val="22"/>
          <w:highlight w:val="none"/>
          <w:lang w:eastAsia="zh-CN"/>
          <w14:textFill>
            <w14:solidFill>
              <w14:schemeClr w14:val="tx1"/>
            </w14:solidFill>
          </w14:textFill>
        </w:rPr>
        <w:t>：</w:t>
      </w:r>
      <w:r>
        <w:rPr>
          <w:rFonts w:hint="default" w:ascii="Times New Roman" w:hAnsi="Times New Roman" w:cs="Times New Roman"/>
          <w:color w:val="000000" w:themeColor="text1"/>
          <w:sz w:val="22"/>
          <w:szCs w:val="22"/>
          <w:highlight w:val="none"/>
          <w14:textFill>
            <w14:solidFill>
              <w14:schemeClr w14:val="tx1"/>
            </w14:solidFill>
          </w14:textFill>
        </w:rPr>
        <w:t>审批手续</w:t>
      </w:r>
    </w:p>
    <w:p w14:paraId="27AC32A3">
      <w:pPr>
        <w:pStyle w:val="4"/>
        <w:ind w:firstLine="480"/>
        <w:rPr>
          <w:rFonts w:hint="default" w:ascii="Times New Roman" w:hAnsi="Times New Roman" w:cs="Times New Roman"/>
          <w:color w:val="000000" w:themeColor="text1"/>
          <w:sz w:val="22"/>
          <w:szCs w:val="22"/>
          <w:highlight w:val="none"/>
          <w14:textFill>
            <w14:solidFill>
              <w14:schemeClr w14:val="tx1"/>
            </w14:solidFill>
          </w14:textFill>
        </w:rPr>
      </w:pPr>
      <w:r>
        <w:rPr>
          <w:rFonts w:hint="default" w:ascii="Times New Roman" w:hAnsi="Times New Roman" w:cs="Times New Roman"/>
          <w:color w:val="000000" w:themeColor="text1"/>
          <w:sz w:val="22"/>
          <w:szCs w:val="22"/>
          <w:highlight w:val="none"/>
          <w14:textFill>
            <w14:solidFill>
              <w14:schemeClr w14:val="tx1"/>
            </w14:solidFill>
          </w14:textFill>
        </w:rPr>
        <w:t>附件3</w:t>
      </w:r>
      <w:r>
        <w:rPr>
          <w:rFonts w:hint="eastAsia" w:cs="Times New Roman"/>
          <w:color w:val="000000" w:themeColor="text1"/>
          <w:sz w:val="22"/>
          <w:szCs w:val="22"/>
          <w:highlight w:val="none"/>
          <w:lang w:eastAsia="zh-CN"/>
          <w14:textFill>
            <w14:solidFill>
              <w14:schemeClr w14:val="tx1"/>
            </w14:solidFill>
          </w14:textFill>
        </w:rPr>
        <w:t>：</w:t>
      </w:r>
      <w:r>
        <w:rPr>
          <w:rFonts w:hint="default" w:ascii="Times New Roman" w:hAnsi="Times New Roman" w:cs="Times New Roman"/>
          <w:color w:val="000000" w:themeColor="text1"/>
          <w:sz w:val="22"/>
          <w:szCs w:val="22"/>
          <w:highlight w:val="none"/>
          <w14:textFill>
            <w14:solidFill>
              <w14:schemeClr w14:val="tx1"/>
            </w14:solidFill>
          </w14:textFill>
        </w:rPr>
        <w:t>营业执照</w:t>
      </w:r>
    </w:p>
    <w:p w14:paraId="412B9506">
      <w:pPr>
        <w:pStyle w:val="4"/>
        <w:ind w:firstLine="480"/>
        <w:rPr>
          <w:rFonts w:hint="default" w:ascii="Times New Roman" w:hAnsi="Times New Roman" w:cs="Times New Roman"/>
          <w:color w:val="000000" w:themeColor="text1"/>
          <w:sz w:val="22"/>
          <w:szCs w:val="22"/>
          <w:highlight w:val="none"/>
          <w14:textFill>
            <w14:solidFill>
              <w14:schemeClr w14:val="tx1"/>
            </w14:solidFill>
          </w14:textFill>
        </w:rPr>
      </w:pPr>
      <w:r>
        <w:rPr>
          <w:rFonts w:hint="default" w:ascii="Times New Roman" w:hAnsi="Times New Roman" w:cs="Times New Roman"/>
          <w:color w:val="000000" w:themeColor="text1"/>
          <w:sz w:val="22"/>
          <w:szCs w:val="22"/>
          <w:highlight w:val="none"/>
          <w14:textFill>
            <w14:solidFill>
              <w14:schemeClr w14:val="tx1"/>
            </w14:solidFill>
          </w14:textFill>
        </w:rPr>
        <w:t>附件4</w:t>
      </w:r>
      <w:r>
        <w:rPr>
          <w:rFonts w:hint="eastAsia" w:cs="Times New Roman"/>
          <w:color w:val="000000" w:themeColor="text1"/>
          <w:sz w:val="22"/>
          <w:szCs w:val="22"/>
          <w:highlight w:val="none"/>
          <w:lang w:eastAsia="zh-CN"/>
          <w14:textFill>
            <w14:solidFill>
              <w14:schemeClr w14:val="tx1"/>
            </w14:solidFill>
          </w14:textFill>
        </w:rPr>
        <w:t>：</w:t>
      </w:r>
      <w:r>
        <w:rPr>
          <w:rFonts w:hint="default" w:ascii="Times New Roman" w:hAnsi="Times New Roman" w:cs="Times New Roman"/>
          <w:color w:val="000000" w:themeColor="text1"/>
          <w:sz w:val="22"/>
          <w:szCs w:val="22"/>
          <w:highlight w:val="none"/>
          <w14:textFill>
            <w14:solidFill>
              <w14:schemeClr w14:val="tx1"/>
            </w14:solidFill>
          </w14:textFill>
        </w:rPr>
        <w:t>土地手续</w:t>
      </w:r>
    </w:p>
    <w:p w14:paraId="781974CD">
      <w:pPr>
        <w:pStyle w:val="4"/>
        <w:ind w:firstLine="480"/>
        <w:rPr>
          <w:rFonts w:hint="default" w:ascii="Times New Roman" w:hAnsi="Times New Roman" w:cs="Times New Roman"/>
          <w:color w:val="000000" w:themeColor="text1"/>
          <w:sz w:val="22"/>
          <w:szCs w:val="22"/>
          <w:highlight w:val="none"/>
          <w14:textFill>
            <w14:solidFill>
              <w14:schemeClr w14:val="tx1"/>
            </w14:solidFill>
          </w14:textFill>
        </w:rPr>
      </w:pPr>
      <w:r>
        <w:rPr>
          <w:rFonts w:hint="default" w:ascii="Times New Roman" w:hAnsi="Times New Roman" w:cs="Times New Roman"/>
          <w:color w:val="000000" w:themeColor="text1"/>
          <w:sz w:val="22"/>
          <w:szCs w:val="22"/>
          <w:highlight w:val="none"/>
          <w14:textFill>
            <w14:solidFill>
              <w14:schemeClr w14:val="tx1"/>
            </w14:solidFill>
          </w14:textFill>
        </w:rPr>
        <w:t>附件5</w:t>
      </w:r>
      <w:r>
        <w:rPr>
          <w:rFonts w:hint="eastAsia" w:cs="Times New Roman"/>
          <w:color w:val="000000" w:themeColor="text1"/>
          <w:sz w:val="22"/>
          <w:szCs w:val="22"/>
          <w:highlight w:val="none"/>
          <w:lang w:eastAsia="zh-CN"/>
          <w14:textFill>
            <w14:solidFill>
              <w14:schemeClr w14:val="tx1"/>
            </w14:solidFill>
          </w14:textFill>
        </w:rPr>
        <w:t>：</w:t>
      </w:r>
      <w:r>
        <w:rPr>
          <w:rFonts w:hint="default" w:ascii="Times New Roman" w:hAnsi="Times New Roman" w:cs="Times New Roman"/>
          <w:color w:val="000000" w:themeColor="text1"/>
          <w:sz w:val="22"/>
          <w:szCs w:val="22"/>
          <w:highlight w:val="none"/>
          <w14:textFill>
            <w14:solidFill>
              <w14:schemeClr w14:val="tx1"/>
            </w14:solidFill>
          </w14:textFill>
        </w:rPr>
        <w:t>规划环评批复</w:t>
      </w:r>
    </w:p>
    <w:p w14:paraId="69CBCDE1">
      <w:pPr>
        <w:pStyle w:val="4"/>
        <w:ind w:firstLine="480"/>
        <w:rPr>
          <w:rFonts w:hint="default" w:ascii="Times New Roman" w:hAnsi="Times New Roman" w:cs="Times New Roman"/>
          <w:color w:val="000000" w:themeColor="text1"/>
          <w:sz w:val="22"/>
          <w:szCs w:val="22"/>
          <w:highlight w:val="none"/>
          <w14:textFill>
            <w14:solidFill>
              <w14:schemeClr w14:val="tx1"/>
            </w14:solidFill>
          </w14:textFill>
        </w:rPr>
      </w:pPr>
      <w:r>
        <w:rPr>
          <w:rFonts w:hint="default" w:ascii="Times New Roman" w:hAnsi="Times New Roman" w:cs="Times New Roman"/>
          <w:color w:val="000000" w:themeColor="text1"/>
          <w:sz w:val="22"/>
          <w:szCs w:val="22"/>
          <w:highlight w:val="none"/>
          <w14:textFill>
            <w14:solidFill>
              <w14:schemeClr w14:val="tx1"/>
            </w14:solidFill>
          </w14:textFill>
        </w:rPr>
        <w:t>附件6</w:t>
      </w:r>
      <w:r>
        <w:rPr>
          <w:rFonts w:hint="eastAsia" w:cs="Times New Roman"/>
          <w:color w:val="000000" w:themeColor="text1"/>
          <w:sz w:val="22"/>
          <w:szCs w:val="22"/>
          <w:highlight w:val="none"/>
          <w:lang w:eastAsia="zh-CN"/>
          <w14:textFill>
            <w14:solidFill>
              <w14:schemeClr w14:val="tx1"/>
            </w14:solidFill>
          </w14:textFill>
        </w:rPr>
        <w:t>：</w:t>
      </w:r>
      <w:r>
        <w:rPr>
          <w:rFonts w:hint="default" w:ascii="Times New Roman" w:hAnsi="Times New Roman" w:cs="Times New Roman"/>
          <w:color w:val="000000" w:themeColor="text1"/>
          <w:sz w:val="22"/>
          <w:szCs w:val="22"/>
          <w:highlight w:val="none"/>
          <w14:textFill>
            <w14:solidFill>
              <w14:schemeClr w14:val="tx1"/>
            </w14:solidFill>
          </w14:textFill>
        </w:rPr>
        <w:t>项目初步研判结论</w:t>
      </w:r>
    </w:p>
    <w:p w14:paraId="3A22BF9E">
      <w:pPr>
        <w:pStyle w:val="4"/>
        <w:ind w:firstLine="480"/>
        <w:rPr>
          <w:rFonts w:hint="default" w:ascii="Times New Roman" w:hAnsi="Times New Roman" w:cs="Times New Roman"/>
          <w:color w:val="000000" w:themeColor="text1"/>
          <w:sz w:val="22"/>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22"/>
          <w:szCs w:val="22"/>
          <w:highlight w:val="none"/>
          <w:lang w:val="en-US" w:eastAsia="zh-CN"/>
          <w14:textFill>
            <w14:solidFill>
              <w14:schemeClr w14:val="tx1"/>
            </w14:solidFill>
          </w14:textFill>
        </w:rPr>
        <w:t>附件7：现有环评批复</w:t>
      </w:r>
    </w:p>
    <w:p w14:paraId="63139C91">
      <w:pPr>
        <w:pStyle w:val="4"/>
        <w:ind w:firstLine="480"/>
        <w:rPr>
          <w:rFonts w:hint="default" w:ascii="Times New Roman" w:hAnsi="Times New Roman" w:cs="Times New Roman"/>
          <w:color w:val="000000" w:themeColor="text1"/>
          <w:sz w:val="22"/>
          <w:szCs w:val="22"/>
          <w:highlight w:val="none"/>
          <w:lang w:val="en-US" w:eastAsia="zh-CN"/>
          <w14:textFill>
            <w14:solidFill>
              <w14:schemeClr w14:val="tx1"/>
            </w14:solidFill>
          </w14:textFill>
        </w:rPr>
      </w:pPr>
      <w:r>
        <w:rPr>
          <w:rFonts w:hint="default" w:ascii="Times New Roman" w:hAnsi="Times New Roman" w:cs="Times New Roman"/>
          <w:color w:val="000000" w:themeColor="text1"/>
          <w:sz w:val="22"/>
          <w:szCs w:val="22"/>
          <w:highlight w:val="none"/>
          <w:lang w:val="en-US" w:eastAsia="zh-CN"/>
          <w14:textFill>
            <w14:solidFill>
              <w14:schemeClr w14:val="tx1"/>
            </w14:solidFill>
          </w14:textFill>
        </w:rPr>
        <w:t>附件8：现有项目验收意见</w:t>
      </w:r>
    </w:p>
    <w:p w14:paraId="2A34DB26">
      <w:pPr>
        <w:pStyle w:val="4"/>
        <w:ind w:firstLine="480"/>
        <w:rPr>
          <w:rFonts w:hint="default" w:ascii="Times New Roman" w:hAnsi="Times New Roman" w:eastAsia="宋体"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pPr>
      <w:r>
        <w:rPr>
          <w:rFonts w:hint="default" w:ascii="Times New Roman" w:hAnsi="Times New Roman" w:eastAsia="宋体"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t>附件9</w:t>
      </w:r>
      <w:r>
        <w:rPr>
          <w:rFonts w:hint="eastAsia"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t>：</w:t>
      </w:r>
      <w:r>
        <w:rPr>
          <w:rFonts w:hint="default" w:ascii="Times New Roman" w:hAnsi="Times New Roman" w:eastAsia="宋体"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t>排污许可证</w:t>
      </w:r>
    </w:p>
    <w:p w14:paraId="57EC9AC3">
      <w:pPr>
        <w:pStyle w:val="34"/>
        <w:ind w:firstLine="482"/>
        <w:jc w:val="both"/>
        <w:rPr>
          <w:rFonts w:hint="default" w:ascii="Times New Roman" w:hAnsi="Times New Roman" w:eastAsia="宋体"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pPr>
      <w:r>
        <w:rPr>
          <w:rFonts w:hint="default" w:ascii="Times New Roman" w:hAnsi="Times New Roman" w:eastAsia="宋体"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t>附件10</w:t>
      </w:r>
      <w:r>
        <w:rPr>
          <w:rFonts w:hint="eastAsia"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t>：</w:t>
      </w:r>
      <w:r>
        <w:rPr>
          <w:rFonts w:hint="default" w:ascii="Times New Roman" w:hAnsi="Times New Roman" w:eastAsia="宋体"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t>应急预案备案</w:t>
      </w:r>
      <w:r>
        <w:rPr>
          <w:rFonts w:hint="eastAsia"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t>证明</w:t>
      </w:r>
    </w:p>
    <w:p w14:paraId="28EC417F">
      <w:pPr>
        <w:pStyle w:val="34"/>
        <w:ind w:firstLine="482"/>
        <w:jc w:val="both"/>
        <w:rPr>
          <w:rFonts w:hint="default" w:ascii="Times New Roman" w:hAnsi="Times New Roman" w:eastAsia="宋体"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pPr>
      <w:r>
        <w:rPr>
          <w:rFonts w:hint="default" w:ascii="Times New Roman" w:hAnsi="Times New Roman" w:eastAsia="宋体"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t>附件11</w:t>
      </w:r>
      <w:r>
        <w:rPr>
          <w:rFonts w:hint="eastAsia"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t>：</w:t>
      </w:r>
      <w:r>
        <w:rPr>
          <w:rFonts w:hint="default" w:ascii="Times New Roman" w:hAnsi="Times New Roman" w:eastAsia="宋体"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t>生物质检测报告</w:t>
      </w:r>
    </w:p>
    <w:p w14:paraId="3E627868">
      <w:pPr>
        <w:pStyle w:val="34"/>
        <w:ind w:firstLine="482"/>
        <w:jc w:val="both"/>
        <w:rPr>
          <w:rFonts w:hint="default" w:ascii="Times New Roman" w:hAnsi="Times New Roman" w:eastAsia="宋体"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pPr>
      <w:r>
        <w:rPr>
          <w:rFonts w:hint="default" w:ascii="Times New Roman" w:hAnsi="Times New Roman" w:eastAsia="宋体"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t>附件12</w:t>
      </w:r>
      <w:r>
        <w:rPr>
          <w:rFonts w:hint="eastAsia"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t>：</w:t>
      </w:r>
      <w:r>
        <w:rPr>
          <w:rFonts w:hint="default" w:ascii="Times New Roman" w:hAnsi="Times New Roman" w:eastAsia="宋体"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t>现状监测报告</w:t>
      </w:r>
    </w:p>
    <w:p w14:paraId="50E7CD62">
      <w:pPr>
        <w:pStyle w:val="34"/>
        <w:ind w:firstLine="482"/>
        <w:jc w:val="both"/>
        <w:rPr>
          <w:rFonts w:hint="default" w:ascii="Times New Roman" w:hAnsi="Times New Roman" w:eastAsia="宋体"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pPr>
      <w:r>
        <w:rPr>
          <w:rFonts w:hint="default" w:ascii="Times New Roman" w:hAnsi="Times New Roman" w:eastAsia="宋体"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t>附件13</w:t>
      </w:r>
      <w:r>
        <w:rPr>
          <w:rFonts w:hint="eastAsia"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t>：自行</w:t>
      </w:r>
      <w:r>
        <w:rPr>
          <w:rFonts w:hint="default" w:ascii="Times New Roman" w:hAnsi="Times New Roman" w:eastAsia="宋体" w:cs="Times New Roman"/>
          <w:b w:val="0"/>
          <w:bCs w:val="0"/>
          <w:snapToGrid w:val="0"/>
          <w:color w:val="000000" w:themeColor="text1"/>
          <w:sz w:val="22"/>
          <w:szCs w:val="22"/>
          <w:highlight w:val="none"/>
          <w:lang w:val="en-US" w:eastAsia="zh-CN" w:bidi="ar-SA"/>
          <w14:textFill>
            <w14:solidFill>
              <w14:schemeClr w14:val="tx1"/>
            </w14:solidFill>
          </w14:textFill>
          <w14:ligatures w14:val="standardContextual"/>
        </w:rPr>
        <w:t>检测报告</w:t>
      </w:r>
    </w:p>
    <w:p w14:paraId="751EC77B">
      <w:pPr>
        <w:pStyle w:val="4"/>
        <w:ind w:firstLine="480"/>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sz w:val="22"/>
          <w:szCs w:val="22"/>
          <w:highlight w:val="none"/>
          <w:u w:val="single"/>
          <w:lang w:val="en-US" w:eastAsia="zh-CN"/>
          <w14:textFill>
            <w14:solidFill>
              <w14:schemeClr w14:val="tx1"/>
            </w14:solidFill>
          </w14:textFill>
        </w:rPr>
        <w:t>附件14：锅炉证明材料</w:t>
      </w:r>
    </w:p>
    <w:p w14:paraId="496E3D6D">
      <w:pPr>
        <w:pStyle w:val="2"/>
        <w:rPr>
          <w:rFonts w:hint="default" w:ascii="Times New Roman" w:hAnsi="Times New Roman" w:cs="Times New Roman"/>
          <w:snapToGrid w:val="0"/>
          <w:color w:val="000000" w:themeColor="text1"/>
          <w:highlight w:val="none"/>
          <w:u w:val="single"/>
          <w14:textFill>
            <w14:solidFill>
              <w14:schemeClr w14:val="tx1"/>
            </w14:solidFill>
          </w14:textFill>
        </w:rPr>
        <w:sectPr>
          <w:footerReference r:id="rId4" w:type="default"/>
          <w:pgSz w:w="11906" w:h="16838"/>
          <w:pgMar w:top="1134"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bookmarkStart w:id="0" w:name="_Toc191861459"/>
      <w:bookmarkStart w:id="1" w:name="_Toc175609267"/>
      <w:bookmarkStart w:id="2" w:name="_Ref192707971"/>
    </w:p>
    <w:p w14:paraId="53F20EEA">
      <w:pPr>
        <w:pStyle w:val="2"/>
        <w:keepNext/>
        <w:keepLines/>
        <w:pageBreakBefore/>
        <w:widowControl/>
        <w:kinsoku/>
        <w:wordWrap/>
        <w:overflowPunct/>
        <w:topLinePunct w:val="0"/>
        <w:autoSpaceDE/>
        <w:autoSpaceDN/>
        <w:bidi w:val="0"/>
        <w:adjustRightInd/>
        <w:snapToGrid/>
        <w:textAlignment w:val="auto"/>
        <w:rPr>
          <w:rFonts w:hint="default" w:ascii="Times New Roman" w:hAnsi="Times New Roman" w:cs="Times New Roman"/>
          <w:snapToGrid w:val="0"/>
          <w:color w:val="000000" w:themeColor="text1"/>
          <w:highlight w:val="none"/>
          <w14:textFill>
            <w14:solidFill>
              <w14:schemeClr w14:val="tx1"/>
            </w14:solidFill>
          </w14:textFill>
        </w:rPr>
      </w:pPr>
      <w:bookmarkStart w:id="3" w:name="_Toc20706"/>
      <w:r>
        <w:rPr>
          <w:rFonts w:hint="default" w:ascii="Times New Roman" w:hAnsi="Times New Roman" w:cs="Times New Roman"/>
          <w:snapToGrid w:val="0"/>
          <w:color w:val="000000" w:themeColor="text1"/>
          <w:highlight w:val="none"/>
          <w14:textFill>
            <w14:solidFill>
              <w14:schemeClr w14:val="tx1"/>
            </w14:solidFill>
          </w14:textFill>
        </w:rPr>
        <w:t>建设项目基本情况</w:t>
      </w:r>
      <w:bookmarkEnd w:id="0"/>
      <w:bookmarkEnd w:id="1"/>
      <w:bookmarkEnd w:id="2"/>
      <w:bookmarkEnd w:id="3"/>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6"/>
        <w:gridCol w:w="796"/>
        <w:gridCol w:w="2087"/>
        <w:gridCol w:w="1655"/>
        <w:gridCol w:w="3068"/>
      </w:tblGrid>
      <w:tr w14:paraId="21128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75BD4403">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建设项目名称</w:t>
            </w:r>
          </w:p>
        </w:tc>
        <w:tc>
          <w:tcPr>
            <w:tcW w:w="6772" w:type="dxa"/>
            <w:gridSpan w:val="3"/>
            <w:vAlign w:val="center"/>
          </w:tcPr>
          <w:p w14:paraId="0DB75BB7">
            <w:pPr>
              <w:snapToGrid w:val="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广西中马投控分布式能源有限公司供热配套锅炉增容改造项目</w:t>
            </w:r>
          </w:p>
        </w:tc>
      </w:tr>
      <w:tr w14:paraId="1105E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1FC5B710">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项目代码</w:t>
            </w:r>
          </w:p>
        </w:tc>
        <w:tc>
          <w:tcPr>
            <w:tcW w:w="6772" w:type="dxa"/>
            <w:gridSpan w:val="3"/>
            <w:vAlign w:val="center"/>
          </w:tcPr>
          <w:p w14:paraId="7281F91F">
            <w:pPr>
              <w:snapToGrid w:val="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2505-450704-04-02-582622</w:t>
            </w:r>
          </w:p>
        </w:tc>
      </w:tr>
      <w:tr w14:paraId="0E38E7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7FA1E4AC">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建设单位联系人</w:t>
            </w:r>
          </w:p>
        </w:tc>
        <w:tc>
          <w:tcPr>
            <w:tcW w:w="2075" w:type="dxa"/>
            <w:vAlign w:val="center"/>
          </w:tcPr>
          <w:p w14:paraId="5228DCE0">
            <w:pPr>
              <w:snapToGrid w:val="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李鹏飞</w:t>
            </w:r>
          </w:p>
        </w:tc>
        <w:tc>
          <w:tcPr>
            <w:tcW w:w="1646" w:type="dxa"/>
            <w:vAlign w:val="center"/>
          </w:tcPr>
          <w:p w14:paraId="4FACEA1B">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联系方式</w:t>
            </w:r>
          </w:p>
        </w:tc>
        <w:tc>
          <w:tcPr>
            <w:tcW w:w="3051" w:type="dxa"/>
            <w:vAlign w:val="center"/>
          </w:tcPr>
          <w:p w14:paraId="7E3EDFD6">
            <w:pPr>
              <w:snapToGrid w:val="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18677767970</w:t>
            </w:r>
          </w:p>
        </w:tc>
      </w:tr>
      <w:tr w14:paraId="5FEAF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549F6EC2">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建设地点</w:t>
            </w:r>
          </w:p>
        </w:tc>
        <w:tc>
          <w:tcPr>
            <w:tcW w:w="6772" w:type="dxa"/>
            <w:gridSpan w:val="3"/>
            <w:vAlign w:val="center"/>
          </w:tcPr>
          <w:p w14:paraId="7EFD7D77">
            <w:pPr>
              <w:snapToGrid w:val="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中</w:t>
            </w:r>
            <w:r>
              <w:rPr>
                <w:rFonts w:hint="default" w:ascii="Times New Roman" w:hAnsi="Times New Roman" w:cs="Times New Roman"/>
                <w:color w:val="000000" w:themeColor="text1"/>
                <w:sz w:val="24"/>
                <w:szCs w:val="24"/>
                <w:highlight w:val="none"/>
                <w:lang w:eastAsia="zh-CN"/>
                <w14:textFill>
                  <w14:solidFill>
                    <w14:schemeClr w14:val="tx1"/>
                  </w14:solidFill>
                </w14:textFill>
              </w:rPr>
              <w:t>国（广西）自由贸易试验区钦州港片区中马钦州产业园区关丹大街6号</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eastAsia="zh-CN"/>
                <w14:textFill>
                  <w14:solidFill>
                    <w14:schemeClr w14:val="tx1"/>
                  </w14:solidFill>
                </w14:textFill>
              </w:rPr>
              <w:t>东临锦绣大道、南至关丹大街、西临中马数据中心、北至南四街</w:t>
            </w:r>
          </w:p>
        </w:tc>
      </w:tr>
      <w:tr w14:paraId="16DD8A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4CE0DAA2">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地理坐标</w:t>
            </w:r>
          </w:p>
        </w:tc>
        <w:tc>
          <w:tcPr>
            <w:tcW w:w="6772" w:type="dxa"/>
            <w:gridSpan w:val="3"/>
            <w:vAlign w:val="center"/>
          </w:tcPr>
          <w:p w14:paraId="44A9A629">
            <w:pPr>
              <w:snapToGrid w:val="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东经</w:t>
            </w:r>
            <w:r>
              <w:rPr>
                <w:rFonts w:hint="default" w:ascii="Times New Roman" w:hAnsi="Times New Roman" w:cs="Times New Roman"/>
                <w:color w:val="000000" w:themeColor="text1"/>
                <w:sz w:val="24"/>
                <w:szCs w:val="24"/>
                <w:highlight w:val="none"/>
                <w:lang w:eastAsia="zh-CN"/>
                <w14:textFill>
                  <w14:solidFill>
                    <w14:schemeClr w14:val="tx1"/>
                  </w14:solidFill>
                </w14:textFill>
              </w:rPr>
              <w:t>108°40′22.612″</w:t>
            </w:r>
            <w:r>
              <w:rPr>
                <w:rFonts w:hint="default" w:ascii="Times New Roman" w:hAnsi="Times New Roman" w:cs="Times New Roman"/>
                <w:color w:val="000000" w:themeColor="text1"/>
                <w:sz w:val="24"/>
                <w:szCs w:val="24"/>
                <w:highlight w:val="none"/>
                <w14:textFill>
                  <w14:solidFill>
                    <w14:schemeClr w14:val="tx1"/>
                  </w14:solidFill>
                </w14:textFill>
              </w:rPr>
              <w:t>，北纬</w:t>
            </w:r>
            <w:r>
              <w:rPr>
                <w:rFonts w:hint="default" w:ascii="Times New Roman" w:hAnsi="Times New Roman" w:cs="Times New Roman"/>
                <w:color w:val="000000" w:themeColor="text1"/>
                <w:sz w:val="24"/>
                <w:szCs w:val="24"/>
                <w:highlight w:val="none"/>
                <w:lang w:eastAsia="zh-CN"/>
                <w14:textFill>
                  <w14:solidFill>
                    <w14:schemeClr w14:val="tx1"/>
                  </w14:solidFill>
                </w14:textFill>
              </w:rPr>
              <w:t>21°45′11.606″</w:t>
            </w:r>
          </w:p>
        </w:tc>
      </w:tr>
      <w:tr w14:paraId="303FE4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14" w:type="dxa"/>
            <w:gridSpan w:val="2"/>
            <w:tcMar>
              <w:top w:w="16" w:type="dxa"/>
              <w:left w:w="16" w:type="dxa"/>
              <w:right w:w="16" w:type="dxa"/>
            </w:tcMar>
            <w:vAlign w:val="center"/>
          </w:tcPr>
          <w:p w14:paraId="447CF018">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国民经济</w:t>
            </w:r>
          </w:p>
          <w:p w14:paraId="404E5A23">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行业类别</w:t>
            </w:r>
          </w:p>
        </w:tc>
        <w:tc>
          <w:tcPr>
            <w:tcW w:w="2075" w:type="dxa"/>
            <w:vAlign w:val="center"/>
          </w:tcPr>
          <w:p w14:paraId="4DDE6520">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D4430 热力生产和供应</w:t>
            </w:r>
          </w:p>
        </w:tc>
        <w:tc>
          <w:tcPr>
            <w:tcW w:w="1646" w:type="dxa"/>
            <w:vAlign w:val="center"/>
          </w:tcPr>
          <w:p w14:paraId="5E266C9F">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bookmarkStart w:id="4" w:name="_Hlk49843745"/>
            <w:r>
              <w:rPr>
                <w:rFonts w:hint="default" w:ascii="Times New Roman" w:hAnsi="Times New Roman" w:cs="Times New Roman"/>
                <w:color w:val="000000" w:themeColor="text1"/>
                <w:sz w:val="24"/>
                <w:szCs w:val="24"/>
                <w:highlight w:val="none"/>
                <w14:textFill>
                  <w14:solidFill>
                    <w14:schemeClr w14:val="tx1"/>
                  </w14:solidFill>
                </w14:textFill>
              </w:rPr>
              <w:t>建设项目</w:t>
            </w:r>
          </w:p>
          <w:p w14:paraId="3FBC0DC6">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行业类别</w:t>
            </w:r>
            <w:bookmarkEnd w:id="4"/>
          </w:p>
        </w:tc>
        <w:tc>
          <w:tcPr>
            <w:tcW w:w="3051" w:type="dxa"/>
            <w:vAlign w:val="center"/>
          </w:tcPr>
          <w:p w14:paraId="3CC1F38A">
            <w:pPr>
              <w:snapToGrid w:val="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四十一、电力、热力生产和供应业-91热力生产和供应工程(包括建设单位自建自用的供热工程</w:t>
            </w:r>
            <w:r>
              <w:rPr>
                <w:rFonts w:hint="default" w:ascii="Times New Roman" w:hAnsi="Times New Roman" w:cs="Times New Roman"/>
                <w:color w:val="000000" w:themeColor="text1"/>
                <w:highlight w:val="none"/>
                <w14:textFill>
                  <w14:solidFill>
                    <w14:schemeClr w14:val="tx1"/>
                  </w14:solidFill>
                </w14:textFill>
              </w:rPr>
              <w:t>)</w:t>
            </w:r>
          </w:p>
        </w:tc>
      </w:tr>
      <w:tr w14:paraId="325E65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14" w:type="dxa"/>
            <w:gridSpan w:val="2"/>
            <w:tcMar>
              <w:top w:w="16" w:type="dxa"/>
              <w:left w:w="16" w:type="dxa"/>
              <w:right w:w="16" w:type="dxa"/>
            </w:tcMar>
            <w:vAlign w:val="center"/>
          </w:tcPr>
          <w:p w14:paraId="1EA675EB">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建设性质</w:t>
            </w:r>
          </w:p>
        </w:tc>
        <w:tc>
          <w:tcPr>
            <w:tcW w:w="2075" w:type="dxa"/>
            <w:vAlign w:val="center"/>
          </w:tcPr>
          <w:p w14:paraId="67EECA29">
            <w:pPr>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新建（迁建）</w:t>
            </w:r>
          </w:p>
          <w:p w14:paraId="5BF83DBD">
            <w:pPr>
              <w:jc w:val="left"/>
              <w:rPr>
                <w:rFonts w:hint="default" w:ascii="Times New Roman" w:hAnsi="Times New Roman" w:cs="Times New Roman"/>
                <w:color w:val="000000" w:themeColor="text1"/>
                <w:sz w:val="24"/>
                <w:szCs w:val="24"/>
                <w:highlight w:val="none"/>
                <w14:textFill>
                  <w14:solidFill>
                    <w14:schemeClr w14:val="tx1"/>
                  </w14:solidFill>
                </w14:textFill>
              </w:rPr>
            </w:pPr>
            <w:bookmarkStart w:id="5" w:name="OLE_LINK16"/>
            <w:r>
              <w:rPr>
                <w:rFonts w:hint="default" w:ascii="Times New Roman" w:hAnsi="Times New Roman" w:cs="Times New Roman"/>
                <w:color w:val="000000" w:themeColor="text1"/>
                <w:sz w:val="24"/>
                <w:szCs w:val="24"/>
                <w:highlight w:val="none"/>
                <w14:textFill>
                  <w14:solidFill>
                    <w14:schemeClr w14:val="tx1"/>
                  </w14:solidFill>
                </w14:textFill>
              </w:rPr>
              <w:t>□</w:t>
            </w:r>
            <w:bookmarkEnd w:id="5"/>
            <w:r>
              <w:rPr>
                <w:rFonts w:hint="default" w:ascii="Times New Roman" w:hAnsi="Times New Roman" w:cs="Times New Roman"/>
                <w:color w:val="000000" w:themeColor="text1"/>
                <w:sz w:val="24"/>
                <w:szCs w:val="24"/>
                <w:highlight w:val="none"/>
                <w14:textFill>
                  <w14:solidFill>
                    <w14:schemeClr w14:val="tx1"/>
                  </w14:solidFill>
                </w14:textFill>
              </w:rPr>
              <w:t>改建</w:t>
            </w:r>
          </w:p>
          <w:p w14:paraId="114BDEEB">
            <w:pPr>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扩建</w:t>
            </w:r>
          </w:p>
          <w:p w14:paraId="2A557ED2">
            <w:pPr>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□技术改造</w:t>
            </w:r>
          </w:p>
        </w:tc>
        <w:tc>
          <w:tcPr>
            <w:tcW w:w="1646" w:type="dxa"/>
            <w:vAlign w:val="center"/>
          </w:tcPr>
          <w:p w14:paraId="15080673">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建设项目</w:t>
            </w:r>
          </w:p>
          <w:p w14:paraId="7067B727">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申报情形</w:t>
            </w:r>
          </w:p>
        </w:tc>
        <w:tc>
          <w:tcPr>
            <w:tcW w:w="3051" w:type="dxa"/>
            <w:vAlign w:val="center"/>
          </w:tcPr>
          <w:p w14:paraId="5258CDB1">
            <w:pPr>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 xml:space="preserve">☑首次申报项目             </w:t>
            </w:r>
          </w:p>
          <w:p w14:paraId="68987691">
            <w:pPr>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□不予批准后再次申报项目</w:t>
            </w:r>
          </w:p>
          <w:p w14:paraId="5847CF5C">
            <w:pPr>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sym w:font="Wingdings 2" w:char="00A3"/>
            </w:r>
            <w:r>
              <w:rPr>
                <w:rFonts w:hint="default" w:ascii="Times New Roman" w:hAnsi="Times New Roman" w:cs="Times New Roman"/>
                <w:color w:val="000000" w:themeColor="text1"/>
                <w:sz w:val="24"/>
                <w:szCs w:val="24"/>
                <w:highlight w:val="none"/>
                <w14:textFill>
                  <w14:solidFill>
                    <w14:schemeClr w14:val="tx1"/>
                  </w14:solidFill>
                </w14:textFill>
              </w:rPr>
              <w:t xml:space="preserve">超五年重新审核项目     </w:t>
            </w:r>
          </w:p>
          <w:p w14:paraId="5C44C8EE">
            <w:pPr>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□重大变动重新报批项目</w:t>
            </w:r>
          </w:p>
        </w:tc>
      </w:tr>
      <w:tr w14:paraId="7497F0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14" w:type="dxa"/>
            <w:gridSpan w:val="2"/>
            <w:tcMar>
              <w:top w:w="16" w:type="dxa"/>
              <w:left w:w="16" w:type="dxa"/>
              <w:right w:w="16" w:type="dxa"/>
            </w:tcMar>
            <w:vAlign w:val="center"/>
          </w:tcPr>
          <w:p w14:paraId="039D8DDD">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项目审批（核准/备案）部门（选填）</w:t>
            </w:r>
          </w:p>
        </w:tc>
        <w:tc>
          <w:tcPr>
            <w:tcW w:w="2075" w:type="dxa"/>
            <w:vAlign w:val="center"/>
          </w:tcPr>
          <w:p w14:paraId="21F18A47">
            <w:pPr>
              <w:snapToGrid w:val="0"/>
              <w:jc w:val="center"/>
              <w:rPr>
                <w:rFonts w:hint="default"/>
                <w:color w:val="000000" w:themeColor="text1"/>
                <w14:textFill>
                  <w14:solidFill>
                    <w14:schemeClr w14:val="tx1"/>
                  </w14:solidFill>
                </w14:textFill>
              </w:rPr>
            </w:pPr>
            <w:r>
              <w:rPr>
                <w:rFonts w:hint="eastAsia" w:cs="Times New Roman"/>
                <w:color w:val="000000" w:themeColor="text1"/>
                <w:sz w:val="24"/>
                <w:szCs w:val="24"/>
                <w:highlight w:val="none"/>
                <w:u w:val="single"/>
                <w:lang w:eastAsia="zh-CN"/>
                <w14:textFill>
                  <w14:solidFill>
                    <w14:schemeClr w14:val="tx1"/>
                  </w14:solidFill>
                </w14:textFill>
              </w:rPr>
              <w:t>中国·马来西亚钦州产业园区行政审批局</w:t>
            </w:r>
          </w:p>
        </w:tc>
        <w:tc>
          <w:tcPr>
            <w:tcW w:w="1646" w:type="dxa"/>
            <w:vAlign w:val="center"/>
          </w:tcPr>
          <w:p w14:paraId="5A4334B5">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项目审批（核准/备案）文号（选填）</w:t>
            </w:r>
          </w:p>
        </w:tc>
        <w:tc>
          <w:tcPr>
            <w:tcW w:w="3051" w:type="dxa"/>
            <w:vAlign w:val="center"/>
          </w:tcPr>
          <w:p w14:paraId="4EC2C169">
            <w:pPr>
              <w:snapToGrid w:val="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tc>
      </w:tr>
      <w:tr w14:paraId="220B0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020C9335">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总投资（万元）</w:t>
            </w:r>
          </w:p>
        </w:tc>
        <w:tc>
          <w:tcPr>
            <w:tcW w:w="2075" w:type="dxa"/>
            <w:vAlign w:val="center"/>
          </w:tcPr>
          <w:p w14:paraId="7EE4135B">
            <w:pPr>
              <w:snapToGrid w:val="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150</w:t>
            </w:r>
          </w:p>
        </w:tc>
        <w:tc>
          <w:tcPr>
            <w:tcW w:w="1646" w:type="dxa"/>
            <w:tcMar>
              <w:top w:w="16" w:type="dxa"/>
              <w:left w:w="16" w:type="dxa"/>
              <w:right w:w="16" w:type="dxa"/>
            </w:tcMar>
            <w:vAlign w:val="center"/>
          </w:tcPr>
          <w:p w14:paraId="08CB641F">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环保投资（万元）</w:t>
            </w:r>
          </w:p>
        </w:tc>
        <w:tc>
          <w:tcPr>
            <w:tcW w:w="3051" w:type="dxa"/>
            <w:vAlign w:val="center"/>
          </w:tcPr>
          <w:p w14:paraId="0DEF06D5">
            <w:pPr>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45</w:t>
            </w:r>
          </w:p>
        </w:tc>
      </w:tr>
      <w:tr w14:paraId="79BDD0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630B1B55">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环保投资占比（%）</w:t>
            </w:r>
          </w:p>
        </w:tc>
        <w:tc>
          <w:tcPr>
            <w:tcW w:w="2075" w:type="dxa"/>
            <w:vAlign w:val="center"/>
          </w:tcPr>
          <w:p w14:paraId="2BE3B550">
            <w:pPr>
              <w:snapToGrid w:val="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30</w:t>
            </w:r>
          </w:p>
        </w:tc>
        <w:tc>
          <w:tcPr>
            <w:tcW w:w="1646" w:type="dxa"/>
            <w:tcMar>
              <w:top w:w="16" w:type="dxa"/>
              <w:left w:w="16" w:type="dxa"/>
              <w:right w:w="16" w:type="dxa"/>
            </w:tcMar>
            <w:vAlign w:val="center"/>
          </w:tcPr>
          <w:p w14:paraId="1686A30B">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施工工期</w:t>
            </w:r>
          </w:p>
        </w:tc>
        <w:tc>
          <w:tcPr>
            <w:tcW w:w="3051" w:type="dxa"/>
            <w:vAlign w:val="center"/>
          </w:tcPr>
          <w:p w14:paraId="070939F5">
            <w:pPr>
              <w:snapToGrid w:val="0"/>
              <w:jc w:val="center"/>
              <w:rPr>
                <w:rFonts w:hint="default" w:ascii="Times New Roman" w:hAnsi="Times New Roman" w:cs="Times New Roman"/>
                <w:color w:val="000000" w:themeColor="text1"/>
                <w:sz w:val="24"/>
                <w:szCs w:val="24"/>
                <w:highlight w:val="none"/>
                <w:lang w:val="en-US"/>
                <w14:textFill>
                  <w14:solidFill>
                    <w14:schemeClr w14:val="tx1"/>
                  </w14:solidFill>
                </w14:textFill>
              </w:rPr>
            </w:pPr>
            <w:r>
              <w:rPr>
                <w:rStyle w:val="29"/>
                <w:rFonts w:hint="default" w:ascii="Times New Roman" w:hAnsi="Times New Roman" w:cs="Times New Roman"/>
                <w:color w:val="000000" w:themeColor="text1"/>
                <w:szCs w:val="24"/>
                <w:highlight w:val="none"/>
                <w:lang w:val="en-US" w:eastAsia="zh-CN"/>
                <w14:textFill>
                  <w14:solidFill>
                    <w14:schemeClr w14:val="tx1"/>
                  </w14:solidFill>
                </w14:textFill>
              </w:rPr>
              <w:t>2025年7</w:t>
            </w:r>
            <w:r>
              <w:rPr>
                <w:rStyle w:val="29"/>
                <w:rFonts w:hint="default" w:ascii="Times New Roman" w:hAnsi="Times New Roman" w:cs="Times New Roman"/>
                <w:color w:val="000000" w:themeColor="text1"/>
                <w:szCs w:val="24"/>
                <w:highlight w:val="none"/>
                <w14:textFill>
                  <w14:solidFill>
                    <w14:schemeClr w14:val="tx1"/>
                  </w14:solidFill>
                </w14:textFill>
              </w:rPr>
              <w:t>月</w:t>
            </w:r>
            <w:r>
              <w:rPr>
                <w:rStyle w:val="29"/>
                <w:rFonts w:hint="default" w:ascii="Times New Roman" w:hAnsi="Times New Roman" w:cs="Times New Roman"/>
                <w:color w:val="000000" w:themeColor="text1"/>
                <w:szCs w:val="24"/>
                <w:highlight w:val="none"/>
                <w:lang w:val="en-US" w:eastAsia="zh-CN"/>
                <w14:textFill>
                  <w14:solidFill>
                    <w14:schemeClr w14:val="tx1"/>
                  </w14:solidFill>
                </w14:textFill>
              </w:rPr>
              <w:t>-2025年9月</w:t>
            </w:r>
          </w:p>
        </w:tc>
      </w:tr>
      <w:tr w14:paraId="56F7C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14" w:type="dxa"/>
            <w:gridSpan w:val="2"/>
            <w:tcMar>
              <w:top w:w="16" w:type="dxa"/>
              <w:left w:w="16" w:type="dxa"/>
              <w:right w:w="16" w:type="dxa"/>
            </w:tcMar>
            <w:vAlign w:val="center"/>
          </w:tcPr>
          <w:p w14:paraId="44881BD9">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是否开工建设</w:t>
            </w:r>
          </w:p>
        </w:tc>
        <w:tc>
          <w:tcPr>
            <w:tcW w:w="2075" w:type="dxa"/>
            <w:vAlign w:val="center"/>
          </w:tcPr>
          <w:p w14:paraId="682E6346">
            <w:pPr>
              <w:snapToGrid w:val="0"/>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否</w:t>
            </w:r>
          </w:p>
          <w:p w14:paraId="44A314C7">
            <w:pPr>
              <w:snapToGrid w:val="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sym w:font="Wingdings 2" w:char="0052"/>
            </w:r>
            <w:r>
              <w:rPr>
                <w:rFonts w:hint="default" w:ascii="Times New Roman" w:hAnsi="Times New Roman" w:cs="Times New Roman"/>
                <w:color w:val="000000" w:themeColor="text1"/>
                <w:sz w:val="24"/>
                <w:szCs w:val="24"/>
                <w:highlight w:val="none"/>
                <w:u w:val="single"/>
                <w14:textFill>
                  <w14:solidFill>
                    <w14:schemeClr w14:val="tx1"/>
                  </w14:solidFill>
                </w14:textFill>
              </w:rPr>
              <w:t>是</w:t>
            </w:r>
            <w:r>
              <w:rPr>
                <w:rFonts w:hint="default"/>
                <w:color w:val="000000" w:themeColor="text1"/>
                <w:sz w:val="24"/>
                <w:szCs w:val="24"/>
                <w:highlight w:val="none"/>
                <w:u w:val="single"/>
                <w14:textFill>
                  <w14:solidFill>
                    <w14:schemeClr w14:val="tx1"/>
                  </w14:solidFill>
                </w14:textFill>
              </w:rPr>
              <w:t>锅炉主体、除尘器等设备已到场，正在安装</w:t>
            </w:r>
          </w:p>
        </w:tc>
        <w:tc>
          <w:tcPr>
            <w:tcW w:w="1646" w:type="dxa"/>
            <w:tcMar>
              <w:top w:w="16" w:type="dxa"/>
              <w:left w:w="16" w:type="dxa"/>
              <w:right w:w="16" w:type="dxa"/>
            </w:tcMar>
            <w:vAlign w:val="center"/>
          </w:tcPr>
          <w:p w14:paraId="15416925">
            <w:pPr>
              <w:snapToGrid w:val="0"/>
              <w:jc w:val="center"/>
              <w:rPr>
                <w:rFonts w:hint="default" w:ascii="Times New Roman" w:hAnsi="Times New Roman" w:cs="Times New Roman"/>
                <w:color w:val="000000" w:themeColor="text1"/>
                <w:spacing w:val="-6"/>
                <w:sz w:val="24"/>
                <w:szCs w:val="24"/>
                <w:highlight w:val="none"/>
                <w14:textFill>
                  <w14:solidFill>
                    <w14:schemeClr w14:val="tx1"/>
                  </w14:solidFill>
                </w14:textFill>
              </w:rPr>
            </w:pPr>
            <w:r>
              <w:rPr>
                <w:rFonts w:hint="default" w:ascii="Times New Roman" w:hAnsi="Times New Roman" w:cs="Times New Roman"/>
                <w:color w:val="000000" w:themeColor="text1"/>
                <w:spacing w:val="-6"/>
                <w:sz w:val="24"/>
                <w:szCs w:val="24"/>
                <w:highlight w:val="none"/>
                <w14:textFill>
                  <w14:solidFill>
                    <w14:schemeClr w14:val="tx1"/>
                  </w14:solidFill>
                </w14:textFill>
              </w:rPr>
              <w:t>用地（用海）</w:t>
            </w:r>
          </w:p>
          <w:p w14:paraId="35D5D28D">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pacing w:val="-6"/>
                <w:sz w:val="24"/>
                <w:szCs w:val="24"/>
                <w:highlight w:val="none"/>
                <w14:textFill>
                  <w14:solidFill>
                    <w14:schemeClr w14:val="tx1"/>
                  </w14:solidFill>
                </w14:textFill>
              </w:rPr>
              <w:t>面积（</w:t>
            </w:r>
            <w:r>
              <w:rPr>
                <w:rStyle w:val="29"/>
                <w:rFonts w:hint="default" w:ascii="Times New Roman" w:hAnsi="Times New Roman" w:cs="Times New Roman"/>
                <w:color w:val="000000" w:themeColor="text1"/>
                <w:szCs w:val="24"/>
                <w:highlight w:val="none"/>
                <w14:textFill>
                  <w14:solidFill>
                    <w14:schemeClr w14:val="tx1"/>
                  </w14:solidFill>
                </w14:textFill>
              </w:rPr>
              <w:t>m</w:t>
            </w:r>
            <w:r>
              <w:rPr>
                <w:rStyle w:val="29"/>
                <w:rFonts w:hint="default" w:ascii="Times New Roman" w:hAnsi="Times New Roman" w:cs="Times New Roman"/>
                <w:color w:val="000000" w:themeColor="text1"/>
                <w:szCs w:val="24"/>
                <w:highlight w:val="none"/>
                <w:vertAlign w:val="superscript"/>
                <w14:textFill>
                  <w14:solidFill>
                    <w14:schemeClr w14:val="tx1"/>
                  </w14:solidFill>
                </w14:textFill>
              </w:rPr>
              <w:t>2</w:t>
            </w:r>
            <w:r>
              <w:rPr>
                <w:rFonts w:hint="default" w:ascii="Times New Roman" w:hAnsi="Times New Roman" w:cs="Times New Roman"/>
                <w:color w:val="000000" w:themeColor="text1"/>
                <w:spacing w:val="-6"/>
                <w:sz w:val="24"/>
                <w:szCs w:val="24"/>
                <w:highlight w:val="none"/>
                <w14:textFill>
                  <w14:solidFill>
                    <w14:schemeClr w14:val="tx1"/>
                  </w14:solidFill>
                </w14:textFill>
              </w:rPr>
              <w:t>）</w:t>
            </w:r>
          </w:p>
        </w:tc>
        <w:tc>
          <w:tcPr>
            <w:tcW w:w="3051" w:type="dxa"/>
            <w:vAlign w:val="center"/>
          </w:tcPr>
          <w:p w14:paraId="1D81004F">
            <w:pPr>
              <w:snapToGrid w:val="0"/>
              <w:jc w:val="center"/>
              <w:rPr>
                <w:rFonts w:hint="default" w:ascii="Times New Roman" w:hAnsi="Times New Roman"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250</w:t>
            </w:r>
          </w:p>
        </w:tc>
      </w:tr>
      <w:tr w14:paraId="74BA5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2" w:type="dxa"/>
            <w:vAlign w:val="center"/>
          </w:tcPr>
          <w:p w14:paraId="55C663F6">
            <w:pPr>
              <w:autoSpaceDE w:val="0"/>
              <w:autoSpaceDN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专项评价设置情况</w:t>
            </w:r>
          </w:p>
        </w:tc>
        <w:tc>
          <w:tcPr>
            <w:tcW w:w="7564" w:type="dxa"/>
            <w:gridSpan w:val="4"/>
            <w:vAlign w:val="center"/>
          </w:tcPr>
          <w:p w14:paraId="175213FE">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根据《建设项目环境影响报告表编制技术指南（污染影响类）</w:t>
            </w:r>
            <w:r>
              <w:rPr>
                <w:rFonts w:hint="eastAsia" w:cs="Times New Roman"/>
                <w:color w:val="000000" w:themeColor="text1"/>
                <w:highlight w:val="none"/>
                <w:lang w:eastAsia="zh-CN"/>
                <w14:textFill>
                  <w14:solidFill>
                    <w14:schemeClr w14:val="tx1"/>
                  </w14:solidFill>
                </w14:textFill>
              </w:rPr>
              <w:t>（试行）》</w:t>
            </w:r>
            <w:r>
              <w:rPr>
                <w:rFonts w:hint="default" w:ascii="Times New Roman" w:hAnsi="Times New Roman" w:cs="Times New Roman"/>
                <w:color w:val="000000" w:themeColor="text1"/>
                <w:highlight w:val="none"/>
                <w14:textFill>
                  <w14:solidFill>
                    <w14:schemeClr w14:val="tx1"/>
                  </w14:solidFill>
                </w14:textFill>
              </w:rPr>
              <w:t>，大气、地表水、环境风险、生态专项评价设置原则见下表：</w:t>
            </w:r>
          </w:p>
          <w:p w14:paraId="45AD3771">
            <w:pPr>
              <w:pStyle w:val="34"/>
              <w:rPr>
                <w:rFonts w:hint="default" w:ascii="Times New Roman" w:hAnsi="Times New Roman" w:cs="Times New Roman"/>
                <w:color w:val="000000" w:themeColor="text1"/>
                <w:highlight w:val="none"/>
                <w14:textFill>
                  <w14:solidFill>
                    <w14:schemeClr w14:val="tx1"/>
                  </w14:solidFill>
                </w14:textFill>
              </w:rPr>
            </w:pPr>
            <w:bookmarkStart w:id="6" w:name="_Ref186210523"/>
            <w:r>
              <w:rPr>
                <w:rFonts w:hint="default" w:ascii="Times New Roman" w:hAnsi="Times New Roman" w:cs="Times New Roman"/>
                <w:color w:val="000000" w:themeColor="text1"/>
                <w:highlight w:val="none"/>
                <w14:textFill>
                  <w14:solidFill>
                    <w14:schemeClr w14:val="tx1"/>
                  </w14:solidFill>
                </w14:textFill>
              </w:rPr>
              <w:t>表1- 1：专项评价设置原则表</w:t>
            </w:r>
            <w:bookmarkEnd w:id="6"/>
          </w:p>
          <w:tbl>
            <w:tblPr>
              <w:tblStyle w:val="4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61"/>
              <w:gridCol w:w="3531"/>
              <w:gridCol w:w="2956"/>
            </w:tblGrid>
            <w:tr w14:paraId="057E7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074D03D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专项评价类别</w:t>
                  </w:r>
                </w:p>
              </w:tc>
              <w:tc>
                <w:tcPr>
                  <w:tcW w:w="3531"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583F4D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设置原则</w:t>
                  </w:r>
                </w:p>
              </w:tc>
              <w:tc>
                <w:tcPr>
                  <w:tcW w:w="2956" w:type="dxa"/>
                  <w:tcBorders>
                    <w:top w:val="single" w:color="auto" w:sz="12" w:space="0"/>
                    <w:bottom w:val="single" w:color="auto" w:sz="12" w:space="0"/>
                    <w:right w:val="nil"/>
                    <w:insideH w:val="single" w:sz="12" w:space="0"/>
                    <w:insideV w:val="single" w:sz="4" w:space="0"/>
                    <w:tl2br w:val="nil"/>
                    <w:tr2bl w:val="nil"/>
                  </w:tcBorders>
                  <w:vAlign w:val="center"/>
                </w:tcPr>
                <w:p w14:paraId="5B44C5F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本项目是否设置专项</w:t>
                  </w:r>
                </w:p>
              </w:tc>
            </w:tr>
            <w:tr w14:paraId="7F779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vAlign w:val="center"/>
                </w:tcPr>
                <w:p w14:paraId="1D57505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大气</w:t>
                  </w:r>
                </w:p>
              </w:tc>
              <w:tc>
                <w:tcPr>
                  <w:tcW w:w="3531" w:type="dxa"/>
                  <w:vAlign w:val="center"/>
                </w:tcPr>
                <w:p w14:paraId="14DCB2B6">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排放废气含有毒有害污染物</w:t>
                  </w:r>
                  <w:r>
                    <w:rPr>
                      <w:rFonts w:hint="default" w:ascii="Times New Roman" w:hAnsi="Times New Roman" w:cs="Times New Roman"/>
                      <w:color w:val="000000" w:themeColor="text1"/>
                      <w:highlight w:val="none"/>
                      <w:vertAlign w:val="superscript"/>
                      <w14:textFill>
                        <w14:solidFill>
                          <w14:schemeClr w14:val="tx1"/>
                        </w14:solidFill>
                      </w14:textFill>
                      <w14:ligatures w14:val="standardContextual"/>
                    </w:rPr>
                    <w:t>1</w:t>
                  </w:r>
                  <w:r>
                    <w:rPr>
                      <w:rFonts w:hint="default" w:ascii="Times New Roman" w:hAnsi="Times New Roman" w:cs="Times New Roman"/>
                      <w:color w:val="000000" w:themeColor="text1"/>
                      <w:highlight w:val="none"/>
                      <w14:textFill>
                        <w14:solidFill>
                          <w14:schemeClr w14:val="tx1"/>
                        </w14:solidFill>
                      </w14:textFill>
                      <w14:ligatures w14:val="standardContextual"/>
                    </w:rPr>
                    <w:t>、二噁英、苯并[a]芘、氰化物、氯气且厂界外500米范围内有环境空气保护目标</w:t>
                  </w:r>
                  <w:r>
                    <w:rPr>
                      <w:rFonts w:hint="default" w:ascii="Times New Roman" w:hAnsi="Times New Roman" w:cs="Times New Roman"/>
                      <w:color w:val="000000" w:themeColor="text1"/>
                      <w:highlight w:val="none"/>
                      <w:vertAlign w:val="superscript"/>
                      <w14:textFill>
                        <w14:solidFill>
                          <w14:schemeClr w14:val="tx1"/>
                        </w14:solidFill>
                      </w14:textFill>
                      <w14:ligatures w14:val="standardContextual"/>
                    </w:rPr>
                    <w:t>2</w:t>
                  </w:r>
                  <w:r>
                    <w:rPr>
                      <w:rFonts w:hint="default" w:ascii="Times New Roman" w:hAnsi="Times New Roman" w:cs="Times New Roman"/>
                      <w:color w:val="000000" w:themeColor="text1"/>
                      <w:highlight w:val="none"/>
                      <w14:textFill>
                        <w14:solidFill>
                          <w14:schemeClr w14:val="tx1"/>
                        </w14:solidFill>
                      </w14:textFill>
                      <w14:ligatures w14:val="standardContextual"/>
                    </w:rPr>
                    <w:t>的建设项目</w:t>
                  </w:r>
                </w:p>
              </w:tc>
              <w:tc>
                <w:tcPr>
                  <w:tcW w:w="2956" w:type="dxa"/>
                  <w:vAlign w:val="center"/>
                </w:tcPr>
                <w:p w14:paraId="21EA421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本项目排放的大气污染物主要为颗粒物、二氧化硫、氮氧化物、烟气黑度，不涉及有毒有害污染物，不涉及设置原则中相关内容，</w:t>
                  </w:r>
                  <w:r>
                    <w:rPr>
                      <w:rFonts w:hint="eastAsia" w:cs="Times New Roman"/>
                      <w:color w:val="000000" w:themeColor="text1"/>
                      <w:highlight w:val="none"/>
                      <w:lang w:eastAsia="zh-CN"/>
                      <w14:textFill>
                        <w14:solidFill>
                          <w14:schemeClr w14:val="tx1"/>
                        </w14:solidFill>
                      </w14:textFill>
                      <w14:ligatures w14:val="standardContextual"/>
                    </w:rPr>
                    <w:t>无须设置</w:t>
                  </w:r>
                  <w:r>
                    <w:rPr>
                      <w:rFonts w:hint="default" w:ascii="Times New Roman" w:hAnsi="Times New Roman" w:cs="Times New Roman"/>
                      <w:color w:val="000000" w:themeColor="text1"/>
                      <w:highlight w:val="none"/>
                      <w14:textFill>
                        <w14:solidFill>
                          <w14:schemeClr w14:val="tx1"/>
                        </w14:solidFill>
                      </w14:textFill>
                      <w14:ligatures w14:val="standardContextual"/>
                    </w:rPr>
                    <w:t>该专项评价。</w:t>
                  </w:r>
                </w:p>
              </w:tc>
            </w:tr>
            <w:tr w14:paraId="1F3E0D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vAlign w:val="center"/>
                </w:tcPr>
                <w:p w14:paraId="5158A196">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地表水</w:t>
                  </w:r>
                </w:p>
              </w:tc>
              <w:tc>
                <w:tcPr>
                  <w:tcW w:w="3531" w:type="dxa"/>
                  <w:vAlign w:val="center"/>
                </w:tcPr>
                <w:p w14:paraId="747CEDC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新增工业废水直排建设项目（槽罐车外送污水处理厂的除外）；新增废水直排的污水集中处理厂</w:t>
                  </w:r>
                </w:p>
              </w:tc>
              <w:tc>
                <w:tcPr>
                  <w:tcW w:w="2956" w:type="dxa"/>
                  <w:vAlign w:val="center"/>
                </w:tcPr>
                <w:p w14:paraId="5D17C06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项目无废水直排，故不设置地表水专项评价。</w:t>
                  </w:r>
                </w:p>
              </w:tc>
            </w:tr>
            <w:tr w14:paraId="1399A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vAlign w:val="center"/>
                </w:tcPr>
                <w:p w14:paraId="5164D179">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环境风</w:t>
                  </w:r>
                </w:p>
                <w:p w14:paraId="4FA9E38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险</w:t>
                  </w:r>
                </w:p>
              </w:tc>
              <w:tc>
                <w:tcPr>
                  <w:tcW w:w="3531" w:type="dxa"/>
                  <w:vAlign w:val="center"/>
                </w:tcPr>
                <w:p w14:paraId="6EAA34C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有毒有害的易燃易爆危险物质存储量超过临界量</w:t>
                  </w:r>
                  <w:r>
                    <w:rPr>
                      <w:rFonts w:hint="default" w:ascii="Times New Roman" w:hAnsi="Times New Roman" w:cs="Times New Roman"/>
                      <w:color w:val="000000" w:themeColor="text1"/>
                      <w:highlight w:val="none"/>
                      <w:vertAlign w:val="superscript"/>
                      <w14:textFill>
                        <w14:solidFill>
                          <w14:schemeClr w14:val="tx1"/>
                        </w14:solidFill>
                      </w14:textFill>
                      <w14:ligatures w14:val="standardContextual"/>
                    </w:rPr>
                    <w:t>3</w:t>
                  </w:r>
                  <w:r>
                    <w:rPr>
                      <w:rFonts w:hint="default" w:ascii="Times New Roman" w:hAnsi="Times New Roman" w:cs="Times New Roman"/>
                      <w:color w:val="000000" w:themeColor="text1"/>
                      <w:highlight w:val="none"/>
                      <w14:textFill>
                        <w14:solidFill>
                          <w14:schemeClr w14:val="tx1"/>
                        </w14:solidFill>
                      </w14:textFill>
                      <w14:ligatures w14:val="standardContextual"/>
                    </w:rPr>
                    <w:t>的建设项目</w:t>
                  </w:r>
                </w:p>
              </w:tc>
              <w:tc>
                <w:tcPr>
                  <w:tcW w:w="2956" w:type="dxa"/>
                  <w:vAlign w:val="center"/>
                </w:tcPr>
                <w:p w14:paraId="74D4ABF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本项目不涉及设置原则中相关内容，</w:t>
                  </w:r>
                  <w:r>
                    <w:rPr>
                      <w:rFonts w:hint="eastAsia" w:cs="Times New Roman"/>
                      <w:color w:val="000000" w:themeColor="text1"/>
                      <w:highlight w:val="none"/>
                      <w:lang w:eastAsia="zh-CN"/>
                      <w14:textFill>
                        <w14:solidFill>
                          <w14:schemeClr w14:val="tx1"/>
                        </w14:solidFill>
                      </w14:textFill>
                      <w14:ligatures w14:val="standardContextual"/>
                    </w:rPr>
                    <w:t>无须设置</w:t>
                  </w:r>
                  <w:r>
                    <w:rPr>
                      <w:rFonts w:hint="default" w:ascii="Times New Roman" w:hAnsi="Times New Roman" w:cs="Times New Roman"/>
                      <w:color w:val="000000" w:themeColor="text1"/>
                      <w:highlight w:val="none"/>
                      <w14:textFill>
                        <w14:solidFill>
                          <w14:schemeClr w14:val="tx1"/>
                        </w14:solidFill>
                      </w14:textFill>
                      <w14:ligatures w14:val="standardContextual"/>
                    </w:rPr>
                    <w:t>该专项评价</w:t>
                  </w:r>
                </w:p>
              </w:tc>
            </w:tr>
            <w:tr w14:paraId="4B6A8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vAlign w:val="center"/>
                </w:tcPr>
                <w:p w14:paraId="253C37D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生态</w:t>
                  </w:r>
                </w:p>
              </w:tc>
              <w:tc>
                <w:tcPr>
                  <w:tcW w:w="3531" w:type="dxa"/>
                  <w:vAlign w:val="center"/>
                </w:tcPr>
                <w:p w14:paraId="4845A4F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取水口下游500米范围内有重要水生生物的自然产卵场、索饵场、越冬场和洄游通道的新增河道取水的污染类建设项目</w:t>
                  </w:r>
                </w:p>
              </w:tc>
              <w:tc>
                <w:tcPr>
                  <w:tcW w:w="2956" w:type="dxa"/>
                  <w:vAlign w:val="center"/>
                </w:tcPr>
                <w:p w14:paraId="7CED3149">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本项目不涉及设置原则中相关内容，</w:t>
                  </w:r>
                  <w:r>
                    <w:rPr>
                      <w:rFonts w:hint="eastAsia" w:cs="Times New Roman"/>
                      <w:color w:val="000000" w:themeColor="text1"/>
                      <w:highlight w:val="none"/>
                      <w:lang w:eastAsia="zh-CN"/>
                      <w14:textFill>
                        <w14:solidFill>
                          <w14:schemeClr w14:val="tx1"/>
                        </w14:solidFill>
                      </w14:textFill>
                      <w14:ligatures w14:val="standardContextual"/>
                    </w:rPr>
                    <w:t>无须设置</w:t>
                  </w:r>
                  <w:r>
                    <w:rPr>
                      <w:rFonts w:hint="default" w:ascii="Times New Roman" w:hAnsi="Times New Roman" w:cs="Times New Roman"/>
                      <w:color w:val="000000" w:themeColor="text1"/>
                      <w:highlight w:val="none"/>
                      <w14:textFill>
                        <w14:solidFill>
                          <w14:schemeClr w14:val="tx1"/>
                        </w14:solidFill>
                      </w14:textFill>
                      <w14:ligatures w14:val="standardContextual"/>
                    </w:rPr>
                    <w:t>该专项评价</w:t>
                  </w:r>
                </w:p>
              </w:tc>
            </w:tr>
            <w:tr w14:paraId="4F067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61" w:type="dxa"/>
                  <w:vAlign w:val="center"/>
                </w:tcPr>
                <w:p w14:paraId="6A0A62F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海洋</w:t>
                  </w:r>
                </w:p>
              </w:tc>
              <w:tc>
                <w:tcPr>
                  <w:tcW w:w="3531" w:type="dxa"/>
                  <w:vAlign w:val="center"/>
                </w:tcPr>
                <w:p w14:paraId="4A3D112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直接向海洋排放污染物的海洋建设项目</w:t>
                  </w:r>
                </w:p>
              </w:tc>
              <w:tc>
                <w:tcPr>
                  <w:tcW w:w="2956" w:type="dxa"/>
                  <w:vAlign w:val="center"/>
                </w:tcPr>
                <w:p w14:paraId="1332AC7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本项目不涉及设置原则中相关内容，</w:t>
                  </w:r>
                  <w:r>
                    <w:rPr>
                      <w:rFonts w:hint="eastAsia" w:cs="Times New Roman"/>
                      <w:color w:val="000000" w:themeColor="text1"/>
                      <w:highlight w:val="none"/>
                      <w:lang w:eastAsia="zh-CN"/>
                      <w14:textFill>
                        <w14:solidFill>
                          <w14:schemeClr w14:val="tx1"/>
                        </w14:solidFill>
                      </w14:textFill>
                      <w14:ligatures w14:val="standardContextual"/>
                    </w:rPr>
                    <w:t>无须设置</w:t>
                  </w:r>
                  <w:r>
                    <w:rPr>
                      <w:rFonts w:hint="default" w:ascii="Times New Roman" w:hAnsi="Times New Roman" w:cs="Times New Roman"/>
                      <w:color w:val="000000" w:themeColor="text1"/>
                      <w:highlight w:val="none"/>
                      <w14:textFill>
                        <w14:solidFill>
                          <w14:schemeClr w14:val="tx1"/>
                        </w14:solidFill>
                      </w14:textFill>
                      <w14:ligatures w14:val="standardContextual"/>
                    </w:rPr>
                    <w:t>该专项</w:t>
                  </w:r>
                </w:p>
              </w:tc>
            </w:tr>
          </w:tbl>
          <w:p w14:paraId="03B1897C">
            <w:pPr>
              <w:spacing w:after="12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注：1.废气中有毒有害污染物指纳入《有毒有害大气污染物名录》的污染物（不包括无排放标准的污染物）。</w:t>
            </w:r>
          </w:p>
          <w:p w14:paraId="2DDF70AC">
            <w:pPr>
              <w:spacing w:after="12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2.环境空气保护目标指自然保护区、风景名胜区、居住区、文化区和农村地区中人群较集中的区域。</w:t>
            </w:r>
          </w:p>
          <w:p w14:paraId="499DEEA9">
            <w:pPr>
              <w:spacing w:after="12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3.临界量及其计算方法可参考《建设项目环境风险评价技术导则》（HJ 169）附录B、附录C。</w:t>
            </w:r>
          </w:p>
          <w:p w14:paraId="1722EC0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根据《建设项目环境影响报告表编制技术指南（污染影响类）</w:t>
            </w:r>
            <w:r>
              <w:rPr>
                <w:rFonts w:hint="eastAsia" w:cs="Times New Roman"/>
                <w:color w:val="000000" w:themeColor="text1"/>
                <w:highlight w:val="none"/>
                <w:lang w:eastAsia="zh-CN"/>
                <w14:textFill>
                  <w14:solidFill>
                    <w14:schemeClr w14:val="tx1"/>
                  </w14:solidFill>
                </w14:textFill>
              </w:rPr>
              <w:t>（试行）》</w:t>
            </w:r>
            <w:r>
              <w:rPr>
                <w:rFonts w:hint="default" w:ascii="Times New Roman" w:hAnsi="Times New Roman" w:cs="Times New Roman"/>
                <w:color w:val="000000" w:themeColor="text1"/>
                <w:highlight w:val="none"/>
                <w14:textFill>
                  <w14:solidFill>
                    <w14:schemeClr w14:val="tx1"/>
                  </w14:solidFill>
                </w14:textFill>
              </w:rPr>
              <w:t>，土壤及声环境不开展专项评价。地下水原则上不开展专项评价，涉及集中式饮用水水源和热水、矿泉水、温泉等特殊地下水资源保护区的开展地下水专项评价工作，本项目不涉及上述保护区，因此可不开展地下水专项评价。</w:t>
            </w:r>
          </w:p>
          <w:p w14:paraId="37598FA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综上判定，本次评价无须设置专项评价。</w:t>
            </w:r>
          </w:p>
        </w:tc>
      </w:tr>
      <w:tr w14:paraId="16FFF3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6301515">
            <w:pPr>
              <w:autoSpaceDE w:val="0"/>
              <w:autoSpaceDN w:val="0"/>
              <w:snapToGrid w:val="0"/>
              <w:jc w:val="center"/>
              <w:rPr>
                <w:rFonts w:hint="default" w:ascii="Times New Roman" w:hAnsi="Times New Roman" w:cs="Times New Roman"/>
                <w:color w:val="000000" w:themeColor="text1"/>
                <w:sz w:val="24"/>
                <w:highlight w:val="none"/>
                <w14:textFill>
                  <w14:solidFill>
                    <w14:schemeClr w14:val="tx1"/>
                  </w14:solidFill>
                </w14:textFill>
              </w:rPr>
            </w:pPr>
            <w:bookmarkStart w:id="7" w:name="规划情况"/>
            <w:r>
              <w:rPr>
                <w:rFonts w:hint="default" w:ascii="Times New Roman" w:hAnsi="Times New Roman" w:cs="Times New Roman"/>
                <w:color w:val="000000" w:themeColor="text1"/>
                <w:sz w:val="24"/>
                <w:highlight w:val="none"/>
                <w14:textFill>
                  <w14:solidFill>
                    <w14:schemeClr w14:val="tx1"/>
                  </w14:solidFill>
                </w14:textFill>
              </w:rPr>
              <w:t>规划情况</w:t>
            </w:r>
            <w:bookmarkEnd w:id="7"/>
          </w:p>
        </w:tc>
        <w:tc>
          <w:tcPr>
            <w:tcW w:w="7564" w:type="dxa"/>
            <w:gridSpan w:val="4"/>
            <w:vAlign w:val="center"/>
          </w:tcPr>
          <w:p w14:paraId="1D802AF9">
            <w:pPr>
              <w:pStyle w:val="4"/>
              <w:ind w:firstLine="0" w:firstLineChars="0"/>
              <w:rPr>
                <w:rFonts w:hint="default" w:ascii="Times New Roman" w:hAnsi="Times New Roman" w:cs="Times New Roman"/>
                <w:color w:val="000000" w:themeColor="text1"/>
                <w:highlight w:val="none"/>
                <w14:textFill>
                  <w14:solidFill>
                    <w14:schemeClr w14:val="tx1"/>
                  </w14:solidFill>
                </w14:textFill>
              </w:rPr>
            </w:pPr>
            <w:bookmarkStart w:id="8" w:name="OLE_LINK119"/>
            <w:r>
              <w:rPr>
                <w:rFonts w:hint="default" w:ascii="Times New Roman" w:hAnsi="Times New Roman" w:cs="Times New Roman"/>
                <w:color w:val="000000" w:themeColor="text1"/>
                <w:highlight w:val="none"/>
                <w14:textFill>
                  <w14:solidFill>
                    <w14:schemeClr w14:val="tx1"/>
                  </w14:solidFill>
                </w14:textFill>
              </w:rPr>
              <w:t>（1）规划名称：《中国—马来西亚钦州产业园区总体规划修编》</w:t>
            </w:r>
          </w:p>
          <w:p w14:paraId="0BFF3411">
            <w:pPr>
              <w:pStyle w:val="4"/>
              <w:ind w:firstLine="0" w:firstLineChars="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（2）审批机关：广西壮族自治区人民政府</w:t>
            </w:r>
            <w:bookmarkEnd w:id="8"/>
          </w:p>
        </w:tc>
      </w:tr>
      <w:tr w14:paraId="0AE451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22" w:type="dxa"/>
            <w:vAlign w:val="center"/>
          </w:tcPr>
          <w:p w14:paraId="340F2685">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规划环境影响评价情况</w:t>
            </w:r>
          </w:p>
        </w:tc>
        <w:tc>
          <w:tcPr>
            <w:tcW w:w="7564" w:type="dxa"/>
            <w:gridSpan w:val="4"/>
            <w:vAlign w:val="center"/>
          </w:tcPr>
          <w:p w14:paraId="3ADF8F5D">
            <w:pPr>
              <w:pStyle w:val="4"/>
              <w:ind w:firstLine="0" w:firstLineChars="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（1）规划环境影响评价文件名称：《中国—马来西亚钦州产业园区总体规划修编环境影响报告书》</w:t>
            </w:r>
          </w:p>
          <w:p w14:paraId="538314F9">
            <w:pPr>
              <w:pStyle w:val="4"/>
              <w:ind w:firstLine="0" w:firstLineChars="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（2）召集审查机关：广西壮族自治区</w:t>
            </w:r>
            <w:r>
              <w:rPr>
                <w:rFonts w:hint="eastAsia" w:cs="Times New Roman"/>
                <w:color w:val="000000" w:themeColor="text1"/>
                <w:highlight w:val="none"/>
                <w:lang w:eastAsia="zh-CN"/>
                <w14:textFill>
                  <w14:solidFill>
                    <w14:schemeClr w14:val="tx1"/>
                  </w14:solidFill>
                </w14:textFill>
              </w:rPr>
              <w:t>生态环境厅</w:t>
            </w:r>
          </w:p>
          <w:p w14:paraId="1329B274">
            <w:pPr>
              <w:pStyle w:val="4"/>
              <w:ind w:firstLine="0" w:firstLineChars="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（3）审查文件名称及文号：《广西壮族自治区</w:t>
            </w:r>
            <w:r>
              <w:rPr>
                <w:rFonts w:hint="eastAsia" w:cs="Times New Roman"/>
                <w:color w:val="000000" w:themeColor="text1"/>
                <w:highlight w:val="none"/>
                <w:lang w:eastAsia="zh-CN"/>
                <w14:textFill>
                  <w14:solidFill>
                    <w14:schemeClr w14:val="tx1"/>
                  </w14:solidFill>
                </w14:textFill>
              </w:rPr>
              <w:t>生态环境厅</w:t>
            </w:r>
            <w:r>
              <w:rPr>
                <w:rFonts w:hint="default" w:ascii="Times New Roman" w:hAnsi="Times New Roman" w:cs="Times New Roman"/>
                <w:color w:val="000000" w:themeColor="text1"/>
                <w:highlight w:val="none"/>
                <w14:textFill>
                  <w14:solidFill>
                    <w14:schemeClr w14:val="tx1"/>
                  </w14:solidFill>
                </w14:textFill>
              </w:rPr>
              <w:t>关于印发中国—马来西亚钦州产业园区总体规划修编环境影响报告书审查意见的函》（桂环函〔2016〕2132号）</w:t>
            </w:r>
          </w:p>
          <w:p w14:paraId="61F4719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2016年园区对原有规划进行修编，并进行环境影响评价工作。修编后的规划环评于2016年12月通过广西壮族自治区</w:t>
            </w:r>
            <w:r>
              <w:rPr>
                <w:rFonts w:hint="eastAsia" w:cs="Times New Roman"/>
                <w:color w:val="000000" w:themeColor="text1"/>
                <w:highlight w:val="none"/>
                <w:lang w:eastAsia="zh-CN"/>
                <w14:textFill>
                  <w14:solidFill>
                    <w14:schemeClr w14:val="tx1"/>
                  </w14:solidFill>
                </w14:textFill>
              </w:rPr>
              <w:t>生态环境厅</w:t>
            </w:r>
            <w:r>
              <w:rPr>
                <w:rFonts w:hint="default" w:ascii="Times New Roman" w:hAnsi="Times New Roman" w:cs="Times New Roman"/>
                <w:color w:val="000000" w:themeColor="text1"/>
                <w:highlight w:val="none"/>
                <w14:textFill>
                  <w14:solidFill>
                    <w14:schemeClr w14:val="tx1"/>
                  </w14:solidFill>
                </w14:textFill>
              </w:rPr>
              <w:t>组织的审查并取得了规划环评审查意见《广西壮族自治区</w:t>
            </w:r>
            <w:r>
              <w:rPr>
                <w:rFonts w:hint="eastAsia" w:cs="Times New Roman"/>
                <w:color w:val="000000" w:themeColor="text1"/>
                <w:highlight w:val="none"/>
                <w:lang w:eastAsia="zh-CN"/>
                <w14:textFill>
                  <w14:solidFill>
                    <w14:schemeClr w14:val="tx1"/>
                  </w14:solidFill>
                </w14:textFill>
              </w:rPr>
              <w:t>生态环境厅</w:t>
            </w:r>
            <w:r>
              <w:rPr>
                <w:rFonts w:hint="default" w:ascii="Times New Roman" w:hAnsi="Times New Roman" w:cs="Times New Roman"/>
                <w:color w:val="000000" w:themeColor="text1"/>
                <w:highlight w:val="none"/>
                <w14:textFill>
                  <w14:solidFill>
                    <w14:schemeClr w14:val="tx1"/>
                  </w14:solidFill>
                </w14:textFill>
              </w:rPr>
              <w:t>关于印发中国—马来西亚钦州产业园区总体规划修编环境影响报告书审查意见的函》（桂环函﹝2016﹞2132号）。</w:t>
            </w:r>
          </w:p>
        </w:tc>
      </w:tr>
      <w:tr w14:paraId="6AC0B2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22" w:type="dxa"/>
            <w:vAlign w:val="center"/>
          </w:tcPr>
          <w:p w14:paraId="275AB3B4">
            <w:pPr>
              <w:autoSpaceDE w:val="0"/>
              <w:autoSpaceDN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规划及规划环境影响评价符合性分析</w:t>
            </w:r>
          </w:p>
        </w:tc>
        <w:tc>
          <w:tcPr>
            <w:tcW w:w="7564" w:type="dxa"/>
            <w:gridSpan w:val="4"/>
            <w:vAlign w:val="center"/>
          </w:tcPr>
          <w:p w14:paraId="232523FD">
            <w:pPr>
              <w:pStyle w:val="7"/>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1、项目与《</w:t>
            </w:r>
            <w:bookmarkStart w:id="9" w:name="OLE_LINK132"/>
            <w:r>
              <w:rPr>
                <w:rFonts w:hint="default" w:ascii="Times New Roman" w:hAnsi="Times New Roman" w:cs="Times New Roman"/>
                <w:color w:val="000000" w:themeColor="text1"/>
                <w:highlight w:val="none"/>
                <w14:textFill>
                  <w14:solidFill>
                    <w14:schemeClr w14:val="tx1"/>
                  </w14:solidFill>
                </w14:textFill>
              </w:rPr>
              <w:t>中国—马来西亚钦州产业园区总体规划修编》（2015-2030）</w:t>
            </w:r>
            <w:bookmarkEnd w:id="9"/>
            <w:r>
              <w:rPr>
                <w:rFonts w:hint="eastAsia" w:cs="Times New Roman"/>
                <w:color w:val="000000" w:themeColor="text1"/>
                <w:highlight w:val="none"/>
                <w:lang w:eastAsia="zh-CN"/>
                <w14:textFill>
                  <w14:solidFill>
                    <w14:schemeClr w14:val="tx1"/>
                  </w14:solidFill>
                </w14:textFill>
              </w:rPr>
              <w:t>符合性</w:t>
            </w:r>
          </w:p>
          <w:p w14:paraId="2ABE5B9D">
            <w:pPr>
              <w:pStyle w:val="34"/>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表1-2与《中国—马来西亚钦州产业园区总体规划修编》（2015-2030）</w:t>
            </w:r>
            <w:r>
              <w:rPr>
                <w:rFonts w:hint="eastAsia" w:cs="Times New Roman"/>
                <w:color w:val="000000" w:themeColor="text1"/>
                <w:highlight w:val="none"/>
                <w:lang w:eastAsia="zh-CN"/>
                <w14:textFill>
                  <w14:solidFill>
                    <w14:schemeClr w14:val="tx1"/>
                  </w14:solidFill>
                </w14:textFill>
              </w:rPr>
              <w:t>符合性</w:t>
            </w:r>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647"/>
              <w:gridCol w:w="2842"/>
              <w:gridCol w:w="901"/>
            </w:tblGrid>
            <w:tr w14:paraId="02C42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467"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18EF3FB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规划要求</w:t>
                  </w:r>
                </w:p>
              </w:tc>
              <w:tc>
                <w:tcPr>
                  <w:tcW w:w="192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4297EB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本项目情况</w:t>
                  </w:r>
                </w:p>
              </w:tc>
              <w:tc>
                <w:tcPr>
                  <w:tcW w:w="609" w:type="pct"/>
                  <w:tcBorders>
                    <w:top w:val="single" w:color="auto" w:sz="12" w:space="0"/>
                    <w:bottom w:val="single" w:color="auto" w:sz="12" w:space="0"/>
                    <w:right w:val="nil"/>
                    <w:insideH w:val="single" w:sz="12" w:space="0"/>
                    <w:insideV w:val="single" w:sz="4" w:space="0"/>
                    <w:tl2br w:val="nil"/>
                    <w:tr2bl w:val="nil"/>
                  </w:tcBorders>
                  <w:vAlign w:val="center"/>
                </w:tcPr>
                <w:p w14:paraId="7BF1D8E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符合性分析</w:t>
                  </w:r>
                </w:p>
              </w:tc>
            </w:tr>
            <w:tr w14:paraId="412C4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467" w:type="pct"/>
                  <w:vAlign w:val="center"/>
                </w:tcPr>
                <w:p w14:paraId="093CAF2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规划理念：生态优先，加强金鼓江两岸及红树林等生态敏感空间的严格保护和合理利用，探索海绵</w:t>
                  </w:r>
                  <w:r>
                    <w:rPr>
                      <w:rFonts w:hint="eastAsia" w:cs="Times New Roman"/>
                      <w:color w:val="000000" w:themeColor="text1"/>
                      <w:highlight w:val="none"/>
                      <w:lang w:eastAsia="zh-CN"/>
                      <w14:textFill>
                        <w14:solidFill>
                          <w14:schemeClr w14:val="tx1"/>
                        </w14:solidFill>
                      </w14:textFill>
                      <w14:ligatures w14:val="standardContextual"/>
                    </w:rPr>
                    <w:t>城市</w:t>
                  </w:r>
                  <w:bookmarkStart w:id="188" w:name="_GoBack"/>
                  <w:bookmarkEnd w:id="188"/>
                  <w:r>
                    <w:rPr>
                      <w:rFonts w:hint="default" w:ascii="Times New Roman" w:hAnsi="Times New Roman" w:cs="Times New Roman"/>
                      <w:color w:val="000000" w:themeColor="text1"/>
                      <w:highlight w:val="none"/>
                      <w14:textFill>
                        <w14:solidFill>
                          <w14:schemeClr w14:val="tx1"/>
                        </w14:solidFill>
                      </w14:textFill>
                      <w14:ligatures w14:val="standardContextual"/>
                    </w:rPr>
                    <w:t>的具体运用，提升人居环境质量，彰显新城魅力。</w:t>
                  </w:r>
                </w:p>
              </w:tc>
              <w:tc>
                <w:tcPr>
                  <w:tcW w:w="1922" w:type="pct"/>
                  <w:vAlign w:val="center"/>
                </w:tcPr>
                <w:p w14:paraId="483EBEE4">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u w:val="single"/>
                      <w:lang w:val="en-US" w:eastAsia="zh-CN"/>
                      <w14:textFill>
                        <w14:solidFill>
                          <w14:schemeClr w14:val="tx1"/>
                        </w14:solidFill>
                      </w14:textFill>
                      <w14:ligatures w14:val="standardContextual"/>
                    </w:rPr>
                    <w:t>本项目距离最近红树林约13000m，相对位置图见附图10所示，</w:t>
                  </w: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项目的建设经采取相应的环保措施后不会对金鼓江两岸的红树林造成影响。</w:t>
                  </w:r>
                </w:p>
              </w:tc>
              <w:tc>
                <w:tcPr>
                  <w:tcW w:w="609" w:type="pct"/>
                  <w:vAlign w:val="center"/>
                </w:tcPr>
                <w:p w14:paraId="71260C7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45EA75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467" w:type="pct"/>
                  <w:vAlign w:val="center"/>
                </w:tcPr>
                <w:p w14:paraId="5761321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规划重点：构建“生态客厅”空间，化解红树林保护与滨海开发的矛盾，提出“生态客厅”应对之策，在保护生态环境的基础上创造出富有特色的城市空间环境。</w:t>
                  </w:r>
                </w:p>
              </w:tc>
              <w:tc>
                <w:tcPr>
                  <w:tcW w:w="1922" w:type="pct"/>
                  <w:vAlign w:val="center"/>
                </w:tcPr>
                <w:p w14:paraId="2E990E33">
                  <w:pPr>
                    <w:keepNext w:val="0"/>
                    <w:keepLines w:val="0"/>
                    <w:widowControl/>
                    <w:suppressLineNumbers w:val="0"/>
                    <w:overflowPunct w:val="0"/>
                    <w:autoSpaceDE w:val="0"/>
                    <w:autoSpaceDN w:val="0"/>
                    <w:snapToGrid w:val="0"/>
                    <w:jc w:val="left"/>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本项目不占用红树林，在保护生态环境的基础上建设</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14:ligatures w14:val="standardContextual"/>
                    </w:rPr>
                    <w:t>1台8t/h生物质</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14:ligatures w14:val="standardContextual"/>
                    </w:rPr>
                    <w:t>颗粒锅炉对公司供热系统进行增容改造</w:t>
                  </w: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w:t>
                  </w:r>
                </w:p>
              </w:tc>
              <w:tc>
                <w:tcPr>
                  <w:tcW w:w="609" w:type="pct"/>
                  <w:vAlign w:val="center"/>
                </w:tcPr>
                <w:p w14:paraId="57149CF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1D9180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467" w:type="pct"/>
                  <w:vAlign w:val="center"/>
                </w:tcPr>
                <w:p w14:paraId="1EB10EF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近期建设规划：用地布局——在景观及水系打造方面，沿金鼓江整理内湖，预留游艇岸线码头、梳理孔雀湾大道以西的自然山林，营造人工休闲沙滩与城市广场空间，沿道路两侧打造绿地景观，丰富居民休闲游憩空间。</w:t>
                  </w:r>
                </w:p>
              </w:tc>
              <w:tc>
                <w:tcPr>
                  <w:tcW w:w="1922" w:type="pct"/>
                  <w:vAlign w:val="center"/>
                </w:tcPr>
                <w:p w14:paraId="525305A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本项目为</w:t>
                  </w:r>
                  <w:bookmarkStart w:id="10" w:name="OLE_LINK144"/>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生物质颗粒锅炉</w:t>
                  </w:r>
                  <w:r>
                    <w:rPr>
                      <w:rFonts w:hint="default" w:ascii="Times New Roman" w:hAnsi="Times New Roman" w:cs="Times New Roman"/>
                      <w:color w:val="000000" w:themeColor="text1"/>
                      <w:highlight w:val="none"/>
                      <w14:textFill>
                        <w14:solidFill>
                          <w14:schemeClr w14:val="tx1"/>
                        </w14:solidFill>
                      </w14:textFill>
                      <w14:ligatures w14:val="standardContextual"/>
                    </w:rPr>
                    <w:t>项目</w:t>
                  </w:r>
                  <w:bookmarkEnd w:id="10"/>
                  <w:r>
                    <w:rPr>
                      <w:rFonts w:hint="default" w:ascii="Times New Roman" w:hAnsi="Times New Roman" w:cs="Times New Roman"/>
                      <w:color w:val="000000" w:themeColor="text1"/>
                      <w:highlight w:val="none"/>
                      <w14:textFill>
                        <w14:solidFill>
                          <w14:schemeClr w14:val="tx1"/>
                        </w14:solidFill>
                      </w14:textFill>
                      <w14:ligatures w14:val="standardContextual"/>
                    </w:rPr>
                    <w:t>，建设内容包括生物质锅炉工程</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及配套设施</w:t>
                  </w:r>
                  <w:r>
                    <w:rPr>
                      <w:rFonts w:hint="default" w:ascii="Times New Roman" w:hAnsi="Times New Roman" w:cs="Times New Roman"/>
                      <w:color w:val="000000" w:themeColor="text1"/>
                      <w:highlight w:val="none"/>
                      <w14:textFill>
                        <w14:solidFill>
                          <w14:schemeClr w14:val="tx1"/>
                        </w14:solidFill>
                      </w14:textFill>
                      <w14:ligatures w14:val="standardContextual"/>
                    </w:rPr>
                    <w:t>等，项目用地符合国土空间规划。</w:t>
                  </w:r>
                </w:p>
              </w:tc>
              <w:tc>
                <w:tcPr>
                  <w:tcW w:w="609" w:type="pct"/>
                  <w:vAlign w:val="center"/>
                </w:tcPr>
                <w:p w14:paraId="70EB1F7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bl>
          <w:p w14:paraId="2CC80D74">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（2）项目与《中国—马来西亚钦州产业园区总体规划修编环境影响报告书》审查意见的符合性</w:t>
            </w:r>
          </w:p>
          <w:p w14:paraId="02303756">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规划环评审查意见：主动对接生态保护红线划定和国土空间规划编制，将生态保护红线作为保障和维护区域生态安全的底线，依法依规实施强制性保护。严格保护广西茅尾海红树林自然保护区、滨海湿地、金窝水库饮用水源一级保护区等生态保护区。严格落实规划空间用地方案，优化空间开发格局，尽快完善园区搬迁规划及实施。</w:t>
            </w:r>
          </w:p>
          <w:p w14:paraId="2886E50E">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本项目为</w:t>
            </w:r>
            <w:r>
              <w:rPr>
                <w:rFonts w:hint="default" w:ascii="Times New Roman" w:hAnsi="Times New Roman" w:cs="Times New Roman"/>
                <w:color w:val="000000" w:themeColor="text1"/>
                <w:highlight w:val="none"/>
                <w:lang w:eastAsia="zh-CN"/>
                <w14:textFill>
                  <w14:solidFill>
                    <w14:schemeClr w14:val="tx1"/>
                  </w14:solidFill>
                </w14:textFill>
              </w:rPr>
              <w:t>8t/h生物质颗粒锅炉建设项目</w:t>
            </w:r>
            <w:r>
              <w:rPr>
                <w:rFonts w:hint="default" w:ascii="Times New Roman" w:hAnsi="Times New Roman" w:cs="Times New Roman"/>
                <w:color w:val="000000" w:themeColor="text1"/>
                <w:highlight w:val="none"/>
                <w14:textFill>
                  <w14:solidFill>
                    <w14:schemeClr w14:val="tx1"/>
                  </w14:solidFill>
                </w14:textFill>
              </w:rPr>
              <w:t>，符合用地规划要求，不占用生态红线，项目占地不涉及广西茅尾海红树林自然保护区、滨海湿地、金窝水库饮用水源一级保护区等生态保护区，符合有关保护条例要求。</w:t>
            </w:r>
          </w:p>
          <w:p w14:paraId="7F3F4AFB">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表1- 3规划环评负面清单符合性一览表</w:t>
            </w:r>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30"/>
              <w:gridCol w:w="3120"/>
              <w:gridCol w:w="2500"/>
              <w:gridCol w:w="1140"/>
            </w:tblGrid>
            <w:tr w14:paraId="4F6A4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6"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138C5F9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序号</w:t>
                  </w:r>
                </w:p>
              </w:tc>
              <w:tc>
                <w:tcPr>
                  <w:tcW w:w="211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24DABC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负面清单</w:t>
                  </w:r>
                </w:p>
              </w:tc>
              <w:tc>
                <w:tcPr>
                  <w:tcW w:w="1691"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2BA545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本项目情况</w:t>
                  </w:r>
                </w:p>
              </w:tc>
              <w:tc>
                <w:tcPr>
                  <w:tcW w:w="771" w:type="pct"/>
                  <w:tcBorders>
                    <w:top w:val="single" w:color="auto" w:sz="12" w:space="0"/>
                    <w:bottom w:val="single" w:color="auto" w:sz="12" w:space="0"/>
                    <w:right w:val="nil"/>
                    <w:insideH w:val="single" w:sz="12" w:space="0"/>
                    <w:insideV w:val="single" w:sz="4" w:space="0"/>
                    <w:tl2br w:val="nil"/>
                    <w:tr2bl w:val="nil"/>
                  </w:tcBorders>
                  <w:vAlign w:val="center"/>
                </w:tcPr>
                <w:p w14:paraId="277DC2A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eastAsia" w:ascii="Times New Roman" w:hAnsi="Times New Roman" w:eastAsia="宋体" w:cs="Times New Roman"/>
                      <w:b/>
                      <w:i w:val="0"/>
                      <w:color w:val="000000" w:themeColor="text1"/>
                      <w:sz w:val="21"/>
                      <w:szCs w:val="21"/>
                      <w:highlight w:val="none"/>
                      <w:lang w:val="en-US" w:eastAsia="zh-CN"/>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符合性</w:t>
                  </w:r>
                  <w:r>
                    <w:rPr>
                      <w:rFonts w:hint="eastAsia" w:cs="Times New Roman"/>
                      <w:b/>
                      <w:i w:val="0"/>
                      <w:color w:val="000000" w:themeColor="text1"/>
                      <w:sz w:val="21"/>
                      <w:szCs w:val="21"/>
                      <w:highlight w:val="none"/>
                      <w:lang w:val="en-US" w:eastAsia="zh-CN"/>
                      <w14:textFill>
                        <w14:solidFill>
                          <w14:schemeClr w14:val="tx1"/>
                        </w14:solidFill>
                      </w14:textFill>
                      <w14:ligatures w14:val="standardContextual"/>
                    </w:rPr>
                    <w:t>分析</w:t>
                  </w:r>
                </w:p>
              </w:tc>
            </w:tr>
            <w:tr w14:paraId="709D5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26" w:type="pct"/>
                  <w:vAlign w:val="center"/>
                </w:tcPr>
                <w:p w14:paraId="4E1C3616">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w:t>
                  </w:r>
                </w:p>
              </w:tc>
              <w:tc>
                <w:tcPr>
                  <w:tcW w:w="2110" w:type="pct"/>
                  <w:vAlign w:val="center"/>
                </w:tcPr>
                <w:p w14:paraId="03994C8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禁止引进不符合中马产业园规划定位的高污染、高能耗项目;</w:t>
                  </w:r>
                </w:p>
              </w:tc>
              <w:tc>
                <w:tcPr>
                  <w:tcW w:w="1691" w:type="pct"/>
                  <w:vAlign w:val="center"/>
                </w:tcPr>
                <w:p w14:paraId="3B9E43A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本项目不属于中马产业园规划定位的高污染、高能耗项目，项目建成后可实现园区内集中供热。</w:t>
                  </w:r>
                </w:p>
              </w:tc>
              <w:tc>
                <w:tcPr>
                  <w:tcW w:w="771" w:type="pct"/>
                  <w:vAlign w:val="center"/>
                </w:tcPr>
                <w:p w14:paraId="03FF888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7CE33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6" w:type="pct"/>
                  <w:vAlign w:val="center"/>
                </w:tcPr>
                <w:p w14:paraId="471DEB06">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w:t>
                  </w:r>
                </w:p>
              </w:tc>
              <w:tc>
                <w:tcPr>
                  <w:tcW w:w="2110" w:type="pct"/>
                  <w:vAlign w:val="center"/>
                </w:tcPr>
                <w:p w14:paraId="2474B26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禁止引进排放含铅、镉、汞、铬和砷五种重金属的项目</w:t>
                  </w:r>
                </w:p>
              </w:tc>
              <w:tc>
                <w:tcPr>
                  <w:tcW w:w="1691" w:type="pct"/>
                  <w:vAlign w:val="center"/>
                </w:tcPr>
                <w:p w14:paraId="4E40D57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本项目不涉及重金属排放。</w:t>
                  </w:r>
                </w:p>
              </w:tc>
              <w:tc>
                <w:tcPr>
                  <w:tcW w:w="771" w:type="pct"/>
                  <w:vAlign w:val="center"/>
                </w:tcPr>
                <w:p w14:paraId="791A461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52E9C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6" w:type="pct"/>
                  <w:vAlign w:val="center"/>
                </w:tcPr>
                <w:p w14:paraId="54C7801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3</w:t>
                  </w:r>
                </w:p>
              </w:tc>
              <w:tc>
                <w:tcPr>
                  <w:tcW w:w="2110" w:type="pct"/>
                  <w:vAlign w:val="center"/>
                </w:tcPr>
                <w:p w14:paraId="3705DD9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禁止引进可能破坏中马产业园规划范围天然红树林生态系统的项目</w:t>
                  </w:r>
                </w:p>
              </w:tc>
              <w:tc>
                <w:tcPr>
                  <w:tcW w:w="1691" w:type="pct"/>
                  <w:vAlign w:val="center"/>
                </w:tcPr>
                <w:p w14:paraId="6ADB9B4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本项目不涉及红树林。</w:t>
                  </w:r>
                </w:p>
              </w:tc>
              <w:tc>
                <w:tcPr>
                  <w:tcW w:w="771" w:type="pct"/>
                  <w:vAlign w:val="center"/>
                </w:tcPr>
                <w:p w14:paraId="33C0E11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bl>
          <w:p w14:paraId="2AD1DFC1">
            <w:pPr>
              <w:pStyle w:val="4"/>
              <w:ind w:firstLine="480"/>
              <w:rPr>
                <w:rFonts w:hint="default" w:ascii="Times New Roman" w:hAnsi="Times New Roman" w:cs="Times New Roman"/>
                <w:color w:val="000000" w:themeColor="text1"/>
                <w:highlight w:val="none"/>
                <w14:textFill>
                  <w14:solidFill>
                    <w14:schemeClr w14:val="tx1"/>
                  </w14:solidFill>
                </w14:textFill>
              </w:rPr>
            </w:pPr>
          </w:p>
        </w:tc>
      </w:tr>
      <w:tr w14:paraId="386E8B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18" w:hRule="atLeast"/>
          <w:jc w:val="center"/>
        </w:trPr>
        <w:tc>
          <w:tcPr>
            <w:tcW w:w="722" w:type="dxa"/>
            <w:vAlign w:val="center"/>
          </w:tcPr>
          <w:p w14:paraId="71B26ADF">
            <w:pPr>
              <w:autoSpaceDE w:val="0"/>
              <w:autoSpaceDN w:val="0"/>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其他符合性分析</w:t>
            </w:r>
          </w:p>
        </w:tc>
        <w:tc>
          <w:tcPr>
            <w:tcW w:w="7564" w:type="dxa"/>
            <w:gridSpan w:val="4"/>
            <w:vAlign w:val="center"/>
          </w:tcPr>
          <w:p w14:paraId="646C4D2D">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1、产业政策符合性分析</w:t>
            </w:r>
          </w:p>
          <w:p w14:paraId="078FC170">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根据《产业结构调整指导目录（2024年本）》（国家发展和改革委员会令第7号），本项目不属于鼓励类、限制类、淘汰类产业，视为允许类，符合国家产业政策要求。</w:t>
            </w:r>
          </w:p>
          <w:p w14:paraId="52C543B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本项目已在</w:t>
            </w:r>
            <w:r>
              <w:rPr>
                <w:rFonts w:hint="eastAsia" w:cs="Times New Roman"/>
                <w:color w:val="000000" w:themeColor="text1"/>
                <w:highlight w:val="none"/>
                <w:u w:val="single"/>
                <w:lang w:eastAsia="zh-CN"/>
                <w14:textFill>
                  <w14:solidFill>
                    <w14:schemeClr w14:val="tx1"/>
                  </w14:solidFill>
                </w14:textFill>
              </w:rPr>
              <w:t>中国·马来西亚钦州产业园区行政审批局</w:t>
            </w:r>
            <w:r>
              <w:rPr>
                <w:rFonts w:hint="default" w:ascii="Times New Roman" w:hAnsi="Times New Roman" w:cs="Times New Roman"/>
                <w:color w:val="000000" w:themeColor="text1"/>
                <w:highlight w:val="none"/>
                <w14:textFill>
                  <w14:solidFill>
                    <w14:schemeClr w14:val="tx1"/>
                  </w14:solidFill>
                </w14:textFill>
              </w:rPr>
              <w:t>进行备案，符合国家有关产业政策的要求。</w:t>
            </w:r>
          </w:p>
          <w:p w14:paraId="2C7B45D3">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2、选址可行性分析</w:t>
            </w:r>
          </w:p>
          <w:p w14:paraId="2082915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（1）规划选址符合性分析</w:t>
            </w:r>
          </w:p>
          <w:p w14:paraId="2082351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根据《自然资源要素支撑产业高质量发展指导目录（2024年本）》（自然资发〔2024〕273号）的通知，项目选址位</w:t>
            </w:r>
            <w:r>
              <w:rPr>
                <w:rFonts w:hint="eastAsia" w:cs="Times New Roman"/>
                <w:color w:val="000000" w:themeColor="text1"/>
                <w:highlight w:val="none"/>
                <w:lang w:eastAsia="zh-CN"/>
                <w14:textFill>
                  <w14:solidFill>
                    <w14:schemeClr w14:val="tx1"/>
                  </w14:solidFill>
                </w14:textFill>
              </w:rPr>
              <w:t>于中</w:t>
            </w:r>
            <w:r>
              <w:rPr>
                <w:rFonts w:hint="default" w:ascii="Times New Roman" w:hAnsi="Times New Roman" w:cs="Times New Roman"/>
                <w:color w:val="000000" w:themeColor="text1"/>
                <w:highlight w:val="none"/>
                <w:lang w:eastAsia="zh-CN"/>
                <w14:textFill>
                  <w14:solidFill>
                    <w14:schemeClr w14:val="tx1"/>
                  </w14:solidFill>
                </w14:textFill>
              </w:rPr>
              <w:t>国（广西）自由贸易试验区钦州港片区中马钦州产业园区关丹大街6号</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东临锦绣大道、南至关丹大街、西临中马数据中心、北至南四街</w:t>
            </w:r>
            <w:r>
              <w:rPr>
                <w:rFonts w:hint="default" w:ascii="Times New Roman" w:hAnsi="Times New Roman" w:cs="Times New Roman"/>
                <w:color w:val="000000" w:themeColor="text1"/>
                <w:highlight w:val="none"/>
                <w14:textFill>
                  <w14:solidFill>
                    <w14:schemeClr w14:val="tx1"/>
                  </w14:solidFill>
                </w14:textFill>
              </w:rPr>
              <w:t>，用地性质属于工业用地，不属于禁止类和限制类中的建设项目，不属于该文件中限批或禁批的范围。</w:t>
            </w:r>
          </w:p>
          <w:p w14:paraId="29259B22">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（2）选址所在地环境敏感度分析</w:t>
            </w:r>
          </w:p>
          <w:p w14:paraId="7EC746FA">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项目选址位</w:t>
            </w:r>
            <w:r>
              <w:rPr>
                <w:rFonts w:hint="eastAsia" w:cs="Times New Roman"/>
                <w:color w:val="000000" w:themeColor="text1"/>
                <w:highlight w:val="none"/>
                <w:lang w:eastAsia="zh-CN"/>
                <w14:textFill>
                  <w14:solidFill>
                    <w14:schemeClr w14:val="tx1"/>
                  </w14:solidFill>
                </w14:textFill>
              </w:rPr>
              <w:t>于中</w:t>
            </w:r>
            <w:r>
              <w:rPr>
                <w:rFonts w:hint="default" w:ascii="Times New Roman" w:hAnsi="Times New Roman" w:cs="Times New Roman"/>
                <w:color w:val="000000" w:themeColor="text1"/>
                <w:highlight w:val="none"/>
                <w:lang w:eastAsia="zh-CN"/>
                <w14:textFill>
                  <w14:solidFill>
                    <w14:schemeClr w14:val="tx1"/>
                  </w14:solidFill>
                </w14:textFill>
              </w:rPr>
              <w:t>国（广西）自由贸易试验区钦州港片区中马钦州产业园区关丹大街6号</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东临锦绣大道、南至关丹大街、西临中马数据中心、北至南四街</w:t>
            </w:r>
            <w:r>
              <w:rPr>
                <w:rFonts w:hint="default" w:ascii="Times New Roman" w:hAnsi="Times New Roman" w:cs="Times New Roman"/>
                <w:color w:val="000000" w:themeColor="text1"/>
                <w:highlight w:val="none"/>
                <w14:textFill>
                  <w14:solidFill>
                    <w14:schemeClr w14:val="tx1"/>
                  </w14:solidFill>
                </w14:textFill>
              </w:rPr>
              <w:t>，不属于生活饮用水源地和地下水补给区、风景名胜区、温泉疗养区、水产养殖区、基本农田保护区、自然保护区等需要特殊保护区域。</w:t>
            </w:r>
          </w:p>
          <w:p w14:paraId="61776AD4">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3、与“三线一单”符合性分析</w:t>
            </w:r>
          </w:p>
          <w:p w14:paraId="7CF1D2F7">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（1）生态保护红线</w:t>
            </w:r>
          </w:p>
          <w:p w14:paraId="631F150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位于工业园区内，所在土地不涉及基本草原、国家级公益林、自然保护区、森林公园、湿地、林地。符合项目所在占地面积内的规划主导生态功能区范围内，且不在风景区、自然保护区等生态保护区内，符合生态保护红线要求。</w:t>
            </w:r>
          </w:p>
          <w:p w14:paraId="209A393C">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（2）环境质量底线</w:t>
            </w:r>
          </w:p>
          <w:p w14:paraId="3EDCC7CE">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根据项目环境功能区区划，项目区域环境空气质量执行《环境空气质量标准》（GB3095-2012）中</w:t>
            </w:r>
            <w:r>
              <w:rPr>
                <w:rFonts w:hint="default" w:ascii="Times New Roman" w:hAnsi="Times New Roman" w:cs="Times New Roman"/>
                <w:b/>
                <w:bCs/>
                <w:color w:val="000000" w:themeColor="text1"/>
                <w:highlight w:val="none"/>
                <w14:textFill>
                  <w14:solidFill>
                    <w14:schemeClr w14:val="tx1"/>
                  </w14:solidFill>
                </w14:textFill>
              </w:rPr>
              <w:t>二类区</w:t>
            </w:r>
            <w:r>
              <w:rPr>
                <w:rFonts w:hint="default" w:ascii="Times New Roman" w:hAnsi="Times New Roman" w:cs="Times New Roman"/>
                <w:color w:val="000000" w:themeColor="text1"/>
                <w:highlight w:val="none"/>
                <w14:textFill>
                  <w14:solidFill>
                    <w14:schemeClr w14:val="tx1"/>
                  </w14:solidFill>
                </w14:textFill>
              </w:rPr>
              <w:t>标准，海域环境质量执行海水水质标准（GB 3097-1997）第四类标准限值，</w:t>
            </w:r>
            <w:r>
              <w:rPr>
                <w:rFonts w:hint="eastAsia" w:cs="Times New Roman"/>
                <w:color w:val="000000" w:themeColor="text1"/>
                <w:highlight w:val="none"/>
                <w:u w:val="single"/>
                <w:lang w:val="en-US" w:eastAsia="zh-CN"/>
                <w14:textFill>
                  <w14:solidFill>
                    <w14:schemeClr w14:val="tx1"/>
                  </w14:solidFill>
                </w14:textFill>
              </w:rPr>
              <w:t>项目西侧厂界执行</w:t>
            </w:r>
            <w:r>
              <w:rPr>
                <w:rFonts w:hint="default" w:ascii="Times New Roman" w:hAnsi="Times New Roman" w:cs="Times New Roman"/>
                <w:color w:val="000000" w:themeColor="text1"/>
                <w:highlight w:val="none"/>
                <w:u w:val="single"/>
                <w14:textFill>
                  <w14:solidFill>
                    <w14:schemeClr w14:val="tx1"/>
                  </w14:solidFill>
                </w14:textFill>
              </w:rPr>
              <w:t>声环境执行《声环境质量标准》（GB3095-2008）</w:t>
            </w:r>
            <w:r>
              <w:rPr>
                <w:rFonts w:hint="default" w:ascii="Times New Roman" w:hAnsi="Times New Roman" w:cs="Times New Roman"/>
                <w:b/>
                <w:bCs/>
                <w:color w:val="000000" w:themeColor="text1"/>
                <w:highlight w:val="none"/>
                <w:u w:val="single"/>
                <w14:textFill>
                  <w14:solidFill>
                    <w14:schemeClr w14:val="tx1"/>
                  </w14:solidFill>
                </w14:textFill>
              </w:rPr>
              <w:t>3类</w:t>
            </w:r>
            <w:r>
              <w:rPr>
                <w:rFonts w:hint="default" w:ascii="Times New Roman" w:hAnsi="Times New Roman" w:cs="Times New Roman"/>
                <w:color w:val="000000" w:themeColor="text1"/>
                <w:highlight w:val="none"/>
                <w:u w:val="single"/>
                <w14:textFill>
                  <w14:solidFill>
                    <w14:schemeClr w14:val="tx1"/>
                  </w14:solidFill>
                </w14:textFill>
              </w:rPr>
              <w:t>标准</w:t>
            </w:r>
            <w:r>
              <w:rPr>
                <w:rFonts w:hint="eastAsia" w:cs="Times New Roman"/>
                <w:color w:val="000000" w:themeColor="text1"/>
                <w:highlight w:val="none"/>
                <w:u w:val="single"/>
                <w:lang w:eastAsia="zh-CN"/>
                <w14:textFill>
                  <w14:solidFill>
                    <w14:schemeClr w14:val="tx1"/>
                  </w14:solidFill>
                </w14:textFill>
              </w:rPr>
              <w:t>、项目东侧厂界、北侧厂界、</w:t>
            </w:r>
            <w:r>
              <w:rPr>
                <w:rFonts w:hint="eastAsia" w:cs="Times New Roman"/>
                <w:color w:val="000000" w:themeColor="text1"/>
                <w:highlight w:val="none"/>
                <w:u w:val="single"/>
                <w:lang w:val="en-US" w:eastAsia="zh-CN"/>
                <w14:textFill>
                  <w14:solidFill>
                    <w14:schemeClr w14:val="tx1"/>
                  </w14:solidFill>
                </w14:textFill>
              </w:rPr>
              <w:t>南侧厂界执行《声环境质量标准》（GB3095-2008）</w:t>
            </w:r>
            <w:r>
              <w:rPr>
                <w:rFonts w:hint="eastAsia" w:cs="Times New Roman"/>
                <w:b/>
                <w:bCs/>
                <w:color w:val="000000" w:themeColor="text1"/>
                <w:highlight w:val="none"/>
                <w:u w:val="single"/>
                <w:lang w:val="en-US" w:eastAsia="zh-CN"/>
                <w14:textFill>
                  <w14:solidFill>
                    <w14:schemeClr w14:val="tx1"/>
                  </w14:solidFill>
                </w14:textFill>
              </w:rPr>
              <w:t>4a类</w:t>
            </w:r>
            <w:r>
              <w:rPr>
                <w:rFonts w:hint="eastAsia" w:cs="Times New Roman"/>
                <w:color w:val="000000" w:themeColor="text1"/>
                <w:highlight w:val="none"/>
                <w:u w:val="single"/>
                <w:lang w:val="en-US" w:eastAsia="zh-CN"/>
                <w14:textFill>
                  <w14:solidFill>
                    <w14:schemeClr w14:val="tx1"/>
                  </w14:solidFill>
                </w14:textFill>
              </w:rPr>
              <w:t>标准</w:t>
            </w:r>
            <w:r>
              <w:rPr>
                <w:rFonts w:hint="default" w:ascii="Times New Roman" w:hAnsi="Times New Roman" w:cs="Times New Roman"/>
                <w:color w:val="000000" w:themeColor="text1"/>
                <w:highlight w:val="none"/>
                <w14:textFill>
                  <w14:solidFill>
                    <w14:schemeClr w14:val="tx1"/>
                  </w14:solidFill>
                </w14:textFill>
              </w:rPr>
              <w:t>。目前，项目所在区域环境质量均能达到相应环境质量标准要求。</w:t>
            </w:r>
          </w:p>
          <w:p w14:paraId="518E17BE">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工程分析确定的污染物源强，通过大气环境、水环境、声环境影响分析，项目采取相应的治理措施后，污染物实现达标排放对区域环境空气、水环境、声环境影响较小，废气、废水、固废、噪声均能达到合理处置，不会突破项目所在地的环境质量底线。本项目的建设符合环境质量底线要求。</w:t>
            </w:r>
          </w:p>
          <w:p w14:paraId="792B6020">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（3）资源利用上线管控要求</w:t>
            </w:r>
          </w:p>
          <w:p w14:paraId="7541877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项目在运营过程中会消耗生物质燃料、水源、电源等，且项目布局合理，极大地节约了资源的利用，符合资源利用上限的要求。</w:t>
            </w:r>
          </w:p>
          <w:p w14:paraId="12125BD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（4）环境准入负面清单</w:t>
            </w:r>
          </w:p>
          <w:p w14:paraId="628182E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项目未列入《广西壮族自治区重点生态功能区县产业准入负面清单调整方案》（2024年4月16日）中的产业准入负面清单。不属于负面清单产业。</w:t>
            </w:r>
          </w:p>
          <w:p w14:paraId="29C5761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综上所述，本项目符合“三线一单”的要求。</w:t>
            </w:r>
          </w:p>
          <w:p w14:paraId="0F69B76F">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、与《钦州市生态环境分区管控动态更新成果（2023版）》</w:t>
            </w:r>
            <w:r>
              <w:rPr>
                <w:rFonts w:hint="eastAsia" w:cs="Times New Roman"/>
                <w:color w:val="000000" w:themeColor="text1"/>
                <w:highlight w:val="none"/>
                <w:lang w:eastAsia="zh-CN"/>
                <w14:textFill>
                  <w14:solidFill>
                    <w14:schemeClr w14:val="tx1"/>
                  </w14:solidFill>
                </w14:textFill>
              </w:rPr>
              <w:t>符合性</w:t>
            </w:r>
            <w:r>
              <w:rPr>
                <w:rFonts w:hint="default" w:ascii="Times New Roman" w:hAnsi="Times New Roman" w:cs="Times New Roman"/>
                <w:color w:val="000000" w:themeColor="text1"/>
                <w:highlight w:val="none"/>
                <w14:textFill>
                  <w14:solidFill>
                    <w14:schemeClr w14:val="tx1"/>
                  </w14:solidFill>
                </w14:textFill>
              </w:rPr>
              <w:t>分析</w:t>
            </w:r>
          </w:p>
          <w:p w14:paraId="686852E2">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生态环境部办公厅关于印发《2023年生态环境分区管控成果动态更新工作方案》的通知（环办环评函〔2023〕81号）以及自治区工作要求，重点围绕“三区三线”划定成果和国家、自治区以及钦州市重大战略规划、“十四五”环境质量、能源资源管理目标和要求等，对钦州市生态环境分区管控成果进行更新调整。调整后全市陆域共划分为64个环境管控单元。其中，优先保护单元34个，面积占比16.32%；重点管控单元26个，面积占比25.28%；一般管控单元4个，面积占比58.41%。近岸海域共划分为63个环境管控单元，其中，优先保护单元25个，面积占比10.78%；重点管控单元31个，面积占比6.74%；一般管控单元 7个，面积占比82.48%。</w:t>
            </w:r>
          </w:p>
          <w:p w14:paraId="4CB2C6D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根据项目研判初步结论（详见附件6），项目涉及1个环境管控单元，其中优先保护类0个，重点管控类1个，一般管控类0个。</w:t>
            </w:r>
          </w:p>
          <w:p w14:paraId="5BD5D806">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根据《钦州市生态环境分区管控动态更新成果（2023版）》可知，项目选址属于中国—马来西亚钦州产业园区重点管控单元（具体位置见附图4），与本项目建设有关的生态环境准入及管控要求如下：</w:t>
            </w:r>
          </w:p>
          <w:p w14:paraId="54358B05">
            <w:pPr>
              <w:pStyle w:val="34"/>
              <w:rPr>
                <w:rFonts w:hint="default" w:ascii="Times New Roman" w:hAnsi="Times New Roman" w:cs="Times New Roman"/>
                <w:color w:val="000000" w:themeColor="text1"/>
                <w:highlight w:val="none"/>
                <w14:textFill>
                  <w14:solidFill>
                    <w14:schemeClr w14:val="tx1"/>
                  </w14:solidFill>
                </w14:textFill>
              </w:rPr>
            </w:pPr>
            <w:bookmarkStart w:id="11" w:name="_Ref175248391"/>
            <w:bookmarkStart w:id="12" w:name="_Ref175248448"/>
            <w:r>
              <w:rPr>
                <w:rFonts w:hint="default" w:ascii="Times New Roman" w:hAnsi="Times New Roman" w:cs="Times New Roman"/>
                <w:color w:val="000000" w:themeColor="text1"/>
                <w:highlight w:val="none"/>
                <w14:textFill>
                  <w14:solidFill>
                    <w14:schemeClr w14:val="tx1"/>
                  </w14:solidFill>
                </w14:textFill>
              </w:rPr>
              <w:t>表1- 4</w:t>
            </w:r>
            <w:bookmarkEnd w:id="11"/>
            <w:r>
              <w:rPr>
                <w:rFonts w:hint="default" w:ascii="Times New Roman" w:hAnsi="Times New Roman" w:cs="Times New Roman"/>
                <w:color w:val="000000" w:themeColor="text1"/>
                <w:highlight w:val="none"/>
                <w14:textFill>
                  <w14:solidFill>
                    <w14:schemeClr w14:val="tx1"/>
                  </w14:solidFill>
                </w14:textFill>
              </w:rPr>
              <w:t>：项目与中国－马来西亚钦州产业园区重点管控单元生态环境准入及管控要求的符合性</w:t>
            </w:r>
            <w:bookmarkEnd w:id="12"/>
          </w:p>
          <w:tbl>
            <w:tblPr>
              <w:tblStyle w:val="43"/>
              <w:tblW w:w="77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93"/>
              <w:gridCol w:w="3648"/>
              <w:gridCol w:w="2661"/>
              <w:gridCol w:w="546"/>
            </w:tblGrid>
            <w:tr w14:paraId="143113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531163C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bookmarkStart w:id="13" w:name="_Hlk183124714"/>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管控</w:t>
                  </w:r>
                </w:p>
                <w:p w14:paraId="795EE64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类别</w:t>
                  </w:r>
                </w:p>
              </w:tc>
              <w:tc>
                <w:tcPr>
                  <w:tcW w:w="3648"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30EB94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生态环境准入及管控要求</w:t>
                  </w:r>
                </w:p>
              </w:tc>
              <w:tc>
                <w:tcPr>
                  <w:tcW w:w="2661" w:type="dxa"/>
                  <w:tcBorders>
                    <w:top w:val="single" w:color="auto" w:sz="12" w:space="0"/>
                    <w:bottom w:val="single" w:color="auto" w:sz="12" w:space="0"/>
                    <w:right w:val="nil"/>
                    <w:insideH w:val="single" w:sz="12" w:space="0"/>
                    <w:insideV w:val="single" w:sz="4" w:space="0"/>
                    <w:tl2br w:val="nil"/>
                    <w:tr2bl w:val="nil"/>
                  </w:tcBorders>
                  <w:vAlign w:val="center"/>
                </w:tcPr>
                <w:p w14:paraId="7330EF6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本项目情况及</w:t>
                  </w:r>
                </w:p>
              </w:tc>
              <w:tc>
                <w:tcPr>
                  <w:tcW w:w="546" w:type="dxa"/>
                  <w:tcBorders>
                    <w:top w:val="single" w:color="auto" w:sz="12" w:space="0"/>
                    <w:bottom w:val="single" w:color="auto" w:sz="12" w:space="0"/>
                    <w:right w:val="nil"/>
                    <w:insideH w:val="single" w:sz="12" w:space="0"/>
                    <w:insideV w:val="single" w:sz="4" w:space="0"/>
                    <w:tl2br w:val="nil"/>
                    <w:tr2bl w:val="nil"/>
                  </w:tcBorders>
                  <w:vAlign w:val="center"/>
                </w:tcPr>
                <w:p w14:paraId="7D845C5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both"/>
                    <w:outlineLvl w:val="9"/>
                    <w:rPr>
                      <w:rFonts w:hint="eastAsia" w:ascii="Times New Roman" w:hAnsi="Times New Roman" w:eastAsia="宋体" w:cs="Times New Roman"/>
                      <w:b/>
                      <w:i w:val="0"/>
                      <w:color w:val="000000" w:themeColor="text1"/>
                      <w:sz w:val="21"/>
                      <w:szCs w:val="21"/>
                      <w:highlight w:val="none"/>
                      <w:lang w:val="en-US" w:eastAsia="zh-CN"/>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符合性</w:t>
                  </w:r>
                  <w:r>
                    <w:rPr>
                      <w:rFonts w:hint="eastAsia" w:cs="Times New Roman"/>
                      <w:b/>
                      <w:i w:val="0"/>
                      <w:color w:val="000000" w:themeColor="text1"/>
                      <w:sz w:val="21"/>
                      <w:szCs w:val="21"/>
                      <w:highlight w:val="none"/>
                      <w:lang w:val="en-US" w:eastAsia="zh-CN"/>
                      <w14:textFill>
                        <w14:solidFill>
                          <w14:schemeClr w14:val="tx1"/>
                        </w14:solidFill>
                      </w14:textFill>
                      <w14:ligatures w14:val="standardContextual"/>
                    </w:rPr>
                    <w:t>分析</w:t>
                  </w:r>
                </w:p>
              </w:tc>
            </w:tr>
            <w:tr w14:paraId="45B14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vMerge w:val="restart"/>
                  <w:vAlign w:val="center"/>
                </w:tcPr>
                <w:p w14:paraId="455CD5E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空间布局约束</w:t>
                  </w:r>
                </w:p>
              </w:tc>
              <w:tc>
                <w:tcPr>
                  <w:tcW w:w="3648" w:type="dxa"/>
                  <w:vAlign w:val="center"/>
                </w:tcPr>
                <w:p w14:paraId="26E73C82">
                  <w:pPr>
                    <w:pStyle w:val="35"/>
                    <w:widowControl w:val="0"/>
                    <w:overflowPunct w:val="0"/>
                    <w:autoSpaceDE w:val="0"/>
                    <w:autoSpaceDN w:val="0"/>
                    <w:bidi w:val="0"/>
                    <w:snapToGrid w:val="0"/>
                    <w:rPr>
                      <w:rFonts w:hint="default" w:ascii="Times New Roman" w:hAnsi="Times New Roman" w:cs="Times New Roman"/>
                      <w:color w:val="000000" w:themeColor="text1"/>
                      <w:highlight w:val="none"/>
                      <w:u w:val="single" w:color="auto"/>
                      <w14:textFill>
                        <w14:solidFill>
                          <w14:schemeClr w14:val="tx1"/>
                        </w14:solidFill>
                      </w14:textFill>
                      <w14:ligatures w14:val="standardContextual"/>
                    </w:rPr>
                  </w:pPr>
                  <w:r>
                    <w:rPr>
                      <w:rFonts w:hint="eastAsia"/>
                      <w:color w:val="000000" w:themeColor="text1"/>
                      <w:highlight w:val="none"/>
                      <w:u w:val="single" w:color="auto"/>
                      <w:lang w:val="en-US" w:eastAsia="zh-CN"/>
                      <w14:textFill>
                        <w14:solidFill>
                          <w14:schemeClr w14:val="tx1"/>
                        </w14:solidFill>
                      </w14:textFill>
                      <w14:ligatures w14:val="standardContextual"/>
                    </w:rPr>
                    <w:t>1.严格执行《广西工业产业结构调整指导目录（2021年本）》相关规定；禁止引进不符合中马产业园规划定位的高污染、高能耗项目；禁止引进排放铅、镉、汞、铬和砷五种重金属的项目；禁止引进可能破坏园区规划范围天然红树林生态系统的项目。</w:t>
                  </w:r>
                  <w:r>
                    <w:rPr>
                      <w:rFonts w:hint="eastAsia"/>
                      <w:color w:val="000000" w:themeColor="text1"/>
                      <w:highlight w:val="none"/>
                      <w:u w:val="single" w:color="auto"/>
                      <w:lang w:eastAsia="zh-CN"/>
                      <w14:textFill>
                        <w14:solidFill>
                          <w14:schemeClr w14:val="tx1"/>
                        </w14:solidFill>
                      </w14:textFill>
                      <w14:ligatures w14:val="standardContextual"/>
                    </w:rPr>
                    <w:t>（</w:t>
                  </w:r>
                  <w:r>
                    <w:rPr>
                      <w:rFonts w:hint="default"/>
                      <w:color w:val="000000" w:themeColor="text1"/>
                      <w:highlight w:val="none"/>
                      <w:u w:val="single" w:color="auto"/>
                      <w14:textFill>
                        <w14:solidFill>
                          <w14:schemeClr w14:val="tx1"/>
                        </w14:solidFill>
                      </w14:textFill>
                      <w14:ligatures w14:val="standardContextual"/>
                    </w:rPr>
                    <w:t>《广西工业产业结构调整指导目录（2021年本）》已于2024年5月17日废止</w:t>
                  </w:r>
                  <w:r>
                    <w:rPr>
                      <w:rFonts w:hint="eastAsia"/>
                      <w:color w:val="000000" w:themeColor="text1"/>
                      <w:highlight w:val="none"/>
                      <w:u w:val="single" w:color="auto"/>
                      <w:lang w:eastAsia="zh-CN"/>
                      <w14:textFill>
                        <w14:solidFill>
                          <w14:schemeClr w14:val="tx1"/>
                        </w14:solidFill>
                      </w14:textFill>
                      <w14:ligatures w14:val="standardContextual"/>
                    </w:rPr>
                    <w:t>。）</w:t>
                  </w:r>
                </w:p>
              </w:tc>
              <w:tc>
                <w:tcPr>
                  <w:tcW w:w="2661" w:type="dxa"/>
                  <w:vAlign w:val="center"/>
                </w:tcPr>
                <w:p w14:paraId="57D8567E">
                  <w:pPr>
                    <w:widowControl w:val="0"/>
                    <w:overflowPunct w:val="0"/>
                    <w:autoSpaceDE w:val="0"/>
                    <w:autoSpaceDN w:val="0"/>
                    <w:snapToGrid w:val="0"/>
                    <w:jc w:val="both"/>
                    <w:rPr>
                      <w:rFonts w:hint="eastAsia" w:cs="Times New Roman"/>
                      <w:color w:val="000000" w:themeColor="text1"/>
                      <w:highlight w:val="none"/>
                      <w:u w:val="single" w:color="auto"/>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color="auto"/>
                      <w14:textFill>
                        <w14:solidFill>
                          <w14:schemeClr w14:val="tx1"/>
                        </w14:solidFill>
                      </w14:textFill>
                      <w14:ligatures w14:val="standardContextual"/>
                    </w:rPr>
                    <w:t>本项目为</w:t>
                  </w:r>
                  <w:r>
                    <w:rPr>
                      <w:rFonts w:hint="default" w:ascii="Times New Roman" w:hAnsi="Times New Roman" w:cs="Times New Roman"/>
                      <w:color w:val="000000" w:themeColor="text1"/>
                      <w:highlight w:val="none"/>
                      <w:u w:val="single" w:color="auto"/>
                      <w:lang w:eastAsia="zh-CN"/>
                      <w14:textFill>
                        <w14:solidFill>
                          <w14:schemeClr w14:val="tx1"/>
                        </w14:solidFill>
                      </w14:textFill>
                      <w14:ligatures w14:val="standardContextual"/>
                    </w:rPr>
                    <w:t>8t/h生物质颗粒锅炉建设项目</w:t>
                  </w:r>
                  <w:r>
                    <w:rPr>
                      <w:rFonts w:hint="default" w:ascii="Times New Roman" w:hAnsi="Times New Roman" w:cs="Times New Roman"/>
                      <w:color w:val="000000" w:themeColor="text1"/>
                      <w:highlight w:val="none"/>
                      <w:u w:val="single" w:color="auto"/>
                      <w14:textFill>
                        <w14:solidFill>
                          <w14:schemeClr w14:val="tx1"/>
                        </w14:solidFill>
                      </w14:textFill>
                      <w14:ligatures w14:val="standardContextual"/>
                    </w:rPr>
                    <w:t>，</w:t>
                  </w:r>
                  <w:r>
                    <w:rPr>
                      <w:rFonts w:hint="eastAsia" w:cs="Times New Roman"/>
                      <w:color w:val="000000" w:themeColor="text1"/>
                      <w:highlight w:val="none"/>
                      <w:u w:val="single" w:color="auto"/>
                      <w:lang w:val="en-US" w:eastAsia="zh-CN"/>
                      <w14:textFill>
                        <w14:solidFill>
                          <w14:schemeClr w14:val="tx1"/>
                        </w14:solidFill>
                      </w14:textFill>
                      <w14:ligatures w14:val="standardContextual"/>
                    </w:rPr>
                    <w:t>属于</w:t>
                  </w:r>
                  <w:r>
                    <w:rPr>
                      <w:rFonts w:hint="default" w:cs="Times New Roman"/>
                      <w:color w:val="000000" w:themeColor="text1"/>
                      <w:highlight w:val="none"/>
                      <w:u w:val="single" w:color="auto"/>
                      <w:lang w:val="en-US" w:eastAsia="zh-CN"/>
                      <w14:textFill>
                        <w14:solidFill>
                          <w14:schemeClr w14:val="tx1"/>
                        </w14:solidFill>
                      </w14:textFill>
                      <w14:ligatures w14:val="standardContextual"/>
                    </w:rPr>
                    <w:t>热力生产</w:t>
                  </w:r>
                  <w:r>
                    <w:rPr>
                      <w:rFonts w:hint="default"/>
                      <w:color w:val="000000" w:themeColor="text1"/>
                      <w:highlight w:val="none"/>
                      <w:u w:val="single" w:color="auto"/>
                      <w14:textFill>
                        <w14:solidFill>
                          <w14:schemeClr w14:val="tx1"/>
                        </w14:solidFill>
                      </w14:textFill>
                      <w14:ligatures w14:val="standardContextual"/>
                    </w:rPr>
                    <w:t>和供应业</w:t>
                  </w:r>
                  <w:r>
                    <w:rPr>
                      <w:rFonts w:hint="eastAsia"/>
                      <w:color w:val="000000" w:themeColor="text1"/>
                      <w:highlight w:val="none"/>
                      <w:u w:val="single" w:color="auto"/>
                      <w:lang w:eastAsia="zh-CN"/>
                      <w14:textFill>
                        <w14:solidFill>
                          <w14:schemeClr w14:val="tx1"/>
                        </w14:solidFill>
                      </w14:textFill>
                      <w14:ligatures w14:val="standardContextual"/>
                    </w:rPr>
                    <w:t>；</w:t>
                  </w:r>
                  <w:r>
                    <w:rPr>
                      <w:rFonts w:hint="eastAsia" w:cs="Times New Roman"/>
                      <w:color w:val="000000" w:themeColor="text1"/>
                      <w:highlight w:val="none"/>
                      <w:u w:val="single" w:color="auto"/>
                      <w:lang w:val="en-US" w:eastAsia="zh-CN"/>
                      <w14:textFill>
                        <w14:solidFill>
                          <w14:schemeClr w14:val="tx1"/>
                        </w14:solidFill>
                      </w14:textFill>
                      <w14:ligatures w14:val="standardContextual"/>
                    </w:rPr>
                    <w:t>依据本项目所附的《锅炉制造监督检验证书》（见附件14），本项目锅炉为“承压蒸汽锅炉”，其型号为DZL8-1.25-SCI。该锅炉的额定蒸发量为8吨每小时，属于卧式单锅筒纵置式水火管式生物质蒸汽锅炉，且采用链条炉排；因此，本项目锅炉</w:t>
                  </w:r>
                  <w:r>
                    <w:rPr>
                      <w:rFonts w:hint="default"/>
                      <w:color w:val="000000" w:themeColor="text1"/>
                      <w:highlight w:val="none"/>
                      <w:u w:val="single" w:color="auto"/>
                      <w14:textFill>
                        <w14:solidFill>
                          <w14:schemeClr w14:val="tx1"/>
                        </w14:solidFill>
                      </w14:textFill>
                      <w14:ligatures w14:val="standardContextual"/>
                    </w:rPr>
                    <w:t>不属于《产业结构调整指导目录(2024年本)》</w:t>
                  </w:r>
                  <w:r>
                    <w:rPr>
                      <w:rFonts w:hint="default" w:ascii="Times New Roman" w:hAnsi="Times New Roman" w:cs="Times New Roman"/>
                      <w:color w:val="000000" w:themeColor="text1"/>
                      <w:highlight w:val="none"/>
                      <w:u w:val="single" w:color="auto"/>
                      <w14:textFill>
                        <w14:solidFill>
                          <w14:schemeClr w14:val="tx1"/>
                        </w14:solidFill>
                      </w14:textFill>
                      <w14:ligatures w14:val="standardContextual"/>
                    </w:rPr>
                    <w:t>中</w:t>
                  </w:r>
                  <w:r>
                    <w:rPr>
                      <w:color w:val="000000" w:themeColor="text1"/>
                      <w:spacing w:val="-2"/>
                      <w:highlight w:val="none"/>
                      <w:u w:val="single" w:color="auto"/>
                      <w14:textFill>
                        <w14:solidFill>
                          <w14:schemeClr w14:val="tx1"/>
                        </w14:solidFill>
                      </w14:textFill>
                      <w14:ligatures w14:val="standardContextual"/>
                    </w:rPr>
                    <w:t>限制类“每小时</w:t>
                  </w:r>
                  <w:r>
                    <w:rPr>
                      <w:color w:val="000000" w:themeColor="text1"/>
                      <w:spacing w:val="-48"/>
                      <w:highlight w:val="none"/>
                      <w:u w:val="single" w:color="auto"/>
                      <w14:textFill>
                        <w14:solidFill>
                          <w14:schemeClr w14:val="tx1"/>
                        </w14:solidFill>
                      </w14:textFill>
                      <w14:ligatures w14:val="standardContextual"/>
                    </w:rPr>
                    <w:t xml:space="preserve"> </w:t>
                  </w:r>
                  <w:r>
                    <w:rPr>
                      <w:rFonts w:ascii="Times New Roman" w:hAnsi="Times New Roman" w:eastAsia="Times New Roman" w:cs="Times New Roman"/>
                      <w:color w:val="000000" w:themeColor="text1"/>
                      <w:spacing w:val="-2"/>
                      <w:highlight w:val="none"/>
                      <w:u w:val="single" w:color="auto"/>
                      <w14:textFill>
                        <w14:solidFill>
                          <w14:schemeClr w14:val="tx1"/>
                        </w14:solidFill>
                      </w14:textFill>
                      <w14:ligatures w14:val="standardContextual"/>
                    </w:rPr>
                    <w:t>35</w:t>
                  </w:r>
                  <w:r>
                    <w:rPr>
                      <w:color w:val="000000" w:themeColor="text1"/>
                      <w:spacing w:val="-3"/>
                      <w:highlight w:val="none"/>
                      <w:u w:val="single" w:color="auto"/>
                      <w14:textFill>
                        <w14:solidFill>
                          <w14:schemeClr w14:val="tx1"/>
                        </w14:solidFill>
                      </w14:textFill>
                      <w14:ligatures w14:val="standardContextual"/>
                    </w:rPr>
                    <w:t>蒸吨及以下固定炉排式生物质锅炉”和淘</w:t>
                  </w:r>
                  <w:r>
                    <w:rPr>
                      <w:color w:val="000000" w:themeColor="text1"/>
                      <w:spacing w:val="-1"/>
                      <w:highlight w:val="none"/>
                      <w:u w:val="single" w:color="auto"/>
                      <w14:textFill>
                        <w14:solidFill>
                          <w14:schemeClr w14:val="tx1"/>
                        </w14:solidFill>
                      </w14:textFill>
                      <w14:ligatures w14:val="standardContextual"/>
                    </w:rPr>
                    <w:t>汰类“每小时</w:t>
                  </w:r>
                  <w:r>
                    <w:rPr>
                      <w:rFonts w:ascii="Times New Roman" w:hAnsi="Times New Roman" w:eastAsia="Times New Roman" w:cs="Times New Roman"/>
                      <w:color w:val="000000" w:themeColor="text1"/>
                      <w:spacing w:val="-1"/>
                      <w:highlight w:val="none"/>
                      <w:u w:val="single" w:color="auto"/>
                      <w14:textFill>
                        <w14:solidFill>
                          <w14:schemeClr w14:val="tx1"/>
                        </w14:solidFill>
                      </w14:textFill>
                      <w14:ligatures w14:val="standardContextual"/>
                    </w:rPr>
                    <w:t>2</w:t>
                  </w:r>
                  <w:r>
                    <w:rPr>
                      <w:color w:val="000000" w:themeColor="text1"/>
                      <w:spacing w:val="-1"/>
                      <w:highlight w:val="none"/>
                      <w:u w:val="single" w:color="auto"/>
                      <w14:textFill>
                        <w14:solidFill>
                          <w14:schemeClr w14:val="tx1"/>
                        </w14:solidFill>
                      </w14:textFill>
                      <w14:ligatures w14:val="standardContextual"/>
                    </w:rPr>
                    <w:t>蒸吨及以下生物质锅炉”</w:t>
                  </w:r>
                  <w:r>
                    <w:rPr>
                      <w:rFonts w:hint="default" w:ascii="Times New Roman" w:hAnsi="Times New Roman" w:cs="Times New Roman"/>
                      <w:color w:val="000000" w:themeColor="text1"/>
                      <w:highlight w:val="none"/>
                      <w:u w:val="single" w:color="auto"/>
                      <w14:textFill>
                        <w14:solidFill>
                          <w14:schemeClr w14:val="tx1"/>
                        </w14:solidFill>
                      </w14:textFill>
                      <w14:ligatures w14:val="standardContextual"/>
                    </w:rPr>
                    <w:t>项目，</w:t>
                  </w:r>
                  <w:r>
                    <w:rPr>
                      <w:rFonts w:hint="eastAsia" w:cs="Times New Roman"/>
                      <w:color w:val="000000" w:themeColor="text1"/>
                      <w:highlight w:val="none"/>
                      <w:u w:val="single" w:color="auto"/>
                      <w:lang w:val="en-US" w:eastAsia="zh-CN"/>
                      <w14:textFill>
                        <w14:solidFill>
                          <w14:schemeClr w14:val="tx1"/>
                        </w14:solidFill>
                      </w14:textFill>
                      <w14:ligatures w14:val="standardContextual"/>
                    </w:rPr>
                    <w:t>属于允许类项目；</w:t>
                  </w:r>
                </w:p>
                <w:p w14:paraId="4A583E35">
                  <w:pPr>
                    <w:widowControl w:val="0"/>
                    <w:overflowPunct w:val="0"/>
                    <w:autoSpaceDE w:val="0"/>
                    <w:autoSpaceDN w:val="0"/>
                    <w:snapToGrid w:val="0"/>
                    <w:jc w:val="both"/>
                    <w:rPr>
                      <w:rFonts w:hint="default" w:ascii="Times New Roman" w:hAnsi="Times New Roman" w:cs="Times New Roman"/>
                      <w:color w:val="000000" w:themeColor="text1"/>
                      <w:highlight w:val="none"/>
                      <w:u w:val="single" w:color="auto"/>
                      <w14:textFill>
                        <w14:solidFill>
                          <w14:schemeClr w14:val="tx1"/>
                        </w14:solidFill>
                      </w14:textFill>
                      <w14:ligatures w14:val="standardContextual"/>
                    </w:rPr>
                  </w:pPr>
                  <w:r>
                    <w:rPr>
                      <w:rFonts w:hint="eastAsia" w:cs="Times New Roman"/>
                      <w:color w:val="000000" w:themeColor="text1"/>
                      <w:highlight w:val="none"/>
                      <w:u w:val="single" w:color="auto"/>
                      <w:lang w:val="en-US" w:eastAsia="zh-CN"/>
                      <w14:textFill>
                        <w14:solidFill>
                          <w14:schemeClr w14:val="tx1"/>
                        </w14:solidFill>
                      </w14:textFill>
                      <w14:ligatures w14:val="standardContextual"/>
                    </w:rPr>
                    <w:t>项目</w:t>
                  </w:r>
                  <w:r>
                    <w:rPr>
                      <w:rFonts w:hint="default" w:ascii="Times New Roman" w:hAnsi="Times New Roman" w:cs="Times New Roman"/>
                      <w:color w:val="000000" w:themeColor="text1"/>
                      <w:highlight w:val="none"/>
                      <w:u w:val="single" w:color="auto"/>
                      <w14:textFill>
                        <w14:solidFill>
                          <w14:schemeClr w14:val="tx1"/>
                        </w14:solidFill>
                      </w14:textFill>
                      <w14:ligatures w14:val="standardContextual"/>
                    </w:rPr>
                    <w:t>不属于</w:t>
                  </w:r>
                  <w:r>
                    <w:rPr>
                      <w:rFonts w:hint="eastAsia"/>
                      <w:color w:val="000000" w:themeColor="text1"/>
                      <w:highlight w:val="none"/>
                      <w:u w:val="single" w:color="auto"/>
                      <w:lang w:val="en-US" w:eastAsia="zh-CN"/>
                      <w14:textFill>
                        <w14:solidFill>
                          <w14:schemeClr w14:val="tx1"/>
                        </w14:solidFill>
                      </w14:textFill>
                      <w14:ligatures w14:val="standardContextual"/>
                    </w:rPr>
                    <w:t>中马产业园规划定位的</w:t>
                  </w:r>
                  <w:r>
                    <w:rPr>
                      <w:rFonts w:hint="default" w:ascii="Times New Roman" w:hAnsi="Times New Roman" w:cs="Times New Roman"/>
                      <w:color w:val="000000" w:themeColor="text1"/>
                      <w:highlight w:val="none"/>
                      <w:u w:val="single" w:color="auto"/>
                      <w14:textFill>
                        <w14:solidFill>
                          <w14:schemeClr w14:val="tx1"/>
                        </w14:solidFill>
                      </w14:textFill>
                      <w14:ligatures w14:val="standardContextual"/>
                    </w:rPr>
                    <w:t>高污染、高能耗项目；项目运营期不涉及铅、镉、汞、铬、砷五种重金属及持久性有机物排放；</w:t>
                  </w:r>
                  <w:bookmarkStart w:id="14" w:name="OLE_LINK146"/>
                  <w:r>
                    <w:rPr>
                      <w:rFonts w:hint="default" w:ascii="Times New Roman" w:hAnsi="Times New Roman" w:cs="Times New Roman"/>
                      <w:color w:val="000000" w:themeColor="text1"/>
                      <w:highlight w:val="none"/>
                      <w:u w:val="single" w:color="auto"/>
                      <w14:textFill>
                        <w14:solidFill>
                          <w14:schemeClr w14:val="tx1"/>
                        </w14:solidFill>
                      </w14:textFill>
                      <w14:ligatures w14:val="standardContextual"/>
                    </w:rPr>
                    <w:t>本项目不涉及红树林分布区域。</w:t>
                  </w:r>
                  <w:bookmarkEnd w:id="14"/>
                </w:p>
              </w:tc>
              <w:tc>
                <w:tcPr>
                  <w:tcW w:w="546" w:type="dxa"/>
                  <w:vAlign w:val="center"/>
                </w:tcPr>
                <w:p w14:paraId="4E1065F3">
                  <w:pPr>
                    <w:widowControl w:val="0"/>
                    <w:overflowPunct w:val="0"/>
                    <w:autoSpaceDE w:val="0"/>
                    <w:autoSpaceDN w:val="0"/>
                    <w:snapToGrid w:val="0"/>
                    <w:jc w:val="both"/>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42F1EA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vMerge w:val="continue"/>
                  <w:vAlign w:val="center"/>
                </w:tcPr>
                <w:p w14:paraId="5F0302E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3648" w:type="dxa"/>
                  <w:vAlign w:val="center"/>
                </w:tcPr>
                <w:p w14:paraId="6882C78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园区内红树林分布区域按照《广西壮族自治区红树林资源保护条例》进行管理，在红树林自然保护区、红树林保护小区外的其他红树林地，禁止挖塘、填海造地、围堤、开垦、烧荒、开矿、采石、挖沙、取土；排放有毒有害物质或者倾倒固体、液体废弃物。禁止移植、砍伐红树林。因科研、医药、更新抚育、工程建设等特殊原因确需移植、砍伐红树林自然保护区外的红树林的，应当经主管部门批准。工程建设项目应当避让红树林地。</w:t>
                  </w:r>
                </w:p>
              </w:tc>
              <w:tc>
                <w:tcPr>
                  <w:tcW w:w="2661" w:type="dxa"/>
                  <w:vAlign w:val="center"/>
                </w:tcPr>
                <w:p w14:paraId="3A1CD05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本项目</w:t>
                  </w:r>
                  <w:bookmarkStart w:id="15" w:name="OLE_LINK156"/>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不涉及</w:t>
                  </w:r>
                  <w:bookmarkEnd w:id="15"/>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红树林分布区域。</w:t>
                  </w:r>
                </w:p>
              </w:tc>
              <w:tc>
                <w:tcPr>
                  <w:tcW w:w="546" w:type="dxa"/>
                  <w:vAlign w:val="center"/>
                </w:tcPr>
                <w:p w14:paraId="1F8FD35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1AB03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2" w:hRule="atLeast"/>
                <w:jc w:val="center"/>
              </w:trPr>
              <w:tc>
                <w:tcPr>
                  <w:tcW w:w="893" w:type="dxa"/>
                  <w:vMerge w:val="continue"/>
                  <w:vAlign w:val="center"/>
                </w:tcPr>
                <w:p w14:paraId="0773CDD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3648" w:type="dxa"/>
                  <w:vAlign w:val="center"/>
                </w:tcPr>
                <w:p w14:paraId="0BFCDFB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3.紧临金窝水库饮用水源保护区的园区工业用地，应当布局非大气污染型项目。</w:t>
                  </w:r>
                </w:p>
              </w:tc>
              <w:tc>
                <w:tcPr>
                  <w:tcW w:w="2661" w:type="dxa"/>
                  <w:vAlign w:val="center"/>
                </w:tcPr>
                <w:p w14:paraId="0B80822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本项目地块</w:t>
                  </w:r>
                  <w:r>
                    <w:rPr>
                      <w:rFonts w:hint="eastAsia" w:cs="Times New Roman"/>
                      <w:color w:val="000000" w:themeColor="text1"/>
                      <w:highlight w:val="none"/>
                      <w:u w:val="single"/>
                      <w:lang w:val="en-US" w:eastAsia="zh-CN"/>
                      <w14:textFill>
                        <w14:solidFill>
                          <w14:schemeClr w14:val="tx1"/>
                        </w14:solidFill>
                      </w14:textFill>
                      <w14:ligatures w14:val="standardContextual"/>
                    </w:rPr>
                    <w:t>距离金窝水库二级保护区陆域区域最近距离约1140m，因此项目</w:t>
                  </w: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不涉及金窝水库饮用水源保护区</w:t>
                  </w:r>
                  <w:r>
                    <w:rPr>
                      <w:rFonts w:hint="default" w:ascii="Times New Roman" w:hAnsi="Times New Roman" w:cs="Times New Roman"/>
                      <w:color w:val="000000" w:themeColor="text1"/>
                      <w:highlight w:val="none"/>
                      <w14:textFill>
                        <w14:solidFill>
                          <w14:schemeClr w14:val="tx1"/>
                        </w14:solidFill>
                      </w14:textFill>
                      <w14:ligatures w14:val="standardContextual"/>
                    </w:rPr>
                    <w:t>。</w:t>
                  </w:r>
                </w:p>
              </w:tc>
              <w:tc>
                <w:tcPr>
                  <w:tcW w:w="546" w:type="dxa"/>
                  <w:vAlign w:val="center"/>
                </w:tcPr>
                <w:p w14:paraId="68269CD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03552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vMerge w:val="continue"/>
                  <w:vAlign w:val="center"/>
                </w:tcPr>
                <w:p w14:paraId="65E1AC7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3648" w:type="dxa"/>
                  <w:vAlign w:val="center"/>
                </w:tcPr>
                <w:p w14:paraId="7207082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4．园区产业准入执行《广西壮族自治区人民政府办公厅关于印发北钦防一体化产业协同发展限制布局清单（工业类2021年版）的通知》（桂政办函〔2021〕4号）要求，限制新建</w:t>
                  </w:r>
                  <w:bookmarkStart w:id="16" w:name="OLE_LINK210"/>
                  <w:r>
                    <w:rPr>
                      <w:rFonts w:hint="default" w:ascii="Times New Roman" w:hAnsi="Times New Roman" w:cs="Times New Roman"/>
                      <w:color w:val="000000" w:themeColor="text1"/>
                      <w:highlight w:val="none"/>
                      <w14:textFill>
                        <w14:solidFill>
                          <w14:schemeClr w14:val="tx1"/>
                        </w14:solidFill>
                      </w14:textFill>
                      <w14:ligatures w14:val="standardContextual"/>
                    </w:rPr>
                    <w:t>纸浆制造、原油加工及石油制品制造、水泥制造、建筑陶瓷制品制造、有色金属冶炼</w:t>
                  </w:r>
                  <w:bookmarkEnd w:id="16"/>
                  <w:r>
                    <w:rPr>
                      <w:rFonts w:hint="default" w:ascii="Times New Roman" w:hAnsi="Times New Roman" w:cs="Times New Roman"/>
                      <w:color w:val="000000" w:themeColor="text1"/>
                      <w:highlight w:val="none"/>
                      <w14:textFill>
                        <w14:solidFill>
                          <w14:schemeClr w14:val="tx1"/>
                        </w14:solidFill>
                      </w14:textFill>
                      <w14:ligatures w14:val="standardContextual"/>
                    </w:rPr>
                    <w:t>等工业项目。</w:t>
                  </w:r>
                </w:p>
              </w:tc>
              <w:tc>
                <w:tcPr>
                  <w:tcW w:w="2661" w:type="dxa"/>
                  <w:vAlign w:val="center"/>
                </w:tcPr>
                <w:p w14:paraId="344A0B61">
                  <w:pPr>
                    <w:widowControl w:val="0"/>
                    <w:overflowPunct w:val="0"/>
                    <w:autoSpaceDE w:val="0"/>
                    <w:autoSpaceDN w:val="0"/>
                    <w:snapToGrid w:val="0"/>
                    <w:jc w:val="both"/>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项目不属于纸浆制造、原油加工及石油制品制造、水泥制造、建筑陶瓷制品制造、有色金属冶炼。</w:t>
                  </w:r>
                </w:p>
              </w:tc>
              <w:tc>
                <w:tcPr>
                  <w:tcW w:w="546" w:type="dxa"/>
                  <w:vAlign w:val="center"/>
                </w:tcPr>
                <w:p w14:paraId="505DDA73">
                  <w:pPr>
                    <w:widowControl w:val="0"/>
                    <w:overflowPunct w:val="0"/>
                    <w:autoSpaceDE w:val="0"/>
                    <w:autoSpaceDN w:val="0"/>
                    <w:snapToGrid w:val="0"/>
                    <w:jc w:val="both"/>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54132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vMerge w:val="continue"/>
                  <w:vAlign w:val="center"/>
                </w:tcPr>
                <w:p w14:paraId="159A337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3648" w:type="dxa"/>
                  <w:vAlign w:val="center"/>
                </w:tcPr>
                <w:p w14:paraId="573383F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5．严格新建动力电池材料产业项目准入，加强项目评估论证，杜绝落后工艺、技术和产品进驻。</w:t>
                  </w:r>
                </w:p>
              </w:tc>
              <w:tc>
                <w:tcPr>
                  <w:tcW w:w="2661" w:type="dxa"/>
                  <w:vAlign w:val="center"/>
                </w:tcPr>
                <w:p w14:paraId="15025AB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项目不属于动力电池材料产业项目。</w:t>
                  </w:r>
                </w:p>
              </w:tc>
              <w:tc>
                <w:tcPr>
                  <w:tcW w:w="546" w:type="dxa"/>
                  <w:vAlign w:val="center"/>
                </w:tcPr>
                <w:p w14:paraId="2469DE0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2A280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vMerge w:val="continue"/>
                  <w:vAlign w:val="center"/>
                </w:tcPr>
                <w:p w14:paraId="17D090F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3648" w:type="dxa"/>
                  <w:vAlign w:val="center"/>
                </w:tcPr>
                <w:p w14:paraId="057E26A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6．园区周边1公里范围内临近金窝水库饮用水水源保护区生态环境敏感区域，应优化产业布局，控制开发强度，新建、改建、扩建项目要采取切实可行的环保措施，降低对周边生态环境敏感区域的影响。</w:t>
                  </w:r>
                </w:p>
              </w:tc>
              <w:tc>
                <w:tcPr>
                  <w:tcW w:w="2661" w:type="dxa"/>
                  <w:vAlign w:val="center"/>
                </w:tcPr>
                <w:p w14:paraId="591AB9F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本项目建成后可实现园区集中供热，有利于降低</w:t>
                  </w:r>
                  <w:r>
                    <w:rPr>
                      <w:rFonts w:hint="eastAsia" w:cs="Times New Roman"/>
                      <w:color w:val="000000" w:themeColor="text1"/>
                      <w:highlight w:val="none"/>
                      <w:lang w:eastAsia="zh-CN"/>
                      <w14:textFill>
                        <w14:solidFill>
                          <w14:schemeClr w14:val="tx1"/>
                        </w14:solidFill>
                      </w14:textFill>
                      <w14:ligatures w14:val="standardContextual"/>
                    </w:rPr>
                    <w:t>对</w:t>
                  </w:r>
                  <w:r>
                    <w:rPr>
                      <w:rFonts w:hint="default" w:ascii="Times New Roman" w:hAnsi="Times New Roman" w:cs="Times New Roman"/>
                      <w:color w:val="000000" w:themeColor="text1"/>
                      <w:highlight w:val="none"/>
                      <w14:textFill>
                        <w14:solidFill>
                          <w14:schemeClr w14:val="tx1"/>
                        </w14:solidFill>
                      </w14:textFill>
                      <w14:ligatures w14:val="standardContextual"/>
                    </w:rPr>
                    <w:t>周边生态环境敏感区域的影响。</w:t>
                  </w:r>
                </w:p>
              </w:tc>
              <w:tc>
                <w:tcPr>
                  <w:tcW w:w="546" w:type="dxa"/>
                  <w:vAlign w:val="center"/>
                </w:tcPr>
                <w:p w14:paraId="21761BD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3514C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vMerge w:val="restart"/>
                  <w:vAlign w:val="center"/>
                </w:tcPr>
                <w:p w14:paraId="1234680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污染物排放管控</w:t>
                  </w:r>
                </w:p>
              </w:tc>
              <w:tc>
                <w:tcPr>
                  <w:tcW w:w="3648" w:type="dxa"/>
                  <w:vAlign w:val="center"/>
                </w:tcPr>
                <w:p w14:paraId="08BA0D5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1．继续加强工业园区</w:t>
                  </w:r>
                  <w:bookmarkStart w:id="17" w:name="OLE_LINK213"/>
                  <w:r>
                    <w:rPr>
                      <w:rFonts w:hint="default" w:ascii="Times New Roman" w:hAnsi="Times New Roman" w:cs="Times New Roman"/>
                      <w:color w:val="000000" w:themeColor="text1"/>
                      <w:highlight w:val="none"/>
                      <w14:textFill>
                        <w14:solidFill>
                          <w14:schemeClr w14:val="tx1"/>
                        </w14:solidFill>
                      </w14:textFill>
                      <w14:ligatures w14:val="standardContextual"/>
                    </w:rPr>
                    <w:t>污水集中处理设施和配套管网</w:t>
                  </w:r>
                  <w:bookmarkEnd w:id="17"/>
                  <w:r>
                    <w:rPr>
                      <w:rFonts w:hint="default" w:ascii="Times New Roman" w:hAnsi="Times New Roman" w:cs="Times New Roman"/>
                      <w:color w:val="000000" w:themeColor="text1"/>
                      <w:highlight w:val="none"/>
                      <w14:textFill>
                        <w14:solidFill>
                          <w14:schemeClr w14:val="tx1"/>
                        </w14:solidFill>
                      </w14:textFill>
                      <w14:ligatures w14:val="standardContextual"/>
                    </w:rPr>
                    <w:t>建设。实行“</w:t>
                  </w:r>
                  <w:bookmarkStart w:id="18" w:name="OLE_LINK211"/>
                  <w:r>
                    <w:rPr>
                      <w:rFonts w:hint="default" w:ascii="Times New Roman" w:hAnsi="Times New Roman" w:cs="Times New Roman"/>
                      <w:color w:val="000000" w:themeColor="text1"/>
                      <w:highlight w:val="none"/>
                      <w14:textFill>
                        <w14:solidFill>
                          <w14:schemeClr w14:val="tx1"/>
                        </w14:solidFill>
                      </w14:textFill>
                      <w14:ligatures w14:val="standardContextual"/>
                    </w:rPr>
                    <w:t>清污分流</w:t>
                  </w:r>
                  <w:bookmarkEnd w:id="18"/>
                  <w:r>
                    <w:rPr>
                      <w:rFonts w:hint="default" w:ascii="Times New Roman" w:hAnsi="Times New Roman" w:cs="Times New Roman"/>
                      <w:color w:val="000000" w:themeColor="text1"/>
                      <w:highlight w:val="none"/>
                      <w14:textFill>
                        <w14:solidFill>
                          <w14:schemeClr w14:val="tx1"/>
                        </w14:solidFill>
                      </w14:textFill>
                      <w14:ligatures w14:val="standardContextual"/>
                    </w:rPr>
                    <w:t>、</w:t>
                  </w:r>
                  <w:bookmarkStart w:id="19" w:name="OLE_LINK212"/>
                  <w:r>
                    <w:rPr>
                      <w:rFonts w:hint="default" w:ascii="Times New Roman" w:hAnsi="Times New Roman" w:cs="Times New Roman"/>
                      <w:color w:val="000000" w:themeColor="text1"/>
                      <w:highlight w:val="none"/>
                      <w14:textFill>
                        <w14:solidFill>
                          <w14:schemeClr w14:val="tx1"/>
                        </w14:solidFill>
                      </w14:textFill>
                      <w14:ligatures w14:val="standardContextual"/>
                    </w:rPr>
                    <w:t>雨污分流</w:t>
                  </w:r>
                  <w:bookmarkEnd w:id="19"/>
                  <w:r>
                    <w:rPr>
                      <w:rFonts w:hint="default" w:ascii="Times New Roman" w:hAnsi="Times New Roman" w:cs="Times New Roman"/>
                      <w:color w:val="000000" w:themeColor="text1"/>
                      <w:highlight w:val="none"/>
                      <w14:textFill>
                        <w14:solidFill>
                          <w14:schemeClr w14:val="tx1"/>
                        </w14:solidFill>
                      </w14:textFill>
                      <w14:ligatures w14:val="standardContextual"/>
                    </w:rPr>
                    <w:t>”，实现废水分类收集、分质处理，入园企业应在达到国家或地方规定的排放标准后接入集中式污水处理设施处理，园区集中式污水处理设施总排口应安装自动监控系统、视频监控系统，并与生态环境主管部门联网。</w:t>
                  </w:r>
                </w:p>
              </w:tc>
              <w:tc>
                <w:tcPr>
                  <w:tcW w:w="2661" w:type="dxa"/>
                  <w:vAlign w:val="center"/>
                </w:tcPr>
                <w:p w14:paraId="5ACE01D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bookmarkStart w:id="20" w:name="OLE_LINK174"/>
                  <w:r>
                    <w:rPr>
                      <w:rFonts w:hint="default" w:ascii="Times New Roman" w:hAnsi="Times New Roman" w:cs="Times New Roman"/>
                      <w:color w:val="000000" w:themeColor="text1"/>
                      <w:highlight w:val="none"/>
                      <w14:textFill>
                        <w14:solidFill>
                          <w14:schemeClr w14:val="tx1"/>
                        </w14:solidFill>
                      </w14:textFill>
                      <w14:ligatures w14:val="standardContextual"/>
                    </w:rPr>
                    <w:t>本项目排水为雨污分流，园区设有雨污水管道。不涉及污水集中处理设施和配套管网。</w:t>
                  </w:r>
                  <w:bookmarkEnd w:id="20"/>
                </w:p>
              </w:tc>
              <w:tc>
                <w:tcPr>
                  <w:tcW w:w="546" w:type="dxa"/>
                  <w:vAlign w:val="center"/>
                </w:tcPr>
                <w:p w14:paraId="4B5F311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6204D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vMerge w:val="continue"/>
                  <w:vAlign w:val="center"/>
                </w:tcPr>
                <w:p w14:paraId="08B413D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3648" w:type="dxa"/>
                  <w:vAlign w:val="center"/>
                </w:tcPr>
                <w:p w14:paraId="7623334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2.推行清洁能源和集中供热。</w:t>
                  </w:r>
                </w:p>
              </w:tc>
              <w:tc>
                <w:tcPr>
                  <w:tcW w:w="2661" w:type="dxa"/>
                  <w:vAlign w:val="center"/>
                </w:tcPr>
                <w:p w14:paraId="2ADEFA4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项目使用的能源为</w:t>
                  </w:r>
                  <w:bookmarkStart w:id="21" w:name="OLE_LINK160"/>
                  <w:r>
                    <w:rPr>
                      <w:rFonts w:hint="default" w:ascii="Times New Roman" w:hAnsi="Times New Roman" w:cs="Times New Roman"/>
                      <w:color w:val="000000" w:themeColor="text1"/>
                      <w:highlight w:val="none"/>
                      <w14:textFill>
                        <w14:solidFill>
                          <w14:schemeClr w14:val="tx1"/>
                        </w14:solidFill>
                      </w14:textFill>
                      <w14:ligatures w14:val="standardContextual"/>
                    </w:rPr>
                    <w:t>生物质成型颗粒</w:t>
                  </w:r>
                  <w:bookmarkEnd w:id="21"/>
                  <w:r>
                    <w:rPr>
                      <w:rFonts w:hint="default" w:ascii="Times New Roman" w:hAnsi="Times New Roman" w:cs="Times New Roman"/>
                      <w:color w:val="000000" w:themeColor="text1"/>
                      <w:highlight w:val="none"/>
                      <w14:textFill>
                        <w14:solidFill>
                          <w14:schemeClr w14:val="tx1"/>
                        </w14:solidFill>
                      </w14:textFill>
                      <w14:ligatures w14:val="standardContextual"/>
                    </w:rPr>
                    <w:t>，项目建成后</w:t>
                  </w:r>
                  <w:bookmarkStart w:id="22" w:name="OLE_LINK163"/>
                  <w:r>
                    <w:rPr>
                      <w:rFonts w:hint="default" w:ascii="Times New Roman" w:hAnsi="Times New Roman" w:cs="Times New Roman"/>
                      <w:color w:val="000000" w:themeColor="text1"/>
                      <w:highlight w:val="none"/>
                      <w14:textFill>
                        <w14:solidFill>
                          <w14:schemeClr w14:val="tx1"/>
                        </w14:solidFill>
                      </w14:textFill>
                      <w14:ligatures w14:val="standardContextual"/>
                    </w:rPr>
                    <w:t>可实现园区内集中供热</w:t>
                  </w:r>
                  <w:bookmarkEnd w:id="22"/>
                  <w:r>
                    <w:rPr>
                      <w:rFonts w:hint="default" w:ascii="Times New Roman" w:hAnsi="Times New Roman" w:cs="Times New Roman"/>
                      <w:color w:val="000000" w:themeColor="text1"/>
                      <w:highlight w:val="none"/>
                      <w14:textFill>
                        <w14:solidFill>
                          <w14:schemeClr w14:val="tx1"/>
                        </w14:solidFill>
                      </w14:textFill>
                      <w14:ligatures w14:val="standardContextual"/>
                    </w:rPr>
                    <w:t>。</w:t>
                  </w:r>
                </w:p>
              </w:tc>
              <w:tc>
                <w:tcPr>
                  <w:tcW w:w="546" w:type="dxa"/>
                  <w:vAlign w:val="center"/>
                </w:tcPr>
                <w:p w14:paraId="5797D05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3F2D5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vMerge w:val="continue"/>
                  <w:vAlign w:val="center"/>
                </w:tcPr>
                <w:p w14:paraId="6CB3353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3648" w:type="dxa"/>
                  <w:vAlign w:val="center"/>
                </w:tcPr>
                <w:p w14:paraId="038A1DE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3.有条件的工业聚集区建设集中喷涂工程中心，配备高效治污设施，替代企业独立喷涂工序。推动重点行业挥发性有机物（VOCs）污染防治，强化企业精细化管控、无组织废气排放控制以及高效治污设施建设，严格控制挥发性有机污染物排放。强化大气污染治理措施，降低二氧化硫、氮氧化物排放。</w:t>
                  </w:r>
                </w:p>
              </w:tc>
              <w:tc>
                <w:tcPr>
                  <w:tcW w:w="2661" w:type="dxa"/>
                  <w:vAlign w:val="center"/>
                </w:tcPr>
                <w:p w14:paraId="3355312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本项目不涉及。</w:t>
                  </w:r>
                </w:p>
              </w:tc>
              <w:tc>
                <w:tcPr>
                  <w:tcW w:w="546" w:type="dxa"/>
                  <w:vAlign w:val="center"/>
                </w:tcPr>
                <w:p w14:paraId="19F6236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4D8B82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vMerge w:val="continue"/>
                  <w:vAlign w:val="center"/>
                </w:tcPr>
                <w:p w14:paraId="5AE647E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3648" w:type="dxa"/>
                  <w:vAlign w:val="center"/>
                </w:tcPr>
                <w:p w14:paraId="30B380C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4．强化固体废物减量化、资源化和无害化控制原则处置；加强</w:t>
                  </w:r>
                  <w:bookmarkStart w:id="23" w:name="OLE_LINK214"/>
                  <w:r>
                    <w:rPr>
                      <w:rFonts w:hint="default" w:ascii="Times New Roman" w:hAnsi="Times New Roman" w:cs="Times New Roman"/>
                      <w:color w:val="000000" w:themeColor="text1"/>
                      <w:highlight w:val="none"/>
                      <w14:textFill>
                        <w14:solidFill>
                          <w14:schemeClr w14:val="tx1"/>
                        </w14:solidFill>
                      </w14:textFill>
                      <w14:ligatures w14:val="standardContextual"/>
                    </w:rPr>
                    <w:t>硫酸镍、硫酸钴、碳酸锂和氢氧化锂</w:t>
                  </w:r>
                  <w:bookmarkEnd w:id="23"/>
                  <w:r>
                    <w:rPr>
                      <w:rFonts w:hint="default" w:ascii="Times New Roman" w:hAnsi="Times New Roman" w:cs="Times New Roman"/>
                      <w:color w:val="000000" w:themeColor="text1"/>
                      <w:highlight w:val="none"/>
                      <w14:textFill>
                        <w14:solidFill>
                          <w14:schemeClr w14:val="tx1"/>
                        </w14:solidFill>
                      </w14:textFill>
                      <w14:ligatures w14:val="standardContextual"/>
                    </w:rPr>
                    <w:t>等生产过程产生的</w:t>
                  </w: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固体废物</w:t>
                  </w:r>
                  <w:r>
                    <w:rPr>
                      <w:rFonts w:hint="default" w:ascii="Times New Roman" w:hAnsi="Times New Roman" w:cs="Times New Roman"/>
                      <w:color w:val="000000" w:themeColor="text1"/>
                      <w:highlight w:val="none"/>
                      <w14:textFill>
                        <w14:solidFill>
                          <w14:schemeClr w14:val="tx1"/>
                        </w14:solidFill>
                      </w14:textFill>
                      <w14:ligatures w14:val="standardContextual"/>
                    </w:rPr>
                    <w:t>进行回收和精细化分级分类综合利用。</w:t>
                  </w:r>
                </w:p>
              </w:tc>
              <w:tc>
                <w:tcPr>
                  <w:tcW w:w="2661" w:type="dxa"/>
                  <w:vAlign w:val="center"/>
                </w:tcPr>
                <w:p w14:paraId="70529A3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本项目固体废物全部外售综合利用，不涉及硫酸镍、硫酸钴、碳酸锂和氢氧化锂等生产过程。</w:t>
                  </w:r>
                </w:p>
              </w:tc>
              <w:tc>
                <w:tcPr>
                  <w:tcW w:w="546" w:type="dxa"/>
                  <w:vAlign w:val="center"/>
                </w:tcPr>
                <w:p w14:paraId="3C822E7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36016D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vMerge w:val="continue"/>
                  <w:vAlign w:val="center"/>
                </w:tcPr>
                <w:p w14:paraId="200B78B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3648" w:type="dxa"/>
                  <w:vAlign w:val="center"/>
                </w:tcPr>
                <w:p w14:paraId="2284F27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5．推动新能源锂电池及材料存量项目实施能效提升、清洁生产、节水治污、循环利用等专项技术改造。</w:t>
                  </w:r>
                </w:p>
              </w:tc>
              <w:tc>
                <w:tcPr>
                  <w:tcW w:w="2661" w:type="dxa"/>
                  <w:vAlign w:val="center"/>
                </w:tcPr>
                <w:p w14:paraId="4D506C3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本项目不涉及新能源锂电池及材料项目。</w:t>
                  </w:r>
                </w:p>
              </w:tc>
              <w:tc>
                <w:tcPr>
                  <w:tcW w:w="546" w:type="dxa"/>
                  <w:vAlign w:val="center"/>
                </w:tcPr>
                <w:p w14:paraId="0CF1C6E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7C50C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vMerge w:val="continue"/>
                  <w:vAlign w:val="center"/>
                </w:tcPr>
                <w:p w14:paraId="2233116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3648" w:type="dxa"/>
                  <w:vAlign w:val="center"/>
                </w:tcPr>
                <w:p w14:paraId="35C10196">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6．新建、改建、扩建排放高含盐废水的项目应采用先进适用的工艺技术和脱盐设施，进行脱盐处理，降低外排废水含盐浓度，严格控制高含盐废水未经处理或未有效处理直接排入外环境。</w:t>
                  </w:r>
                </w:p>
              </w:tc>
              <w:tc>
                <w:tcPr>
                  <w:tcW w:w="2661" w:type="dxa"/>
                  <w:vAlign w:val="center"/>
                </w:tcPr>
                <w:p w14:paraId="3887203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本项目不涉及高含盐废水。</w:t>
                  </w:r>
                </w:p>
              </w:tc>
              <w:tc>
                <w:tcPr>
                  <w:tcW w:w="546" w:type="dxa"/>
                  <w:vAlign w:val="center"/>
                </w:tcPr>
                <w:p w14:paraId="470A4B2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5B0AA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vMerge w:val="restart"/>
                  <w:vAlign w:val="center"/>
                </w:tcPr>
                <w:p w14:paraId="551C0E19">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环境风险防控</w:t>
                  </w:r>
                </w:p>
              </w:tc>
              <w:tc>
                <w:tcPr>
                  <w:tcW w:w="3648" w:type="dxa"/>
                  <w:vAlign w:val="center"/>
                </w:tcPr>
                <w:p w14:paraId="23A28B6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1．开展环境风险评估，制定</w:t>
                  </w:r>
                  <w:bookmarkStart w:id="24" w:name="OLE_LINK215"/>
                  <w:r>
                    <w:rPr>
                      <w:rFonts w:hint="default" w:ascii="Times New Roman" w:hAnsi="Times New Roman" w:cs="Times New Roman"/>
                      <w:color w:val="000000" w:themeColor="text1"/>
                      <w:highlight w:val="none"/>
                      <w14:textFill>
                        <w14:solidFill>
                          <w14:schemeClr w14:val="tx1"/>
                        </w14:solidFill>
                      </w14:textFill>
                      <w14:ligatures w14:val="standardContextual"/>
                    </w:rPr>
                    <w:t>突发环境事件应急预案并备案</w:t>
                  </w:r>
                  <w:bookmarkEnd w:id="24"/>
                  <w:r>
                    <w:rPr>
                      <w:rFonts w:hint="default" w:ascii="Times New Roman" w:hAnsi="Times New Roman" w:cs="Times New Roman"/>
                      <w:color w:val="000000" w:themeColor="text1"/>
                      <w:highlight w:val="none"/>
                      <w14:textFill>
                        <w14:solidFill>
                          <w14:schemeClr w14:val="tx1"/>
                        </w14:solidFill>
                      </w14:textFill>
                      <w14:ligatures w14:val="standardContextual"/>
                    </w:rPr>
                    <w:t>，配备应急能力和物资，建设环境应急队伍，并定期演练。企业、园区与地方人民政府环境应急预案应当有机衔接。</w:t>
                  </w:r>
                </w:p>
              </w:tc>
              <w:tc>
                <w:tcPr>
                  <w:tcW w:w="2661" w:type="dxa"/>
                  <w:vAlign w:val="center"/>
                </w:tcPr>
                <w:p w14:paraId="2EE98A0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项目制定突发环境事件应急预案并备案。</w:t>
                  </w:r>
                </w:p>
              </w:tc>
              <w:tc>
                <w:tcPr>
                  <w:tcW w:w="546" w:type="dxa"/>
                  <w:vAlign w:val="center"/>
                </w:tcPr>
                <w:p w14:paraId="500A0B1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1A11CD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vMerge w:val="continue"/>
                  <w:vAlign w:val="center"/>
                </w:tcPr>
                <w:p w14:paraId="1372DAA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3648" w:type="dxa"/>
                  <w:vAlign w:val="center"/>
                </w:tcPr>
                <w:p w14:paraId="1FFF982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2．建设项目应严格落实</w:t>
                  </w:r>
                  <w:bookmarkStart w:id="25" w:name="OLE_LINK216"/>
                  <w:r>
                    <w:rPr>
                      <w:rFonts w:hint="default" w:ascii="Times New Roman" w:hAnsi="Times New Roman" w:cs="Times New Roman"/>
                      <w:color w:val="000000" w:themeColor="text1"/>
                      <w:highlight w:val="none"/>
                      <w14:textFill>
                        <w14:solidFill>
                          <w14:schemeClr w14:val="tx1"/>
                        </w14:solidFill>
                      </w14:textFill>
                      <w14:ligatures w14:val="standardContextual"/>
                    </w:rPr>
                    <w:t>环境保护措施和环境风险防范措施</w:t>
                  </w:r>
                  <w:bookmarkEnd w:id="25"/>
                  <w:r>
                    <w:rPr>
                      <w:rFonts w:hint="default" w:ascii="Times New Roman" w:hAnsi="Times New Roman" w:cs="Times New Roman"/>
                      <w:color w:val="000000" w:themeColor="text1"/>
                      <w:highlight w:val="none"/>
                      <w14:textFill>
                        <w14:solidFill>
                          <w14:schemeClr w14:val="tx1"/>
                        </w14:solidFill>
                      </w14:textFill>
                      <w14:ligatures w14:val="standardContextual"/>
                    </w:rPr>
                    <w:t>，防范对金窝水库饮用水水源保护区的环境风险。</w:t>
                  </w:r>
                </w:p>
              </w:tc>
              <w:tc>
                <w:tcPr>
                  <w:tcW w:w="2661" w:type="dxa"/>
                  <w:vAlign w:val="center"/>
                </w:tcPr>
                <w:p w14:paraId="74C81A0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项目严格落实本次环评提出的环境保护措施和环境风险防范措施，防范对金窝水库饮用水水源保护区的环境风险。</w:t>
                  </w:r>
                </w:p>
              </w:tc>
              <w:tc>
                <w:tcPr>
                  <w:tcW w:w="546" w:type="dxa"/>
                  <w:vAlign w:val="center"/>
                </w:tcPr>
                <w:p w14:paraId="55C0BD0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56717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vMerge w:val="restart"/>
                  <w:vAlign w:val="center"/>
                </w:tcPr>
                <w:p w14:paraId="3E140716">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资源开发利用效率要求</w:t>
                  </w:r>
                </w:p>
              </w:tc>
              <w:tc>
                <w:tcPr>
                  <w:tcW w:w="3648" w:type="dxa"/>
                  <w:vAlign w:val="center"/>
                </w:tcPr>
                <w:p w14:paraId="1FB88B8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在禁燃区内，禁止销售、燃用高污染燃料；禁止新建、扩建燃用高污染燃料的设施，已建成的，应当在城市人民政府规定的期限内改用天然气、页岩气、液化石油气、电或者其他清洁能源。其余按照《钦州市人民政府关于划定高污染燃料禁燃区的通告》要求实施管理。</w:t>
                  </w:r>
                </w:p>
              </w:tc>
              <w:tc>
                <w:tcPr>
                  <w:tcW w:w="2661" w:type="dxa"/>
                  <w:vAlign w:val="center"/>
                </w:tcPr>
                <w:p w14:paraId="0B007C0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本项目使用燃料为生物质成型颗粒，不属于《钦州市人民政府关于划定高污染燃料禁燃区的通告》中的高污染燃料。</w:t>
                  </w:r>
                </w:p>
                <w:p w14:paraId="3D09AA83">
                  <w:pPr>
                    <w:widowControl w:val="0"/>
                    <w:overflowPunct w:val="0"/>
                    <w:autoSpaceDE w:val="0"/>
                    <w:autoSpaceDN w:val="0"/>
                    <w:snapToGrid w:val="0"/>
                    <w:jc w:val="center"/>
                    <w:rPr>
                      <w:rFonts w:hint="default" w:ascii="Times New Roman" w:hAnsi="Times New Roman" w:cs="Times New Roman"/>
                      <w:color w:val="000000" w:themeColor="text1"/>
                      <w:highlight w:val="none"/>
                      <w:u w:val="singl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项目建成后，可实现园区内集中供热。</w:t>
                  </w:r>
                </w:p>
              </w:tc>
              <w:tc>
                <w:tcPr>
                  <w:tcW w:w="546" w:type="dxa"/>
                  <w:vAlign w:val="center"/>
                </w:tcPr>
                <w:p w14:paraId="468C612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2EF7E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vMerge w:val="continue"/>
                  <w:vAlign w:val="center"/>
                </w:tcPr>
                <w:p w14:paraId="5F02133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3648" w:type="dxa"/>
                  <w:vAlign w:val="center"/>
                </w:tcPr>
                <w:p w14:paraId="1C20F80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2．严格用水总量，节约水资源，提高水循环利用率；坚持节约集约用地，提高土地利用效率。</w:t>
                  </w:r>
                </w:p>
              </w:tc>
              <w:tc>
                <w:tcPr>
                  <w:tcW w:w="2661" w:type="dxa"/>
                  <w:vAlign w:val="center"/>
                </w:tcPr>
                <w:p w14:paraId="7801A41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项目水资源来源于园区自来水管网，不涉及自行取水，项目用地符合国土空间规划。</w:t>
                  </w:r>
                </w:p>
              </w:tc>
              <w:tc>
                <w:tcPr>
                  <w:tcW w:w="546" w:type="dxa"/>
                  <w:vAlign w:val="center"/>
                </w:tcPr>
                <w:p w14:paraId="066C72B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tr w14:paraId="5DD71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93" w:type="dxa"/>
                  <w:vMerge w:val="continue"/>
                  <w:vAlign w:val="center"/>
                </w:tcPr>
                <w:p w14:paraId="1743142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3648" w:type="dxa"/>
                  <w:vAlign w:val="center"/>
                </w:tcPr>
                <w:p w14:paraId="31BE401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3．严格执行国家和自治区关于能耗双控和碳排放目标。</w:t>
                  </w:r>
                </w:p>
              </w:tc>
              <w:tc>
                <w:tcPr>
                  <w:tcW w:w="2661" w:type="dxa"/>
                  <w:vAlign w:val="center"/>
                </w:tcPr>
                <w:p w14:paraId="71E7D88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项目严格落实能耗双控和碳排放管理要求。</w:t>
                  </w:r>
                </w:p>
              </w:tc>
              <w:tc>
                <w:tcPr>
                  <w:tcW w:w="546" w:type="dxa"/>
                  <w:vAlign w:val="center"/>
                </w:tcPr>
                <w:p w14:paraId="429B3C9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符合</w:t>
                  </w:r>
                </w:p>
              </w:tc>
            </w:tr>
            <w:bookmarkEnd w:id="13"/>
          </w:tbl>
          <w:p w14:paraId="740F7D7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综上所述，本项目符合“三线一单”生态环境分区管控方案要求。</w:t>
            </w:r>
          </w:p>
          <w:p w14:paraId="40BEB188">
            <w:pPr>
              <w:keepNext w:val="0"/>
              <w:keepLines w:val="0"/>
              <w:pageBreakBefore w:val="0"/>
              <w:kinsoku/>
              <w:wordWrap/>
              <w:overflowPunct/>
              <w:topLinePunct w:val="0"/>
              <w:autoSpaceDE/>
              <w:autoSpaceDN/>
              <w:bidi w:val="0"/>
              <w:spacing w:line="360" w:lineRule="auto"/>
              <w:textAlignment w:val="auto"/>
              <w:rPr>
                <w:rFonts w:hint="default" w:ascii="Times New Roman" w:hAnsi="Times New Roman" w:cs="Times New Roman"/>
                <w:color w:val="000000" w:themeColor="text1"/>
                <w:sz w:val="20"/>
                <w:szCs w:val="20"/>
                <w:highlight w:val="none"/>
                <w:u w:val="single"/>
                <w14:textFill>
                  <w14:solidFill>
                    <w14:schemeClr w14:val="tx1"/>
                  </w14:solidFill>
                </w14:textFill>
              </w:rPr>
            </w:pPr>
            <w:r>
              <w:rPr>
                <w:rFonts w:hint="eastAsia" w:cs="Times New Roman"/>
                <w:b/>
                <w:bCs/>
                <w:color w:val="000000" w:themeColor="text1"/>
                <w:sz w:val="24"/>
                <w:szCs w:val="28"/>
                <w:highlight w:val="none"/>
                <w:lang w:val="en-US" w:eastAsia="zh-CN" w:bidi="ar-SA"/>
                <w14:textFill>
                  <w14:solidFill>
                    <w14:schemeClr w14:val="tx1"/>
                  </w14:solidFill>
                </w14:textFill>
              </w:rPr>
              <w:t>5</w:t>
            </w:r>
            <w:r>
              <w:rPr>
                <w:rFonts w:hint="default"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w:t>
            </w:r>
            <w:r>
              <w:rPr>
                <w:rFonts w:hint="default" w:ascii="Times New Roman" w:hAnsi="Times New Roman" w:eastAsia="宋体" w:cs="Times New Roman"/>
                <w:b/>
                <w:bCs/>
                <w:color w:val="000000" w:themeColor="text1"/>
                <w:sz w:val="24"/>
                <w:szCs w:val="28"/>
                <w:highlight w:val="none"/>
                <w:u w:val="single"/>
                <w:lang w:val="en-US" w:eastAsia="zh-CN" w:bidi="ar-SA"/>
                <w14:textFill>
                  <w14:solidFill>
                    <w14:schemeClr w14:val="tx1"/>
                  </w14:solidFill>
                </w14:textFill>
              </w:rPr>
              <w:t>与《钦州市人民政府关于划定高污染燃料禁燃区的通告》（2018</w:t>
            </w:r>
            <w:r>
              <w:rPr>
                <w:rFonts w:hint="eastAsia" w:cs="Times New Roman"/>
                <w:b/>
                <w:bCs/>
                <w:color w:val="000000" w:themeColor="text1"/>
                <w:sz w:val="24"/>
                <w:szCs w:val="28"/>
                <w:highlight w:val="none"/>
                <w:u w:val="single"/>
                <w:lang w:val="en-US" w:eastAsia="zh-CN" w:bidi="ar-SA"/>
                <w14:textFill>
                  <w14:solidFill>
                    <w14:schemeClr w14:val="tx1"/>
                  </w14:solidFill>
                </w14:textFill>
              </w:rPr>
              <w:t>年</w:t>
            </w:r>
            <w:r>
              <w:rPr>
                <w:rFonts w:hint="default" w:ascii="Times New Roman" w:hAnsi="Times New Roman" w:eastAsia="宋体" w:cs="Times New Roman"/>
                <w:b/>
                <w:bCs/>
                <w:color w:val="000000" w:themeColor="text1"/>
                <w:sz w:val="24"/>
                <w:szCs w:val="28"/>
                <w:highlight w:val="none"/>
                <w:u w:val="single"/>
                <w:lang w:val="en-US" w:eastAsia="zh-CN" w:bidi="ar-SA"/>
                <w14:textFill>
                  <w14:solidFill>
                    <w14:schemeClr w14:val="tx1"/>
                  </w14:solidFill>
                </w14:textFill>
              </w:rPr>
              <w:t>1</w:t>
            </w:r>
            <w:r>
              <w:rPr>
                <w:rFonts w:hint="eastAsia" w:cs="Times New Roman"/>
                <w:b/>
                <w:bCs/>
                <w:color w:val="000000" w:themeColor="text1"/>
                <w:sz w:val="24"/>
                <w:szCs w:val="28"/>
                <w:highlight w:val="none"/>
                <w:u w:val="single"/>
                <w:lang w:val="en-US" w:eastAsia="zh-CN" w:bidi="ar-SA"/>
                <w14:textFill>
                  <w14:solidFill>
                    <w14:schemeClr w14:val="tx1"/>
                  </w14:solidFill>
                </w14:textFill>
              </w:rPr>
              <w:t>月</w:t>
            </w:r>
            <w:r>
              <w:rPr>
                <w:rFonts w:hint="default" w:ascii="Times New Roman" w:hAnsi="Times New Roman" w:eastAsia="宋体" w:cs="Times New Roman"/>
                <w:b/>
                <w:bCs/>
                <w:color w:val="000000" w:themeColor="text1"/>
                <w:sz w:val="24"/>
                <w:szCs w:val="28"/>
                <w:highlight w:val="none"/>
                <w:u w:val="single"/>
                <w:lang w:val="en-US" w:eastAsia="zh-CN" w:bidi="ar-SA"/>
                <w14:textFill>
                  <w14:solidFill>
                    <w14:schemeClr w14:val="tx1"/>
                  </w14:solidFill>
                </w14:textFill>
              </w:rPr>
              <w:t>5</w:t>
            </w:r>
            <w:r>
              <w:rPr>
                <w:rFonts w:hint="eastAsia" w:cs="Times New Roman"/>
                <w:b/>
                <w:bCs/>
                <w:color w:val="000000" w:themeColor="text1"/>
                <w:sz w:val="24"/>
                <w:szCs w:val="28"/>
                <w:highlight w:val="none"/>
                <w:u w:val="single"/>
                <w:lang w:val="en-US" w:eastAsia="zh-CN" w:bidi="ar-SA"/>
                <w14:textFill>
                  <w14:solidFill>
                    <w14:schemeClr w14:val="tx1"/>
                  </w14:solidFill>
                </w14:textFill>
              </w:rPr>
              <w:t>日</w:t>
            </w:r>
            <w:r>
              <w:rPr>
                <w:rFonts w:hint="default" w:ascii="Times New Roman" w:hAnsi="Times New Roman" w:eastAsia="宋体" w:cs="Times New Roman"/>
                <w:b/>
                <w:bCs/>
                <w:color w:val="000000" w:themeColor="text1"/>
                <w:sz w:val="24"/>
                <w:szCs w:val="28"/>
                <w:highlight w:val="none"/>
                <w:u w:val="single"/>
                <w:lang w:val="en-US" w:eastAsia="zh-CN" w:bidi="ar-SA"/>
                <w14:textFill>
                  <w14:solidFill>
                    <w14:schemeClr w14:val="tx1"/>
                  </w14:solidFill>
                </w14:textFill>
              </w:rPr>
              <w:t>）</w:t>
            </w:r>
            <w:r>
              <w:rPr>
                <w:rFonts w:hint="eastAsia" w:cs="Times New Roman"/>
                <w:b/>
                <w:bCs/>
                <w:color w:val="000000" w:themeColor="text1"/>
                <w:sz w:val="24"/>
                <w:szCs w:val="28"/>
                <w:highlight w:val="none"/>
                <w:u w:val="single"/>
                <w:lang w:val="en-US" w:eastAsia="zh-CN" w:bidi="ar-SA"/>
                <w14:textFill>
                  <w14:solidFill>
                    <w14:schemeClr w14:val="tx1"/>
                  </w14:solidFill>
                </w14:textFill>
              </w:rPr>
              <w:t>符合性</w:t>
            </w:r>
            <w:r>
              <w:rPr>
                <w:rFonts w:hint="default" w:ascii="Times New Roman" w:hAnsi="Times New Roman" w:eastAsia="宋体" w:cs="Times New Roman"/>
                <w:b/>
                <w:bCs/>
                <w:color w:val="000000" w:themeColor="text1"/>
                <w:sz w:val="24"/>
                <w:szCs w:val="28"/>
                <w:highlight w:val="none"/>
                <w:u w:val="single"/>
                <w:lang w:val="en-US" w:eastAsia="zh-CN" w:bidi="ar-SA"/>
                <w14:textFill>
                  <w14:solidFill>
                    <w14:schemeClr w14:val="tx1"/>
                  </w14:solidFill>
                </w14:textFill>
              </w:rPr>
              <w:t>分析</w:t>
            </w:r>
          </w:p>
          <w:p w14:paraId="071D2DB9">
            <w:pPr>
              <w:pStyle w:val="4"/>
              <w:keepNext w:val="0"/>
              <w:keepLines w:val="0"/>
              <w:pageBreakBefore w:val="0"/>
              <w:kinsoku/>
              <w:wordWrap/>
              <w:overflowPunct/>
              <w:topLinePunct w:val="0"/>
              <w:autoSpaceDE/>
              <w:autoSpaceDN/>
              <w:bidi w:val="0"/>
              <w:spacing w:line="360" w:lineRule="auto"/>
              <w:ind w:firstLine="480"/>
              <w:textAlignment w:val="auto"/>
              <w:rPr>
                <w:rFonts w:hint="eastAsia" w:cs="Times New Roman"/>
                <w:color w:val="000000" w:themeColor="text1"/>
                <w:highlight w:val="none"/>
                <w:u w:val="single"/>
                <w:lang w:val="en-US" w:eastAsia="zh-CN"/>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为加强大气污染防治，改善环境空气质量，根据《中华人民共和国大气污染防治法》、《国务院关于印发大气污染防治行动计划的通知》（国发〔2013〕37号）、《</w:t>
            </w:r>
            <w:r>
              <w:rPr>
                <w:rFonts w:hint="eastAsia" w:cs="Times New Roman"/>
                <w:color w:val="000000" w:themeColor="text1"/>
                <w:highlight w:val="none"/>
                <w:u w:val="single"/>
                <w:lang w:eastAsia="zh-CN"/>
                <w14:textFill>
                  <w14:solidFill>
                    <w14:schemeClr w14:val="tx1"/>
                  </w14:solidFill>
                </w14:textFill>
              </w:rPr>
              <w:t>生态环境厅</w:t>
            </w:r>
            <w:r>
              <w:rPr>
                <w:rFonts w:hint="default" w:ascii="Times New Roman" w:hAnsi="Times New Roman" w:cs="Times New Roman"/>
                <w:color w:val="000000" w:themeColor="text1"/>
                <w:highlight w:val="none"/>
                <w:u w:val="single"/>
                <w14:textFill>
                  <w14:solidFill>
                    <w14:schemeClr w14:val="tx1"/>
                  </w14:solidFill>
                </w14:textFill>
              </w:rPr>
              <w:t>关于印发广西壮族自治区大气污染防治2017年度实施计划的通知》（桂环规范〔2017〕3号），市人民政府决定划定高污染燃料禁燃区（以下简称禁燃区）。</w:t>
            </w:r>
            <w:r>
              <w:rPr>
                <w:rFonts w:hint="eastAsia" w:cs="Times New Roman"/>
                <w:color w:val="000000" w:themeColor="text1"/>
                <w:highlight w:val="none"/>
                <w:u w:val="single"/>
                <w:lang w:val="en-US" w:eastAsia="zh-CN"/>
                <w14:textFill>
                  <w14:solidFill>
                    <w14:schemeClr w14:val="tx1"/>
                  </w14:solidFill>
                </w14:textFill>
              </w:rPr>
              <w:t>本项目与钦州市人民政府关于划定高污染燃料禁燃区的通告符合性分析见下表。</w:t>
            </w:r>
          </w:p>
          <w:p w14:paraId="5799EFF0">
            <w:pPr>
              <w:pStyle w:val="34"/>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 xml:space="preserve">表1- </w:t>
            </w:r>
            <w:r>
              <w:rPr>
                <w:rFonts w:hint="eastAsia" w:ascii="Times New Roman" w:hAnsi="Times New Roman" w:cs="Times New Roman"/>
                <w:color w:val="000000" w:themeColor="text1"/>
                <w:highlight w:val="none"/>
                <w:u w:val="single"/>
                <w:lang w:val="en-US" w:eastAsia="zh-CN"/>
                <w14:textFill>
                  <w14:solidFill>
                    <w14:schemeClr w14:val="tx1"/>
                  </w14:solidFill>
                </w14:textFill>
              </w:rPr>
              <w:t>5</w:t>
            </w:r>
            <w:r>
              <w:rPr>
                <w:rFonts w:hint="default" w:ascii="Times New Roman" w:hAnsi="Times New Roman" w:cs="Times New Roman"/>
                <w:color w:val="000000" w:themeColor="text1"/>
                <w:highlight w:val="none"/>
                <w:u w:val="single"/>
                <w14:textFill>
                  <w14:solidFill>
                    <w14:schemeClr w14:val="tx1"/>
                  </w14:solidFill>
                </w14:textFill>
              </w:rPr>
              <w:t>：项目与《钦州市人民政府关于划定高污染燃料禁燃区的通告》</w:t>
            </w:r>
          </w:p>
          <w:p w14:paraId="1CD837F7">
            <w:pPr>
              <w:pStyle w:val="34"/>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（2018年1月5日）符合性</w:t>
            </w:r>
          </w:p>
          <w:tbl>
            <w:tblPr>
              <w:tblStyle w:val="16"/>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73"/>
              <w:gridCol w:w="1261"/>
              <w:gridCol w:w="3022"/>
              <w:gridCol w:w="1961"/>
              <w:gridCol w:w="873"/>
            </w:tblGrid>
            <w:tr w14:paraId="208926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3082" w:type="pct"/>
                  <w:gridSpan w:val="3"/>
                  <w:tcBorders>
                    <w:tl2br w:val="nil"/>
                    <w:tr2bl w:val="nil"/>
                  </w:tcBorders>
                  <w:shd w:val="clear" w:color="auto" w:fill="auto"/>
                  <w:noWrap/>
                  <w:vAlign w:val="center"/>
                </w:tcPr>
                <w:p w14:paraId="66B3DCD6">
                  <w:pPr>
                    <w:rPr>
                      <w:rFonts w:hint="eastAsia" w:ascii="宋体" w:hAnsi="宋体" w:eastAsia="宋体" w:cs="宋体"/>
                      <w:b/>
                      <w:bCs/>
                      <w:i w:val="0"/>
                      <w:iCs w:val="0"/>
                      <w:color w:val="000000" w:themeColor="text1"/>
                      <w:sz w:val="21"/>
                      <w:szCs w:val="21"/>
                      <w:u w:val="single"/>
                      <w14:textFill>
                        <w14:solidFill>
                          <w14:schemeClr w14:val="tx1"/>
                        </w14:solidFill>
                      </w14:textFill>
                    </w:rPr>
                  </w:pPr>
                  <w:r>
                    <w:rPr>
                      <w:rFonts w:hint="eastAsia" w:ascii="宋体" w:hAnsi="宋体" w:eastAsia="宋体" w:cs="宋体"/>
                      <w:b/>
                      <w:bCs/>
                      <w:i w:val="0"/>
                      <w:iCs w:val="0"/>
                      <w:color w:val="000000" w:themeColor="text1"/>
                      <w:kern w:val="0"/>
                      <w:sz w:val="21"/>
                      <w:szCs w:val="21"/>
                      <w:u w:val="single"/>
                      <w:lang w:val="en-US" w:eastAsia="zh-CN" w:bidi="ar"/>
                      <w14:textFill>
                        <w14:solidFill>
                          <w14:schemeClr w14:val="tx1"/>
                        </w14:solidFill>
                      </w14:textFill>
                    </w:rPr>
                    <w:t>钦州市人民政府关于划定高污染燃料禁燃区的通告要求</w:t>
                  </w:r>
                </w:p>
              </w:tc>
              <w:tc>
                <w:tcPr>
                  <w:tcW w:w="1326" w:type="pct"/>
                  <w:tcBorders>
                    <w:tl2br w:val="nil"/>
                    <w:tr2bl w:val="nil"/>
                  </w:tcBorders>
                  <w:shd w:val="clear" w:color="auto" w:fill="auto"/>
                  <w:noWrap/>
                  <w:vAlign w:val="center"/>
                </w:tcPr>
                <w:p w14:paraId="627E31B2">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single"/>
                      <w14:textFill>
                        <w14:solidFill>
                          <w14:schemeClr w14:val="tx1"/>
                        </w14:solidFill>
                      </w14:textFill>
                    </w:rPr>
                  </w:pPr>
                  <w:r>
                    <w:rPr>
                      <w:rFonts w:hint="eastAsia" w:ascii="宋体" w:hAnsi="宋体" w:eastAsia="宋体" w:cs="宋体"/>
                      <w:b/>
                      <w:bCs/>
                      <w:i w:val="0"/>
                      <w:iCs w:val="0"/>
                      <w:color w:val="000000" w:themeColor="text1"/>
                      <w:kern w:val="0"/>
                      <w:sz w:val="21"/>
                      <w:szCs w:val="21"/>
                      <w:u w:val="single"/>
                      <w:lang w:val="en-US" w:eastAsia="zh-CN" w:bidi="ar"/>
                      <w14:textFill>
                        <w14:solidFill>
                          <w14:schemeClr w14:val="tx1"/>
                        </w14:solidFill>
                      </w14:textFill>
                    </w:rPr>
                    <w:t>本项目情况</w:t>
                  </w:r>
                </w:p>
              </w:tc>
              <w:tc>
                <w:tcPr>
                  <w:tcW w:w="590" w:type="pct"/>
                  <w:tcBorders>
                    <w:tl2br w:val="nil"/>
                    <w:tr2bl w:val="nil"/>
                  </w:tcBorders>
                  <w:shd w:val="clear" w:color="auto" w:fill="auto"/>
                  <w:noWrap/>
                  <w:vAlign w:val="center"/>
                </w:tcPr>
                <w:p w14:paraId="33D0B450">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b/>
                      <w:bCs/>
                      <w:i w:val="0"/>
                      <w:color w:val="000000" w:themeColor="text1"/>
                      <w:sz w:val="21"/>
                      <w:szCs w:val="21"/>
                      <w:highlight w:val="none"/>
                      <w:u w:val="single"/>
                      <w14:textFill>
                        <w14:solidFill>
                          <w14:schemeClr w14:val="tx1"/>
                        </w14:solidFill>
                      </w14:textFill>
                      <w14:ligatures w14:val="standardContextual"/>
                    </w:rPr>
                    <w:t>符合性</w:t>
                  </w:r>
                  <w:r>
                    <w:rPr>
                      <w:rFonts w:hint="eastAsia" w:cs="Times New Roman"/>
                      <w:b/>
                      <w:bCs/>
                      <w:i w:val="0"/>
                      <w:color w:val="000000" w:themeColor="text1"/>
                      <w:sz w:val="21"/>
                      <w:szCs w:val="21"/>
                      <w:highlight w:val="none"/>
                      <w:u w:val="single"/>
                      <w:lang w:val="en-US" w:eastAsia="zh-CN"/>
                      <w14:textFill>
                        <w14:solidFill>
                          <w14:schemeClr w14:val="tx1"/>
                        </w14:solidFill>
                      </w14:textFill>
                      <w14:ligatures w14:val="standardContextual"/>
                    </w:rPr>
                    <w:t>分析</w:t>
                  </w:r>
                </w:p>
              </w:tc>
            </w:tr>
            <w:tr w14:paraId="5A4E82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84" w:type="pct"/>
                  <w:tcBorders>
                    <w:tl2br w:val="nil"/>
                    <w:tr2bl w:val="nil"/>
                  </w:tcBorders>
                  <w:shd w:val="clear" w:color="auto" w:fill="auto"/>
                  <w:noWrap/>
                  <w:vAlign w:val="center"/>
                </w:tcPr>
                <w:p w14:paraId="7F551839">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一</w:t>
                  </w:r>
                </w:p>
              </w:tc>
              <w:tc>
                <w:tcPr>
                  <w:tcW w:w="2897" w:type="pct"/>
                  <w:gridSpan w:val="2"/>
                  <w:tcBorders>
                    <w:tl2br w:val="nil"/>
                    <w:tr2bl w:val="nil"/>
                  </w:tcBorders>
                  <w:shd w:val="clear" w:color="auto" w:fill="auto"/>
                  <w:noWrap/>
                  <w:vAlign w:val="center"/>
                </w:tcPr>
                <w:p w14:paraId="05CB0FF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禁燃区范围内的单位和个人，均须遵守本通告。</w:t>
                  </w:r>
                </w:p>
              </w:tc>
              <w:tc>
                <w:tcPr>
                  <w:tcW w:w="1326" w:type="pct"/>
                  <w:tcBorders>
                    <w:tl2br w:val="nil"/>
                    <w:tr2bl w:val="nil"/>
                  </w:tcBorders>
                  <w:shd w:val="clear" w:color="auto" w:fill="auto"/>
                  <w:noWrap/>
                  <w:vAlign w:val="center"/>
                </w:tcPr>
                <w:p w14:paraId="251AE301">
                  <w:pPr>
                    <w:keepNext w:val="0"/>
                    <w:keepLines w:val="0"/>
                    <w:widowControl/>
                    <w:suppressLineNumbers w:val="0"/>
                    <w:jc w:val="both"/>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本项目遵守本通告中相应规定</w:t>
                  </w:r>
                </w:p>
              </w:tc>
              <w:tc>
                <w:tcPr>
                  <w:tcW w:w="590" w:type="pct"/>
                  <w:tcBorders>
                    <w:tl2br w:val="nil"/>
                    <w:tr2bl w:val="nil"/>
                  </w:tcBorders>
                  <w:shd w:val="clear" w:color="auto" w:fill="auto"/>
                  <w:noWrap/>
                  <w:vAlign w:val="center"/>
                </w:tcPr>
                <w:p w14:paraId="59763FC2">
                  <w:pPr>
                    <w:keepNext w:val="0"/>
                    <w:keepLines w:val="0"/>
                    <w:widowControl/>
                    <w:suppressLineNumbers w:val="0"/>
                    <w:jc w:val="both"/>
                    <w:textAlignment w:val="center"/>
                    <w:rPr>
                      <w:rFonts w:hint="default" w:ascii="宋体" w:hAnsi="宋体" w:eastAsia="宋体" w:cs="宋体"/>
                      <w:i w:val="0"/>
                      <w:iCs w:val="0"/>
                      <w:color w:val="000000" w:themeColor="text1"/>
                      <w:kern w:val="0"/>
                      <w:sz w:val="21"/>
                      <w:szCs w:val="21"/>
                      <w:u w:val="singl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符合</w:t>
                  </w:r>
                </w:p>
              </w:tc>
            </w:tr>
            <w:tr w14:paraId="1E28C8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84" w:type="pct"/>
                  <w:vMerge w:val="restart"/>
                  <w:tcBorders>
                    <w:tl2br w:val="nil"/>
                    <w:tr2bl w:val="nil"/>
                  </w:tcBorders>
                  <w:shd w:val="clear" w:color="auto" w:fill="auto"/>
                  <w:noWrap/>
                  <w:vAlign w:val="center"/>
                </w:tcPr>
                <w:p w14:paraId="419F7ED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二</w:t>
                  </w:r>
                </w:p>
              </w:tc>
              <w:tc>
                <w:tcPr>
                  <w:tcW w:w="853" w:type="pct"/>
                  <w:vMerge w:val="restart"/>
                  <w:tcBorders>
                    <w:tl2br w:val="nil"/>
                    <w:tr2bl w:val="nil"/>
                  </w:tcBorders>
                  <w:shd w:val="clear" w:color="auto" w:fill="auto"/>
                  <w:noWrap/>
                  <w:vAlign w:val="center"/>
                </w:tcPr>
                <w:p w14:paraId="3BAFB84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禁燃区为以下区域</w:t>
                  </w:r>
                </w:p>
              </w:tc>
              <w:tc>
                <w:tcPr>
                  <w:tcW w:w="2044" w:type="pct"/>
                  <w:tcBorders>
                    <w:tl2br w:val="nil"/>
                    <w:tr2bl w:val="nil"/>
                  </w:tcBorders>
                  <w:shd w:val="clear" w:color="auto" w:fill="auto"/>
                  <w:vAlign w:val="center"/>
                </w:tcPr>
                <w:p w14:paraId="478E34E4">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（一）我市城市建成区</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90.5</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平方公里范围，其中主城区建成区范围为东至南北二级公路，西至钦州学院旧址、北部湾大道，南至金海湾大街（含白石湖公园），北至林湖公园，面积约</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64.15</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平方公里；钦州港区建成区东至南港大道，西至七十二泾，南至鹰岭作业区，北至对坎龙水库、鸡笼山，面积约</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26.35</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平方公里。</w:t>
                  </w:r>
                </w:p>
              </w:tc>
              <w:tc>
                <w:tcPr>
                  <w:tcW w:w="1326" w:type="pct"/>
                  <w:vMerge w:val="restart"/>
                  <w:tcBorders>
                    <w:tl2br w:val="nil"/>
                    <w:tr2bl w:val="nil"/>
                  </w:tcBorders>
                  <w:shd w:val="clear" w:color="auto" w:fill="auto"/>
                  <w:noWrap/>
                  <w:vAlign w:val="center"/>
                </w:tcPr>
                <w:p w14:paraId="5BCBE3CC">
                  <w:pPr>
                    <w:pStyle w:val="35"/>
                    <w:bidi w:val="0"/>
                    <w:rPr>
                      <w:rFonts w:hint="default" w:ascii="宋体" w:hAnsi="宋体" w:eastAsia="宋体" w:cs="宋体"/>
                      <w:i w:val="0"/>
                      <w:iCs w:val="0"/>
                      <w:color w:val="000000" w:themeColor="text1"/>
                      <w:szCs w:val="21"/>
                      <w:u w:val="single"/>
                      <w:lang w:val="en-US"/>
                      <w14:textFill>
                        <w14:solidFill>
                          <w14:schemeClr w14:val="tx1"/>
                        </w14:solidFill>
                      </w14:textFill>
                    </w:rPr>
                  </w:pPr>
                  <w:r>
                    <w:rPr>
                      <w:rFonts w:hint="eastAsia"/>
                      <w:color w:val="000000" w:themeColor="text1"/>
                      <w:u w:val="single"/>
                      <w:lang w:val="en-US" w:eastAsia="zh-CN"/>
                      <w14:textFill>
                        <w14:solidFill>
                          <w14:schemeClr w14:val="tx1"/>
                        </w14:solidFill>
                      </w14:textFill>
                    </w:rPr>
                    <w:t>本项目位于</w:t>
                  </w:r>
                  <w:r>
                    <w:rPr>
                      <w:rFonts w:hint="default"/>
                      <w:color w:val="000000" w:themeColor="text1"/>
                      <w:u w:val="single"/>
                      <w:lang w:eastAsia="zh-CN"/>
                      <w14:textFill>
                        <w14:solidFill>
                          <w14:schemeClr w14:val="tx1"/>
                        </w14:solidFill>
                      </w14:textFill>
                    </w:rPr>
                    <w:t>中马钦州产业园区关丹大街6号</w:t>
                  </w:r>
                  <w:r>
                    <w:rPr>
                      <w:rFonts w:hint="default"/>
                      <w:color w:val="000000" w:themeColor="text1"/>
                      <w:u w:val="single"/>
                      <w14:textFill>
                        <w14:solidFill>
                          <w14:schemeClr w14:val="tx1"/>
                        </w14:solidFill>
                      </w14:textFill>
                    </w:rPr>
                    <w:t>，</w:t>
                  </w:r>
                  <w:r>
                    <w:rPr>
                      <w:rFonts w:hint="default"/>
                      <w:color w:val="000000" w:themeColor="text1"/>
                      <w:u w:val="single"/>
                      <w:lang w:eastAsia="zh-CN"/>
                      <w14:textFill>
                        <w14:solidFill>
                          <w14:schemeClr w14:val="tx1"/>
                        </w14:solidFill>
                      </w14:textFill>
                    </w:rPr>
                    <w:t>东临锦绣大道、南至关丹大街、西临中马数据中心、北至南四街</w:t>
                  </w:r>
                  <w:r>
                    <w:rPr>
                      <w:rFonts w:hint="eastAsia"/>
                      <w:color w:val="000000" w:themeColor="text1"/>
                      <w:u w:val="single"/>
                      <w:lang w:val="en-US" w:eastAsia="zh-CN"/>
                      <w14:textFill>
                        <w14:solidFill>
                          <w14:schemeClr w14:val="tx1"/>
                        </w14:solidFill>
                      </w14:textFill>
                    </w:rPr>
                    <w:t>属于禁燃区范围。</w:t>
                  </w:r>
                </w:p>
              </w:tc>
              <w:tc>
                <w:tcPr>
                  <w:tcW w:w="590" w:type="pct"/>
                  <w:vMerge w:val="restart"/>
                  <w:tcBorders>
                    <w:tl2br w:val="nil"/>
                    <w:tr2bl w:val="nil"/>
                  </w:tcBorders>
                  <w:shd w:val="clear" w:color="auto" w:fill="auto"/>
                  <w:noWrap/>
                  <w:vAlign w:val="center"/>
                </w:tcPr>
                <w:p w14:paraId="3E2EFF80">
                  <w:pPr>
                    <w:pStyle w:val="35"/>
                    <w:bidi w:val="0"/>
                    <w:rPr>
                      <w:rFonts w:hint="default"/>
                      <w:color w:val="000000" w:themeColor="text1"/>
                      <w:u w:val="singl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符合</w:t>
                  </w:r>
                </w:p>
              </w:tc>
            </w:tr>
            <w:tr w14:paraId="3084EF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4" w:type="pct"/>
                  <w:vMerge w:val="continue"/>
                  <w:tcBorders>
                    <w:tl2br w:val="nil"/>
                    <w:tr2bl w:val="nil"/>
                  </w:tcBorders>
                  <w:shd w:val="clear" w:color="auto" w:fill="auto"/>
                  <w:noWrap/>
                  <w:vAlign w:val="center"/>
                </w:tcPr>
                <w:p w14:paraId="0938CCDB">
                  <w:pPr>
                    <w:jc w:val="center"/>
                    <w:rPr>
                      <w:rFonts w:hint="eastAsia" w:ascii="宋体" w:hAnsi="宋体" w:eastAsia="宋体" w:cs="宋体"/>
                      <w:i w:val="0"/>
                      <w:iCs w:val="0"/>
                      <w:color w:val="000000" w:themeColor="text1"/>
                      <w:sz w:val="21"/>
                      <w:szCs w:val="21"/>
                      <w:u w:val="single"/>
                      <w14:textFill>
                        <w14:solidFill>
                          <w14:schemeClr w14:val="tx1"/>
                        </w14:solidFill>
                      </w14:textFill>
                    </w:rPr>
                  </w:pPr>
                </w:p>
              </w:tc>
              <w:tc>
                <w:tcPr>
                  <w:tcW w:w="853" w:type="pct"/>
                  <w:vMerge w:val="continue"/>
                  <w:tcBorders>
                    <w:tl2br w:val="nil"/>
                    <w:tr2bl w:val="nil"/>
                  </w:tcBorders>
                  <w:shd w:val="clear" w:color="auto" w:fill="auto"/>
                  <w:noWrap/>
                  <w:vAlign w:val="center"/>
                </w:tcPr>
                <w:p w14:paraId="0FBDB096">
                  <w:pPr>
                    <w:jc w:val="center"/>
                    <w:rPr>
                      <w:rFonts w:hint="eastAsia" w:ascii="宋体" w:hAnsi="宋体" w:eastAsia="宋体" w:cs="宋体"/>
                      <w:i w:val="0"/>
                      <w:iCs w:val="0"/>
                      <w:color w:val="000000" w:themeColor="text1"/>
                      <w:sz w:val="21"/>
                      <w:szCs w:val="21"/>
                      <w:u w:val="single"/>
                      <w14:textFill>
                        <w14:solidFill>
                          <w14:schemeClr w14:val="tx1"/>
                        </w14:solidFill>
                      </w14:textFill>
                    </w:rPr>
                  </w:pPr>
                </w:p>
              </w:tc>
              <w:tc>
                <w:tcPr>
                  <w:tcW w:w="2044" w:type="pct"/>
                  <w:tcBorders>
                    <w:tl2br w:val="nil"/>
                    <w:tr2bl w:val="nil"/>
                  </w:tcBorders>
                  <w:shd w:val="clear" w:color="auto" w:fill="auto"/>
                  <w:vAlign w:val="center"/>
                </w:tcPr>
                <w:p w14:paraId="302923F0">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（二）钦州高新区、中马钦州产业园区、黎合江工业园区、进口资源加工区、皇马工业园区（一、二区）等我市城市建成区周边的工业园区。</w:t>
                  </w:r>
                </w:p>
              </w:tc>
              <w:tc>
                <w:tcPr>
                  <w:tcW w:w="1326" w:type="pct"/>
                  <w:vMerge w:val="continue"/>
                  <w:tcBorders>
                    <w:tl2br w:val="nil"/>
                    <w:tr2bl w:val="nil"/>
                  </w:tcBorders>
                  <w:shd w:val="clear" w:color="auto" w:fill="auto"/>
                  <w:noWrap/>
                  <w:vAlign w:val="center"/>
                </w:tcPr>
                <w:p w14:paraId="5F45F7A7">
                  <w:pPr>
                    <w:jc w:val="center"/>
                    <w:rPr>
                      <w:rFonts w:hint="eastAsia" w:ascii="宋体" w:hAnsi="宋体" w:eastAsia="宋体" w:cs="宋体"/>
                      <w:i w:val="0"/>
                      <w:iCs w:val="0"/>
                      <w:color w:val="000000" w:themeColor="text1"/>
                      <w:sz w:val="21"/>
                      <w:szCs w:val="21"/>
                      <w:u w:val="single"/>
                      <w14:textFill>
                        <w14:solidFill>
                          <w14:schemeClr w14:val="tx1"/>
                        </w14:solidFill>
                      </w14:textFill>
                    </w:rPr>
                  </w:pPr>
                </w:p>
              </w:tc>
              <w:tc>
                <w:tcPr>
                  <w:tcW w:w="590" w:type="pct"/>
                  <w:vMerge w:val="continue"/>
                  <w:tcBorders>
                    <w:tl2br w:val="nil"/>
                    <w:tr2bl w:val="nil"/>
                  </w:tcBorders>
                  <w:shd w:val="clear" w:color="auto" w:fill="auto"/>
                  <w:noWrap/>
                  <w:vAlign w:val="center"/>
                </w:tcPr>
                <w:p w14:paraId="7E96E4E7">
                  <w:pPr>
                    <w:jc w:val="center"/>
                    <w:rPr>
                      <w:rFonts w:hint="eastAsia" w:ascii="宋体" w:hAnsi="宋体" w:eastAsia="宋体" w:cs="宋体"/>
                      <w:i w:val="0"/>
                      <w:iCs w:val="0"/>
                      <w:color w:val="000000" w:themeColor="text1"/>
                      <w:sz w:val="21"/>
                      <w:szCs w:val="21"/>
                      <w:u w:val="single"/>
                      <w14:textFill>
                        <w14:solidFill>
                          <w14:schemeClr w14:val="tx1"/>
                        </w14:solidFill>
                      </w14:textFill>
                    </w:rPr>
                  </w:pPr>
                </w:p>
              </w:tc>
            </w:tr>
            <w:tr w14:paraId="404E11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4" w:type="pct"/>
                  <w:vMerge w:val="restart"/>
                  <w:tcBorders>
                    <w:tl2br w:val="nil"/>
                    <w:tr2bl w:val="nil"/>
                  </w:tcBorders>
                  <w:shd w:val="clear" w:color="auto" w:fill="auto"/>
                  <w:noWrap/>
                  <w:vAlign w:val="center"/>
                </w:tcPr>
                <w:p w14:paraId="3212E6D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三</w:t>
                  </w:r>
                </w:p>
              </w:tc>
              <w:tc>
                <w:tcPr>
                  <w:tcW w:w="853" w:type="pct"/>
                  <w:vMerge w:val="restart"/>
                  <w:tcBorders>
                    <w:tl2br w:val="nil"/>
                    <w:tr2bl w:val="nil"/>
                  </w:tcBorders>
                  <w:shd w:val="clear" w:color="auto" w:fill="auto"/>
                  <w:noWrap/>
                  <w:vAlign w:val="center"/>
                </w:tcPr>
                <w:p w14:paraId="5DA462F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本通告所称高污染燃料为以下燃料：</w:t>
                  </w:r>
                </w:p>
              </w:tc>
              <w:tc>
                <w:tcPr>
                  <w:tcW w:w="2044" w:type="pct"/>
                  <w:tcBorders>
                    <w:tl2br w:val="nil"/>
                    <w:tr2bl w:val="nil"/>
                  </w:tcBorders>
                  <w:shd w:val="clear" w:color="auto" w:fill="auto"/>
                  <w:vAlign w:val="center"/>
                </w:tcPr>
                <w:p w14:paraId="261388DB">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（一）除单台出力大于等于</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蒸吨</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小时锅炉以外的燃用煤炭及其制品；</w:t>
                  </w:r>
                </w:p>
              </w:tc>
              <w:tc>
                <w:tcPr>
                  <w:tcW w:w="1326" w:type="pct"/>
                  <w:tcBorders>
                    <w:tl2br w:val="nil"/>
                    <w:tr2bl w:val="nil"/>
                  </w:tcBorders>
                  <w:shd w:val="clear" w:color="auto" w:fill="auto"/>
                  <w:noWrap/>
                  <w:vAlign w:val="center"/>
                </w:tcPr>
                <w:p w14:paraId="1709CF75">
                  <w:pPr>
                    <w:jc w:val="center"/>
                    <w:rPr>
                      <w:rFonts w:hint="default" w:ascii="宋体" w:hAnsi="宋体" w:eastAsia="宋体" w:cs="宋体"/>
                      <w:i w:val="0"/>
                      <w:iCs w:val="0"/>
                      <w:color w:val="000000" w:themeColor="text1"/>
                      <w:sz w:val="21"/>
                      <w:szCs w:val="21"/>
                      <w:u w:val="singl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single"/>
                      <w:lang w:val="en-US" w:eastAsia="zh-CN"/>
                      <w14:textFill>
                        <w14:solidFill>
                          <w14:schemeClr w14:val="tx1"/>
                        </w14:solidFill>
                      </w14:textFill>
                    </w:rPr>
                    <w:t>本项目使用燃料为生物质成型燃料，不使用煤炭。</w:t>
                  </w:r>
                </w:p>
              </w:tc>
              <w:tc>
                <w:tcPr>
                  <w:tcW w:w="590" w:type="pct"/>
                  <w:vMerge w:val="restart"/>
                  <w:tcBorders>
                    <w:tl2br w:val="nil"/>
                    <w:tr2bl w:val="nil"/>
                  </w:tcBorders>
                  <w:shd w:val="clear" w:color="auto" w:fill="auto"/>
                  <w:noWrap/>
                  <w:vAlign w:val="center"/>
                </w:tcPr>
                <w:p w14:paraId="0ABA2685">
                  <w:pPr>
                    <w:jc w:val="center"/>
                    <w:rPr>
                      <w:rFonts w:hint="eastAsia" w:ascii="宋体" w:hAnsi="宋体" w:eastAsia="宋体" w:cs="宋体"/>
                      <w:i w:val="0"/>
                      <w:iCs w:val="0"/>
                      <w:color w:val="000000" w:themeColor="text1"/>
                      <w:sz w:val="21"/>
                      <w:szCs w:val="21"/>
                      <w:u w:val="singl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符合</w:t>
                  </w:r>
                </w:p>
              </w:tc>
            </w:tr>
            <w:tr w14:paraId="0BC8A2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84" w:type="pct"/>
                  <w:vMerge w:val="continue"/>
                  <w:tcBorders>
                    <w:tl2br w:val="nil"/>
                    <w:tr2bl w:val="nil"/>
                  </w:tcBorders>
                  <w:shd w:val="clear" w:color="auto" w:fill="auto"/>
                  <w:noWrap/>
                  <w:vAlign w:val="center"/>
                </w:tcPr>
                <w:p w14:paraId="37DF72CE">
                  <w:pPr>
                    <w:jc w:val="center"/>
                    <w:rPr>
                      <w:rFonts w:hint="eastAsia" w:ascii="宋体" w:hAnsi="宋体" w:eastAsia="宋体" w:cs="宋体"/>
                      <w:i w:val="0"/>
                      <w:iCs w:val="0"/>
                      <w:color w:val="000000" w:themeColor="text1"/>
                      <w:sz w:val="21"/>
                      <w:szCs w:val="21"/>
                      <w:u w:val="single"/>
                      <w14:textFill>
                        <w14:solidFill>
                          <w14:schemeClr w14:val="tx1"/>
                        </w14:solidFill>
                      </w14:textFill>
                    </w:rPr>
                  </w:pPr>
                </w:p>
              </w:tc>
              <w:tc>
                <w:tcPr>
                  <w:tcW w:w="853" w:type="pct"/>
                  <w:vMerge w:val="continue"/>
                  <w:tcBorders>
                    <w:tl2br w:val="nil"/>
                    <w:tr2bl w:val="nil"/>
                  </w:tcBorders>
                  <w:shd w:val="clear" w:color="auto" w:fill="auto"/>
                  <w:noWrap/>
                  <w:vAlign w:val="center"/>
                </w:tcPr>
                <w:p w14:paraId="63097FB2">
                  <w:pPr>
                    <w:jc w:val="center"/>
                    <w:rPr>
                      <w:rFonts w:hint="eastAsia" w:ascii="宋体" w:hAnsi="宋体" w:eastAsia="宋体" w:cs="宋体"/>
                      <w:i w:val="0"/>
                      <w:iCs w:val="0"/>
                      <w:color w:val="000000" w:themeColor="text1"/>
                      <w:sz w:val="21"/>
                      <w:szCs w:val="21"/>
                      <w:u w:val="single"/>
                      <w14:textFill>
                        <w14:solidFill>
                          <w14:schemeClr w14:val="tx1"/>
                        </w14:solidFill>
                      </w14:textFill>
                    </w:rPr>
                  </w:pPr>
                </w:p>
              </w:tc>
              <w:tc>
                <w:tcPr>
                  <w:tcW w:w="2044" w:type="pct"/>
                  <w:tcBorders>
                    <w:tl2br w:val="nil"/>
                    <w:tr2bl w:val="nil"/>
                  </w:tcBorders>
                  <w:shd w:val="clear" w:color="auto" w:fill="auto"/>
                  <w:vAlign w:val="center"/>
                </w:tcPr>
                <w:p w14:paraId="15E3C178">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（二）石油焦、油页岩、原油、重油、渣油、煤焦油，以及各种可燃废物和直接燃用的生物质非成型燃料（树木、秸秆、锯末、稻壳、蔗渣等）。</w:t>
                  </w:r>
                </w:p>
              </w:tc>
              <w:tc>
                <w:tcPr>
                  <w:tcW w:w="1326" w:type="pct"/>
                  <w:tcBorders>
                    <w:tl2br w:val="nil"/>
                    <w:tr2bl w:val="nil"/>
                  </w:tcBorders>
                  <w:shd w:val="clear" w:color="auto" w:fill="auto"/>
                  <w:noWrap/>
                  <w:vAlign w:val="center"/>
                </w:tcPr>
                <w:p w14:paraId="3C3D1A38">
                  <w:pPr>
                    <w:jc w:val="center"/>
                    <w:rPr>
                      <w:rFonts w:hint="default" w:ascii="宋体" w:hAnsi="宋体" w:eastAsia="宋体" w:cs="宋体"/>
                      <w:i w:val="0"/>
                      <w:iCs w:val="0"/>
                      <w:color w:val="000000" w:themeColor="text1"/>
                      <w:sz w:val="21"/>
                      <w:szCs w:val="21"/>
                      <w:u w:val="single"/>
                      <w:lang w:val="en-US"/>
                      <w14:textFill>
                        <w14:solidFill>
                          <w14:schemeClr w14:val="tx1"/>
                        </w14:solidFill>
                      </w14:textFill>
                    </w:rPr>
                  </w:pPr>
                  <w:r>
                    <w:rPr>
                      <w:rFonts w:hint="eastAsia" w:ascii="宋体" w:hAnsi="宋体" w:eastAsia="宋体" w:cs="宋体"/>
                      <w:i w:val="0"/>
                      <w:iCs w:val="0"/>
                      <w:color w:val="000000" w:themeColor="text1"/>
                      <w:sz w:val="21"/>
                      <w:szCs w:val="21"/>
                      <w:u w:val="single"/>
                      <w:lang w:val="en-US" w:eastAsia="zh-CN"/>
                      <w14:textFill>
                        <w14:solidFill>
                          <w14:schemeClr w14:val="tx1"/>
                        </w14:solidFill>
                      </w14:textFill>
                    </w:rPr>
                    <w:t>本项目使用燃料为生物质成型燃料，不属于</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生物质非成型燃料，不属于高污染燃料</w:t>
                  </w:r>
                </w:p>
              </w:tc>
              <w:tc>
                <w:tcPr>
                  <w:tcW w:w="590" w:type="pct"/>
                  <w:vMerge w:val="continue"/>
                  <w:tcBorders>
                    <w:tl2br w:val="nil"/>
                    <w:tr2bl w:val="nil"/>
                  </w:tcBorders>
                  <w:shd w:val="clear" w:color="auto" w:fill="auto"/>
                  <w:noWrap/>
                  <w:vAlign w:val="center"/>
                </w:tcPr>
                <w:p w14:paraId="00ACC01A">
                  <w:pPr>
                    <w:jc w:val="center"/>
                    <w:rPr>
                      <w:rFonts w:hint="eastAsia" w:ascii="宋体" w:hAnsi="宋体" w:eastAsia="宋体" w:cs="宋体"/>
                      <w:i w:val="0"/>
                      <w:iCs w:val="0"/>
                      <w:color w:val="000000" w:themeColor="text1"/>
                      <w:sz w:val="21"/>
                      <w:szCs w:val="21"/>
                      <w:u w:val="single"/>
                      <w:lang w:val="en-US" w:eastAsia="zh-CN"/>
                      <w14:textFill>
                        <w14:solidFill>
                          <w14:schemeClr w14:val="tx1"/>
                        </w14:solidFill>
                      </w14:textFill>
                    </w:rPr>
                  </w:pPr>
                </w:p>
              </w:tc>
            </w:tr>
            <w:tr w14:paraId="6016EA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4" w:type="pct"/>
                  <w:vMerge w:val="restart"/>
                  <w:tcBorders>
                    <w:tl2br w:val="nil"/>
                    <w:tr2bl w:val="nil"/>
                  </w:tcBorders>
                  <w:shd w:val="clear" w:color="auto" w:fill="auto"/>
                  <w:vAlign w:val="center"/>
                </w:tcPr>
                <w:p w14:paraId="2C8D97C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四</w:t>
                  </w:r>
                </w:p>
              </w:tc>
              <w:tc>
                <w:tcPr>
                  <w:tcW w:w="2897" w:type="pct"/>
                  <w:gridSpan w:val="2"/>
                  <w:tcBorders>
                    <w:tl2br w:val="nil"/>
                    <w:tr2bl w:val="nil"/>
                  </w:tcBorders>
                  <w:shd w:val="clear" w:color="auto" w:fill="auto"/>
                  <w:vAlign w:val="center"/>
                </w:tcPr>
                <w:p w14:paraId="58D4131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禁燃区内单台出力小于</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蒸吨</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小时的锅炉、窑炉等燃用高污染燃料设施，</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2018</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年</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月底前必须使用低灰（灰分小于或等于</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10%</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）低硫（硫含量小于</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0.5%</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）的优质煤或清洁能源。</w:t>
                  </w:r>
                </w:p>
              </w:tc>
              <w:tc>
                <w:tcPr>
                  <w:tcW w:w="1326" w:type="pct"/>
                  <w:tcBorders>
                    <w:tl2br w:val="nil"/>
                    <w:tr2bl w:val="nil"/>
                  </w:tcBorders>
                  <w:shd w:val="clear" w:color="auto" w:fill="auto"/>
                  <w:noWrap/>
                  <w:vAlign w:val="center"/>
                </w:tcPr>
                <w:p w14:paraId="4F7CF981">
                  <w:pPr>
                    <w:pStyle w:val="35"/>
                    <w:bidi w:val="0"/>
                    <w:rPr>
                      <w:rFonts w:hint="default" w:ascii="宋体" w:hAnsi="宋体" w:eastAsia="宋体" w:cs="宋体"/>
                      <w:i w:val="0"/>
                      <w:iCs w:val="0"/>
                      <w:color w:val="000000" w:themeColor="text1"/>
                      <w:szCs w:val="21"/>
                      <w:u w:val="single"/>
                      <w:lang w:val="en-US" w:eastAsia="zh-CN"/>
                      <w14:textFill>
                        <w14:solidFill>
                          <w14:schemeClr w14:val="tx1"/>
                        </w14:solidFill>
                      </w14:textFill>
                    </w:rPr>
                  </w:pPr>
                  <w:r>
                    <w:rPr>
                      <w:rFonts w:hint="eastAsia"/>
                      <w:color w:val="000000" w:themeColor="text1"/>
                      <w:u w:val="single"/>
                      <w:lang w:val="en-US" w:eastAsia="zh-CN"/>
                      <w14:textFill>
                        <w14:solidFill>
                          <w14:schemeClr w14:val="tx1"/>
                        </w14:solidFill>
                      </w14:textFill>
                    </w:rPr>
                    <w:t>本项目为8</w:t>
                  </w:r>
                  <w:r>
                    <w:rPr>
                      <w:rFonts w:hint="default"/>
                      <w:color w:val="000000" w:themeColor="text1"/>
                      <w:u w:val="single"/>
                      <w:lang w:eastAsia="zh-CN"/>
                      <w14:textFill>
                        <w14:solidFill>
                          <w14:schemeClr w14:val="tx1"/>
                        </w14:solidFill>
                      </w14:textFill>
                    </w:rPr>
                    <w:t>t/h生物质颗粒锅炉建设项目</w:t>
                  </w:r>
                  <w:r>
                    <w:rPr>
                      <w:rFonts w:hint="default"/>
                      <w:color w:val="000000" w:themeColor="text1"/>
                      <w:u w:val="single"/>
                      <w14:textFill>
                        <w14:solidFill>
                          <w14:schemeClr w14:val="tx1"/>
                        </w14:solidFill>
                      </w14:textFill>
                    </w:rPr>
                    <w:t>，</w:t>
                  </w:r>
                  <w:r>
                    <w:rPr>
                      <w:rFonts w:hint="eastAsia"/>
                      <w:color w:val="000000" w:themeColor="text1"/>
                      <w:u w:val="single"/>
                      <w:lang w:val="en-US" w:eastAsia="zh-CN"/>
                      <w14:textFill>
                        <w14:solidFill>
                          <w14:schemeClr w14:val="tx1"/>
                        </w14:solidFill>
                      </w14:textFill>
                    </w:rPr>
                    <w:t>使用的生物质成型颗粒灰分为</w:t>
                  </w:r>
                  <w:r>
                    <w:rPr>
                      <w:color w:val="000000" w:themeColor="text1"/>
                      <w:u w:val="single"/>
                      <w14:textFill>
                        <w14:solidFill>
                          <w14:schemeClr w14:val="tx1"/>
                        </w14:solidFill>
                      </w14:textFill>
                    </w:rPr>
                    <w:t>1.76</w:t>
                  </w:r>
                  <w:r>
                    <w:rPr>
                      <w:rFonts w:hint="eastAsia"/>
                      <w:color w:val="000000" w:themeColor="text1"/>
                      <w:u w:val="single"/>
                      <w:lang w:val="en-US" w:eastAsia="zh-CN"/>
                      <w14:textFill>
                        <w14:solidFill>
                          <w14:schemeClr w14:val="tx1"/>
                        </w14:solidFill>
                      </w14:textFill>
                    </w:rPr>
                    <w:t>%、硫含量0.03%。</w:t>
                  </w:r>
                </w:p>
              </w:tc>
              <w:tc>
                <w:tcPr>
                  <w:tcW w:w="590" w:type="pct"/>
                  <w:tcBorders>
                    <w:tl2br w:val="nil"/>
                    <w:tr2bl w:val="nil"/>
                  </w:tcBorders>
                  <w:shd w:val="clear" w:color="auto" w:fill="auto"/>
                  <w:noWrap/>
                  <w:vAlign w:val="center"/>
                </w:tcPr>
                <w:p w14:paraId="42EA74C7">
                  <w:pPr>
                    <w:jc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符合</w:t>
                  </w:r>
                </w:p>
              </w:tc>
            </w:tr>
            <w:tr w14:paraId="345A2A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84" w:type="pct"/>
                  <w:vMerge w:val="continue"/>
                  <w:tcBorders>
                    <w:tl2br w:val="nil"/>
                    <w:tr2bl w:val="nil"/>
                  </w:tcBorders>
                  <w:shd w:val="clear" w:color="auto" w:fill="auto"/>
                  <w:vAlign w:val="center"/>
                </w:tcPr>
                <w:p w14:paraId="432F621E">
                  <w:pPr>
                    <w:jc w:val="center"/>
                    <w:rPr>
                      <w:rFonts w:hint="eastAsia" w:ascii="宋体" w:hAnsi="宋体" w:eastAsia="宋体" w:cs="宋体"/>
                      <w:i w:val="0"/>
                      <w:iCs w:val="0"/>
                      <w:color w:val="000000" w:themeColor="text1"/>
                      <w:sz w:val="21"/>
                      <w:szCs w:val="21"/>
                      <w:u w:val="single"/>
                      <w14:textFill>
                        <w14:solidFill>
                          <w14:schemeClr w14:val="tx1"/>
                        </w14:solidFill>
                      </w14:textFill>
                    </w:rPr>
                  </w:pPr>
                </w:p>
              </w:tc>
              <w:tc>
                <w:tcPr>
                  <w:tcW w:w="2897" w:type="pct"/>
                  <w:gridSpan w:val="2"/>
                  <w:tcBorders>
                    <w:tl2br w:val="nil"/>
                    <w:tr2bl w:val="nil"/>
                  </w:tcBorders>
                  <w:shd w:val="clear" w:color="auto" w:fill="auto"/>
                  <w:vAlign w:val="center"/>
                </w:tcPr>
                <w:p w14:paraId="3CA5166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在集中供热管网或者燃气管网覆盖范围内的单台出力小于</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20</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蒸吨</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小时的锅炉、窑炉等燃用高污染燃料设施，应当改用集中供热或者改用天然气、电等清洁能源；未在集中供热管网或者燃气管网覆盖范围内的，可以改用生物质成型燃料或者其他清洁能源，以淘汰燃用高污染燃料的锅炉、窑炉等燃烧设施。</w:t>
                  </w:r>
                </w:p>
              </w:tc>
              <w:tc>
                <w:tcPr>
                  <w:tcW w:w="1326" w:type="pct"/>
                  <w:tcBorders>
                    <w:tl2br w:val="nil"/>
                    <w:tr2bl w:val="nil"/>
                  </w:tcBorders>
                  <w:shd w:val="clear" w:color="auto" w:fill="auto"/>
                  <w:noWrap/>
                  <w:vAlign w:val="center"/>
                </w:tcPr>
                <w:p w14:paraId="7AA662A0">
                  <w:pPr>
                    <w:jc w:val="center"/>
                    <w:rPr>
                      <w:rFonts w:hint="default" w:ascii="宋体" w:hAnsi="宋体" w:eastAsia="宋体" w:cs="宋体"/>
                      <w:i w:val="0"/>
                      <w:iCs w:val="0"/>
                      <w:color w:val="000000" w:themeColor="text1"/>
                      <w:sz w:val="21"/>
                      <w:szCs w:val="21"/>
                      <w:u w:val="singl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single"/>
                      <w:lang w:val="en-US" w:eastAsia="zh-CN"/>
                      <w14:textFill>
                        <w14:solidFill>
                          <w14:schemeClr w14:val="tx1"/>
                        </w14:solidFill>
                      </w14:textFill>
                    </w:rPr>
                    <w:t>本项目</w:t>
                  </w:r>
                  <w:r>
                    <w:rPr>
                      <w:rFonts w:hint="eastAsia" w:ascii="宋体" w:hAnsi="宋体" w:cs="宋体"/>
                      <w:i w:val="0"/>
                      <w:iCs w:val="0"/>
                      <w:color w:val="000000" w:themeColor="text1"/>
                      <w:sz w:val="21"/>
                      <w:szCs w:val="21"/>
                      <w:u w:val="single"/>
                      <w:lang w:val="en-US" w:eastAsia="zh-CN"/>
                      <w14:textFill>
                        <w14:solidFill>
                          <w14:schemeClr w14:val="tx1"/>
                        </w14:solidFill>
                      </w14:textFill>
                    </w:rPr>
                    <w:t>属于集中供热单位</w:t>
                  </w:r>
                </w:p>
              </w:tc>
              <w:tc>
                <w:tcPr>
                  <w:tcW w:w="590" w:type="pct"/>
                  <w:tcBorders>
                    <w:tl2br w:val="nil"/>
                    <w:tr2bl w:val="nil"/>
                  </w:tcBorders>
                  <w:shd w:val="clear" w:color="auto" w:fill="auto"/>
                  <w:noWrap/>
                  <w:vAlign w:val="center"/>
                </w:tcPr>
                <w:p w14:paraId="1046238E">
                  <w:pPr>
                    <w:jc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符合</w:t>
                  </w:r>
                </w:p>
              </w:tc>
            </w:tr>
            <w:tr w14:paraId="754C2E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84" w:type="pct"/>
                  <w:vMerge w:val="continue"/>
                  <w:tcBorders>
                    <w:tl2br w:val="nil"/>
                    <w:tr2bl w:val="nil"/>
                  </w:tcBorders>
                  <w:shd w:val="clear" w:color="auto" w:fill="auto"/>
                  <w:vAlign w:val="center"/>
                </w:tcPr>
                <w:p w14:paraId="494D687E">
                  <w:pPr>
                    <w:jc w:val="center"/>
                    <w:rPr>
                      <w:rFonts w:hint="eastAsia" w:ascii="宋体" w:hAnsi="宋体" w:eastAsia="宋体" w:cs="宋体"/>
                      <w:i w:val="0"/>
                      <w:iCs w:val="0"/>
                      <w:color w:val="000000" w:themeColor="text1"/>
                      <w:sz w:val="21"/>
                      <w:szCs w:val="21"/>
                      <w:u w:val="single"/>
                      <w14:textFill>
                        <w14:solidFill>
                          <w14:schemeClr w14:val="tx1"/>
                        </w14:solidFill>
                      </w14:textFill>
                    </w:rPr>
                  </w:pPr>
                </w:p>
              </w:tc>
              <w:tc>
                <w:tcPr>
                  <w:tcW w:w="2897" w:type="pct"/>
                  <w:gridSpan w:val="2"/>
                  <w:tcBorders>
                    <w:tl2br w:val="nil"/>
                    <w:tr2bl w:val="nil"/>
                  </w:tcBorders>
                  <w:shd w:val="clear" w:color="auto" w:fill="auto"/>
                  <w:vAlign w:val="center"/>
                </w:tcPr>
                <w:p w14:paraId="193F557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单台出力</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65</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蒸吨</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小时以上燃煤机组按照国家相关污染物排放标准有序开展超低排放改造。</w:t>
                  </w:r>
                </w:p>
              </w:tc>
              <w:tc>
                <w:tcPr>
                  <w:tcW w:w="1326" w:type="pct"/>
                  <w:tcBorders>
                    <w:tl2br w:val="nil"/>
                    <w:tr2bl w:val="nil"/>
                  </w:tcBorders>
                  <w:shd w:val="clear" w:color="auto" w:fill="auto"/>
                  <w:noWrap/>
                  <w:vAlign w:val="center"/>
                </w:tcPr>
                <w:p w14:paraId="0D493335">
                  <w:pPr>
                    <w:jc w:val="center"/>
                    <w:rPr>
                      <w:rFonts w:hint="default" w:ascii="宋体" w:hAnsi="宋体" w:eastAsia="宋体" w:cs="宋体"/>
                      <w:i w:val="0"/>
                      <w:iCs w:val="0"/>
                      <w:color w:val="000000" w:themeColor="text1"/>
                      <w:sz w:val="21"/>
                      <w:szCs w:val="21"/>
                      <w:u w:val="single"/>
                      <w:lang w:val="en-US"/>
                      <w14:textFill>
                        <w14:solidFill>
                          <w14:schemeClr w14:val="tx1"/>
                        </w14:solidFill>
                      </w14:textFill>
                    </w:rPr>
                  </w:pPr>
                  <w:r>
                    <w:rPr>
                      <w:rFonts w:hint="eastAsia"/>
                      <w:color w:val="000000" w:themeColor="text1"/>
                      <w:u w:val="single"/>
                      <w:lang w:val="en-US" w:eastAsia="zh-CN"/>
                      <w14:textFill>
                        <w14:solidFill>
                          <w14:schemeClr w14:val="tx1"/>
                        </w14:solidFill>
                      </w14:textFill>
                    </w:rPr>
                    <w:t>本项目为8</w:t>
                  </w:r>
                  <w:r>
                    <w:rPr>
                      <w:rFonts w:hint="default"/>
                      <w:color w:val="000000" w:themeColor="text1"/>
                      <w:u w:val="single"/>
                      <w:lang w:eastAsia="zh-CN"/>
                      <w14:textFill>
                        <w14:solidFill>
                          <w14:schemeClr w14:val="tx1"/>
                        </w14:solidFill>
                      </w14:textFill>
                    </w:rPr>
                    <w:t>t/h生物质颗粒锅炉</w:t>
                  </w:r>
                  <w:r>
                    <w:rPr>
                      <w:rFonts w:hint="eastAsia"/>
                      <w:color w:val="000000" w:themeColor="text1"/>
                      <w:u w:val="single"/>
                      <w:lang w:val="en-US" w:eastAsia="zh-CN"/>
                      <w14:textFill>
                        <w14:solidFill>
                          <w14:schemeClr w14:val="tx1"/>
                        </w14:solidFill>
                      </w14:textFill>
                    </w:rPr>
                    <w:t>不属于</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单台出力</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65</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蒸吨</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小时以上燃煤机组</w:t>
                  </w:r>
                </w:p>
              </w:tc>
              <w:tc>
                <w:tcPr>
                  <w:tcW w:w="590" w:type="pct"/>
                  <w:tcBorders>
                    <w:tl2br w:val="nil"/>
                    <w:tr2bl w:val="nil"/>
                  </w:tcBorders>
                  <w:shd w:val="clear" w:color="auto" w:fill="auto"/>
                  <w:noWrap/>
                  <w:vAlign w:val="center"/>
                </w:tcPr>
                <w:p w14:paraId="7DC9C2E6">
                  <w:pPr>
                    <w:jc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符合</w:t>
                  </w:r>
                </w:p>
              </w:tc>
            </w:tr>
            <w:tr w14:paraId="5635B9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4" w:type="pct"/>
                  <w:tcBorders>
                    <w:tl2br w:val="nil"/>
                    <w:tr2bl w:val="nil"/>
                  </w:tcBorders>
                  <w:shd w:val="clear" w:color="auto" w:fill="auto"/>
                  <w:noWrap/>
                  <w:vAlign w:val="center"/>
                </w:tcPr>
                <w:p w14:paraId="72DB4D65">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五</w:t>
                  </w:r>
                </w:p>
              </w:tc>
              <w:tc>
                <w:tcPr>
                  <w:tcW w:w="2897" w:type="pct"/>
                  <w:gridSpan w:val="2"/>
                  <w:tcBorders>
                    <w:tl2br w:val="nil"/>
                    <w:tr2bl w:val="nil"/>
                  </w:tcBorders>
                  <w:shd w:val="clear" w:color="auto" w:fill="auto"/>
                  <w:vAlign w:val="center"/>
                </w:tcPr>
                <w:p w14:paraId="699E3A8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自本通告发布之日起，禁燃区内已有的锅炉、窑炉等燃烧设施在停止使用高污染燃料之前，有关单位和个人应当采取措施，确保排放的大气污染物达到国家规定的排放标准。</w:t>
                  </w:r>
                </w:p>
              </w:tc>
              <w:tc>
                <w:tcPr>
                  <w:tcW w:w="1326" w:type="pct"/>
                  <w:tcBorders>
                    <w:tl2br w:val="nil"/>
                    <w:tr2bl w:val="nil"/>
                  </w:tcBorders>
                  <w:shd w:val="clear" w:color="auto" w:fill="auto"/>
                  <w:noWrap/>
                  <w:vAlign w:val="center"/>
                </w:tcPr>
                <w:p w14:paraId="1FB2E591">
                  <w:pPr>
                    <w:jc w:val="center"/>
                    <w:rPr>
                      <w:rFonts w:hint="default" w:ascii="宋体" w:hAnsi="宋体" w:eastAsia="宋体" w:cs="宋体"/>
                      <w:i w:val="0"/>
                      <w:iCs w:val="0"/>
                      <w:color w:val="000000" w:themeColor="text1"/>
                      <w:sz w:val="21"/>
                      <w:szCs w:val="21"/>
                      <w:u w:val="singl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single"/>
                      <w:lang w:val="en-US" w:eastAsia="zh-CN"/>
                      <w14:textFill>
                        <w14:solidFill>
                          <w14:schemeClr w14:val="tx1"/>
                        </w14:solidFill>
                      </w14:textFill>
                    </w:rPr>
                    <w:t>本项目位于禁燃区，使用燃料为生物质成型燃料，不属于高污染燃料，且能保证项目达标排放</w:t>
                  </w:r>
                </w:p>
              </w:tc>
              <w:tc>
                <w:tcPr>
                  <w:tcW w:w="590" w:type="pct"/>
                  <w:tcBorders>
                    <w:tl2br w:val="nil"/>
                    <w:tr2bl w:val="nil"/>
                  </w:tcBorders>
                  <w:shd w:val="clear" w:color="auto" w:fill="auto"/>
                  <w:noWrap/>
                  <w:vAlign w:val="center"/>
                </w:tcPr>
                <w:p w14:paraId="3A42F6A4">
                  <w:pPr>
                    <w:jc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符合</w:t>
                  </w:r>
                </w:p>
              </w:tc>
            </w:tr>
            <w:tr w14:paraId="164A46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84" w:type="pct"/>
                  <w:tcBorders>
                    <w:tl2br w:val="nil"/>
                    <w:tr2bl w:val="nil"/>
                  </w:tcBorders>
                  <w:shd w:val="clear" w:color="auto" w:fill="auto"/>
                  <w:noWrap/>
                  <w:vAlign w:val="center"/>
                </w:tcPr>
                <w:p w14:paraId="42887078">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六</w:t>
                  </w:r>
                </w:p>
              </w:tc>
              <w:tc>
                <w:tcPr>
                  <w:tcW w:w="2897" w:type="pct"/>
                  <w:gridSpan w:val="2"/>
                  <w:tcBorders>
                    <w:tl2br w:val="nil"/>
                    <w:tr2bl w:val="nil"/>
                  </w:tcBorders>
                  <w:shd w:val="clear" w:color="auto" w:fill="auto"/>
                  <w:vAlign w:val="center"/>
                </w:tcPr>
                <w:p w14:paraId="4A3FF19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自本通告发布之日起，禁燃区内禁止新建、扩建燃用高污染燃料的锅炉、窑炉等燃烧设施。</w:t>
                  </w:r>
                </w:p>
              </w:tc>
              <w:tc>
                <w:tcPr>
                  <w:tcW w:w="1326" w:type="pct"/>
                  <w:tcBorders>
                    <w:tl2br w:val="nil"/>
                    <w:tr2bl w:val="nil"/>
                  </w:tcBorders>
                  <w:shd w:val="clear" w:color="auto" w:fill="auto"/>
                  <w:noWrap/>
                  <w:vAlign w:val="center"/>
                </w:tcPr>
                <w:p w14:paraId="2225B0F5">
                  <w:pPr>
                    <w:jc w:val="center"/>
                    <w:rPr>
                      <w:rFonts w:hint="default" w:ascii="宋体" w:hAnsi="宋体" w:eastAsia="宋体" w:cs="宋体"/>
                      <w:i w:val="0"/>
                      <w:iCs w:val="0"/>
                      <w:color w:val="000000" w:themeColor="text1"/>
                      <w:sz w:val="21"/>
                      <w:szCs w:val="21"/>
                      <w:u w:val="singl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single"/>
                      <w:lang w:val="en-US" w:eastAsia="zh-CN"/>
                      <w14:textFill>
                        <w14:solidFill>
                          <w14:schemeClr w14:val="tx1"/>
                        </w14:solidFill>
                      </w14:textFill>
                    </w:rPr>
                    <w:t>本项目不属于使用高污染燃料锅炉</w:t>
                  </w:r>
                </w:p>
              </w:tc>
              <w:tc>
                <w:tcPr>
                  <w:tcW w:w="590" w:type="pct"/>
                  <w:tcBorders>
                    <w:tl2br w:val="nil"/>
                    <w:tr2bl w:val="nil"/>
                  </w:tcBorders>
                  <w:shd w:val="clear" w:color="auto" w:fill="auto"/>
                  <w:noWrap/>
                  <w:vAlign w:val="center"/>
                </w:tcPr>
                <w:p w14:paraId="47EC1138">
                  <w:pPr>
                    <w:jc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符合</w:t>
                  </w:r>
                </w:p>
              </w:tc>
            </w:tr>
            <w:tr w14:paraId="7D685A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4" w:type="pct"/>
                  <w:tcBorders>
                    <w:tl2br w:val="nil"/>
                    <w:tr2bl w:val="nil"/>
                  </w:tcBorders>
                  <w:shd w:val="clear" w:color="auto" w:fill="auto"/>
                  <w:noWrap/>
                  <w:vAlign w:val="center"/>
                </w:tcPr>
                <w:p w14:paraId="5DA0D155">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七</w:t>
                  </w:r>
                </w:p>
              </w:tc>
              <w:tc>
                <w:tcPr>
                  <w:tcW w:w="2897" w:type="pct"/>
                  <w:gridSpan w:val="2"/>
                  <w:tcBorders>
                    <w:tl2br w:val="nil"/>
                    <w:tr2bl w:val="nil"/>
                  </w:tcBorders>
                  <w:shd w:val="clear" w:color="auto" w:fill="auto"/>
                  <w:vAlign w:val="center"/>
                </w:tcPr>
                <w:p w14:paraId="13C3733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违反本通告规定，在规定的期限届满（</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2018</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年</w:t>
                  </w:r>
                  <w:r>
                    <w:rPr>
                      <w:rFonts w:hint="default" w:ascii="Times New Roman" w:hAnsi="Times New Roman" w:eastAsia="宋体" w:cs="Times New Roman"/>
                      <w:i w:val="0"/>
                      <w:iCs w:val="0"/>
                      <w:color w:val="000000" w:themeColor="text1"/>
                      <w:kern w:val="0"/>
                      <w:sz w:val="21"/>
                      <w:szCs w:val="21"/>
                      <w:u w:val="single"/>
                      <w:lang w:val="en-US" w:eastAsia="zh-CN" w:bidi="ar"/>
                      <w14:textFill>
                        <w14:solidFill>
                          <w14:schemeClr w14:val="tx1"/>
                        </w14:solidFill>
                      </w14:textFill>
                    </w:rPr>
                    <w:t>6</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月）后继续使用高污染燃料的，或者新建、扩建燃用高污染燃料燃烧设施的，将依法责令拆除或者没收燃用高污染燃料设施。</w:t>
                  </w:r>
                </w:p>
              </w:tc>
              <w:tc>
                <w:tcPr>
                  <w:tcW w:w="1326" w:type="pct"/>
                  <w:tcBorders>
                    <w:tl2br w:val="nil"/>
                    <w:tr2bl w:val="nil"/>
                  </w:tcBorders>
                  <w:shd w:val="clear" w:color="auto" w:fill="auto"/>
                  <w:noWrap/>
                  <w:vAlign w:val="center"/>
                </w:tcPr>
                <w:p w14:paraId="4B251FB6">
                  <w:pPr>
                    <w:jc w:val="center"/>
                    <w:rPr>
                      <w:rFonts w:hint="default" w:ascii="宋体" w:hAnsi="宋体" w:eastAsia="宋体" w:cs="宋体"/>
                      <w:i w:val="0"/>
                      <w:iCs w:val="0"/>
                      <w:color w:val="000000" w:themeColor="text1"/>
                      <w:sz w:val="21"/>
                      <w:szCs w:val="21"/>
                      <w:u w:val="singl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single"/>
                      <w:lang w:val="en-US" w:eastAsia="zh-CN"/>
                      <w14:textFill>
                        <w14:solidFill>
                          <w14:schemeClr w14:val="tx1"/>
                        </w14:solidFill>
                      </w14:textFill>
                    </w:rPr>
                    <w:t>本项目使用燃料为生物质成型燃料，不属于</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生物质非成型燃料，不属于高污染燃料</w:t>
                  </w:r>
                </w:p>
              </w:tc>
              <w:tc>
                <w:tcPr>
                  <w:tcW w:w="590" w:type="pct"/>
                  <w:tcBorders>
                    <w:tl2br w:val="nil"/>
                    <w:tr2bl w:val="nil"/>
                  </w:tcBorders>
                  <w:shd w:val="clear" w:color="auto" w:fill="auto"/>
                  <w:noWrap/>
                  <w:vAlign w:val="center"/>
                </w:tcPr>
                <w:p w14:paraId="1868377D">
                  <w:pPr>
                    <w:jc w:val="center"/>
                    <w:rPr>
                      <w:rFonts w:hint="eastAsia" w:ascii="宋体" w:hAnsi="宋体" w:eastAsia="宋体" w:cs="宋体"/>
                      <w:i w:val="0"/>
                      <w:iCs w:val="0"/>
                      <w:color w:val="000000" w:themeColor="text1"/>
                      <w:sz w:val="21"/>
                      <w:szCs w:val="21"/>
                      <w:u w:val="singl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符合</w:t>
                  </w:r>
                </w:p>
              </w:tc>
            </w:tr>
            <w:tr w14:paraId="24B7B0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84" w:type="pct"/>
                  <w:tcBorders>
                    <w:tl2br w:val="nil"/>
                    <w:tr2bl w:val="nil"/>
                  </w:tcBorders>
                  <w:shd w:val="clear" w:color="auto" w:fill="auto"/>
                  <w:noWrap/>
                  <w:vAlign w:val="center"/>
                </w:tcPr>
                <w:p w14:paraId="6AA67F04">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八</w:t>
                  </w:r>
                </w:p>
              </w:tc>
              <w:tc>
                <w:tcPr>
                  <w:tcW w:w="2897" w:type="pct"/>
                  <w:gridSpan w:val="2"/>
                  <w:tcBorders>
                    <w:tl2br w:val="nil"/>
                    <w:tr2bl w:val="nil"/>
                  </w:tcBorders>
                  <w:shd w:val="clear" w:color="auto" w:fill="auto"/>
                  <w:vAlign w:val="center"/>
                </w:tcPr>
                <w:p w14:paraId="2A16018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本通告规定的高污染燃料是指生产和生活使用的煤炭及其制品（包括原煤、散煤、煤矸石、煤泥、煤粉、水煤浆、型煤、焦炭、兰炭等）、油类等常规燃料。</w:t>
                  </w:r>
                </w:p>
              </w:tc>
              <w:tc>
                <w:tcPr>
                  <w:tcW w:w="1326" w:type="pct"/>
                  <w:tcBorders>
                    <w:tl2br w:val="nil"/>
                    <w:tr2bl w:val="nil"/>
                  </w:tcBorders>
                  <w:shd w:val="clear" w:color="auto" w:fill="auto"/>
                  <w:noWrap/>
                  <w:vAlign w:val="center"/>
                </w:tcPr>
                <w:p w14:paraId="2F1F699C">
                  <w:pPr>
                    <w:jc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sz w:val="21"/>
                      <w:szCs w:val="21"/>
                      <w:u w:val="single"/>
                      <w:lang w:val="en-US" w:eastAsia="zh-CN"/>
                      <w14:textFill>
                        <w14:solidFill>
                          <w14:schemeClr w14:val="tx1"/>
                        </w14:solidFill>
                      </w14:textFill>
                    </w:rPr>
                    <w:t>本项目使用燃料为生物质成型燃料，不属于</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生物质非成型燃料，不属于高污染燃料</w:t>
                  </w:r>
                </w:p>
              </w:tc>
              <w:tc>
                <w:tcPr>
                  <w:tcW w:w="590" w:type="pct"/>
                  <w:tcBorders>
                    <w:tl2br w:val="nil"/>
                    <w:tr2bl w:val="nil"/>
                  </w:tcBorders>
                  <w:shd w:val="clear" w:color="auto" w:fill="auto"/>
                  <w:noWrap/>
                  <w:vAlign w:val="center"/>
                </w:tcPr>
                <w:p w14:paraId="58995DC5">
                  <w:pPr>
                    <w:jc w:val="center"/>
                    <w:rPr>
                      <w:rFonts w:hint="eastAsia" w:ascii="宋体" w:hAnsi="宋体" w:eastAsia="宋体" w:cs="宋体"/>
                      <w:i w:val="0"/>
                      <w:iCs w:val="0"/>
                      <w:color w:val="000000" w:themeColor="text1"/>
                      <w:sz w:val="21"/>
                      <w:szCs w:val="21"/>
                      <w:u w:val="singl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符合</w:t>
                  </w:r>
                </w:p>
              </w:tc>
            </w:tr>
            <w:tr w14:paraId="668174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84" w:type="pct"/>
                  <w:tcBorders>
                    <w:tl2br w:val="nil"/>
                    <w:tr2bl w:val="nil"/>
                  </w:tcBorders>
                  <w:shd w:val="clear" w:color="auto" w:fill="auto"/>
                  <w:noWrap/>
                  <w:vAlign w:val="center"/>
                </w:tcPr>
                <w:p w14:paraId="7C7B61AF">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九</w:t>
                  </w:r>
                </w:p>
              </w:tc>
              <w:tc>
                <w:tcPr>
                  <w:tcW w:w="2897" w:type="pct"/>
                  <w:gridSpan w:val="2"/>
                  <w:tcBorders>
                    <w:tl2br w:val="nil"/>
                    <w:tr2bl w:val="nil"/>
                  </w:tcBorders>
                  <w:shd w:val="clear" w:color="auto" w:fill="auto"/>
                  <w:vAlign w:val="center"/>
                </w:tcPr>
                <w:p w14:paraId="373BC4B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本通告所称清洁能源是指天然气、液化石油气、电能、太阳能、风能等。</w:t>
                  </w:r>
                </w:p>
              </w:tc>
              <w:tc>
                <w:tcPr>
                  <w:tcW w:w="1326" w:type="pct"/>
                  <w:tcBorders>
                    <w:tl2br w:val="nil"/>
                    <w:tr2bl w:val="nil"/>
                  </w:tcBorders>
                  <w:shd w:val="clear" w:color="auto" w:fill="auto"/>
                  <w:noWrap/>
                  <w:vAlign w:val="center"/>
                </w:tcPr>
                <w:p w14:paraId="15A31F4F">
                  <w:pPr>
                    <w:jc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sz w:val="21"/>
                      <w:szCs w:val="21"/>
                      <w:u w:val="single"/>
                      <w:lang w:val="en-US" w:eastAsia="zh-CN"/>
                      <w14:textFill>
                        <w14:solidFill>
                          <w14:schemeClr w14:val="tx1"/>
                        </w14:solidFill>
                      </w14:textFill>
                    </w:rPr>
                    <w:t>本项目使用燃料为生物质成型燃料，不属于</w:t>
                  </w: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生物质非成型燃料，不属于高污染燃料</w:t>
                  </w:r>
                </w:p>
              </w:tc>
              <w:tc>
                <w:tcPr>
                  <w:tcW w:w="590" w:type="pct"/>
                  <w:tcBorders>
                    <w:tl2br w:val="nil"/>
                    <w:tr2bl w:val="nil"/>
                  </w:tcBorders>
                  <w:shd w:val="clear" w:color="auto" w:fill="auto"/>
                  <w:noWrap/>
                  <w:vAlign w:val="center"/>
                </w:tcPr>
                <w:p w14:paraId="220939C0">
                  <w:pPr>
                    <w:jc w:val="center"/>
                    <w:rPr>
                      <w:rFonts w:hint="eastAsia" w:ascii="宋体" w:hAnsi="宋体" w:eastAsia="宋体" w:cs="宋体"/>
                      <w:i w:val="0"/>
                      <w:iCs w:val="0"/>
                      <w:color w:val="000000" w:themeColor="text1"/>
                      <w:sz w:val="21"/>
                      <w:szCs w:val="21"/>
                      <w:u w:val="single"/>
                      <w14:textFill>
                        <w14:solidFill>
                          <w14:schemeClr w14:val="tx1"/>
                        </w14:solidFill>
                      </w14:textFill>
                    </w:rPr>
                  </w:pPr>
                  <w:r>
                    <w:rPr>
                      <w:rFonts w:hint="eastAsia" w:ascii="宋体" w:hAnsi="宋体" w:eastAsia="宋体" w:cs="宋体"/>
                      <w:i w:val="0"/>
                      <w:iCs w:val="0"/>
                      <w:color w:val="000000" w:themeColor="text1"/>
                      <w:kern w:val="0"/>
                      <w:sz w:val="21"/>
                      <w:szCs w:val="21"/>
                      <w:u w:val="single"/>
                      <w:lang w:val="en-US" w:eastAsia="zh-CN" w:bidi="ar"/>
                      <w14:textFill>
                        <w14:solidFill>
                          <w14:schemeClr w14:val="tx1"/>
                        </w14:solidFill>
                      </w14:textFill>
                    </w:rPr>
                    <w:t>符合</w:t>
                  </w:r>
                </w:p>
              </w:tc>
            </w:tr>
          </w:tbl>
          <w:p w14:paraId="52560E97">
            <w:pPr>
              <w:pStyle w:val="4"/>
              <w:bidi w:val="0"/>
              <w:rPr>
                <w:rFonts w:hint="default"/>
                <w:color w:val="000000" w:themeColor="text1"/>
                <w:u w:val="single"/>
                <w14:textFill>
                  <w14:solidFill>
                    <w14:schemeClr w14:val="tx1"/>
                  </w14:solidFill>
                </w14:textFill>
              </w:rPr>
            </w:pPr>
            <w:r>
              <w:rPr>
                <w:rFonts w:hint="default"/>
                <w:color w:val="000000" w:themeColor="text1"/>
                <w:u w:val="single"/>
                <w14:textFill>
                  <w14:solidFill>
                    <w14:schemeClr w14:val="tx1"/>
                  </w14:solidFill>
                </w14:textFill>
              </w:rPr>
              <w:t>综上所述，本项目符合“《钦州市人民政府关于划定高污染燃料禁燃区的通告》（2018年1月5日）”</w:t>
            </w:r>
            <w:r>
              <w:rPr>
                <w:rFonts w:hint="eastAsia"/>
                <w:color w:val="000000" w:themeColor="text1"/>
                <w:u w:val="single"/>
                <w:lang w:val="en-US" w:eastAsia="zh-CN"/>
                <w14:textFill>
                  <w14:solidFill>
                    <w14:schemeClr w14:val="tx1"/>
                  </w14:solidFill>
                </w14:textFill>
              </w:rPr>
              <w:t>相关</w:t>
            </w:r>
            <w:r>
              <w:rPr>
                <w:rFonts w:hint="default"/>
                <w:color w:val="000000" w:themeColor="text1"/>
                <w:u w:val="single"/>
                <w14:textFill>
                  <w14:solidFill>
                    <w14:schemeClr w14:val="tx1"/>
                  </w14:solidFill>
                </w14:textFill>
              </w:rPr>
              <w:t>要求。</w:t>
            </w:r>
          </w:p>
          <w:p w14:paraId="1C65C149">
            <w:pPr>
              <w:spacing w:line="228" w:lineRule="auto"/>
              <w:rPr>
                <w:rFonts w:hint="default" w:ascii="Times New Roman" w:hAnsi="Times New Roman" w:cs="Times New Roman"/>
                <w:color w:val="000000" w:themeColor="text1"/>
                <w:sz w:val="20"/>
                <w:szCs w:val="20"/>
                <w:highlight w:val="none"/>
                <w14:textFill>
                  <w14:solidFill>
                    <w14:schemeClr w14:val="tx1"/>
                  </w14:solidFill>
                </w14:textFill>
              </w:rPr>
            </w:pPr>
            <w:r>
              <w:rPr>
                <w:rFonts w:hint="eastAsia" w:cs="Times New Roman"/>
                <w:b/>
                <w:bCs/>
                <w:color w:val="000000" w:themeColor="text1"/>
                <w:sz w:val="24"/>
                <w:szCs w:val="28"/>
                <w:highlight w:val="none"/>
                <w:lang w:val="en-US" w:eastAsia="zh-CN" w:bidi="ar-SA"/>
                <w14:textFill>
                  <w14:solidFill>
                    <w14:schemeClr w14:val="tx1"/>
                  </w14:solidFill>
                </w14:textFill>
              </w:rPr>
              <w:t>6</w:t>
            </w:r>
            <w:r>
              <w:rPr>
                <w:rFonts w:hint="default"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、与《空气质量持续改善行动计划》（国发〔2023〕24 号）</w:t>
            </w:r>
            <w:r>
              <w:rPr>
                <w:rFonts w:hint="eastAsia" w:cs="Times New Roman"/>
                <w:b/>
                <w:bCs/>
                <w:color w:val="000000" w:themeColor="text1"/>
                <w:sz w:val="24"/>
                <w:szCs w:val="28"/>
                <w:highlight w:val="none"/>
                <w:lang w:val="en-US" w:eastAsia="zh-CN" w:bidi="ar-SA"/>
                <w14:textFill>
                  <w14:solidFill>
                    <w14:schemeClr w14:val="tx1"/>
                  </w14:solidFill>
                </w14:textFill>
              </w:rPr>
              <w:t>符合性</w:t>
            </w:r>
            <w:r>
              <w:rPr>
                <w:rFonts w:hint="default" w:ascii="Times New Roman" w:hAnsi="Times New Roman" w:eastAsia="宋体" w:cs="Times New Roman"/>
                <w:b/>
                <w:bCs/>
                <w:color w:val="000000" w:themeColor="text1"/>
                <w:sz w:val="24"/>
                <w:szCs w:val="28"/>
                <w:highlight w:val="none"/>
                <w:lang w:val="en-US" w:eastAsia="zh-CN" w:bidi="ar-SA"/>
                <w14:textFill>
                  <w14:solidFill>
                    <w14:schemeClr w14:val="tx1"/>
                  </w14:solidFill>
                </w14:textFill>
              </w:rPr>
              <w:t>分析</w:t>
            </w:r>
          </w:p>
          <w:p w14:paraId="2EC7125F">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p w14:paraId="0349AE71">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积极开展燃煤锅炉关停整合。各地要将燃煤供热锅炉替代项目纳入城镇供热规划。县级及以上城市建成区原则上不再新建35蒸吨/小时及以下燃煤锅炉，重点区域原则上不再新建除集中供暖外的燃煤锅炉。加快热力管网建设，依托电厂、大型工业企业开展远距离供热示范，淘汰管网覆盖范围内的燃煤锅炉和散煤。到2025年，PM2.5未达标城市基本淘汰10蒸吨/小时及以下燃煤锅炉；重点区域基本淘汰35蒸吨/小时及以下燃煤锅炉及茶水炉、经营性炉灶、储粮烘干设备、农产品加工等燃煤设施，充分发挥30万千瓦及以上热电联产电厂的供热能力，对其供热半径30公里范围内的燃煤锅炉和落后燃煤热电机组（含自备电厂）进行关停或整合。</w:t>
            </w:r>
          </w:p>
          <w:p w14:paraId="79F9921A">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实施工业炉窑清洁能源替代。有序推进以电代煤，积极稳妥推进以气代煤。重点区域不再新增燃料类煤气发生炉，新改扩建加热炉、热处理炉、干燥炉、熔化炉原则上采用清洁低碳能源；安全稳妥推进使用高污染燃料的工业炉窑改用工业余热、电能、天然气等；燃料类煤气发生炉实行清洁能源替代，或因地制宜采取园区（集群）集中供气、分散使用方式；逐步淘汰固定床间歇式煤气发生炉。</w:t>
            </w:r>
          </w:p>
          <w:p w14:paraId="63574C85">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为广西中马投控分布式能源有限公司供热配套锅炉增容改造项目，项目拟在公司厂内自有空地安装一台8t/h生物质颗粒锅炉对公司供热系统进行增容改造，锅炉为新型DZL系列为单筒纵置式水火管锅壳式锅炉，型号为DZL8-1.25-SC，燃烧设备为链条炉排，配套建设锅炉基础、挡雨棚以及布袋除尘、烟囱、蒸汽管道等工程；因此本项目与《空气质量持续改善行动计划》（国发〔2023〕24号）相符合。</w:t>
            </w:r>
          </w:p>
          <w:p w14:paraId="1E706501">
            <w:pPr>
              <w:pStyle w:val="41"/>
              <w:keepNext w:val="0"/>
              <w:keepLines w:val="0"/>
              <w:pageBreakBefore w:val="0"/>
              <w:widowControl w:val="0"/>
              <w:kinsoku/>
              <w:wordWrap/>
              <w:overflowPunct/>
              <w:topLinePunct w:val="0"/>
              <w:autoSpaceDE/>
              <w:autoSpaceDN/>
              <w:bidi w:val="0"/>
              <w:adjustRightInd w:val="0"/>
              <w:snapToGrid w:val="0"/>
              <w:textAlignment w:val="auto"/>
              <w:outlineLvl w:val="9"/>
              <w:rPr>
                <w:rFonts w:hint="default" w:cs="Times New Roman"/>
                <w:color w:val="000000" w:themeColor="text1"/>
                <w:highlight w:val="none"/>
                <w:u w:val="single"/>
                <w:lang w:val="en-US" w:eastAsia="zh-CN"/>
                <w14:textFill>
                  <w14:solidFill>
                    <w14:schemeClr w14:val="tx1"/>
                  </w14:solidFill>
                </w14:textFill>
              </w:rPr>
            </w:pPr>
            <w:r>
              <w:rPr>
                <w:rFonts w:hint="eastAsia" w:cs="Times New Roman"/>
                <w:color w:val="000000" w:themeColor="text1"/>
                <w:highlight w:val="none"/>
                <w:u w:val="single"/>
                <w:lang w:val="en-US" w:eastAsia="zh-CN"/>
                <w14:textFill>
                  <w14:solidFill>
                    <w14:schemeClr w14:val="tx1"/>
                  </w14:solidFill>
                </w14:textFill>
              </w:rPr>
              <w:t>7、与《钦州市人民政府关于印发钦州市空气质量持续改善行动实施方案的通知》（钦政发〔2024〕11号）符合性分析</w:t>
            </w:r>
          </w:p>
          <w:p w14:paraId="4690B35A">
            <w:pPr>
              <w:pStyle w:val="4"/>
              <w:bidi w:val="0"/>
              <w:rPr>
                <w:rFonts w:hint="default" w:ascii="Times New Roman" w:hAnsi="Times New Roman" w:cs="Times New Roman"/>
                <w:color w:val="000000" w:themeColor="text1"/>
                <w:highlight w:val="none"/>
                <w:u w:val="single"/>
                <w:lang w:val="en-US" w:eastAsia="zh-CN"/>
                <w14:textFill>
                  <w14:solidFill>
                    <w14:schemeClr w14:val="tx1"/>
                  </w14:solidFill>
                </w14:textFill>
              </w:rPr>
            </w:pPr>
            <w:r>
              <w:rPr>
                <w:rFonts w:hint="default" w:ascii="Times New Roman" w:hAnsi="Times New Roman" w:cs="Times New Roman"/>
                <w:color w:val="000000" w:themeColor="text1"/>
                <w:highlight w:val="none"/>
                <w:u w:val="single"/>
                <w:lang w:val="en-US" w:eastAsia="zh-CN"/>
                <w14:textFill>
                  <w14:solidFill>
                    <w14:schemeClr w14:val="tx1"/>
                  </w14:solidFill>
                </w14:textFill>
              </w:rPr>
              <w:t>（</w:t>
            </w:r>
            <w:r>
              <w:rPr>
                <w:rFonts w:hint="eastAsia" w:cs="Times New Roman"/>
                <w:color w:val="000000" w:themeColor="text1"/>
                <w:highlight w:val="none"/>
                <w:u w:val="single"/>
                <w:lang w:val="en-US" w:eastAsia="zh-CN"/>
                <w14:textFill>
                  <w14:solidFill>
                    <w14:schemeClr w14:val="tx1"/>
                  </w14:solidFill>
                </w14:textFill>
              </w:rPr>
              <w:t>1</w:t>
            </w:r>
            <w:r>
              <w:rPr>
                <w:rFonts w:hint="default" w:ascii="Times New Roman" w:hAnsi="Times New Roman" w:cs="Times New Roman"/>
                <w:color w:val="000000" w:themeColor="text1"/>
                <w:highlight w:val="none"/>
                <w:u w:val="single"/>
                <w:lang w:val="en-US" w:eastAsia="zh-CN"/>
                <w14:textFill>
                  <w14:solidFill>
                    <w14:schemeClr w14:val="tx1"/>
                  </w14:solidFill>
                </w14:textFill>
              </w:rPr>
              <w:t>）积极开展燃煤锅炉关停整合。各县区要将燃煤供热锅炉替代项目纳入城镇供热规划，县级城市建成区原则上不再新建35蒸吨/小时及以下燃煤锅炉。积极开展散煤综合治理和燃煤小锅炉整治，推广热电联产改造和工业余热余压综合利用。加快热力管网建设，充分释放燃煤电厂、工业余热等供热能力，发展长输供热项目，依托电厂、大型工业企业开展远距离供热示范，淘汰管网覆盖范围内的燃煤锅炉和散煤。</w:t>
            </w:r>
          </w:p>
          <w:p w14:paraId="53EC6DF7">
            <w:pPr>
              <w:pStyle w:val="4"/>
              <w:bidi w:val="0"/>
              <w:rPr>
                <w:rFonts w:hint="default" w:ascii="Times New Roman" w:hAnsi="Times New Roman" w:cs="Times New Roman"/>
                <w:color w:val="000000" w:themeColor="text1"/>
                <w:highlight w:val="none"/>
                <w:u w:val="single"/>
                <w:lang w:val="en-US" w:eastAsia="zh-CN"/>
                <w14:textFill>
                  <w14:solidFill>
                    <w14:schemeClr w14:val="tx1"/>
                  </w14:solidFill>
                </w14:textFill>
              </w:rPr>
            </w:pPr>
            <w:r>
              <w:rPr>
                <w:rFonts w:hint="default" w:ascii="Times New Roman" w:hAnsi="Times New Roman" w:cs="Times New Roman"/>
                <w:color w:val="000000" w:themeColor="text1"/>
                <w:highlight w:val="none"/>
                <w:u w:val="single"/>
                <w:lang w:val="en-US" w:eastAsia="zh-CN"/>
                <w14:textFill>
                  <w14:solidFill>
                    <w14:schemeClr w14:val="tx1"/>
                  </w14:solidFill>
                </w14:textFill>
              </w:rPr>
              <w:t>（</w:t>
            </w:r>
            <w:r>
              <w:rPr>
                <w:rFonts w:hint="eastAsia" w:cs="Times New Roman"/>
                <w:color w:val="000000" w:themeColor="text1"/>
                <w:highlight w:val="none"/>
                <w:u w:val="single"/>
                <w:lang w:val="en-US" w:eastAsia="zh-CN"/>
                <w14:textFill>
                  <w14:solidFill>
                    <w14:schemeClr w14:val="tx1"/>
                  </w14:solidFill>
                </w14:textFill>
              </w:rPr>
              <w:t>2</w:t>
            </w:r>
            <w:r>
              <w:rPr>
                <w:rFonts w:hint="default" w:ascii="Times New Roman" w:hAnsi="Times New Roman" w:cs="Times New Roman"/>
                <w:color w:val="000000" w:themeColor="text1"/>
                <w:highlight w:val="none"/>
                <w:u w:val="single"/>
                <w:lang w:val="en-US" w:eastAsia="zh-CN"/>
                <w14:textFill>
                  <w14:solidFill>
                    <w14:schemeClr w14:val="tx1"/>
                  </w14:solidFill>
                </w14:textFill>
              </w:rPr>
              <w:t>）加快重点行业污染深度治理。高质量推进水泥等重点行业及燃煤锅炉超低排放改造，推进广西新天德能源有限公司1×130t/h锅炉烟气脱硫脱硝超低排放改造。组织水泥行业编制并实施超低排放改造实施方案。推进锅炉和工业炉窑整改升级，确保工业企业全面稳定达标排放。全面开展锅炉和工业炉窑简易低效（失效）治污设施排查，通过清洁能源替代、升级改造、整合退出等方式实施分类处置，对达标无望或治理难度大的改用电锅炉或电炉窑，对无法稳定达标的锅炉、炉窑进行整改，鼓励支持65蒸吨/小时以上的锅炉开展超低排放改造。推进燃气锅炉低氮燃烧改造，推动使用生物质锅炉企业采用专用锅炉，配套布袋等高效除尘设施，禁止掺烧煤炭、生活垃圾等其他物料。推进整合小型生物质锅炉及选择性催化还原技术（SCR）、选择性非催化还原技术（SNCR）、活性焦等成熟技术应用。强化治污设施运行维护，减少非正常工况排放。推动重点涉气企业逐步取消烟气和含VOCs废气旁路，因安全生产需要无法取消的，安装在线监控系统及备用处理设施。</w:t>
            </w:r>
          </w:p>
          <w:p w14:paraId="65090F30">
            <w:pPr>
              <w:pStyle w:val="4"/>
              <w:bidi w:val="0"/>
              <w:rPr>
                <w:rFonts w:hint="default"/>
                <w:color w:val="000000" w:themeColor="text1"/>
                <w:u w:val="single"/>
                <w:lang w:val="en-US" w:eastAsia="zh-CN"/>
                <w14:textFill>
                  <w14:solidFill>
                    <w14:schemeClr w14:val="tx1"/>
                  </w14:solidFill>
                </w14:textFill>
              </w:rPr>
            </w:pPr>
            <w:r>
              <w:rPr>
                <w:rFonts w:hint="default"/>
                <w:color w:val="000000" w:themeColor="text1"/>
                <w:u w:val="single"/>
                <w:lang w:val="en-US" w:eastAsia="zh-CN"/>
                <w14:textFill>
                  <w14:solidFill>
                    <w14:schemeClr w14:val="tx1"/>
                  </w14:solidFill>
                </w14:textFill>
              </w:rPr>
              <w:t>本项目为广西中马投控分布式能源有限公司供热配套锅炉增容改造项目，项目拟在公司厂内自有空地安装一台8t/h生物质颗粒链条炉排锅炉对公司供热系统进行增容改造，锅炉为新型DZL系列为单筒纵置式水火管锅壳式锅炉</w:t>
            </w:r>
            <w:r>
              <w:rPr>
                <w:rFonts w:hint="eastAsia"/>
                <w:color w:val="000000" w:themeColor="text1"/>
                <w:u w:val="single"/>
                <w:lang w:val="en-US" w:eastAsia="zh-CN"/>
                <w14:textFill>
                  <w14:solidFill>
                    <w14:schemeClr w14:val="tx1"/>
                  </w14:solidFill>
                </w14:textFill>
              </w:rPr>
              <w:t>、</w:t>
            </w:r>
            <w:r>
              <w:rPr>
                <w:rFonts w:hint="default"/>
                <w:color w:val="000000" w:themeColor="text1"/>
                <w:u w:val="single"/>
                <w:lang w:val="en-US" w:eastAsia="zh-CN"/>
                <w14:textFill>
                  <w14:solidFill>
                    <w14:schemeClr w14:val="tx1"/>
                  </w14:solidFill>
                </w14:textFill>
              </w:rPr>
              <w:t>采用链条炉排燃烧方式，</w:t>
            </w:r>
            <w:r>
              <w:rPr>
                <w:rFonts w:hint="eastAsia"/>
                <w:color w:val="000000" w:themeColor="text1"/>
                <w:u w:val="single"/>
                <w:lang w:val="en-US" w:eastAsia="zh-CN"/>
                <w14:textFill>
                  <w14:solidFill>
                    <w14:schemeClr w14:val="tx1"/>
                  </w14:solidFill>
                </w14:textFill>
              </w:rPr>
              <w:t>锅炉</w:t>
            </w:r>
            <w:r>
              <w:rPr>
                <w:rFonts w:hint="default"/>
                <w:color w:val="000000" w:themeColor="text1"/>
                <w:u w:val="single"/>
                <w:lang w:val="en-US" w:eastAsia="zh-CN"/>
                <w14:textFill>
                  <w14:solidFill>
                    <w14:schemeClr w14:val="tx1"/>
                  </w14:solidFill>
                </w14:textFill>
              </w:rPr>
              <w:t>型号为DZL8-1.25-SC</w:t>
            </w:r>
            <w:r>
              <w:rPr>
                <w:rFonts w:hint="eastAsia"/>
                <w:color w:val="000000" w:themeColor="text1"/>
                <w:u w:val="single"/>
                <w:lang w:val="en-US" w:eastAsia="zh-CN"/>
                <w14:textFill>
                  <w14:solidFill>
                    <w14:schemeClr w14:val="tx1"/>
                  </w14:solidFill>
                </w14:textFill>
              </w:rPr>
              <w:t>。本项目锅炉为专用生物质锅炉，燃料为生物质成型燃料、不属于生物质非成型燃料</w:t>
            </w:r>
            <w:r>
              <w:rPr>
                <w:rFonts w:hint="eastAsia" w:cs="Times New Roman"/>
                <w:color w:val="000000" w:themeColor="text1"/>
                <w:highlight w:val="none"/>
                <w:u w:val="single"/>
                <w:lang w:val="en-US" w:eastAsia="zh-CN"/>
                <w14:textFill>
                  <w14:solidFill>
                    <w14:schemeClr w14:val="tx1"/>
                  </w14:solidFill>
                </w14:textFill>
              </w:rPr>
              <w:t>、</w:t>
            </w:r>
            <w:r>
              <w:rPr>
                <w:rFonts w:hint="eastAsia"/>
                <w:color w:val="000000" w:themeColor="text1"/>
                <w:u w:val="single"/>
                <w:lang w:val="en-US" w:eastAsia="zh-CN"/>
                <w14:textFill>
                  <w14:solidFill>
                    <w14:schemeClr w14:val="tx1"/>
                  </w14:solidFill>
                </w14:textFill>
              </w:rPr>
              <w:t>不属于高污染燃料，锅炉使用过程中不</w:t>
            </w:r>
            <w:r>
              <w:rPr>
                <w:rFonts w:hint="default" w:ascii="Times New Roman" w:hAnsi="Times New Roman" w:cs="Times New Roman"/>
                <w:color w:val="000000" w:themeColor="text1"/>
                <w:highlight w:val="none"/>
                <w:u w:val="single"/>
                <w:lang w:val="en-US" w:eastAsia="zh-CN"/>
                <w14:textFill>
                  <w14:solidFill>
                    <w14:schemeClr w14:val="tx1"/>
                  </w14:solidFill>
                </w14:textFill>
              </w:rPr>
              <w:t>掺烧煤炭、生活垃圾等其他物料</w:t>
            </w:r>
            <w:r>
              <w:rPr>
                <w:rFonts w:hint="eastAsia"/>
                <w:color w:val="000000" w:themeColor="text1"/>
                <w:u w:val="single"/>
                <w:lang w:val="en-US" w:eastAsia="zh-CN"/>
                <w14:textFill>
                  <w14:solidFill>
                    <w14:schemeClr w14:val="tx1"/>
                  </w14:solidFill>
                </w14:textFill>
              </w:rPr>
              <w:t>；锅炉建设过程中</w:t>
            </w:r>
            <w:r>
              <w:rPr>
                <w:rFonts w:hint="default" w:ascii="Times New Roman" w:hAnsi="Times New Roman" w:cs="Times New Roman"/>
                <w:color w:val="000000" w:themeColor="text1"/>
                <w:highlight w:val="none"/>
                <w:u w:val="single"/>
                <w:lang w:val="en-US" w:eastAsia="zh-CN"/>
                <w14:textFill>
                  <w14:solidFill>
                    <w14:schemeClr w14:val="tx1"/>
                  </w14:solidFill>
                </w14:textFill>
              </w:rPr>
              <w:t>配套“低氮燃烧+含陶瓷多管除尘器+布袋除尘器”</w:t>
            </w:r>
            <w:r>
              <w:rPr>
                <w:rFonts w:hint="eastAsia" w:cs="Times New Roman"/>
                <w:color w:val="000000" w:themeColor="text1"/>
                <w:highlight w:val="none"/>
                <w:u w:val="single"/>
                <w:lang w:val="en-US" w:eastAsia="zh-CN"/>
                <w14:textFill>
                  <w14:solidFill>
                    <w14:schemeClr w14:val="tx1"/>
                  </w14:solidFill>
                </w14:textFill>
              </w:rPr>
              <w:t>废气</w:t>
            </w:r>
            <w:r>
              <w:rPr>
                <w:rFonts w:hint="default" w:ascii="Times New Roman" w:hAnsi="Times New Roman" w:cs="Times New Roman"/>
                <w:color w:val="000000" w:themeColor="text1"/>
                <w:highlight w:val="none"/>
                <w:u w:val="single"/>
                <w:lang w:val="en-US" w:eastAsia="zh-CN"/>
                <w14:textFill>
                  <w14:solidFill>
                    <w14:schemeClr w14:val="tx1"/>
                  </w14:solidFill>
                </w14:textFill>
              </w:rPr>
              <w:t>处理设施，所采用的布袋除尘器为成熟稳定的高效除尘设施，</w:t>
            </w:r>
            <w:r>
              <w:rPr>
                <w:rFonts w:hint="eastAsia" w:cs="Times New Roman"/>
                <w:color w:val="000000" w:themeColor="text1"/>
                <w:highlight w:val="none"/>
                <w:u w:val="single"/>
                <w:lang w:val="en-US" w:eastAsia="zh-CN"/>
                <w14:textFill>
                  <w14:solidFill>
                    <w14:schemeClr w14:val="tx1"/>
                  </w14:solidFill>
                </w14:textFill>
              </w:rPr>
              <w:t>同时</w:t>
            </w:r>
            <w:r>
              <w:rPr>
                <w:rFonts w:hint="default"/>
                <w:color w:val="000000" w:themeColor="text1"/>
                <w:u w:val="single"/>
                <w:lang w:val="en-US" w:eastAsia="zh-CN"/>
                <w14:textFill>
                  <w14:solidFill>
                    <w14:schemeClr w14:val="tx1"/>
                  </w14:solidFill>
                </w14:textFill>
              </w:rPr>
              <w:t>配套建设锅炉基础、挡雨棚、烟囱、蒸汽管道等工程</w:t>
            </w:r>
            <w:r>
              <w:rPr>
                <w:rFonts w:hint="eastAsia"/>
                <w:color w:val="000000" w:themeColor="text1"/>
                <w:u w:val="single"/>
                <w:lang w:val="en-US" w:eastAsia="zh-CN"/>
                <w14:textFill>
                  <w14:solidFill>
                    <w14:schemeClr w14:val="tx1"/>
                  </w14:solidFill>
                </w14:textFill>
              </w:rPr>
              <w:t>。</w:t>
            </w:r>
            <w:r>
              <w:rPr>
                <w:rFonts w:hint="default"/>
                <w:color w:val="000000" w:themeColor="text1"/>
                <w:u w:val="single"/>
                <w:lang w:val="en-US" w:eastAsia="zh-CN"/>
                <w14:textFill>
                  <w14:solidFill>
                    <w14:schemeClr w14:val="tx1"/>
                  </w14:solidFill>
                </w14:textFill>
              </w:rPr>
              <w:t>因此本项目与《钦州市人民政府关于印发钦州市空气质量持续改善行动实施方案的通知》（钦政发〔2024〕11号）相符合。</w:t>
            </w:r>
          </w:p>
          <w:p w14:paraId="6FEE780D">
            <w:pPr>
              <w:pStyle w:val="41"/>
              <w:keepNext w:val="0"/>
              <w:keepLines w:val="0"/>
              <w:pageBreakBefore w:val="0"/>
              <w:widowControl w:val="0"/>
              <w:kinsoku/>
              <w:wordWrap/>
              <w:overflowPunct/>
              <w:topLinePunct w:val="0"/>
              <w:autoSpaceDE/>
              <w:autoSpaceDN/>
              <w:bidi w:val="0"/>
              <w:adjustRightInd w:val="0"/>
              <w:snapToGrid w:val="0"/>
              <w:textAlignment w:val="auto"/>
              <w:outlineLvl w:val="9"/>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lang w:val="en-US" w:eastAsia="zh-CN"/>
                <w14:textFill>
                  <w14:solidFill>
                    <w14:schemeClr w14:val="tx1"/>
                  </w14:solidFill>
                </w14:textFill>
              </w:rPr>
              <w:t>、与《锅炉绿色低碳高质量发展行动方案》（发改环资〔2023〕1638号）</w:t>
            </w:r>
            <w:r>
              <w:rPr>
                <w:rFonts w:hint="eastAsia" w:cs="Times New Roman"/>
                <w:color w:val="000000" w:themeColor="text1"/>
                <w:highlight w:val="none"/>
                <w:lang w:val="en-US" w:eastAsia="zh-CN"/>
                <w14:textFill>
                  <w14:solidFill>
                    <w14:schemeClr w14:val="tx1"/>
                  </w14:solidFill>
                </w14:textFill>
              </w:rPr>
              <w:t>符合性</w:t>
            </w:r>
            <w:r>
              <w:rPr>
                <w:rFonts w:hint="default" w:ascii="Times New Roman" w:hAnsi="Times New Roman" w:cs="Times New Roman"/>
                <w:color w:val="000000" w:themeColor="text1"/>
                <w:highlight w:val="none"/>
                <w:lang w:val="en-US" w:eastAsia="zh-CN"/>
                <w14:textFill>
                  <w14:solidFill>
                    <w14:schemeClr w14:val="tx1"/>
                  </w14:solidFill>
                </w14:textFill>
              </w:rPr>
              <w:t>分析</w:t>
            </w:r>
          </w:p>
          <w:p w14:paraId="25D52F8B">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根据国家发展和改革委员会发布的《锅炉绿色低碳高质量发展行动方案》可知，方案要求：</w:t>
            </w:r>
          </w:p>
          <w:p w14:paraId="4B6FB81F">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提高新建锅炉标准：在集中供热管网覆盖范围内，禁止新建、扩建分散燃煤供热锅炉，限制新建分散化石燃料锅炉。新建容量在10蒸吨/小时及以下工业锅炉优先选用蓄热式电加热锅炉、冷凝式燃气锅炉。推动燃气锅炉全面采用低氮燃烧技术，严格限制排烟温度，适时禁止非冷凝式燃气锅炉进入市场，优先使用低噪声工艺和设备。</w:t>
            </w:r>
          </w:p>
          <w:p w14:paraId="396EC1DF">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（2）协同推进节能降碳减污改造：生物质锅炉应配套建设高效除尘设施，氮氧化物排放浓度难以稳定达标的应配套建设脱硝设施，禁止掺烧煤炭、垃圾等其他物料。</w:t>
            </w:r>
          </w:p>
          <w:p w14:paraId="120B96EF">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生物质锅炉采用的生物质燃料属于清洁能源燃料，项目生物质锅炉配套“低氮燃烧+含陶瓷多管除尘器+布袋除尘器”处理设施，所采用的布袋除尘器为成熟稳定的高效除尘设施，锅炉烟气中氮氧化物、二氧化硫、颗粒物均能稳定达标排放。</w:t>
            </w:r>
          </w:p>
          <w:p w14:paraId="39E7AC20">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综上，本改建项目与《锅炉绿色低碳高质量发展行动方案》（发改环资〔2023〕1638号）要求相符合。</w:t>
            </w:r>
          </w:p>
          <w:p w14:paraId="4AC106A3">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5A1CE88A">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0D052925">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054F52EE">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67C5AE4B">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4EA22E2A">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09F7A5FF">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1E147F1F">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27A9B3B2">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6B8EF70D">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2DDFAAB8">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27F150A5">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1B7545A9">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60C88BDE">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0B9C58F2">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4A46A877">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03B71DDC">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0DE7C303">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412D2C83">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64FB5C5A">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4AAF95B7">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107A2D1E">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789C9248">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5D6D9A6C">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0C1D9E68">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p>
        </w:tc>
      </w:tr>
    </w:tbl>
    <w:p w14:paraId="4D026602">
      <w:pPr>
        <w:spacing w:line="360" w:lineRule="auto"/>
        <w:outlineLvl w:val="0"/>
        <w:rPr>
          <w:rFonts w:hint="default" w:ascii="Times New Roman" w:hAnsi="Times New Roman" w:eastAsia="黑体" w:cs="Times New Roman"/>
          <w:color w:val="000000" w:themeColor="text1"/>
          <w:sz w:val="30"/>
          <w:highlight w:val="none"/>
          <w14:textFill>
            <w14:solidFill>
              <w14:schemeClr w14:val="tx1"/>
            </w14:solidFill>
          </w14:textFill>
        </w:rPr>
        <w:sectPr>
          <w:footerReference r:id="rId5"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14:paraId="4081209A">
      <w:pPr>
        <w:pStyle w:val="2"/>
        <w:keepNext/>
        <w:keepLines/>
        <w:pageBreakBefore/>
        <w:widowControl/>
        <w:kinsoku/>
        <w:wordWrap/>
        <w:overflowPunct/>
        <w:topLinePunct w:val="0"/>
        <w:autoSpaceDE/>
        <w:autoSpaceDN/>
        <w:bidi w:val="0"/>
        <w:adjustRightInd/>
        <w:snapToGrid/>
        <w:textAlignment w:val="auto"/>
        <w:rPr>
          <w:rFonts w:hint="default" w:ascii="Times New Roman" w:hAnsi="Times New Roman" w:cs="Times New Roman"/>
          <w:color w:val="000000" w:themeColor="text1"/>
          <w:highlight w:val="none"/>
          <w14:textFill>
            <w14:solidFill>
              <w14:schemeClr w14:val="tx1"/>
            </w14:solidFill>
          </w14:textFill>
        </w:rPr>
      </w:pPr>
      <w:bookmarkStart w:id="26" w:name="_Toc175609268"/>
      <w:bookmarkStart w:id="27" w:name="_Toc191861460"/>
      <w:bookmarkStart w:id="28" w:name="_Toc25"/>
      <w:r>
        <w:rPr>
          <w:rFonts w:hint="default" w:ascii="Times New Roman" w:hAnsi="Times New Roman" w:cs="Times New Roman"/>
          <w:snapToGrid w:val="0"/>
          <w:color w:val="000000" w:themeColor="text1"/>
          <w:highlight w:val="none"/>
          <w14:textFill>
            <w14:solidFill>
              <w14:schemeClr w14:val="tx1"/>
            </w14:solidFill>
          </w14:textFill>
        </w:rPr>
        <w:t>建设项目工程分析</w:t>
      </w:r>
      <w:bookmarkEnd w:id="26"/>
      <w:bookmarkEnd w:id="27"/>
      <w:bookmarkEnd w:id="28"/>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8082"/>
      </w:tblGrid>
      <w:tr w14:paraId="236A4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 w:type="pct"/>
            <w:vAlign w:val="center"/>
          </w:tcPr>
          <w:p w14:paraId="1FA6F9C3">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建设内容</w:t>
            </w:r>
          </w:p>
        </w:tc>
        <w:tc>
          <w:tcPr>
            <w:tcW w:w="4741" w:type="pct"/>
          </w:tcPr>
          <w:p w14:paraId="053519FF">
            <w:pPr>
              <w:pStyle w:val="7"/>
              <w:rPr>
                <w:rFonts w:hint="default" w:ascii="Times New Roman" w:hAnsi="Times New Roman" w:cs="Times New Roman"/>
                <w:color w:val="000000" w:themeColor="text1"/>
                <w:highlight w:val="none"/>
                <w14:textFill>
                  <w14:solidFill>
                    <w14:schemeClr w14:val="tx1"/>
                  </w14:solidFill>
                </w14:textFill>
              </w:rPr>
            </w:pPr>
            <w:bookmarkStart w:id="29" w:name="_Hlk151415178"/>
            <w:r>
              <w:rPr>
                <w:rFonts w:hint="default" w:ascii="Times New Roman" w:hAnsi="Times New Roman" w:cs="Times New Roman"/>
                <w:color w:val="000000" w:themeColor="text1"/>
                <w:highlight w:val="none"/>
                <w14:textFill>
                  <w14:solidFill>
                    <w14:schemeClr w14:val="tx1"/>
                  </w14:solidFill>
                </w14:textFill>
              </w:rPr>
              <w:t>一、项目由来</w:t>
            </w:r>
          </w:p>
          <w:p w14:paraId="276BEA3A">
            <w:pPr>
              <w:pStyle w:val="4"/>
              <w:ind w:firstLine="480"/>
              <w:rPr>
                <w:rFonts w:hint="default" w:ascii="Times New Roman" w:hAnsi="Times New Roman" w:cs="Times New Roman"/>
                <w:color w:val="000000" w:themeColor="text1"/>
                <w:highlight w:val="none"/>
                <w:u w:val="single"/>
                <w:lang w:val="en-US" w:eastAsia="zh-CN"/>
                <w14:textFill>
                  <w14:solidFill>
                    <w14:schemeClr w14:val="tx1"/>
                  </w14:solidFill>
                </w14:textFill>
              </w:rPr>
            </w:pPr>
            <w:bookmarkStart w:id="30" w:name="OLE_LINK274"/>
            <w:bookmarkStart w:id="31" w:name="OLE_LINK275"/>
            <w:r>
              <w:rPr>
                <w:rFonts w:hint="default" w:ascii="Times New Roman" w:hAnsi="Times New Roman" w:cs="Times New Roman"/>
                <w:color w:val="000000" w:themeColor="text1"/>
                <w:highlight w:val="none"/>
                <w:u w:val="single"/>
                <w:lang w:val="en-US" w:eastAsia="zh-CN"/>
                <w14:textFill>
                  <w14:solidFill>
                    <w14:schemeClr w14:val="tx1"/>
                  </w14:solidFill>
                </w14:textFill>
              </w:rPr>
              <w:t>广西中马投控分布式能源有限公司在发电机组停运时采用燃气锅炉对外供热，燃气锅炉额定供热能力为25吨/小时，但实际热用户用汽量仅为4吨/小时，有些时段甚至更低，锅炉运行负荷不足20%，能源利用率低、运行经济性不佳。由于近年天然气价格持续</w:t>
            </w:r>
            <w:r>
              <w:rPr>
                <w:rFonts w:hint="eastAsia" w:cs="Times New Roman"/>
                <w:color w:val="000000" w:themeColor="text1"/>
                <w:highlight w:val="none"/>
                <w:u w:val="single"/>
                <w:lang w:val="en-US" w:eastAsia="zh-CN"/>
                <w14:textFill>
                  <w14:solidFill>
                    <w14:schemeClr w14:val="tx1"/>
                  </w14:solidFill>
                </w14:textFill>
              </w:rPr>
              <w:t>高涨</w:t>
            </w:r>
            <w:r>
              <w:rPr>
                <w:rFonts w:hint="default" w:ascii="Times New Roman" w:hAnsi="Times New Roman" w:cs="Times New Roman"/>
                <w:color w:val="000000" w:themeColor="text1"/>
                <w:highlight w:val="none"/>
                <w:u w:val="single"/>
                <w:lang w:val="en-US" w:eastAsia="zh-CN"/>
                <w14:textFill>
                  <w14:solidFill>
                    <w14:schemeClr w14:val="tx1"/>
                  </w14:solidFill>
                </w14:textFill>
              </w:rPr>
              <w:t>，燃气锅炉蒸汽成本居高不下，蒸汽销售价格空间有限，不具吸引力。中马产业园区以北的金窝工业园已有生物质颗粒燃料生产企业投产，其燃料来源广泛、本地供应充足、价格合理。生物质颗粒锅炉供热是常用的供热方式之一，也符合国家及广西本地相关政策要求。</w:t>
            </w:r>
          </w:p>
          <w:p w14:paraId="549F540E">
            <w:pPr>
              <w:pStyle w:val="4"/>
              <w:ind w:firstLine="480"/>
              <w:rPr>
                <w:rFonts w:hint="default" w:ascii="Times New Roman" w:hAnsi="Times New Roman" w:cs="Times New Roman"/>
                <w:color w:val="000000" w:themeColor="text1"/>
                <w:highlight w:val="none"/>
                <w:u w:val="single"/>
                <w:lang w:val="en-US" w:eastAsia="zh-CN"/>
                <w14:textFill>
                  <w14:solidFill>
                    <w14:schemeClr w14:val="tx1"/>
                  </w14:solidFill>
                </w14:textFill>
              </w:rPr>
            </w:pPr>
            <w:r>
              <w:rPr>
                <w:rFonts w:hint="default" w:ascii="Times New Roman" w:hAnsi="Times New Roman" w:cs="Times New Roman"/>
                <w:color w:val="000000" w:themeColor="text1"/>
                <w:highlight w:val="none"/>
                <w:u w:val="single"/>
                <w:lang w:val="en-US" w:eastAsia="zh-CN"/>
                <w14:textFill>
                  <w14:solidFill>
                    <w14:schemeClr w14:val="tx1"/>
                  </w14:solidFill>
                </w14:textFill>
              </w:rPr>
              <w:t>“广西中马投控分布式能源有限公司供热配套锅炉增容改造项目”建设地点位于中国-马来西亚钦州产业园，地块范围东至锦绣大道、南至关丹大街、西临中马数据中心、北至南四街，总用地面积约300 ㎡，项目处于中国（广西）自由贸易试验区钦州港片区（中马产业园）范围内。本项目拟在广西中马投控分布式能源公司厂内自有空地安装一台8t/h生物质颗粒锅炉对公司供热系统进行增容改造，锅炉为新型DZL系列为单筒纵置式水火管锅壳式锅炉，型号为DZL8-1.25-SC，燃烧设备为链条炉排，配套建设锅炉基础、挡雨以及布袋除尘、烟囱、蒸汽管道、燃料场等工程。</w:t>
            </w:r>
          </w:p>
          <w:bookmarkEnd w:id="30"/>
          <w:bookmarkEnd w:id="31"/>
          <w:p w14:paraId="3CA2A00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中华人民共和国环境保护法》（2014年4月24日第十二届全国人民代表大会常务委员会第八次会议修订）、《建设项目环境保护管理条例》（中华人民共和国国务院令第682号，2017年7月16日修订）、《中华人民共和国环境影响评价法》（中华人民共和国主席令第二十四号，2018年12月29日修正）的有关规定，本项目需要进行环境影响评价。</w:t>
            </w:r>
          </w:p>
          <w:p w14:paraId="3C90ACC2">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根据《建设项目环境影响评价分类管理名录》（2021版），本项目涉及的标准厂房依托现有工程，生物质锅炉工程属于</w:t>
            </w:r>
            <w:bookmarkStart w:id="32" w:name="OLE_LINK167"/>
            <w:r>
              <w:rPr>
                <w:rFonts w:hint="default" w:ascii="Times New Roman" w:hAnsi="Times New Roman" w:cs="Times New Roman"/>
                <w:color w:val="000000" w:themeColor="text1"/>
                <w:highlight w:val="none"/>
                <w14:textFill>
                  <w14:solidFill>
                    <w14:schemeClr w14:val="tx1"/>
                  </w14:solidFill>
                </w14:textFill>
              </w:rPr>
              <w:t>“</w:t>
            </w:r>
            <w:bookmarkStart w:id="33" w:name="OLE_LINK168"/>
            <w:r>
              <w:rPr>
                <w:rFonts w:hint="default" w:ascii="Times New Roman" w:hAnsi="Times New Roman" w:cs="Times New Roman"/>
                <w:color w:val="000000" w:themeColor="text1"/>
                <w:highlight w:val="none"/>
                <w14:textFill>
                  <w14:solidFill>
                    <w14:schemeClr w14:val="tx1"/>
                  </w14:solidFill>
                </w14:textFill>
              </w:rPr>
              <w:t>四十一、电力、热力生产和供应业-91热力生产和供应工程(包括建设单位自建自用的供热工程)</w:t>
            </w:r>
            <w:bookmarkEnd w:id="32"/>
            <w:r>
              <w:rPr>
                <w:rFonts w:hint="default" w:ascii="Times New Roman" w:hAnsi="Times New Roman" w:cs="Times New Roman"/>
                <w:color w:val="000000" w:themeColor="text1"/>
                <w:highlight w:val="none"/>
                <w14:textFill>
                  <w14:solidFill>
                    <w14:schemeClr w14:val="tx1"/>
                  </w14:solidFill>
                </w14:textFill>
              </w:rPr>
              <w:t>”</w:t>
            </w:r>
            <w:bookmarkEnd w:id="33"/>
            <w:r>
              <w:rPr>
                <w:rFonts w:hint="default" w:ascii="Times New Roman" w:hAnsi="Times New Roman" w:cs="Times New Roman"/>
                <w:color w:val="000000" w:themeColor="text1"/>
                <w:highlight w:val="none"/>
                <w14:textFill>
                  <w14:solidFill>
                    <w14:schemeClr w14:val="tx1"/>
                  </w14:solidFill>
                </w14:textFill>
              </w:rPr>
              <w:t>，应编制环境影响报告表。</w:t>
            </w:r>
          </w:p>
          <w:p w14:paraId="25B8694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广西中马投控分布式能源有限公司</w:t>
            </w:r>
            <w:r>
              <w:rPr>
                <w:rFonts w:hint="default" w:ascii="Times New Roman" w:hAnsi="Times New Roman" w:cs="Times New Roman"/>
                <w:color w:val="000000" w:themeColor="text1"/>
                <w:highlight w:val="none"/>
                <w14:textFill>
                  <w14:solidFill>
                    <w14:schemeClr w14:val="tx1"/>
                  </w14:solidFill>
                </w14:textFill>
              </w:rPr>
              <w:t>委托我公司编制该项目的环境影响报告表。本环评单位接受委托后，立即派技术人员踏勘现场和收集有关资料，并依照相关规定编写成报告表，供建设单位报环境保护行政主管部门审批和作为污染防治建设的依据。</w:t>
            </w:r>
          </w:p>
          <w:p w14:paraId="54988E14">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二、项目概况</w:t>
            </w:r>
          </w:p>
          <w:p w14:paraId="5F6CA712">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（1）项目名称：</w:t>
            </w:r>
            <w:r>
              <w:rPr>
                <w:rFonts w:hint="default" w:ascii="Times New Roman" w:hAnsi="Times New Roman" w:cs="Times New Roman"/>
                <w:color w:val="000000" w:themeColor="text1"/>
                <w:highlight w:val="none"/>
                <w:lang w:eastAsia="zh-CN"/>
                <w14:textFill>
                  <w14:solidFill>
                    <w14:schemeClr w14:val="tx1"/>
                  </w14:solidFill>
                </w14:textFill>
              </w:rPr>
              <w:t>广西中马投控分布式能源有限公司供热配套锅炉增容改造项目</w:t>
            </w:r>
            <w:r>
              <w:rPr>
                <w:rFonts w:hint="default" w:ascii="Times New Roman" w:hAnsi="Times New Roman" w:cs="Times New Roman"/>
                <w:color w:val="000000" w:themeColor="text1"/>
                <w:highlight w:val="none"/>
                <w14:textFill>
                  <w14:solidFill>
                    <w14:schemeClr w14:val="tx1"/>
                  </w14:solidFill>
                </w14:textFill>
              </w:rPr>
              <w:t>；</w:t>
            </w:r>
          </w:p>
          <w:p w14:paraId="7B66BDE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（2）建设单位：</w:t>
            </w:r>
            <w:r>
              <w:rPr>
                <w:rFonts w:hint="default" w:ascii="Times New Roman" w:hAnsi="Times New Roman" w:cs="Times New Roman"/>
                <w:color w:val="000000" w:themeColor="text1"/>
                <w:highlight w:val="none"/>
                <w:lang w:eastAsia="zh-CN"/>
                <w14:textFill>
                  <w14:solidFill>
                    <w14:schemeClr w14:val="tx1"/>
                  </w14:solidFill>
                </w14:textFill>
              </w:rPr>
              <w:t>广西中马投控分布式能源有限公司</w:t>
            </w:r>
            <w:r>
              <w:rPr>
                <w:rFonts w:hint="default" w:ascii="Times New Roman" w:hAnsi="Times New Roman" w:cs="Times New Roman"/>
                <w:color w:val="000000" w:themeColor="text1"/>
                <w:highlight w:val="none"/>
                <w14:textFill>
                  <w14:solidFill>
                    <w14:schemeClr w14:val="tx1"/>
                  </w14:solidFill>
                </w14:textFill>
              </w:rPr>
              <w:t>；</w:t>
            </w:r>
          </w:p>
          <w:p w14:paraId="4AD46EF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（3）建设地点：</w:t>
            </w:r>
            <w:r>
              <w:rPr>
                <w:rFonts w:hint="default" w:ascii="Times New Roman" w:hAnsi="Times New Roman" w:cs="Times New Roman"/>
                <w:color w:val="000000" w:themeColor="text1"/>
                <w:highlight w:val="none"/>
                <w:lang w:val="en-US" w:eastAsia="zh-CN"/>
                <w14:textFill>
                  <w14:solidFill>
                    <w14:schemeClr w14:val="tx1"/>
                  </w14:solidFill>
                </w14:textFill>
              </w:rPr>
              <w:t>中</w:t>
            </w:r>
            <w:r>
              <w:rPr>
                <w:rFonts w:hint="default" w:ascii="Times New Roman" w:hAnsi="Times New Roman" w:cs="Times New Roman"/>
                <w:color w:val="000000" w:themeColor="text1"/>
                <w:highlight w:val="none"/>
                <w:lang w:eastAsia="zh-CN"/>
                <w14:textFill>
                  <w14:solidFill>
                    <w14:schemeClr w14:val="tx1"/>
                  </w14:solidFill>
                </w14:textFill>
              </w:rPr>
              <w:t>国（广西）自由贸易试验区钦州港片区中马钦州产业园区关丹大街6号</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东临锦绣大道、南至关丹大街、西临中马数据中心、北至南四街</w:t>
            </w:r>
            <w:r>
              <w:rPr>
                <w:rFonts w:hint="default" w:ascii="Times New Roman" w:hAnsi="Times New Roman" w:cs="Times New Roman"/>
                <w:color w:val="000000" w:themeColor="text1"/>
                <w:highlight w:val="none"/>
                <w14:textFill>
                  <w14:solidFill>
                    <w14:schemeClr w14:val="tx1"/>
                  </w14:solidFill>
                </w14:textFill>
              </w:rPr>
              <w:t>，项目中心地理坐标为东经</w:t>
            </w:r>
            <w:r>
              <w:rPr>
                <w:rFonts w:hint="default" w:ascii="Times New Roman" w:hAnsi="Times New Roman" w:cs="Times New Roman"/>
                <w:color w:val="000000" w:themeColor="text1"/>
                <w:highlight w:val="none"/>
                <w:lang w:eastAsia="zh-CN"/>
                <w14:textFill>
                  <w14:solidFill>
                    <w14:schemeClr w14:val="tx1"/>
                  </w14:solidFill>
                </w14:textFill>
              </w:rPr>
              <w:t>108°40′22.612″</w:t>
            </w:r>
            <w:r>
              <w:rPr>
                <w:rFonts w:hint="default" w:ascii="Times New Roman" w:hAnsi="Times New Roman" w:cs="Times New Roman"/>
                <w:color w:val="000000" w:themeColor="text1"/>
                <w:highlight w:val="none"/>
                <w14:textFill>
                  <w14:solidFill>
                    <w14:schemeClr w14:val="tx1"/>
                  </w14:solidFill>
                </w14:textFill>
              </w:rPr>
              <w:t>，北纬</w:t>
            </w:r>
            <w:r>
              <w:rPr>
                <w:rFonts w:hint="default" w:ascii="Times New Roman" w:hAnsi="Times New Roman" w:cs="Times New Roman"/>
                <w:color w:val="000000" w:themeColor="text1"/>
                <w:highlight w:val="none"/>
                <w:lang w:eastAsia="zh-CN"/>
                <w14:textFill>
                  <w14:solidFill>
                    <w14:schemeClr w14:val="tx1"/>
                  </w14:solidFill>
                </w14:textFill>
              </w:rPr>
              <w:t>21°45′11.606″</w:t>
            </w:r>
            <w:r>
              <w:rPr>
                <w:rFonts w:hint="default" w:ascii="Times New Roman" w:hAnsi="Times New Roman" w:cs="Times New Roman"/>
                <w:color w:val="000000" w:themeColor="text1"/>
                <w:highlight w:val="none"/>
                <w14:textFill>
                  <w14:solidFill>
                    <w14:schemeClr w14:val="tx1"/>
                  </w14:solidFill>
                </w14:textFill>
              </w:rPr>
              <w:t>；</w:t>
            </w:r>
          </w:p>
          <w:p w14:paraId="4C6C798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（4）项目投资：本项目总投资</w:t>
            </w:r>
            <w:r>
              <w:rPr>
                <w:rFonts w:hint="default" w:ascii="Times New Roman" w:hAnsi="Times New Roman" w:cs="Times New Roman"/>
                <w:color w:val="000000" w:themeColor="text1"/>
                <w:highlight w:val="none"/>
                <w:lang w:eastAsia="zh-CN"/>
                <w14:textFill>
                  <w14:solidFill>
                    <w14:schemeClr w14:val="tx1"/>
                  </w14:solidFill>
                </w14:textFill>
              </w:rPr>
              <w:t>150</w:t>
            </w:r>
            <w:r>
              <w:rPr>
                <w:rFonts w:hint="default" w:ascii="Times New Roman" w:hAnsi="Times New Roman" w:cs="Times New Roman"/>
                <w:color w:val="000000" w:themeColor="text1"/>
                <w:highlight w:val="none"/>
                <w14:textFill>
                  <w14:solidFill>
                    <w14:schemeClr w14:val="tx1"/>
                  </w14:solidFill>
                </w14:textFill>
              </w:rPr>
              <w:t>万元，环保投资</w:t>
            </w:r>
            <w:r>
              <w:rPr>
                <w:rFonts w:hint="default" w:ascii="Times New Roman" w:hAnsi="Times New Roman" w:cs="Times New Roman"/>
                <w:color w:val="000000" w:themeColor="text1"/>
                <w:highlight w:val="none"/>
                <w:lang w:val="en-US" w:eastAsia="zh-CN"/>
                <w14:textFill>
                  <w14:solidFill>
                    <w14:schemeClr w14:val="tx1"/>
                  </w14:solidFill>
                </w14:textFill>
              </w:rPr>
              <w:t>45</w:t>
            </w:r>
            <w:r>
              <w:rPr>
                <w:rFonts w:hint="default" w:ascii="Times New Roman" w:hAnsi="Times New Roman" w:cs="Times New Roman"/>
                <w:color w:val="000000" w:themeColor="text1"/>
                <w:highlight w:val="none"/>
                <w:lang w:eastAsia="zh-CN"/>
                <w14:textFill>
                  <w14:solidFill>
                    <w14:schemeClr w14:val="tx1"/>
                  </w14:solidFill>
                </w14:textFill>
              </w:rPr>
              <w:t>万元</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占总投资的</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lang w:eastAsia="zh-CN"/>
                <w14:textFill>
                  <w14:solidFill>
                    <w14:schemeClr w14:val="tx1"/>
                  </w14:solidFill>
                </w14:textFill>
              </w:rPr>
              <w:t>0%</w:t>
            </w:r>
            <w:r>
              <w:rPr>
                <w:rFonts w:hint="default" w:ascii="Times New Roman" w:hAnsi="Times New Roman" w:cs="Times New Roman"/>
                <w:color w:val="000000" w:themeColor="text1"/>
                <w:highlight w:val="none"/>
                <w14:textFill>
                  <w14:solidFill>
                    <w14:schemeClr w14:val="tx1"/>
                  </w14:solidFill>
                </w14:textFill>
              </w:rPr>
              <w:t>；</w:t>
            </w:r>
          </w:p>
          <w:p w14:paraId="2CEAC5BB">
            <w:pPr>
              <w:pStyle w:val="4"/>
              <w:ind w:firstLine="48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（5）建设内容及生产规模：</w:t>
            </w:r>
            <w:bookmarkStart w:id="34" w:name="OLE_LINK180"/>
            <w:r>
              <w:rPr>
                <w:rFonts w:hint="default" w:ascii="Times New Roman" w:hAnsi="Times New Roman" w:cs="Times New Roman"/>
                <w:color w:val="000000" w:themeColor="text1"/>
                <w:highlight w:val="none"/>
                <w14:textFill>
                  <w14:solidFill>
                    <w14:schemeClr w14:val="tx1"/>
                  </w14:solidFill>
                </w14:textFill>
              </w:rPr>
              <w:t>本项目为</w:t>
            </w:r>
            <w:bookmarkStart w:id="35" w:name="OLE_LINK194"/>
            <w:r>
              <w:rPr>
                <w:rFonts w:hint="default" w:ascii="Times New Roman" w:hAnsi="Times New Roman" w:cs="Times New Roman"/>
                <w:color w:val="000000" w:themeColor="text1"/>
                <w:highlight w:val="none"/>
                <w:lang w:eastAsia="zh-CN"/>
                <w14:textFill>
                  <w14:solidFill>
                    <w14:schemeClr w14:val="tx1"/>
                  </w14:solidFill>
                </w14:textFill>
              </w:rPr>
              <w:t>广西中马投控分布式能源有限公司供热配套锅炉增容改造项目</w:t>
            </w:r>
            <w:bookmarkEnd w:id="34"/>
            <w:bookmarkEnd w:id="35"/>
            <w:r>
              <w:rPr>
                <w:rFonts w:hint="default" w:ascii="Times New Roman" w:hAnsi="Times New Roman" w:cs="Times New Roman"/>
                <w:color w:val="000000" w:themeColor="text1"/>
                <w:highlight w:val="none"/>
                <w:lang w:eastAsia="zh-CN"/>
                <w14:textFill>
                  <w14:solidFill>
                    <w14:schemeClr w14:val="tx1"/>
                  </w14:solidFill>
                </w14:textFill>
              </w:rPr>
              <w:t>，项目拟在广西中马投控分布式能源公司厂内自有空地安装一台8t/h生物质颗粒锅炉对公司供热系统进行增容改造，锅炉为新型DZL系列为单筒纵置式水火管锅壳式锅炉，型号为DZL8-1.25-SC，燃烧设备为链条炉排，配套建设锅炉基础、挡雨棚以及布袋除尘、烟囱、蒸汽管道等工程，占地面积约250㎡，总投资约150万元。</w:t>
            </w:r>
          </w:p>
          <w:p w14:paraId="6941A57B">
            <w:pPr>
              <w:pStyle w:val="37"/>
              <w:bidi w:val="0"/>
              <w:rPr>
                <w:rFonts w:hint="default" w:ascii="Times New Roman" w:hAnsi="Times New Roman" w:cs="Times New Roman"/>
                <w:color w:val="000000" w:themeColor="text1"/>
                <w:highlight w:val="none"/>
                <w14:textFill>
                  <w14:solidFill>
                    <w14:schemeClr w14:val="tx1"/>
                  </w14:solidFill>
                </w14:textFill>
              </w:rPr>
            </w:pPr>
            <w:bookmarkStart w:id="36" w:name="_Toc10588"/>
            <w:bookmarkStart w:id="37" w:name="_Hlk152252157"/>
            <w:r>
              <w:rPr>
                <w:rFonts w:hint="default" w:ascii="Times New Roman" w:hAnsi="Times New Roman" w:cs="Times New Roman"/>
                <w:color w:val="000000" w:themeColor="text1"/>
                <w:highlight w:val="none"/>
                <w14:textFill>
                  <w14:solidFill>
                    <w14:schemeClr w14:val="tx1"/>
                  </w14:solidFill>
                </w14:textFill>
              </w:rPr>
              <w:t>三、项目组成</w:t>
            </w:r>
            <w:bookmarkEnd w:id="36"/>
            <w:bookmarkStart w:id="38" w:name="OLE_LINK36"/>
          </w:p>
          <w:bookmarkEnd w:id="38"/>
          <w:p w14:paraId="56ABCA82">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本项目工程组成见表2- 1。</w:t>
            </w:r>
          </w:p>
          <w:bookmarkEnd w:id="29"/>
          <w:bookmarkEnd w:id="37"/>
          <w:p w14:paraId="40FB3C52">
            <w:pPr>
              <w:pStyle w:val="34"/>
              <w:rPr>
                <w:rFonts w:hint="default" w:ascii="Times New Roman" w:hAnsi="Times New Roman" w:cs="Times New Roman"/>
                <w:color w:val="000000" w:themeColor="text1"/>
                <w:szCs w:val="24"/>
                <w:highlight w:val="none"/>
                <w14:textFill>
                  <w14:solidFill>
                    <w14:schemeClr w14:val="tx1"/>
                  </w14:solidFill>
                </w14:textFill>
              </w:rPr>
            </w:pPr>
            <w:bookmarkStart w:id="39" w:name="_Ref170675760"/>
            <w:bookmarkStart w:id="40" w:name="_Ref176965472"/>
            <w:r>
              <w:rPr>
                <w:rFonts w:hint="default" w:ascii="Times New Roman" w:hAnsi="Times New Roman" w:cs="Times New Roman"/>
                <w:color w:val="000000" w:themeColor="text1"/>
                <w:highlight w:val="none"/>
                <w14:textFill>
                  <w14:solidFill>
                    <w14:schemeClr w14:val="tx1"/>
                  </w14:solidFill>
                </w14:textFill>
              </w:rPr>
              <w:t>表2- 1</w:t>
            </w:r>
            <w:bookmarkEnd w:id="39"/>
            <w:r>
              <w:rPr>
                <w:rFonts w:hint="default" w:ascii="Times New Roman" w:hAnsi="Times New Roman" w:cs="Times New Roman"/>
                <w:color w:val="000000" w:themeColor="text1"/>
                <w:highlight w:val="none"/>
                <w14:textFill>
                  <w14:solidFill>
                    <w14:schemeClr w14:val="tx1"/>
                  </w14:solidFill>
                </w14:textFill>
              </w:rPr>
              <w:t>：</w:t>
            </w:r>
            <w:bookmarkStart w:id="41" w:name="_Hlk170745151"/>
            <w:r>
              <w:rPr>
                <w:rFonts w:hint="default" w:ascii="Times New Roman" w:hAnsi="Times New Roman" w:cs="Times New Roman"/>
                <w:color w:val="000000" w:themeColor="text1"/>
                <w:highlight w:val="none"/>
                <w14:textFill>
                  <w14:solidFill>
                    <w14:schemeClr w14:val="tx1"/>
                  </w14:solidFill>
                </w14:textFill>
              </w:rPr>
              <w:t>工程组成</w:t>
            </w:r>
            <w:r>
              <w:rPr>
                <w:rFonts w:hint="default" w:ascii="Times New Roman" w:hAnsi="Times New Roman" w:cs="Times New Roman"/>
                <w:color w:val="000000" w:themeColor="text1"/>
                <w:szCs w:val="24"/>
                <w:highlight w:val="none"/>
                <w14:textFill>
                  <w14:solidFill>
                    <w14:schemeClr w14:val="tx1"/>
                  </w14:solidFill>
                </w14:textFill>
              </w:rPr>
              <w:t>一览表</w:t>
            </w:r>
            <w:bookmarkEnd w:id="40"/>
            <w:bookmarkEnd w:id="41"/>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84"/>
              <w:gridCol w:w="664"/>
              <w:gridCol w:w="769"/>
              <w:gridCol w:w="4149"/>
              <w:gridCol w:w="1597"/>
            </w:tblGrid>
            <w:tr w14:paraId="61885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397" w:hRule="atLeast"/>
                <w:jc w:val="center"/>
              </w:trPr>
              <w:tc>
                <w:tcPr>
                  <w:tcW w:w="435" w:type="pct"/>
                  <w:tcBorders>
                    <w:tl2br w:val="nil"/>
                    <w:tr2bl w:val="nil"/>
                  </w:tcBorders>
                  <w:shd w:val="clear" w:color="auto" w:fill="auto"/>
                  <w:vAlign w:val="center"/>
                </w:tcPr>
                <w:p w14:paraId="07E26732">
                  <w:pPr>
                    <w:pStyle w:val="35"/>
                    <w:bidi w:val="0"/>
                    <w:jc w:val="center"/>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工程</w:t>
                  </w:r>
                </w:p>
                <w:p w14:paraId="541DACAA">
                  <w:pPr>
                    <w:pStyle w:val="35"/>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类别</w:t>
                  </w:r>
                </w:p>
              </w:tc>
              <w:tc>
                <w:tcPr>
                  <w:tcW w:w="911" w:type="pct"/>
                  <w:gridSpan w:val="2"/>
                  <w:tcBorders>
                    <w:tl2br w:val="nil"/>
                    <w:tr2bl w:val="nil"/>
                  </w:tcBorders>
                  <w:shd w:val="clear" w:color="auto" w:fill="auto"/>
                  <w:vAlign w:val="center"/>
                </w:tcPr>
                <w:p w14:paraId="183C0432">
                  <w:pPr>
                    <w:pStyle w:val="35"/>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工程名称</w:t>
                  </w:r>
                </w:p>
              </w:tc>
              <w:tc>
                <w:tcPr>
                  <w:tcW w:w="2637" w:type="pct"/>
                  <w:tcBorders>
                    <w:tl2br w:val="nil"/>
                    <w:tr2bl w:val="nil"/>
                  </w:tcBorders>
                  <w:shd w:val="clear" w:color="auto" w:fill="auto"/>
                  <w:vAlign w:val="center"/>
                </w:tcPr>
                <w:p w14:paraId="7E91A52E">
                  <w:pPr>
                    <w:pStyle w:val="35"/>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本次改建工程内容及规模</w:t>
                  </w:r>
                </w:p>
              </w:tc>
              <w:tc>
                <w:tcPr>
                  <w:tcW w:w="1015" w:type="pct"/>
                  <w:tcBorders>
                    <w:tl2br w:val="nil"/>
                    <w:tr2bl w:val="nil"/>
                  </w:tcBorders>
                  <w:shd w:val="clear" w:color="auto" w:fill="auto"/>
                  <w:vAlign w:val="center"/>
                </w:tcPr>
                <w:p w14:paraId="2DC0C4E1">
                  <w:pPr>
                    <w:pStyle w:val="35"/>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备注</w:t>
                  </w:r>
                </w:p>
              </w:tc>
            </w:tr>
            <w:tr w14:paraId="49763E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435" w:type="pct"/>
                  <w:tcBorders>
                    <w:tl2br w:val="nil"/>
                    <w:tr2bl w:val="nil"/>
                  </w:tcBorders>
                  <w:shd w:val="clear" w:color="auto" w:fill="auto"/>
                  <w:vAlign w:val="center"/>
                </w:tcPr>
                <w:p w14:paraId="294D39EE">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主体工程</w:t>
                  </w:r>
                </w:p>
              </w:tc>
              <w:tc>
                <w:tcPr>
                  <w:tcW w:w="911" w:type="pct"/>
                  <w:gridSpan w:val="2"/>
                  <w:tcBorders>
                    <w:tl2br w:val="nil"/>
                    <w:tr2bl w:val="nil"/>
                  </w:tcBorders>
                  <w:shd w:val="clear" w:color="auto" w:fill="auto"/>
                  <w:vAlign w:val="center"/>
                </w:tcPr>
                <w:p w14:paraId="64573505">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生物质锅炉房</w:t>
                  </w:r>
                </w:p>
              </w:tc>
              <w:tc>
                <w:tcPr>
                  <w:tcW w:w="2637" w:type="pct"/>
                  <w:tcBorders>
                    <w:tl2br w:val="nil"/>
                    <w:tr2bl w:val="nil"/>
                  </w:tcBorders>
                  <w:shd w:val="clear" w:color="auto" w:fill="auto"/>
                  <w:vAlign w:val="center"/>
                </w:tcPr>
                <w:p w14:paraId="6A6655D4">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1座，位于公司东侧，占地面积为250m</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，新增一台8t/h</w:t>
                  </w:r>
                  <w:r>
                    <w:rPr>
                      <w:rFonts w:hint="default" w:ascii="Times New Roman" w:hAnsi="Times New Roman" w:cs="Times New Roman"/>
                      <w:color w:val="000000" w:themeColor="text1"/>
                      <w:highlight w:val="none"/>
                      <w:lang w:eastAsia="zh-CN"/>
                      <w14:textFill>
                        <w14:solidFill>
                          <w14:schemeClr w14:val="tx1"/>
                        </w14:solidFill>
                      </w14:textFill>
                    </w:rPr>
                    <w:t>生物质颗粒锅炉</w:t>
                  </w:r>
                  <w:r>
                    <w:rPr>
                      <w:rFonts w:hint="default" w:ascii="Times New Roman" w:hAnsi="Times New Roman" w:cs="Times New Roman"/>
                      <w:color w:val="000000" w:themeColor="text1"/>
                      <w:highlight w:val="none"/>
                      <w:lang w:val="en-US" w:eastAsia="zh-CN"/>
                      <w14:textFill>
                        <w14:solidFill>
                          <w14:schemeClr w14:val="tx1"/>
                        </w14:solidFill>
                      </w14:textFill>
                    </w:rPr>
                    <w:t>，并配套新建污染防治措施，新建35m烟囱（DA004）。</w:t>
                  </w:r>
                </w:p>
              </w:tc>
              <w:tc>
                <w:tcPr>
                  <w:tcW w:w="1015" w:type="pct"/>
                  <w:tcBorders>
                    <w:tl2br w:val="nil"/>
                    <w:tr2bl w:val="nil"/>
                  </w:tcBorders>
                  <w:shd w:val="clear" w:color="auto" w:fill="auto"/>
                  <w:vAlign w:val="center"/>
                </w:tcPr>
                <w:p w14:paraId="50592C6E">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新建生物质锅炉并新建配套污染防治措施。</w:t>
                  </w:r>
                </w:p>
              </w:tc>
            </w:tr>
            <w:tr w14:paraId="17E12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restart"/>
                  <w:tcBorders>
                    <w:tl2br w:val="nil"/>
                    <w:tr2bl w:val="nil"/>
                  </w:tcBorders>
                  <w:shd w:val="clear" w:color="auto" w:fill="auto"/>
                  <w:vAlign w:val="center"/>
                </w:tcPr>
                <w:p w14:paraId="326D3863">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辅助工程</w:t>
                  </w:r>
                </w:p>
              </w:tc>
              <w:tc>
                <w:tcPr>
                  <w:tcW w:w="911" w:type="pct"/>
                  <w:gridSpan w:val="2"/>
                  <w:tcBorders>
                    <w:tl2br w:val="nil"/>
                    <w:tr2bl w:val="nil"/>
                  </w:tcBorders>
                  <w:shd w:val="clear" w:color="auto" w:fill="auto"/>
                  <w:vAlign w:val="center"/>
                </w:tcPr>
                <w:p w14:paraId="7928746D">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生物质燃料堆场</w:t>
                  </w:r>
                </w:p>
              </w:tc>
              <w:tc>
                <w:tcPr>
                  <w:tcW w:w="2637" w:type="pct"/>
                  <w:tcBorders>
                    <w:tl2br w:val="nil"/>
                    <w:tr2bl w:val="nil"/>
                  </w:tcBorders>
                  <w:shd w:val="clear" w:color="auto" w:fill="auto"/>
                  <w:vAlign w:val="center"/>
                </w:tcPr>
                <w:p w14:paraId="3FCDCB16">
                  <w:pPr>
                    <w:pStyle w:val="35"/>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建设在厂区</w:t>
                  </w:r>
                  <w:r>
                    <w:rPr>
                      <w:rFonts w:hint="default" w:ascii="Times New Roman" w:hAnsi="Times New Roman" w:cs="Times New Roman"/>
                      <w:color w:val="000000" w:themeColor="text1"/>
                      <w:highlight w:val="none"/>
                      <w:u w:val="single"/>
                      <w:lang w:val="en-US" w:eastAsia="zh-CN"/>
                      <w14:textFill>
                        <w14:solidFill>
                          <w14:schemeClr w14:val="tx1"/>
                        </w14:solidFill>
                      </w14:textFill>
                    </w:rPr>
                    <w:t>除盐水箱东侧</w:t>
                  </w:r>
                  <w:r>
                    <w:rPr>
                      <w:rFonts w:hint="default" w:ascii="Times New Roman" w:hAnsi="Times New Roman" w:cs="Times New Roman"/>
                      <w:color w:val="000000" w:themeColor="text1"/>
                      <w:highlight w:val="none"/>
                      <w:lang w:val="en-US" w:eastAsia="zh-CN"/>
                      <w14:textFill>
                        <w14:solidFill>
                          <w14:schemeClr w14:val="tx1"/>
                        </w14:solidFill>
                      </w14:textFill>
                    </w:rPr>
                    <w:t>，配套建设有原料库进行堆放生物质燃料</w:t>
                  </w:r>
                </w:p>
              </w:tc>
              <w:tc>
                <w:tcPr>
                  <w:tcW w:w="1015" w:type="pct"/>
                  <w:tcBorders>
                    <w:tl2br w:val="nil"/>
                    <w:tr2bl w:val="nil"/>
                  </w:tcBorders>
                  <w:shd w:val="clear" w:color="auto" w:fill="auto"/>
                  <w:vAlign w:val="center"/>
                </w:tcPr>
                <w:p w14:paraId="720B3741">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新建</w:t>
                  </w:r>
                </w:p>
              </w:tc>
            </w:tr>
            <w:tr w14:paraId="23D60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tcBorders>
                    <w:tl2br w:val="nil"/>
                    <w:tr2bl w:val="nil"/>
                  </w:tcBorders>
                  <w:shd w:val="clear" w:color="auto" w:fill="auto"/>
                  <w:vAlign w:val="center"/>
                </w:tcPr>
                <w:p w14:paraId="1366D6EC">
                  <w:pPr>
                    <w:pStyle w:val="35"/>
                    <w:bidi w:val="0"/>
                    <w:jc w:val="center"/>
                    <w:rPr>
                      <w:rFonts w:hint="default" w:ascii="Times New Roman" w:hAnsi="Times New Roman" w:cs="Times New Roman"/>
                      <w:color w:val="000000" w:themeColor="text1"/>
                      <w:highlight w:val="none"/>
                      <w14:textFill>
                        <w14:solidFill>
                          <w14:schemeClr w14:val="tx1"/>
                        </w14:solidFill>
                      </w14:textFill>
                    </w:rPr>
                  </w:pPr>
                </w:p>
              </w:tc>
              <w:tc>
                <w:tcPr>
                  <w:tcW w:w="911" w:type="pct"/>
                  <w:gridSpan w:val="2"/>
                  <w:tcBorders>
                    <w:tl2br w:val="nil"/>
                    <w:tr2bl w:val="nil"/>
                  </w:tcBorders>
                  <w:shd w:val="clear" w:color="auto" w:fill="auto"/>
                  <w:vAlign w:val="center"/>
                </w:tcPr>
                <w:p w14:paraId="1C22D010">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软水制备系统</w:t>
                  </w:r>
                </w:p>
              </w:tc>
              <w:tc>
                <w:tcPr>
                  <w:tcW w:w="2637" w:type="pct"/>
                  <w:tcBorders>
                    <w:tl2br w:val="nil"/>
                    <w:tr2bl w:val="nil"/>
                  </w:tcBorders>
                  <w:shd w:val="clear" w:color="auto" w:fill="auto"/>
                  <w:vAlign w:val="center"/>
                </w:tcPr>
                <w:p w14:paraId="3D620100">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依托现有锅炉软水制备系统</w:t>
                  </w:r>
                  <w:r>
                    <w:rPr>
                      <w:rFonts w:hint="eastAsia" w:cs="Times New Roman"/>
                      <w:color w:val="000000" w:themeColor="text1"/>
                      <w:highlight w:val="none"/>
                      <w:lang w:val="en-US" w:eastAsia="zh-CN"/>
                      <w14:textFill>
                        <w14:solidFill>
                          <w14:schemeClr w14:val="tx1"/>
                        </w14:solidFill>
                      </w14:textFill>
                    </w:rPr>
                    <w:t>（循环水站）</w:t>
                  </w:r>
                </w:p>
              </w:tc>
              <w:tc>
                <w:tcPr>
                  <w:tcW w:w="1015" w:type="pct"/>
                  <w:tcBorders>
                    <w:tl2br w:val="nil"/>
                    <w:tr2bl w:val="nil"/>
                  </w:tcBorders>
                  <w:shd w:val="clear" w:color="auto" w:fill="auto"/>
                  <w:vAlign w:val="center"/>
                </w:tcPr>
                <w:p w14:paraId="0180A33E">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依托现有</w:t>
                  </w:r>
                </w:p>
              </w:tc>
            </w:tr>
            <w:tr w14:paraId="644D5F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restart"/>
                  <w:tcBorders>
                    <w:tl2br w:val="nil"/>
                    <w:tr2bl w:val="nil"/>
                  </w:tcBorders>
                  <w:shd w:val="clear" w:color="auto" w:fill="auto"/>
                  <w:vAlign w:val="center"/>
                </w:tcPr>
                <w:p w14:paraId="128B367E">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公用工程</w:t>
                  </w:r>
                </w:p>
              </w:tc>
              <w:tc>
                <w:tcPr>
                  <w:tcW w:w="911" w:type="pct"/>
                  <w:gridSpan w:val="2"/>
                  <w:tcBorders>
                    <w:tl2br w:val="nil"/>
                    <w:tr2bl w:val="nil"/>
                  </w:tcBorders>
                  <w:shd w:val="clear" w:color="auto" w:fill="auto"/>
                  <w:vAlign w:val="center"/>
                </w:tcPr>
                <w:p w14:paraId="645FD32D">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供水</w:t>
                  </w:r>
                </w:p>
              </w:tc>
              <w:tc>
                <w:tcPr>
                  <w:tcW w:w="2637" w:type="pct"/>
                  <w:tcBorders>
                    <w:tl2br w:val="nil"/>
                    <w:tr2bl w:val="nil"/>
                  </w:tcBorders>
                  <w:shd w:val="clear" w:color="auto" w:fill="auto"/>
                  <w:vAlign w:val="center"/>
                </w:tcPr>
                <w:p w14:paraId="7075DD6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14:ligatures w14:val="standardContextual"/>
                    </w:rPr>
                    <w:t>市政管网</w:t>
                  </w:r>
                </w:p>
              </w:tc>
              <w:tc>
                <w:tcPr>
                  <w:tcW w:w="1015" w:type="pct"/>
                  <w:tcBorders>
                    <w:tl2br w:val="nil"/>
                    <w:tr2bl w:val="nil"/>
                  </w:tcBorders>
                  <w:shd w:val="clear" w:color="auto" w:fill="auto"/>
                  <w:vAlign w:val="center"/>
                </w:tcPr>
                <w:p w14:paraId="2332BB39">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依托现有</w:t>
                  </w:r>
                </w:p>
              </w:tc>
            </w:tr>
            <w:tr w14:paraId="4B2BDA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tcBorders>
                    <w:tl2br w:val="nil"/>
                    <w:tr2bl w:val="nil"/>
                  </w:tcBorders>
                  <w:shd w:val="clear" w:color="auto" w:fill="auto"/>
                  <w:vAlign w:val="center"/>
                </w:tcPr>
                <w:p w14:paraId="738D1173">
                  <w:pPr>
                    <w:pStyle w:val="35"/>
                    <w:bidi w:val="0"/>
                    <w:jc w:val="center"/>
                    <w:rPr>
                      <w:rFonts w:hint="default" w:ascii="Times New Roman" w:hAnsi="Times New Roman" w:cs="Times New Roman"/>
                      <w:color w:val="000000" w:themeColor="text1"/>
                      <w:highlight w:val="none"/>
                      <w14:textFill>
                        <w14:solidFill>
                          <w14:schemeClr w14:val="tx1"/>
                        </w14:solidFill>
                      </w14:textFill>
                    </w:rPr>
                  </w:pPr>
                </w:p>
              </w:tc>
              <w:tc>
                <w:tcPr>
                  <w:tcW w:w="911" w:type="pct"/>
                  <w:gridSpan w:val="2"/>
                  <w:tcBorders>
                    <w:tl2br w:val="nil"/>
                    <w:tr2bl w:val="nil"/>
                  </w:tcBorders>
                  <w:shd w:val="clear" w:color="auto" w:fill="auto"/>
                  <w:vAlign w:val="center"/>
                </w:tcPr>
                <w:p w14:paraId="242E6C33">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供电</w:t>
                  </w:r>
                </w:p>
              </w:tc>
              <w:tc>
                <w:tcPr>
                  <w:tcW w:w="2637" w:type="pct"/>
                  <w:tcBorders>
                    <w:tl2br w:val="nil"/>
                    <w:tr2bl w:val="nil"/>
                  </w:tcBorders>
                  <w:shd w:val="clear" w:color="auto" w:fill="auto"/>
                  <w:vAlign w:val="center"/>
                </w:tcPr>
                <w:p w14:paraId="3D051C9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14:ligatures w14:val="standardContextual"/>
                    </w:rPr>
                    <w:t>市政供电</w:t>
                  </w:r>
                </w:p>
              </w:tc>
              <w:tc>
                <w:tcPr>
                  <w:tcW w:w="1015" w:type="pct"/>
                  <w:tcBorders>
                    <w:tl2br w:val="nil"/>
                    <w:tr2bl w:val="nil"/>
                  </w:tcBorders>
                  <w:shd w:val="clear" w:color="auto" w:fill="auto"/>
                  <w:vAlign w:val="center"/>
                </w:tcPr>
                <w:p w14:paraId="69569E5F">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依托现有</w:t>
                  </w:r>
                </w:p>
              </w:tc>
            </w:tr>
            <w:tr w14:paraId="11B64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35" w:type="pct"/>
                  <w:vMerge w:val="continue"/>
                  <w:tcBorders>
                    <w:tl2br w:val="nil"/>
                    <w:tr2bl w:val="nil"/>
                  </w:tcBorders>
                  <w:shd w:val="clear" w:color="auto" w:fill="auto"/>
                  <w:vAlign w:val="center"/>
                </w:tcPr>
                <w:p w14:paraId="1E32F19A">
                  <w:pPr>
                    <w:pStyle w:val="35"/>
                    <w:bidi w:val="0"/>
                    <w:jc w:val="center"/>
                    <w:rPr>
                      <w:rFonts w:hint="default" w:ascii="Times New Roman" w:hAnsi="Times New Roman" w:cs="Times New Roman"/>
                      <w:color w:val="000000" w:themeColor="text1"/>
                      <w:highlight w:val="none"/>
                      <w14:textFill>
                        <w14:solidFill>
                          <w14:schemeClr w14:val="tx1"/>
                        </w14:solidFill>
                      </w14:textFill>
                    </w:rPr>
                  </w:pPr>
                </w:p>
              </w:tc>
              <w:tc>
                <w:tcPr>
                  <w:tcW w:w="911" w:type="pct"/>
                  <w:gridSpan w:val="2"/>
                  <w:tcBorders>
                    <w:tl2br w:val="nil"/>
                    <w:tr2bl w:val="nil"/>
                  </w:tcBorders>
                  <w:shd w:val="clear" w:color="auto" w:fill="auto"/>
                  <w:vAlign w:val="center"/>
                </w:tcPr>
                <w:p w14:paraId="55E732D1">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排水</w:t>
                  </w:r>
                </w:p>
              </w:tc>
              <w:tc>
                <w:tcPr>
                  <w:tcW w:w="2637" w:type="pct"/>
                  <w:tcBorders>
                    <w:tl2br w:val="nil"/>
                    <w:tr2bl w:val="nil"/>
                  </w:tcBorders>
                  <w:shd w:val="clear" w:color="auto" w:fill="auto"/>
                  <w:vAlign w:val="center"/>
                </w:tcPr>
                <w:p w14:paraId="7679C628">
                  <w:pPr>
                    <w:pStyle w:val="35"/>
                    <w:bidi w:val="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本项目产生运营期主要的废水污染为锅炉废水、蒸汽锅炉配套软水制备过程中产生的浓水，</w:t>
                  </w:r>
                  <w:r>
                    <w:rPr>
                      <w:rFonts w:hint="default" w:ascii="Times New Roman" w:hAnsi="Times New Roman" w:cs="Times New Roman"/>
                      <w:color w:val="000000" w:themeColor="text1"/>
                      <w:highlight w:val="none"/>
                      <w14:textFill>
                        <w14:solidFill>
                          <w14:schemeClr w14:val="tx1"/>
                        </w14:solidFill>
                      </w14:textFill>
                    </w:rPr>
                    <w:t>直接经园区污水管网进入大榄坪污水处理厂处理。</w:t>
                  </w:r>
                </w:p>
              </w:tc>
              <w:tc>
                <w:tcPr>
                  <w:tcW w:w="1015" w:type="pct"/>
                  <w:tcBorders>
                    <w:tl2br w:val="nil"/>
                    <w:tr2bl w:val="nil"/>
                  </w:tcBorders>
                  <w:shd w:val="clear" w:color="auto" w:fill="auto"/>
                  <w:vAlign w:val="center"/>
                </w:tcPr>
                <w:p w14:paraId="0E989E8B">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依托现有</w:t>
                  </w:r>
                </w:p>
              </w:tc>
            </w:tr>
            <w:tr w14:paraId="684D4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35" w:type="pct"/>
                  <w:vMerge w:val="restart"/>
                  <w:tcBorders>
                    <w:tl2br w:val="nil"/>
                    <w:tr2bl w:val="nil"/>
                  </w:tcBorders>
                  <w:shd w:val="clear" w:color="auto" w:fill="auto"/>
                  <w:vAlign w:val="center"/>
                </w:tcPr>
                <w:p w14:paraId="308F6E0A">
                  <w:pPr>
                    <w:pStyle w:val="35"/>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环保工程</w:t>
                  </w:r>
                </w:p>
              </w:tc>
              <w:tc>
                <w:tcPr>
                  <w:tcW w:w="422" w:type="pct"/>
                  <w:tcBorders>
                    <w:tl2br w:val="nil"/>
                    <w:tr2bl w:val="nil"/>
                  </w:tcBorders>
                  <w:shd w:val="clear" w:color="auto" w:fill="auto"/>
                  <w:vAlign w:val="center"/>
                </w:tcPr>
                <w:p w14:paraId="15CDB70B">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废水</w:t>
                  </w:r>
                  <w:r>
                    <w:rPr>
                      <w:rFonts w:hint="default" w:ascii="Times New Roman" w:hAnsi="Times New Roman" w:cs="Times New Roman"/>
                      <w:color w:val="000000" w:themeColor="text1"/>
                      <w:highlight w:val="none"/>
                      <w14:textFill>
                        <w14:solidFill>
                          <w14:schemeClr w14:val="tx1"/>
                        </w14:solidFill>
                      </w14:textFill>
                      <w14:ligatures w14:val="standardContextual"/>
                    </w:rPr>
                    <w:t>治理</w:t>
                  </w:r>
                </w:p>
              </w:tc>
              <w:tc>
                <w:tcPr>
                  <w:tcW w:w="489" w:type="pct"/>
                  <w:tcBorders>
                    <w:tl2br w:val="nil"/>
                    <w:tr2bl w:val="nil"/>
                  </w:tcBorders>
                  <w:shd w:val="clear" w:color="auto" w:fill="auto"/>
                  <w:vAlign w:val="center"/>
                </w:tcPr>
                <w:p w14:paraId="435D5B3F">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锅炉废水</w:t>
                  </w:r>
                </w:p>
              </w:tc>
              <w:tc>
                <w:tcPr>
                  <w:tcW w:w="2637" w:type="pct"/>
                  <w:tcBorders>
                    <w:tl2br w:val="nil"/>
                    <w:tr2bl w:val="nil"/>
                  </w:tcBorders>
                  <w:shd w:val="clear" w:color="auto" w:fill="auto"/>
                  <w:vAlign w:val="center"/>
                </w:tcPr>
                <w:p w14:paraId="4B3C7E85">
                  <w:pPr>
                    <w:pStyle w:val="35"/>
                    <w:bidi w:val="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锅炉废水主要是锅炉排污水和锅炉软化处理废水，</w:t>
                  </w:r>
                  <w:r>
                    <w:rPr>
                      <w:rFonts w:hint="default" w:ascii="Times New Roman" w:hAnsi="Times New Roman" w:cs="Times New Roman"/>
                      <w:color w:val="000000" w:themeColor="text1"/>
                      <w:highlight w:val="none"/>
                      <w14:textFill>
                        <w14:solidFill>
                          <w14:schemeClr w14:val="tx1"/>
                        </w14:solidFill>
                      </w14:textFill>
                    </w:rPr>
                    <w:t>可直接经园区污水管网进入大榄坪污水处理厂处理。</w:t>
                  </w:r>
                </w:p>
              </w:tc>
              <w:tc>
                <w:tcPr>
                  <w:tcW w:w="1015" w:type="pct"/>
                  <w:tcBorders>
                    <w:tl2br w:val="nil"/>
                    <w:tr2bl w:val="nil"/>
                  </w:tcBorders>
                  <w:shd w:val="clear" w:color="auto" w:fill="auto"/>
                  <w:vAlign w:val="center"/>
                </w:tcPr>
                <w:p w14:paraId="308142F6">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依托现有</w:t>
                  </w:r>
                </w:p>
              </w:tc>
            </w:tr>
            <w:tr w14:paraId="44D7F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435" w:type="pct"/>
                  <w:vMerge w:val="continue"/>
                  <w:tcBorders>
                    <w:tl2br w:val="nil"/>
                    <w:tr2bl w:val="nil"/>
                  </w:tcBorders>
                  <w:shd w:val="clear" w:color="auto" w:fill="auto"/>
                  <w:vAlign w:val="center"/>
                </w:tcPr>
                <w:p w14:paraId="032A1284">
                  <w:pPr>
                    <w:pStyle w:val="35"/>
                    <w:bidi w:val="0"/>
                    <w:jc w:val="center"/>
                    <w:rPr>
                      <w:rFonts w:hint="default" w:ascii="Times New Roman" w:hAnsi="Times New Roman" w:cs="Times New Roman"/>
                      <w:color w:val="000000" w:themeColor="text1"/>
                      <w:highlight w:val="none"/>
                      <w14:textFill>
                        <w14:solidFill>
                          <w14:schemeClr w14:val="tx1"/>
                        </w14:solidFill>
                      </w14:textFill>
                    </w:rPr>
                  </w:pPr>
                </w:p>
              </w:tc>
              <w:tc>
                <w:tcPr>
                  <w:tcW w:w="422" w:type="pct"/>
                  <w:tcBorders>
                    <w:tl2br w:val="nil"/>
                    <w:tr2bl w:val="nil"/>
                  </w:tcBorders>
                  <w:shd w:val="clear" w:color="auto" w:fill="auto"/>
                  <w:vAlign w:val="center"/>
                </w:tcPr>
                <w:p w14:paraId="7BAF6B7C">
                  <w:pPr>
                    <w:pStyle w:val="35"/>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废气</w:t>
                  </w:r>
                  <w:r>
                    <w:rPr>
                      <w:rFonts w:hint="default" w:ascii="Times New Roman" w:hAnsi="Times New Roman" w:cs="Times New Roman"/>
                      <w:color w:val="000000" w:themeColor="text1"/>
                      <w:highlight w:val="none"/>
                      <w14:textFill>
                        <w14:solidFill>
                          <w14:schemeClr w14:val="tx1"/>
                        </w14:solidFill>
                      </w14:textFill>
                      <w14:ligatures w14:val="standardContextual"/>
                    </w:rPr>
                    <w:t>治理</w:t>
                  </w:r>
                </w:p>
              </w:tc>
              <w:tc>
                <w:tcPr>
                  <w:tcW w:w="489" w:type="pct"/>
                  <w:tcBorders>
                    <w:tl2br w:val="nil"/>
                    <w:tr2bl w:val="nil"/>
                  </w:tcBorders>
                  <w:shd w:val="clear" w:color="auto" w:fill="auto"/>
                  <w:vAlign w:val="center"/>
                </w:tcPr>
                <w:p w14:paraId="181023FF">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生物质锅炉</w:t>
                  </w:r>
                </w:p>
              </w:tc>
              <w:tc>
                <w:tcPr>
                  <w:tcW w:w="2637" w:type="pct"/>
                  <w:tcBorders>
                    <w:tl2br w:val="nil"/>
                    <w:tr2bl w:val="nil"/>
                  </w:tcBorders>
                  <w:shd w:val="clear" w:color="auto" w:fill="auto"/>
                  <w:vAlign w:val="center"/>
                </w:tcPr>
                <w:p w14:paraId="070C6CF0">
                  <w:pPr>
                    <w:pStyle w:val="35"/>
                    <w:bidi w:val="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新建1台8t/h生物质锅炉后，锅炉废气采用</w:t>
                  </w:r>
                  <w:r>
                    <w:rPr>
                      <w:rFonts w:hint="default" w:ascii="Times New Roman" w:hAnsi="Times New Roman" w:cs="Times New Roman"/>
                      <w:color w:val="000000" w:themeColor="text1"/>
                      <w:highlight w:val="none"/>
                      <w14:textFill>
                        <w14:solidFill>
                          <w14:schemeClr w14:val="tx1"/>
                        </w14:solidFill>
                      </w14:textFill>
                    </w:rPr>
                    <w:t>低氮燃烧</w:t>
                  </w:r>
                  <w:r>
                    <w:rPr>
                      <w:rFonts w:hint="default" w:ascii="Times New Roman" w:hAnsi="Times New Roman" w:cs="Times New Roman"/>
                      <w:color w:val="000000" w:themeColor="text1"/>
                      <w:highlight w:val="none"/>
                      <w:lang w:eastAsia="zh-CN"/>
                      <w14:textFill>
                        <w14:solidFill>
                          <w14:schemeClr w14:val="tx1"/>
                        </w14:solidFill>
                      </w14:textFill>
                    </w:rPr>
                    <w:t>+含陶瓷多管除尘器+布袋除尘器</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处理后经过新建35m烟囱（DA004）排放。</w:t>
                  </w:r>
                </w:p>
              </w:tc>
              <w:tc>
                <w:tcPr>
                  <w:tcW w:w="1015" w:type="pct"/>
                  <w:tcBorders>
                    <w:tl2br w:val="nil"/>
                    <w:tr2bl w:val="nil"/>
                  </w:tcBorders>
                  <w:shd w:val="clear" w:color="auto" w:fill="auto"/>
                  <w:vAlign w:val="center"/>
                </w:tcPr>
                <w:p w14:paraId="4A310CA0">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锅炉新建</w:t>
                  </w:r>
                </w:p>
              </w:tc>
            </w:tr>
            <w:tr w14:paraId="21127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tcBorders>
                    <w:tl2br w:val="nil"/>
                    <w:tr2bl w:val="nil"/>
                  </w:tcBorders>
                  <w:shd w:val="clear" w:color="auto" w:fill="auto"/>
                  <w:vAlign w:val="center"/>
                </w:tcPr>
                <w:p w14:paraId="64D68291">
                  <w:pPr>
                    <w:pStyle w:val="35"/>
                    <w:bidi w:val="0"/>
                    <w:jc w:val="center"/>
                    <w:rPr>
                      <w:rFonts w:hint="default" w:ascii="Times New Roman" w:hAnsi="Times New Roman" w:cs="Times New Roman"/>
                      <w:color w:val="000000" w:themeColor="text1"/>
                      <w:highlight w:val="none"/>
                      <w14:textFill>
                        <w14:solidFill>
                          <w14:schemeClr w14:val="tx1"/>
                        </w14:solidFill>
                      </w14:textFill>
                    </w:rPr>
                  </w:pPr>
                </w:p>
              </w:tc>
              <w:tc>
                <w:tcPr>
                  <w:tcW w:w="911" w:type="pct"/>
                  <w:gridSpan w:val="2"/>
                  <w:tcBorders>
                    <w:tl2br w:val="nil"/>
                    <w:tr2bl w:val="nil"/>
                  </w:tcBorders>
                  <w:shd w:val="clear" w:color="auto" w:fill="auto"/>
                  <w:vAlign w:val="center"/>
                </w:tcPr>
                <w:p w14:paraId="78C74A87">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噪声</w:t>
                  </w:r>
                  <w:r>
                    <w:rPr>
                      <w:rFonts w:hint="default" w:ascii="Times New Roman" w:hAnsi="Times New Roman" w:cs="Times New Roman"/>
                      <w:color w:val="000000" w:themeColor="text1"/>
                      <w:highlight w:val="none"/>
                      <w14:textFill>
                        <w14:solidFill>
                          <w14:schemeClr w14:val="tx1"/>
                        </w14:solidFill>
                      </w14:textFill>
                      <w14:ligatures w14:val="standardContextual"/>
                    </w:rPr>
                    <w:t>治理</w:t>
                  </w:r>
                </w:p>
              </w:tc>
              <w:tc>
                <w:tcPr>
                  <w:tcW w:w="2637" w:type="pct"/>
                  <w:tcBorders>
                    <w:tl2br w:val="nil"/>
                    <w:tr2bl w:val="nil"/>
                  </w:tcBorders>
                  <w:shd w:val="clear" w:color="auto" w:fill="auto"/>
                  <w:vAlign w:val="center"/>
                </w:tcPr>
                <w:p w14:paraId="7C1B28F9">
                  <w:pPr>
                    <w:pStyle w:val="35"/>
                    <w:bidi w:val="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距离衰减、厂房隔声、基础减振等。</w:t>
                  </w:r>
                </w:p>
              </w:tc>
              <w:tc>
                <w:tcPr>
                  <w:tcW w:w="1015" w:type="pct"/>
                  <w:tcBorders>
                    <w:tl2br w:val="nil"/>
                    <w:tr2bl w:val="nil"/>
                  </w:tcBorders>
                  <w:shd w:val="clear" w:color="auto" w:fill="auto"/>
                  <w:vAlign w:val="center"/>
                </w:tcPr>
                <w:p w14:paraId="26C88E93">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14:ligatures w14:val="standardContextual"/>
                    </w:rPr>
                    <w:t>新建</w:t>
                  </w:r>
                </w:p>
              </w:tc>
            </w:tr>
            <w:tr w14:paraId="6FADF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35" w:type="pct"/>
                  <w:vMerge w:val="continue"/>
                  <w:tcBorders>
                    <w:tl2br w:val="nil"/>
                    <w:tr2bl w:val="nil"/>
                  </w:tcBorders>
                  <w:shd w:val="clear" w:color="auto" w:fill="auto"/>
                  <w:vAlign w:val="center"/>
                </w:tcPr>
                <w:p w14:paraId="663C94EA">
                  <w:pPr>
                    <w:pStyle w:val="35"/>
                    <w:bidi w:val="0"/>
                    <w:jc w:val="center"/>
                    <w:rPr>
                      <w:rFonts w:hint="default" w:ascii="Times New Roman" w:hAnsi="Times New Roman" w:cs="Times New Roman"/>
                      <w:color w:val="000000" w:themeColor="text1"/>
                      <w:highlight w:val="none"/>
                      <w14:textFill>
                        <w14:solidFill>
                          <w14:schemeClr w14:val="tx1"/>
                        </w14:solidFill>
                      </w14:textFill>
                    </w:rPr>
                  </w:pPr>
                </w:p>
              </w:tc>
              <w:tc>
                <w:tcPr>
                  <w:tcW w:w="422" w:type="pct"/>
                  <w:vMerge w:val="restart"/>
                  <w:tcBorders>
                    <w:tl2br w:val="nil"/>
                    <w:tr2bl w:val="nil"/>
                  </w:tcBorders>
                  <w:shd w:val="clear" w:color="auto" w:fill="auto"/>
                  <w:vAlign w:val="center"/>
                </w:tcPr>
                <w:p w14:paraId="0A2D1562">
                  <w:pPr>
                    <w:pStyle w:val="35"/>
                    <w:bidi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固废治理</w:t>
                  </w:r>
                </w:p>
              </w:tc>
              <w:tc>
                <w:tcPr>
                  <w:tcW w:w="489" w:type="pct"/>
                  <w:tcBorders>
                    <w:tl2br w:val="nil"/>
                    <w:tr2bl w:val="nil"/>
                  </w:tcBorders>
                  <w:shd w:val="clear" w:color="auto" w:fill="auto"/>
                  <w:vAlign w:val="center"/>
                </w:tcPr>
                <w:p w14:paraId="01ABAC41">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一般工业固体废物</w:t>
                  </w:r>
                </w:p>
              </w:tc>
              <w:tc>
                <w:tcPr>
                  <w:tcW w:w="2637" w:type="pct"/>
                  <w:tcBorders>
                    <w:tl2br w:val="nil"/>
                    <w:tr2bl w:val="nil"/>
                  </w:tcBorders>
                  <w:shd w:val="clear" w:color="auto" w:fill="auto"/>
                  <w:vAlign w:val="center"/>
                </w:tcPr>
                <w:p w14:paraId="743F1919">
                  <w:pPr>
                    <w:snapToGrid w:val="0"/>
                    <w:jc w:val="left"/>
                    <w:rPr>
                      <w:rFonts w:hint="default" w:ascii="Times New Roman" w:hAnsi="Times New Roman" w:cs="Times New Roman"/>
                      <w:color w:val="000000" w:themeColor="text1"/>
                      <w:sz w:val="21"/>
                      <w:szCs w:val="21"/>
                      <w:highlight w:val="none"/>
                      <w:u w:val="singl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建设30m</w:t>
                  </w:r>
                  <w:r>
                    <w:rPr>
                      <w:rFonts w:hint="eastAsia" w:cs="Times New Roman"/>
                      <w:color w:val="000000" w:themeColor="text1"/>
                      <w:sz w:val="21"/>
                      <w:szCs w:val="21"/>
                      <w:highlight w:val="none"/>
                      <w:vertAlign w:val="superscript"/>
                      <w:lang w:val="en-US" w:eastAsia="zh-CN"/>
                      <w14:textFill>
                        <w14:solidFill>
                          <w14:schemeClr w14:val="tx1"/>
                        </w14:solidFill>
                      </w14:textFill>
                    </w:rPr>
                    <w:t>2</w:t>
                  </w:r>
                  <w:r>
                    <w:rPr>
                      <w:rFonts w:hint="eastAsia" w:cs="Times New Roman"/>
                      <w:color w:val="000000" w:themeColor="text1"/>
                      <w:sz w:val="21"/>
                      <w:szCs w:val="21"/>
                      <w:highlight w:val="none"/>
                      <w:lang w:val="en-US" w:eastAsia="zh-CN"/>
                      <w14:textFill>
                        <w14:solidFill>
                          <w14:schemeClr w14:val="tx1"/>
                        </w14:solidFill>
                      </w14:textFill>
                    </w:rPr>
                    <w:t>灰渣间，</w:t>
                  </w:r>
                  <w:r>
                    <w:rPr>
                      <w:rFonts w:hint="default" w:ascii="Times New Roman" w:hAnsi="Times New Roman" w:cs="Times New Roman"/>
                      <w:color w:val="000000" w:themeColor="text1"/>
                      <w:sz w:val="21"/>
                      <w:szCs w:val="21"/>
                      <w:highlight w:val="none"/>
                      <w:lang w:eastAsia="zh-CN"/>
                      <w14:textFill>
                        <w14:solidFill>
                          <w14:schemeClr w14:val="tx1"/>
                        </w14:solidFill>
                      </w14:textFill>
                    </w:rPr>
                    <w:t>一般工业固体废物：S1沉淀池沉渣、S2废反渗透膜、S3废超滤膜、</w:t>
                  </w:r>
                  <w:r>
                    <w:rPr>
                      <w:rFonts w:hint="default" w:ascii="Times New Roman" w:hAnsi="Times New Roman" w:cs="Times New Roman"/>
                      <w:color w:val="000000" w:themeColor="text1"/>
                      <w:sz w:val="21"/>
                      <w:szCs w:val="21"/>
                      <w:highlight w:val="none"/>
                      <w:u w:val="single"/>
                      <w:lang w:eastAsia="zh-CN"/>
                      <w14:textFill>
                        <w14:solidFill>
                          <w14:schemeClr w14:val="tx1"/>
                        </w14:solidFill>
                      </w14:textFill>
                    </w:rPr>
                    <w:t>S6废布袋收集后外售一般固废处置单位处置；S4生物质锅炉炉渣、S5除尘器粉尘外运做农肥</w:t>
                  </w:r>
                  <w:r>
                    <w:rPr>
                      <w:rFonts w:hint="default" w:ascii="Times New Roman" w:hAnsi="Times New Roman" w:cs="Times New Roman"/>
                      <w:color w:val="000000" w:themeColor="text1"/>
                      <w:sz w:val="21"/>
                      <w:szCs w:val="21"/>
                      <w:highlight w:val="none"/>
                      <w:u w:val="single"/>
                      <w14:textFill>
                        <w14:solidFill>
                          <w14:schemeClr w14:val="tx1"/>
                        </w14:solidFill>
                      </w14:textFill>
                    </w:rPr>
                    <w:t>。</w:t>
                  </w:r>
                </w:p>
                <w:p w14:paraId="07C12B5A">
                  <w:pPr>
                    <w:pStyle w:val="35"/>
                    <w:bidi w:val="0"/>
                    <w:jc w:val="left"/>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u w:val="single"/>
                      <w14:textFill>
                        <w14:solidFill>
                          <w14:schemeClr w14:val="tx1"/>
                        </w14:solidFill>
                      </w14:textFill>
                    </w:rPr>
                    <w:t>生活垃圾：交由环卫部门处置</w:t>
                  </w:r>
                  <w:r>
                    <w:rPr>
                      <w:rFonts w:hint="default" w:ascii="Times New Roman" w:hAnsi="Times New Roman" w:cs="Times New Roman"/>
                      <w:color w:val="000000" w:themeColor="text1"/>
                      <w:sz w:val="21"/>
                      <w:szCs w:val="21"/>
                      <w:highlight w:val="none"/>
                      <w:u w:val="single"/>
                      <w:lang w:eastAsia="zh-CN"/>
                      <w14:textFill>
                        <w14:solidFill>
                          <w14:schemeClr w14:val="tx1"/>
                        </w14:solidFill>
                      </w14:textFill>
                    </w:rPr>
                    <w:t>。</w:t>
                  </w:r>
                </w:p>
              </w:tc>
              <w:tc>
                <w:tcPr>
                  <w:tcW w:w="1015" w:type="pct"/>
                  <w:tcBorders>
                    <w:tl2br w:val="nil"/>
                    <w:tr2bl w:val="nil"/>
                  </w:tcBorders>
                  <w:shd w:val="clear" w:color="auto" w:fill="auto"/>
                  <w:vAlign w:val="center"/>
                </w:tcPr>
                <w:p w14:paraId="6FD37F5A">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新建</w:t>
                  </w:r>
                </w:p>
              </w:tc>
            </w:tr>
            <w:tr w14:paraId="53F2AC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vMerge w:val="continue"/>
                  <w:tcBorders>
                    <w:tl2br w:val="nil"/>
                    <w:tr2bl w:val="nil"/>
                  </w:tcBorders>
                  <w:shd w:val="clear" w:color="auto" w:fill="auto"/>
                  <w:vAlign w:val="center"/>
                </w:tcPr>
                <w:p w14:paraId="70611790">
                  <w:pPr>
                    <w:pStyle w:val="35"/>
                    <w:bidi w:val="0"/>
                    <w:jc w:val="center"/>
                    <w:rPr>
                      <w:rFonts w:hint="default" w:ascii="Times New Roman" w:hAnsi="Times New Roman" w:cs="Times New Roman"/>
                      <w:color w:val="000000" w:themeColor="text1"/>
                      <w:highlight w:val="none"/>
                      <w14:textFill>
                        <w14:solidFill>
                          <w14:schemeClr w14:val="tx1"/>
                        </w14:solidFill>
                      </w14:textFill>
                    </w:rPr>
                  </w:pPr>
                </w:p>
              </w:tc>
              <w:tc>
                <w:tcPr>
                  <w:tcW w:w="422" w:type="pct"/>
                  <w:vMerge w:val="continue"/>
                  <w:tcBorders>
                    <w:tl2br w:val="nil"/>
                    <w:tr2bl w:val="nil"/>
                  </w:tcBorders>
                  <w:shd w:val="clear" w:color="auto" w:fill="auto"/>
                  <w:vAlign w:val="center"/>
                </w:tcPr>
                <w:p w14:paraId="46B79F91">
                  <w:pPr>
                    <w:pStyle w:val="35"/>
                    <w:bidi w:val="0"/>
                    <w:jc w:val="center"/>
                    <w:rPr>
                      <w:rFonts w:hint="default" w:ascii="Times New Roman" w:hAnsi="Times New Roman" w:cs="Times New Roman"/>
                      <w:color w:val="000000" w:themeColor="text1"/>
                      <w:highlight w:val="none"/>
                      <w14:textFill>
                        <w14:solidFill>
                          <w14:schemeClr w14:val="tx1"/>
                        </w14:solidFill>
                      </w14:textFill>
                    </w:rPr>
                  </w:pPr>
                </w:p>
              </w:tc>
              <w:tc>
                <w:tcPr>
                  <w:tcW w:w="489" w:type="pct"/>
                  <w:tcBorders>
                    <w:tl2br w:val="nil"/>
                    <w:tr2bl w:val="nil"/>
                  </w:tcBorders>
                  <w:shd w:val="clear" w:color="auto" w:fill="auto"/>
                  <w:vAlign w:val="center"/>
                </w:tcPr>
                <w:p w14:paraId="39086760">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危险废物</w:t>
                  </w:r>
                </w:p>
              </w:tc>
              <w:tc>
                <w:tcPr>
                  <w:tcW w:w="2637" w:type="pct"/>
                  <w:tcBorders>
                    <w:tl2br w:val="nil"/>
                    <w:tr2bl w:val="nil"/>
                  </w:tcBorders>
                  <w:shd w:val="clear" w:color="auto" w:fill="auto"/>
                  <w:vAlign w:val="center"/>
                </w:tcPr>
                <w:p w14:paraId="29F71552">
                  <w:pPr>
                    <w:widowControl w:val="0"/>
                    <w:overflowPunct w:val="0"/>
                    <w:autoSpaceDE w:val="0"/>
                    <w:autoSpaceDN w:val="0"/>
                    <w:snapToGrid w:val="0"/>
                    <w:jc w:val="left"/>
                    <w:rPr>
                      <w:rFonts w:hint="default" w:ascii="Times New Roman" w:hAnsi="Times New Roman" w:cs="Times New Roman"/>
                      <w:color w:val="000000" w:themeColor="text1"/>
                      <w:highlight w:val="none"/>
                      <w14:textFill>
                        <w14:solidFill>
                          <w14:schemeClr w14:val="tx1"/>
                        </w14:solidFill>
                      </w14:textFill>
                    </w:rPr>
                  </w:pPr>
                  <w:bookmarkStart w:id="42" w:name="OLE_LINK24"/>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S7废润滑油及废油桶、S8废含油抹布</w:t>
                  </w:r>
                  <w:r>
                    <w:rPr>
                      <w:rFonts w:hint="default" w:ascii="Times New Roman" w:hAnsi="Times New Roman" w:cs="Times New Roman"/>
                      <w:color w:val="000000" w:themeColor="text1"/>
                      <w:highlight w:val="none"/>
                      <w14:textFill>
                        <w14:solidFill>
                          <w14:schemeClr w14:val="tx1"/>
                        </w14:solidFill>
                      </w14:textFill>
                      <w14:ligatures w14:val="standardContextual"/>
                    </w:rPr>
                    <w:t>，收集后暂存于危险废物贮存库，定期委托有资质单位处置。</w:t>
                  </w:r>
                  <w:bookmarkEnd w:id="42"/>
                </w:p>
              </w:tc>
              <w:tc>
                <w:tcPr>
                  <w:tcW w:w="1015" w:type="pct"/>
                  <w:tcBorders>
                    <w:tl2br w:val="nil"/>
                    <w:tr2bl w:val="nil"/>
                  </w:tcBorders>
                  <w:shd w:val="clear" w:color="auto" w:fill="auto"/>
                  <w:vAlign w:val="center"/>
                </w:tcPr>
                <w:p w14:paraId="313BC08E">
                  <w:pPr>
                    <w:pStyle w:val="35"/>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依托现有</w:t>
                  </w:r>
                </w:p>
              </w:tc>
            </w:tr>
          </w:tbl>
          <w:p w14:paraId="41D16C4A">
            <w:pPr>
              <w:pStyle w:val="7"/>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四</w:t>
            </w:r>
            <w:r>
              <w:rPr>
                <w:rFonts w:hint="default" w:ascii="Times New Roman" w:hAnsi="Times New Roman" w:cs="Times New Roman"/>
                <w:color w:val="000000" w:themeColor="text1"/>
                <w:highlight w:val="none"/>
                <w14:textFill>
                  <w14:solidFill>
                    <w14:schemeClr w14:val="tx1"/>
                  </w14:solidFill>
                </w14:textFill>
              </w:rPr>
              <w:t>、主要</w:t>
            </w:r>
            <w:r>
              <w:rPr>
                <w:rFonts w:hint="default" w:ascii="Times New Roman" w:hAnsi="Times New Roman" w:cs="Times New Roman"/>
                <w:color w:val="000000" w:themeColor="text1"/>
                <w:highlight w:val="none"/>
                <w:lang w:val="en-US" w:eastAsia="zh-CN"/>
                <w14:textFill>
                  <w14:solidFill>
                    <w14:schemeClr w14:val="tx1"/>
                  </w14:solidFill>
                </w14:textFill>
              </w:rPr>
              <w:t>设备</w:t>
            </w:r>
          </w:p>
          <w:p w14:paraId="42DC2032">
            <w:pPr>
              <w:pStyle w:val="4"/>
              <w:tabs>
                <w:tab w:val="left" w:pos="4433"/>
              </w:tabs>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本项目主要设备明细见下表。</w:t>
            </w:r>
          </w:p>
          <w:p w14:paraId="29E39A88">
            <w:pPr>
              <w:pStyle w:val="34"/>
              <w:rPr>
                <w:rFonts w:hint="default" w:ascii="Times New Roman" w:hAnsi="Times New Roman" w:cs="Times New Roman"/>
                <w:color w:val="000000" w:themeColor="text1"/>
                <w:highlight w:val="none"/>
                <w14:textFill>
                  <w14:solidFill>
                    <w14:schemeClr w14:val="tx1"/>
                  </w14:solidFill>
                </w14:textFill>
              </w:rPr>
            </w:pPr>
            <w:bookmarkStart w:id="43" w:name="_Ref176945961"/>
            <w:r>
              <w:rPr>
                <w:rFonts w:hint="default" w:ascii="Times New Roman" w:hAnsi="Times New Roman" w:cs="Times New Roman"/>
                <w:color w:val="000000" w:themeColor="text1"/>
                <w:highlight w:val="none"/>
                <w14:textFill>
                  <w14:solidFill>
                    <w14:schemeClr w14:val="tx1"/>
                  </w14:solidFill>
                </w14:textFill>
              </w:rPr>
              <w:t>表2-2：本项目主要设备</w:t>
            </w:r>
            <w:bookmarkEnd w:id="43"/>
          </w:p>
          <w:tbl>
            <w:tblPr>
              <w:tblStyle w:val="4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63"/>
              <w:gridCol w:w="1705"/>
              <w:gridCol w:w="3707"/>
              <w:gridCol w:w="760"/>
              <w:gridCol w:w="1028"/>
            </w:tblGrid>
            <w:tr w14:paraId="42E60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2"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2D463A3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序号</w:t>
                  </w:r>
                </w:p>
              </w:tc>
              <w:tc>
                <w:tcPr>
                  <w:tcW w:w="108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D70E3C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设备名称</w:t>
                  </w:r>
                </w:p>
              </w:tc>
              <w:tc>
                <w:tcPr>
                  <w:tcW w:w="235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218F3B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型号</w:t>
                  </w:r>
                </w:p>
              </w:tc>
              <w:tc>
                <w:tcPr>
                  <w:tcW w:w="483" w:type="pct"/>
                  <w:tcBorders>
                    <w:top w:val="single" w:color="auto" w:sz="12" w:space="0"/>
                    <w:bottom w:val="single" w:color="auto" w:sz="12" w:space="0"/>
                    <w:right w:val="nil"/>
                    <w:insideH w:val="single" w:sz="12" w:space="0"/>
                    <w:insideV w:val="single" w:sz="4" w:space="0"/>
                    <w:tl2br w:val="nil"/>
                    <w:tr2bl w:val="nil"/>
                  </w:tcBorders>
                  <w:vAlign w:val="center"/>
                </w:tcPr>
                <w:p w14:paraId="2DBCF1B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数量</w:t>
                  </w:r>
                </w:p>
              </w:tc>
              <w:tc>
                <w:tcPr>
                  <w:tcW w:w="651" w:type="pct"/>
                  <w:tcBorders>
                    <w:top w:val="single" w:color="auto" w:sz="12" w:space="0"/>
                    <w:bottom w:val="single" w:color="auto" w:sz="12" w:space="0"/>
                    <w:right w:val="nil"/>
                    <w:insideH w:val="single" w:sz="12" w:space="0"/>
                    <w:insideV w:val="single" w:sz="4" w:space="0"/>
                    <w:tl2br w:val="nil"/>
                    <w:tr2bl w:val="nil"/>
                  </w:tcBorders>
                  <w:vAlign w:val="center"/>
                </w:tcPr>
                <w:p w14:paraId="4A4A3BF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eastAsia" w:ascii="Times New Roman" w:hAnsi="Times New Roman" w:eastAsia="宋体" w:cs="Times New Roman"/>
                      <w:b/>
                      <w:i w:val="0"/>
                      <w:color w:val="000000" w:themeColor="text1"/>
                      <w:sz w:val="21"/>
                      <w:szCs w:val="21"/>
                      <w:highlight w:val="none"/>
                      <w:lang w:val="en-US" w:eastAsia="zh-CN"/>
                      <w14:textFill>
                        <w14:solidFill>
                          <w14:schemeClr w14:val="tx1"/>
                        </w14:solidFill>
                      </w14:textFill>
                      <w14:ligatures w14:val="standardContextual"/>
                    </w:rPr>
                  </w:pPr>
                  <w:r>
                    <w:rPr>
                      <w:rFonts w:hint="eastAsia" w:cs="Times New Roman"/>
                      <w:b/>
                      <w:i w:val="0"/>
                      <w:color w:val="000000" w:themeColor="text1"/>
                      <w:sz w:val="21"/>
                      <w:szCs w:val="21"/>
                      <w:highlight w:val="none"/>
                      <w:lang w:val="en-US" w:eastAsia="zh-CN"/>
                      <w14:textFill>
                        <w14:solidFill>
                          <w14:schemeClr w14:val="tx1"/>
                        </w14:solidFill>
                      </w14:textFill>
                      <w14:ligatures w14:val="standardContextual"/>
                    </w:rPr>
                    <w:t>备注</w:t>
                  </w:r>
                </w:p>
              </w:tc>
            </w:tr>
            <w:tr w14:paraId="5C0FE5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2" w:type="pct"/>
                  <w:vAlign w:val="center"/>
                </w:tcPr>
                <w:p w14:paraId="7FC1CF2F">
                  <w:pPr>
                    <w:widowControl w:val="0"/>
                    <w:numPr>
                      <w:ilvl w:val="0"/>
                      <w:numId w:val="3"/>
                    </w:numPr>
                    <w:overflowPunct w:val="0"/>
                    <w:autoSpaceDE w:val="0"/>
                    <w:autoSpaceDN w:val="0"/>
                    <w:snapToGrid w:val="0"/>
                    <w:ind w:firstLine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084" w:type="pct"/>
                  <w:vAlign w:val="center"/>
                </w:tcPr>
                <w:p w14:paraId="6F3C4EE5">
                  <w:pPr>
                    <w:widowControl w:val="0"/>
                    <w:overflowPunct w:val="0"/>
                    <w:autoSpaceDE w:val="0"/>
                    <w:autoSpaceDN w:val="0"/>
                    <w:snapToGrid w:val="0"/>
                    <w:jc w:val="center"/>
                    <w:rPr>
                      <w:rFonts w:hint="default" w:ascii="Times New Roman" w:hAnsi="Times New Roman" w:cs="Times New Roman"/>
                      <w:color w:val="000000" w:themeColor="text1"/>
                      <w:sz w:val="22"/>
                      <w:szCs w:val="22"/>
                      <w:highlight w:val="none"/>
                      <w14:textFill>
                        <w14:solidFill>
                          <w14:schemeClr w14:val="tx1"/>
                        </w14:solidFill>
                      </w14:textFill>
                      <w14:ligatures w14:val="standardContextual"/>
                    </w:rPr>
                  </w:pPr>
                  <w:bookmarkStart w:id="44" w:name="OLE_LINK253"/>
                  <w:r>
                    <w:rPr>
                      <w:rFonts w:hint="default" w:ascii="Times New Roman" w:hAnsi="Times New Roman" w:cs="Times New Roman"/>
                      <w:color w:val="000000" w:themeColor="text1"/>
                      <w:highlight w:val="none"/>
                      <w14:textFill>
                        <w14:solidFill>
                          <w14:schemeClr w14:val="tx1"/>
                        </w14:solidFill>
                      </w14:textFill>
                      <w14:ligatures w14:val="standardContextual"/>
                    </w:rPr>
                    <w:t>锅炉本体</w:t>
                  </w:r>
                  <w:bookmarkEnd w:id="44"/>
                </w:p>
              </w:tc>
              <w:tc>
                <w:tcPr>
                  <w:tcW w:w="2357" w:type="pct"/>
                  <w:vAlign w:val="center"/>
                </w:tcPr>
                <w:p w14:paraId="2BC5EF29">
                  <w:pPr>
                    <w:widowControl w:val="0"/>
                    <w:overflowPunct w:val="0"/>
                    <w:autoSpaceDE w:val="0"/>
                    <w:autoSpaceDN w:val="0"/>
                    <w:snapToGrid w:val="0"/>
                    <w:jc w:val="center"/>
                    <w:rPr>
                      <w:rFonts w:hint="default" w:ascii="Times New Roman" w:hAnsi="Times New Roman" w:cs="Times New Roman"/>
                      <w:color w:val="000000" w:themeColor="text1"/>
                      <w:sz w:val="22"/>
                      <w:szCs w:val="22"/>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DZL8-1.25-SC</w:t>
                  </w:r>
                  <w:r>
                    <w:rPr>
                      <w:rFonts w:hint="default" w:ascii="Times New Roman" w:hAnsi="Times New Roman" w:cs="Times New Roman"/>
                      <w:color w:val="000000" w:themeColor="text1"/>
                      <w:highlight w:val="none"/>
                      <w14:textFill>
                        <w14:solidFill>
                          <w14:schemeClr w14:val="tx1"/>
                        </w14:solidFill>
                      </w14:textFill>
                      <w14:ligatures w14:val="standardContextual"/>
                    </w:rPr>
                    <w:t>，8t/h</w:t>
                  </w:r>
                </w:p>
              </w:tc>
              <w:tc>
                <w:tcPr>
                  <w:tcW w:w="483" w:type="pct"/>
                  <w:vAlign w:val="center"/>
                </w:tcPr>
                <w:p w14:paraId="0D372D3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1</w:t>
                  </w:r>
                  <w:r>
                    <w:rPr>
                      <w:rFonts w:hint="default" w:ascii="Times New Roman" w:hAnsi="Times New Roman" w:cs="Times New Roman"/>
                      <w:color w:val="000000" w:themeColor="text1"/>
                      <w:highlight w:val="none"/>
                      <w14:textFill>
                        <w14:solidFill>
                          <w14:schemeClr w14:val="tx1"/>
                        </w14:solidFill>
                      </w14:textFill>
                      <w14:ligatures w14:val="standardContextual"/>
                    </w:rPr>
                    <w:t>台</w:t>
                  </w:r>
                </w:p>
              </w:tc>
              <w:tc>
                <w:tcPr>
                  <w:tcW w:w="651" w:type="pct"/>
                  <w:vAlign w:val="center"/>
                </w:tcPr>
                <w:p w14:paraId="1F2C36BE">
                  <w:pPr>
                    <w:widowControl w:val="0"/>
                    <w:overflowPunct w:val="0"/>
                    <w:autoSpaceDE w:val="0"/>
                    <w:autoSpaceDN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本次</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新建</w:t>
                  </w:r>
                </w:p>
              </w:tc>
            </w:tr>
            <w:tr w14:paraId="0DCA17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2" w:type="pct"/>
                  <w:vAlign w:val="center"/>
                </w:tcPr>
                <w:p w14:paraId="132D02D7">
                  <w:pPr>
                    <w:widowControl w:val="0"/>
                    <w:numPr>
                      <w:ilvl w:val="0"/>
                      <w:numId w:val="3"/>
                    </w:numPr>
                    <w:overflowPunct w:val="0"/>
                    <w:autoSpaceDE w:val="0"/>
                    <w:autoSpaceDN w:val="0"/>
                    <w:snapToGrid w:val="0"/>
                    <w:ind w:firstLine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084" w:type="pct"/>
                  <w:vAlign w:val="center"/>
                </w:tcPr>
                <w:p w14:paraId="4F58609D">
                  <w:pPr>
                    <w:widowControl w:val="0"/>
                    <w:overflowPunct w:val="0"/>
                    <w:autoSpaceDE w:val="0"/>
                    <w:autoSpaceDN w:val="0"/>
                    <w:snapToGrid w:val="0"/>
                    <w:jc w:val="center"/>
                    <w:rPr>
                      <w:rFonts w:hint="default" w:ascii="Times New Roman" w:hAnsi="Times New Roman" w:cs="Times New Roman"/>
                      <w:color w:val="000000" w:themeColor="text1"/>
                      <w:sz w:val="22"/>
                      <w:szCs w:val="22"/>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节能器</w:t>
                  </w:r>
                </w:p>
              </w:tc>
              <w:tc>
                <w:tcPr>
                  <w:tcW w:w="2357" w:type="pct"/>
                  <w:vAlign w:val="center"/>
                </w:tcPr>
                <w:p w14:paraId="43A6EE52">
                  <w:pPr>
                    <w:widowControl w:val="0"/>
                    <w:overflowPunct w:val="0"/>
                    <w:autoSpaceDE w:val="0"/>
                    <w:autoSpaceDN w:val="0"/>
                    <w:snapToGrid w:val="0"/>
                    <w:jc w:val="center"/>
                    <w:rPr>
                      <w:rFonts w:hint="default" w:ascii="Times New Roman" w:hAnsi="Times New Roman" w:cs="Times New Roman"/>
                      <w:color w:val="000000" w:themeColor="text1"/>
                      <w:sz w:val="22"/>
                      <w:szCs w:val="22"/>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翅片管式、常压</w:t>
                  </w:r>
                </w:p>
              </w:tc>
              <w:tc>
                <w:tcPr>
                  <w:tcW w:w="483" w:type="pct"/>
                  <w:vAlign w:val="center"/>
                </w:tcPr>
                <w:p w14:paraId="22EDC00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1</w:t>
                  </w:r>
                  <w:r>
                    <w:rPr>
                      <w:rFonts w:hint="default" w:ascii="Times New Roman" w:hAnsi="Times New Roman" w:cs="Times New Roman"/>
                      <w:color w:val="000000" w:themeColor="text1"/>
                      <w:highlight w:val="none"/>
                      <w14:textFill>
                        <w14:solidFill>
                          <w14:schemeClr w14:val="tx1"/>
                        </w14:solidFill>
                      </w14:textFill>
                      <w14:ligatures w14:val="standardContextual"/>
                    </w:rPr>
                    <w:t>组</w:t>
                  </w:r>
                </w:p>
              </w:tc>
              <w:tc>
                <w:tcPr>
                  <w:tcW w:w="651" w:type="pct"/>
                  <w:vAlign w:val="center"/>
                </w:tcPr>
                <w:p w14:paraId="10B137AD">
                  <w:pPr>
                    <w:widowControl w:val="0"/>
                    <w:overflowPunct w:val="0"/>
                    <w:autoSpaceDE w:val="0"/>
                    <w:autoSpaceDN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本次</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新建</w:t>
                  </w:r>
                </w:p>
              </w:tc>
            </w:tr>
            <w:tr w14:paraId="0F599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2" w:type="pct"/>
                  <w:vAlign w:val="center"/>
                </w:tcPr>
                <w:p w14:paraId="6FA8DB11">
                  <w:pPr>
                    <w:widowControl w:val="0"/>
                    <w:numPr>
                      <w:ilvl w:val="0"/>
                      <w:numId w:val="3"/>
                    </w:numPr>
                    <w:overflowPunct w:val="0"/>
                    <w:autoSpaceDE w:val="0"/>
                    <w:autoSpaceDN w:val="0"/>
                    <w:snapToGrid w:val="0"/>
                    <w:ind w:firstLine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084" w:type="pct"/>
                  <w:vAlign w:val="center"/>
                </w:tcPr>
                <w:p w14:paraId="69720703">
                  <w:pPr>
                    <w:widowControl w:val="0"/>
                    <w:overflowPunct w:val="0"/>
                    <w:autoSpaceDE w:val="0"/>
                    <w:autoSpaceDN w:val="0"/>
                    <w:snapToGrid w:val="0"/>
                    <w:jc w:val="center"/>
                    <w:rPr>
                      <w:rFonts w:hint="default" w:ascii="Times New Roman" w:hAnsi="Times New Roman" w:cs="Times New Roman"/>
                      <w:color w:val="000000" w:themeColor="text1"/>
                      <w:sz w:val="22"/>
                      <w:szCs w:val="22"/>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炉前给料系统</w:t>
                  </w:r>
                </w:p>
              </w:tc>
              <w:tc>
                <w:tcPr>
                  <w:tcW w:w="2357" w:type="pct"/>
                  <w:vAlign w:val="center"/>
                </w:tcPr>
                <w:p w14:paraId="0F89214D">
                  <w:pPr>
                    <w:widowControl w:val="0"/>
                    <w:overflowPunct w:val="0"/>
                    <w:autoSpaceDE w:val="0"/>
                    <w:autoSpaceDN w:val="0"/>
                    <w:snapToGrid w:val="0"/>
                    <w:jc w:val="center"/>
                    <w:rPr>
                      <w:rFonts w:hint="default" w:ascii="Times New Roman" w:hAnsi="Times New Roman" w:cs="Times New Roman"/>
                      <w:color w:val="000000" w:themeColor="text1"/>
                      <w:sz w:val="22"/>
                      <w:szCs w:val="22"/>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变频调速、硬齿面减速机，连续、均匀给料，带防回火技术，含炉前料斗7x11KW</w:t>
                  </w:r>
                </w:p>
              </w:tc>
              <w:tc>
                <w:tcPr>
                  <w:tcW w:w="483" w:type="pct"/>
                  <w:vAlign w:val="center"/>
                </w:tcPr>
                <w:p w14:paraId="42FED99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1</w:t>
                  </w:r>
                  <w:r>
                    <w:rPr>
                      <w:rFonts w:hint="default" w:ascii="Times New Roman" w:hAnsi="Times New Roman" w:cs="Times New Roman"/>
                      <w:color w:val="000000" w:themeColor="text1"/>
                      <w:highlight w:val="none"/>
                      <w14:textFill>
                        <w14:solidFill>
                          <w14:schemeClr w14:val="tx1"/>
                        </w14:solidFill>
                      </w14:textFill>
                      <w14:ligatures w14:val="standardContextual"/>
                    </w:rPr>
                    <w:t>台</w:t>
                  </w:r>
                </w:p>
              </w:tc>
              <w:tc>
                <w:tcPr>
                  <w:tcW w:w="651" w:type="pct"/>
                  <w:vAlign w:val="center"/>
                </w:tcPr>
                <w:p w14:paraId="3D03A551">
                  <w:pPr>
                    <w:widowControl w:val="0"/>
                    <w:overflowPunct w:val="0"/>
                    <w:autoSpaceDE w:val="0"/>
                    <w:autoSpaceDN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本次</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新建</w:t>
                  </w:r>
                </w:p>
              </w:tc>
            </w:tr>
            <w:tr w14:paraId="44334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2" w:type="pct"/>
                  <w:vAlign w:val="center"/>
                </w:tcPr>
                <w:p w14:paraId="145E7E36">
                  <w:pPr>
                    <w:widowControl w:val="0"/>
                    <w:numPr>
                      <w:ilvl w:val="0"/>
                      <w:numId w:val="3"/>
                    </w:numPr>
                    <w:overflowPunct w:val="0"/>
                    <w:autoSpaceDE w:val="0"/>
                    <w:autoSpaceDN w:val="0"/>
                    <w:snapToGrid w:val="0"/>
                    <w:ind w:firstLine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bookmarkStart w:id="45" w:name="_Hlk191848253"/>
                </w:p>
              </w:tc>
              <w:tc>
                <w:tcPr>
                  <w:tcW w:w="1084" w:type="pct"/>
                  <w:vAlign w:val="center"/>
                </w:tcPr>
                <w:p w14:paraId="1AE91A32">
                  <w:pPr>
                    <w:widowControl w:val="0"/>
                    <w:overflowPunct w:val="0"/>
                    <w:autoSpaceDE w:val="0"/>
                    <w:autoSpaceDN w:val="0"/>
                    <w:snapToGrid w:val="0"/>
                    <w:jc w:val="center"/>
                    <w:rPr>
                      <w:rFonts w:hint="default" w:ascii="Times New Roman" w:hAnsi="Times New Roman" w:cs="Times New Roman"/>
                      <w:color w:val="000000" w:themeColor="text1"/>
                      <w:sz w:val="22"/>
                      <w:szCs w:val="22"/>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鼓风机</w:t>
                  </w:r>
                </w:p>
              </w:tc>
              <w:tc>
                <w:tcPr>
                  <w:tcW w:w="2357" w:type="pct"/>
                  <w:vAlign w:val="center"/>
                </w:tcPr>
                <w:p w14:paraId="3598719E">
                  <w:pPr>
                    <w:widowControl w:val="0"/>
                    <w:overflowPunct w:val="0"/>
                    <w:autoSpaceDE w:val="0"/>
                    <w:autoSpaceDN w:val="0"/>
                    <w:snapToGrid w:val="0"/>
                    <w:jc w:val="center"/>
                    <w:rPr>
                      <w:rFonts w:hint="default" w:ascii="Times New Roman" w:hAnsi="Times New Roman" w:cs="Times New Roman"/>
                      <w:color w:val="000000" w:themeColor="text1"/>
                      <w:sz w:val="22"/>
                      <w:szCs w:val="22"/>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2843Pa，15kW</w:t>
                  </w:r>
                </w:p>
              </w:tc>
              <w:tc>
                <w:tcPr>
                  <w:tcW w:w="483" w:type="pct"/>
                  <w:vAlign w:val="center"/>
                </w:tcPr>
                <w:p w14:paraId="49E3B71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1</w:t>
                  </w:r>
                  <w:r>
                    <w:rPr>
                      <w:rFonts w:hint="default" w:ascii="Times New Roman" w:hAnsi="Times New Roman" w:cs="Times New Roman"/>
                      <w:color w:val="000000" w:themeColor="text1"/>
                      <w:highlight w:val="none"/>
                      <w14:textFill>
                        <w14:solidFill>
                          <w14:schemeClr w14:val="tx1"/>
                        </w14:solidFill>
                      </w14:textFill>
                      <w14:ligatures w14:val="standardContextual"/>
                    </w:rPr>
                    <w:t>台</w:t>
                  </w:r>
                </w:p>
              </w:tc>
              <w:tc>
                <w:tcPr>
                  <w:tcW w:w="651" w:type="pct"/>
                  <w:vAlign w:val="center"/>
                </w:tcPr>
                <w:p w14:paraId="41513548">
                  <w:pPr>
                    <w:widowControl w:val="0"/>
                    <w:overflowPunct w:val="0"/>
                    <w:autoSpaceDE w:val="0"/>
                    <w:autoSpaceDN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本次</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新建</w:t>
                  </w:r>
                </w:p>
              </w:tc>
            </w:tr>
            <w:tr w14:paraId="10AF7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2" w:type="pct"/>
                  <w:vAlign w:val="center"/>
                </w:tcPr>
                <w:p w14:paraId="758848BD">
                  <w:pPr>
                    <w:widowControl w:val="0"/>
                    <w:numPr>
                      <w:ilvl w:val="0"/>
                      <w:numId w:val="3"/>
                    </w:numPr>
                    <w:overflowPunct w:val="0"/>
                    <w:autoSpaceDE w:val="0"/>
                    <w:autoSpaceDN w:val="0"/>
                    <w:snapToGrid w:val="0"/>
                    <w:ind w:firstLine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084" w:type="pct"/>
                  <w:vAlign w:val="center"/>
                </w:tcPr>
                <w:p w14:paraId="3CB4B80C">
                  <w:pPr>
                    <w:widowControl w:val="0"/>
                    <w:overflowPunct w:val="0"/>
                    <w:autoSpaceDE w:val="0"/>
                    <w:autoSpaceDN w:val="0"/>
                    <w:snapToGrid w:val="0"/>
                    <w:jc w:val="center"/>
                    <w:rPr>
                      <w:rFonts w:hint="default" w:ascii="Times New Roman" w:hAnsi="Times New Roman" w:cs="Times New Roman"/>
                      <w:color w:val="000000" w:themeColor="text1"/>
                      <w:sz w:val="22"/>
                      <w:szCs w:val="22"/>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补水泵</w:t>
                  </w:r>
                </w:p>
              </w:tc>
              <w:tc>
                <w:tcPr>
                  <w:tcW w:w="2357" w:type="pct"/>
                  <w:vAlign w:val="center"/>
                </w:tcPr>
                <w:p w14:paraId="47E2A1F7">
                  <w:pPr>
                    <w:widowControl w:val="0"/>
                    <w:overflowPunct w:val="0"/>
                    <w:autoSpaceDE w:val="0"/>
                    <w:autoSpaceDN w:val="0"/>
                    <w:snapToGrid w:val="0"/>
                    <w:jc w:val="center"/>
                    <w:rPr>
                      <w:rFonts w:hint="default" w:ascii="Times New Roman" w:hAnsi="Times New Roman" w:cs="Times New Roman"/>
                      <w:color w:val="000000" w:themeColor="text1"/>
                      <w:sz w:val="22"/>
                      <w:szCs w:val="22"/>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Q = 4m³/h，H = 20m，N =0.75kW</w:t>
                  </w:r>
                </w:p>
              </w:tc>
              <w:tc>
                <w:tcPr>
                  <w:tcW w:w="483" w:type="pct"/>
                  <w:vAlign w:val="center"/>
                </w:tcPr>
                <w:p w14:paraId="23D8807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2</w:t>
                  </w:r>
                  <w:r>
                    <w:rPr>
                      <w:rFonts w:hint="default" w:ascii="Times New Roman" w:hAnsi="Times New Roman" w:cs="Times New Roman"/>
                      <w:color w:val="000000" w:themeColor="text1"/>
                      <w:highlight w:val="none"/>
                      <w14:textFill>
                        <w14:solidFill>
                          <w14:schemeClr w14:val="tx1"/>
                        </w14:solidFill>
                      </w14:textFill>
                      <w14:ligatures w14:val="standardContextual"/>
                    </w:rPr>
                    <w:t>台</w:t>
                  </w:r>
                </w:p>
              </w:tc>
              <w:tc>
                <w:tcPr>
                  <w:tcW w:w="651" w:type="pct"/>
                  <w:vAlign w:val="center"/>
                </w:tcPr>
                <w:p w14:paraId="79D7AA0A">
                  <w:pPr>
                    <w:widowControl w:val="0"/>
                    <w:overflowPunct w:val="0"/>
                    <w:autoSpaceDE w:val="0"/>
                    <w:autoSpaceDN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本次</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新建</w:t>
                  </w:r>
                </w:p>
              </w:tc>
            </w:tr>
            <w:tr w14:paraId="601936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2" w:type="pct"/>
                  <w:vAlign w:val="center"/>
                </w:tcPr>
                <w:p w14:paraId="73E3A856">
                  <w:pPr>
                    <w:widowControl w:val="0"/>
                    <w:numPr>
                      <w:ilvl w:val="0"/>
                      <w:numId w:val="3"/>
                    </w:numPr>
                    <w:overflowPunct w:val="0"/>
                    <w:autoSpaceDE w:val="0"/>
                    <w:autoSpaceDN w:val="0"/>
                    <w:snapToGrid w:val="0"/>
                    <w:ind w:firstLine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084" w:type="pct"/>
                  <w:vAlign w:val="center"/>
                </w:tcPr>
                <w:p w14:paraId="43BA9FE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出渣机</w:t>
                  </w:r>
                </w:p>
              </w:tc>
              <w:tc>
                <w:tcPr>
                  <w:tcW w:w="2357" w:type="pct"/>
                  <w:vAlign w:val="center"/>
                </w:tcPr>
                <w:p w14:paraId="1476954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8吨专配</w:t>
                  </w:r>
                </w:p>
              </w:tc>
              <w:tc>
                <w:tcPr>
                  <w:tcW w:w="483" w:type="pct"/>
                  <w:vAlign w:val="center"/>
                </w:tcPr>
                <w:p w14:paraId="33A51D8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1</w:t>
                  </w:r>
                  <w:r>
                    <w:rPr>
                      <w:rFonts w:hint="default" w:ascii="Times New Roman" w:hAnsi="Times New Roman" w:cs="Times New Roman"/>
                      <w:color w:val="000000" w:themeColor="text1"/>
                      <w:highlight w:val="none"/>
                      <w14:textFill>
                        <w14:solidFill>
                          <w14:schemeClr w14:val="tx1"/>
                        </w14:solidFill>
                      </w14:textFill>
                      <w14:ligatures w14:val="standardContextual"/>
                    </w:rPr>
                    <w:t>台</w:t>
                  </w:r>
                </w:p>
              </w:tc>
              <w:tc>
                <w:tcPr>
                  <w:tcW w:w="651" w:type="pct"/>
                  <w:vAlign w:val="center"/>
                </w:tcPr>
                <w:p w14:paraId="0B24E505">
                  <w:pPr>
                    <w:widowControl w:val="0"/>
                    <w:overflowPunct w:val="0"/>
                    <w:autoSpaceDE w:val="0"/>
                    <w:autoSpaceDN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本次</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新建</w:t>
                  </w:r>
                </w:p>
              </w:tc>
            </w:tr>
            <w:tr w14:paraId="0FE9C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2" w:type="pct"/>
                  <w:vAlign w:val="center"/>
                </w:tcPr>
                <w:p w14:paraId="71600A68">
                  <w:pPr>
                    <w:widowControl w:val="0"/>
                    <w:numPr>
                      <w:ilvl w:val="0"/>
                      <w:numId w:val="3"/>
                    </w:numPr>
                    <w:overflowPunct w:val="0"/>
                    <w:autoSpaceDE w:val="0"/>
                    <w:autoSpaceDN w:val="0"/>
                    <w:snapToGrid w:val="0"/>
                    <w:ind w:firstLine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084" w:type="pct"/>
                  <w:vAlign w:val="center"/>
                </w:tcPr>
                <w:p w14:paraId="14C6D51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炉排减速机</w:t>
                  </w:r>
                </w:p>
              </w:tc>
              <w:tc>
                <w:tcPr>
                  <w:tcW w:w="2357" w:type="pct"/>
                  <w:vAlign w:val="center"/>
                </w:tcPr>
                <w:p w14:paraId="09C0A10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GL-60P，7.5KW定制速比，电磁调速</w:t>
                  </w:r>
                </w:p>
              </w:tc>
              <w:tc>
                <w:tcPr>
                  <w:tcW w:w="483" w:type="pct"/>
                  <w:vAlign w:val="center"/>
                </w:tcPr>
                <w:p w14:paraId="12DE1B3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1</w:t>
                  </w:r>
                  <w:r>
                    <w:rPr>
                      <w:rFonts w:hint="default" w:ascii="Times New Roman" w:hAnsi="Times New Roman" w:cs="Times New Roman"/>
                      <w:color w:val="000000" w:themeColor="text1"/>
                      <w:highlight w:val="none"/>
                      <w14:textFill>
                        <w14:solidFill>
                          <w14:schemeClr w14:val="tx1"/>
                        </w14:solidFill>
                      </w14:textFill>
                      <w14:ligatures w14:val="standardContextual"/>
                    </w:rPr>
                    <w:t>台</w:t>
                  </w:r>
                </w:p>
              </w:tc>
              <w:tc>
                <w:tcPr>
                  <w:tcW w:w="651" w:type="pct"/>
                  <w:vAlign w:val="center"/>
                </w:tcPr>
                <w:p w14:paraId="7CEC7DC5">
                  <w:pPr>
                    <w:widowControl w:val="0"/>
                    <w:overflowPunct w:val="0"/>
                    <w:autoSpaceDE w:val="0"/>
                    <w:autoSpaceDN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本次</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新建</w:t>
                  </w:r>
                </w:p>
              </w:tc>
            </w:tr>
            <w:bookmarkEnd w:id="45"/>
            <w:tr w14:paraId="29E30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00" w:type="pct"/>
                  <w:gridSpan w:val="5"/>
                  <w:vAlign w:val="center"/>
                </w:tcPr>
                <w:p w14:paraId="2E9DBBB6">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环保设备</w:t>
                  </w:r>
                </w:p>
              </w:tc>
            </w:tr>
            <w:tr w14:paraId="10EABF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2" w:type="pct"/>
                  <w:vAlign w:val="center"/>
                </w:tcPr>
                <w:p w14:paraId="3DD77D60">
                  <w:pPr>
                    <w:pStyle w:val="35"/>
                    <w:widowControl w:val="0"/>
                    <w:numPr>
                      <w:ilvl w:val="0"/>
                      <w:numId w:val="3"/>
                    </w:numPr>
                    <w:overflowPunct w:val="0"/>
                    <w:autoSpaceDE w:val="0"/>
                    <w:autoSpaceDN w:val="0"/>
                    <w:bidi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084" w:type="pct"/>
                  <w:vAlign w:val="center"/>
                </w:tcPr>
                <w:p w14:paraId="3BDF4100">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自立式烟囱</w:t>
                  </w:r>
                </w:p>
              </w:tc>
              <w:tc>
                <w:tcPr>
                  <w:tcW w:w="2357" w:type="pct"/>
                  <w:vAlign w:val="center"/>
                </w:tcPr>
                <w:p w14:paraId="51E24F5D">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碳钢，H=</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35</w:t>
                  </w:r>
                  <w:r>
                    <w:rPr>
                      <w:rFonts w:hint="default" w:ascii="Times New Roman" w:hAnsi="Times New Roman" w:cs="Times New Roman"/>
                      <w:color w:val="000000" w:themeColor="text1"/>
                      <w:highlight w:val="none"/>
                      <w14:textFill>
                        <w14:solidFill>
                          <w14:schemeClr w14:val="tx1"/>
                        </w14:solidFill>
                      </w14:textFill>
                      <w14:ligatures w14:val="standardContextual"/>
                    </w:rPr>
                    <w:t>米</w:t>
                  </w:r>
                </w:p>
              </w:tc>
              <w:tc>
                <w:tcPr>
                  <w:tcW w:w="483" w:type="pct"/>
                  <w:vAlign w:val="center"/>
                </w:tcPr>
                <w:p w14:paraId="6F506651">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1根</w:t>
                  </w:r>
                </w:p>
              </w:tc>
              <w:tc>
                <w:tcPr>
                  <w:tcW w:w="651" w:type="pct"/>
                  <w:vAlign w:val="center"/>
                </w:tcPr>
                <w:p w14:paraId="7CA8361E">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本次</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新建</w:t>
                  </w:r>
                </w:p>
              </w:tc>
            </w:tr>
            <w:tr w14:paraId="24345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2" w:type="pct"/>
                  <w:vAlign w:val="center"/>
                </w:tcPr>
                <w:p w14:paraId="6509047F">
                  <w:pPr>
                    <w:pStyle w:val="35"/>
                    <w:widowControl w:val="0"/>
                    <w:numPr>
                      <w:ilvl w:val="0"/>
                      <w:numId w:val="3"/>
                    </w:numPr>
                    <w:overflowPunct w:val="0"/>
                    <w:autoSpaceDE w:val="0"/>
                    <w:autoSpaceDN w:val="0"/>
                    <w:bidi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084" w:type="pct"/>
                  <w:vAlign w:val="center"/>
                </w:tcPr>
                <w:p w14:paraId="334730DD">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多管旋风除尘器</w:t>
                  </w:r>
                </w:p>
              </w:tc>
              <w:tc>
                <w:tcPr>
                  <w:tcW w:w="2357" w:type="pct"/>
                  <w:vAlign w:val="center"/>
                </w:tcPr>
                <w:p w14:paraId="1D12F7E5">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XTD-60陶瓷多管，含关风器</w:t>
                  </w:r>
                </w:p>
              </w:tc>
              <w:tc>
                <w:tcPr>
                  <w:tcW w:w="483" w:type="pct"/>
                  <w:vAlign w:val="center"/>
                </w:tcPr>
                <w:p w14:paraId="48263BC1">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1</w:t>
                  </w:r>
                  <w:r>
                    <w:rPr>
                      <w:rFonts w:hint="default" w:ascii="Times New Roman" w:hAnsi="Times New Roman" w:cs="Times New Roman"/>
                      <w:color w:val="000000" w:themeColor="text1"/>
                      <w:highlight w:val="none"/>
                      <w14:textFill>
                        <w14:solidFill>
                          <w14:schemeClr w14:val="tx1"/>
                        </w14:solidFill>
                      </w14:textFill>
                      <w14:ligatures w14:val="standardContextual"/>
                    </w:rPr>
                    <w:t>台</w:t>
                  </w:r>
                </w:p>
              </w:tc>
              <w:tc>
                <w:tcPr>
                  <w:tcW w:w="651" w:type="pct"/>
                  <w:vAlign w:val="center"/>
                </w:tcPr>
                <w:p w14:paraId="5C54A129">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本次</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新建</w:t>
                  </w:r>
                </w:p>
              </w:tc>
            </w:tr>
            <w:tr w14:paraId="2F994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2" w:type="pct"/>
                  <w:vAlign w:val="center"/>
                </w:tcPr>
                <w:p w14:paraId="79FB0C87">
                  <w:pPr>
                    <w:pStyle w:val="35"/>
                    <w:widowControl w:val="0"/>
                    <w:numPr>
                      <w:ilvl w:val="0"/>
                      <w:numId w:val="3"/>
                    </w:numPr>
                    <w:overflowPunct w:val="0"/>
                    <w:autoSpaceDE w:val="0"/>
                    <w:autoSpaceDN w:val="0"/>
                    <w:bidi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084" w:type="pct"/>
                  <w:vAlign w:val="center"/>
                </w:tcPr>
                <w:p w14:paraId="17CADC6C">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布袋除尘系统</w:t>
                  </w:r>
                </w:p>
              </w:tc>
              <w:tc>
                <w:tcPr>
                  <w:tcW w:w="2357" w:type="pct"/>
                  <w:vAlign w:val="center"/>
                </w:tcPr>
                <w:p w14:paraId="57501847">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离线清灰、内置旁通烟道及保温</w:t>
                  </w:r>
                </w:p>
              </w:tc>
              <w:tc>
                <w:tcPr>
                  <w:tcW w:w="483" w:type="pct"/>
                  <w:vAlign w:val="center"/>
                </w:tcPr>
                <w:p w14:paraId="2186F9D8">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bookmarkStart w:id="46" w:name="OLE_LINK182"/>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1</w:t>
                  </w:r>
                  <w:r>
                    <w:rPr>
                      <w:rFonts w:hint="default" w:ascii="Times New Roman" w:hAnsi="Times New Roman" w:cs="Times New Roman"/>
                      <w:color w:val="000000" w:themeColor="text1"/>
                      <w:highlight w:val="none"/>
                      <w14:textFill>
                        <w14:solidFill>
                          <w14:schemeClr w14:val="tx1"/>
                        </w14:solidFill>
                      </w14:textFill>
                      <w14:ligatures w14:val="standardContextual"/>
                    </w:rPr>
                    <w:t>台</w:t>
                  </w:r>
                  <w:bookmarkEnd w:id="46"/>
                </w:p>
              </w:tc>
              <w:tc>
                <w:tcPr>
                  <w:tcW w:w="651" w:type="pct"/>
                  <w:vAlign w:val="center"/>
                </w:tcPr>
                <w:p w14:paraId="23FEB006">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本次</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新建</w:t>
                  </w:r>
                </w:p>
              </w:tc>
            </w:tr>
            <w:tr w14:paraId="577EE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2" w:type="pct"/>
                  <w:vAlign w:val="center"/>
                </w:tcPr>
                <w:p w14:paraId="02FBECDC">
                  <w:pPr>
                    <w:pStyle w:val="35"/>
                    <w:widowControl w:val="0"/>
                    <w:numPr>
                      <w:ilvl w:val="0"/>
                      <w:numId w:val="3"/>
                    </w:numPr>
                    <w:overflowPunct w:val="0"/>
                    <w:autoSpaceDE w:val="0"/>
                    <w:autoSpaceDN w:val="0"/>
                    <w:bidi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084" w:type="pct"/>
                  <w:vAlign w:val="center"/>
                </w:tcPr>
                <w:p w14:paraId="58847678">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引风机</w:t>
                  </w:r>
                </w:p>
              </w:tc>
              <w:tc>
                <w:tcPr>
                  <w:tcW w:w="2357" w:type="pct"/>
                  <w:vAlign w:val="center"/>
                </w:tcPr>
                <w:p w14:paraId="42E5D517">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4711Pa，55kW|，室内</w:t>
                  </w:r>
                </w:p>
              </w:tc>
              <w:tc>
                <w:tcPr>
                  <w:tcW w:w="483" w:type="pct"/>
                  <w:vAlign w:val="center"/>
                </w:tcPr>
                <w:p w14:paraId="01344808">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1</w:t>
                  </w:r>
                  <w:r>
                    <w:rPr>
                      <w:rFonts w:hint="default" w:ascii="Times New Roman" w:hAnsi="Times New Roman" w:cs="Times New Roman"/>
                      <w:color w:val="000000" w:themeColor="text1"/>
                      <w:highlight w:val="none"/>
                      <w14:textFill>
                        <w14:solidFill>
                          <w14:schemeClr w14:val="tx1"/>
                        </w14:solidFill>
                      </w14:textFill>
                      <w14:ligatures w14:val="standardContextual"/>
                    </w:rPr>
                    <w:t>台</w:t>
                  </w:r>
                </w:p>
              </w:tc>
              <w:tc>
                <w:tcPr>
                  <w:tcW w:w="651" w:type="pct"/>
                  <w:vAlign w:val="center"/>
                </w:tcPr>
                <w:p w14:paraId="6DE01DB4">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本次</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新建</w:t>
                  </w:r>
                </w:p>
              </w:tc>
            </w:tr>
            <w:tr w14:paraId="5E8B4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00" w:type="pct"/>
                  <w:gridSpan w:val="5"/>
                  <w:vAlign w:val="center"/>
                </w:tcPr>
                <w:p w14:paraId="3F79554A">
                  <w:pPr>
                    <w:pStyle w:val="35"/>
                    <w:widowControl w:val="0"/>
                    <w:overflowPunct w:val="0"/>
                    <w:autoSpaceDE w:val="0"/>
                    <w:autoSpaceDN w:val="0"/>
                    <w:bidi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bookmarkStart w:id="47" w:name="OLE_LINK199"/>
                  <w:r>
                    <w:rPr>
                      <w:rFonts w:hint="default" w:ascii="Times New Roman" w:hAnsi="Times New Roman" w:cs="Times New Roman"/>
                      <w:color w:val="000000" w:themeColor="text1"/>
                      <w:highlight w:val="none"/>
                      <w14:textFill>
                        <w14:solidFill>
                          <w14:schemeClr w14:val="tx1"/>
                        </w14:solidFill>
                      </w14:textFill>
                      <w14:ligatures w14:val="standardContextual"/>
                    </w:rPr>
                    <w:t>软化水系统</w:t>
                  </w:r>
                  <w:bookmarkEnd w:id="47"/>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依托现有</w:t>
                  </w: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w:t>
                  </w:r>
                </w:p>
              </w:tc>
            </w:tr>
            <w:tr w14:paraId="1FA6D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2" w:type="pct"/>
                  <w:vAlign w:val="center"/>
                </w:tcPr>
                <w:p w14:paraId="6F72D48F">
                  <w:pPr>
                    <w:pStyle w:val="35"/>
                    <w:widowControl w:val="0"/>
                    <w:numPr>
                      <w:ilvl w:val="0"/>
                      <w:numId w:val="3"/>
                    </w:numPr>
                    <w:overflowPunct w:val="0"/>
                    <w:autoSpaceDE w:val="0"/>
                    <w:autoSpaceDN w:val="0"/>
                    <w:bidi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084" w:type="pct"/>
                  <w:vAlign w:val="center"/>
                </w:tcPr>
                <w:p w14:paraId="1E557E22">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除氧水泵</w:t>
                  </w:r>
                </w:p>
              </w:tc>
              <w:tc>
                <w:tcPr>
                  <w:tcW w:w="2357" w:type="pct"/>
                  <w:vAlign w:val="center"/>
                </w:tcPr>
                <w:p w14:paraId="3364A741">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TD80-18/2 7.5KW</w:t>
                  </w:r>
                </w:p>
              </w:tc>
              <w:tc>
                <w:tcPr>
                  <w:tcW w:w="483" w:type="pct"/>
                  <w:vAlign w:val="center"/>
                </w:tcPr>
                <w:p w14:paraId="74A19106">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1</w:t>
                  </w:r>
                  <w:r>
                    <w:rPr>
                      <w:rFonts w:hint="default" w:ascii="Times New Roman" w:hAnsi="Times New Roman" w:cs="Times New Roman"/>
                      <w:color w:val="000000" w:themeColor="text1"/>
                      <w:highlight w:val="none"/>
                      <w14:textFill>
                        <w14:solidFill>
                          <w14:schemeClr w14:val="tx1"/>
                        </w14:solidFill>
                      </w14:textFill>
                      <w14:ligatures w14:val="standardContextual"/>
                    </w:rPr>
                    <w:t>台</w:t>
                  </w:r>
                </w:p>
              </w:tc>
              <w:tc>
                <w:tcPr>
                  <w:tcW w:w="651" w:type="pct"/>
                  <w:vAlign w:val="center"/>
                </w:tcPr>
                <w:p w14:paraId="5DAFC3EE">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依托现有</w:t>
                  </w:r>
                </w:p>
              </w:tc>
            </w:tr>
            <w:tr w14:paraId="37631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2" w:type="pct"/>
                  <w:vAlign w:val="center"/>
                </w:tcPr>
                <w:p w14:paraId="2EDE46E5">
                  <w:pPr>
                    <w:pStyle w:val="35"/>
                    <w:widowControl w:val="0"/>
                    <w:numPr>
                      <w:ilvl w:val="0"/>
                      <w:numId w:val="3"/>
                    </w:numPr>
                    <w:overflowPunct w:val="0"/>
                    <w:autoSpaceDE w:val="0"/>
                    <w:autoSpaceDN w:val="0"/>
                    <w:bidi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084" w:type="pct"/>
                  <w:vAlign w:val="center"/>
                </w:tcPr>
                <w:p w14:paraId="4507CF78">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水处理系统</w:t>
                  </w:r>
                </w:p>
              </w:tc>
              <w:tc>
                <w:tcPr>
                  <w:tcW w:w="2357" w:type="pct"/>
                  <w:vAlign w:val="center"/>
                </w:tcPr>
                <w:p w14:paraId="4FB16255">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bookmarkStart w:id="48" w:name="OLE_LINK200"/>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55</w:t>
                  </w:r>
                  <w:r>
                    <w:rPr>
                      <w:rFonts w:hint="default" w:ascii="Times New Roman" w:hAnsi="Times New Roman" w:cs="Times New Roman"/>
                      <w:color w:val="000000" w:themeColor="text1"/>
                      <w:highlight w:val="none"/>
                      <w14:textFill>
                        <w14:solidFill>
                          <w14:schemeClr w14:val="tx1"/>
                        </w14:solidFill>
                      </w14:textFill>
                      <w14:ligatures w14:val="standardContextual"/>
                    </w:rPr>
                    <w:t>t/h</w:t>
                  </w:r>
                  <w:bookmarkEnd w:id="48"/>
                </w:p>
              </w:tc>
              <w:tc>
                <w:tcPr>
                  <w:tcW w:w="483" w:type="pct"/>
                  <w:vAlign w:val="center"/>
                </w:tcPr>
                <w:p w14:paraId="1A95A710">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3</w:t>
                  </w:r>
                  <w:r>
                    <w:rPr>
                      <w:rFonts w:hint="default" w:ascii="Times New Roman" w:hAnsi="Times New Roman" w:cs="Times New Roman"/>
                      <w:color w:val="000000" w:themeColor="text1"/>
                      <w:highlight w:val="none"/>
                      <w14:textFill>
                        <w14:solidFill>
                          <w14:schemeClr w14:val="tx1"/>
                        </w14:solidFill>
                      </w14:textFill>
                      <w14:ligatures w14:val="standardContextual"/>
                    </w:rPr>
                    <w:t>套</w:t>
                  </w:r>
                </w:p>
              </w:tc>
              <w:tc>
                <w:tcPr>
                  <w:tcW w:w="651" w:type="pct"/>
                  <w:vAlign w:val="center"/>
                </w:tcPr>
                <w:p w14:paraId="3009028D">
                  <w:pPr>
                    <w:pStyle w:val="35"/>
                    <w:widowControl w:val="0"/>
                    <w:numPr>
                      <w:ilvl w:val="0"/>
                      <w:numId w:val="0"/>
                    </w:numPr>
                    <w:overflowPunct w:val="0"/>
                    <w:autoSpaceDE w:val="0"/>
                    <w:autoSpaceDN w:val="0"/>
                    <w:bidi w:val="0"/>
                    <w:snapToGrid w:val="0"/>
                    <w:ind w:leftChars="0"/>
                    <w:jc w:val="cente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依托现有</w:t>
                  </w:r>
                </w:p>
              </w:tc>
            </w:tr>
          </w:tbl>
          <w:p w14:paraId="34DFB442">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五</w:t>
            </w:r>
            <w:r>
              <w:rPr>
                <w:rFonts w:hint="default" w:ascii="Times New Roman" w:hAnsi="Times New Roman" w:cs="Times New Roman"/>
                <w:color w:val="000000" w:themeColor="text1"/>
                <w:highlight w:val="none"/>
                <w14:textFill>
                  <w14:solidFill>
                    <w14:schemeClr w14:val="tx1"/>
                  </w14:solidFill>
                </w14:textFill>
              </w:rPr>
              <w:t>、主要原辅材料及燃料</w:t>
            </w:r>
          </w:p>
          <w:p w14:paraId="52FEED7C">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本项目设置</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台8t/h生物质锅炉，年工作</w:t>
            </w:r>
            <w:r>
              <w:rPr>
                <w:rFonts w:hint="default" w:ascii="Times New Roman" w:hAnsi="Times New Roman" w:cs="Times New Roman"/>
                <w:color w:val="000000" w:themeColor="text1"/>
                <w:highlight w:val="none"/>
                <w:lang w:eastAsia="zh-CN"/>
                <w14:textFill>
                  <w14:solidFill>
                    <w14:schemeClr w14:val="tx1"/>
                  </w14:solidFill>
                </w14:textFill>
              </w:rPr>
              <w:t>7200h</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生物质颗粒使用量按照热值计算，具体计算过程见表2-3所示。</w:t>
            </w:r>
            <w:r>
              <w:rPr>
                <w:rFonts w:hint="default" w:ascii="Times New Roman" w:hAnsi="Times New Roman" w:cs="Times New Roman"/>
                <w:color w:val="000000" w:themeColor="text1"/>
                <w:highlight w:val="none"/>
                <w14:textFill>
                  <w14:solidFill>
                    <w14:schemeClr w14:val="tx1"/>
                  </w14:solidFill>
                </w14:textFill>
              </w:rPr>
              <w:t>则生物质成型颗粒年用量为</w:t>
            </w:r>
            <w:r>
              <w:rPr>
                <w:rFonts w:hint="default" w:ascii="Times New Roman" w:hAnsi="Times New Roman" w:cs="Times New Roman"/>
                <w:color w:val="000000" w:themeColor="text1"/>
                <w:highlight w:val="none"/>
                <w:lang w:val="en-US" w:eastAsia="zh-CN"/>
                <w14:textFill>
                  <w14:solidFill>
                    <w14:schemeClr w14:val="tx1"/>
                  </w14:solidFill>
                </w14:textFill>
              </w:rPr>
              <w:t>8943</w:t>
            </w:r>
            <w:r>
              <w:rPr>
                <w:rFonts w:hint="default" w:ascii="Times New Roman" w:hAnsi="Times New Roman" w:cs="Times New Roman"/>
                <w:color w:val="000000" w:themeColor="text1"/>
                <w:highlight w:val="none"/>
                <w:lang w:eastAsia="zh-CN"/>
                <w14:textFill>
                  <w14:solidFill>
                    <w14:schemeClr w14:val="tx1"/>
                  </w14:solidFill>
                </w14:textFill>
              </w:rPr>
              <w:t>t</w:t>
            </w:r>
            <w:r>
              <w:rPr>
                <w:rFonts w:hint="default" w:ascii="Times New Roman" w:hAnsi="Times New Roman" w:cs="Times New Roman"/>
                <w:color w:val="000000" w:themeColor="text1"/>
                <w:highlight w:val="none"/>
                <w14:textFill>
                  <w14:solidFill>
                    <w14:schemeClr w14:val="tx1"/>
                  </w14:solidFill>
                </w14:textFill>
              </w:rPr>
              <w:t>。</w:t>
            </w:r>
          </w:p>
          <w:p w14:paraId="34780444">
            <w:pPr>
              <w:pStyle w:val="34"/>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 xml:space="preserve">表2- </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生物质燃料计算一览表</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9"/>
              <w:gridCol w:w="601"/>
              <w:gridCol w:w="648"/>
              <w:gridCol w:w="741"/>
              <w:gridCol w:w="816"/>
              <w:gridCol w:w="779"/>
              <w:gridCol w:w="1012"/>
              <w:gridCol w:w="943"/>
              <w:gridCol w:w="1056"/>
              <w:gridCol w:w="788"/>
            </w:tblGrid>
            <w:tr w14:paraId="555B75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4" w:type="dxa"/>
                  <w:tcBorders>
                    <w:tl2br w:val="nil"/>
                    <w:tr2bl w:val="nil"/>
                  </w:tcBorders>
                  <w:vAlign w:val="center"/>
                </w:tcPr>
                <w:p w14:paraId="282802B4">
                  <w:pPr>
                    <w:pStyle w:val="35"/>
                    <w:bidi w:val="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参数</w:t>
                  </w:r>
                </w:p>
              </w:tc>
              <w:tc>
                <w:tcPr>
                  <w:tcW w:w="554" w:type="dxa"/>
                  <w:tcBorders>
                    <w:tl2br w:val="nil"/>
                    <w:tr2bl w:val="nil"/>
                  </w:tcBorders>
                  <w:vAlign w:val="center"/>
                </w:tcPr>
                <w:p w14:paraId="08EF4806">
                  <w:pPr>
                    <w:pStyle w:val="35"/>
                    <w:bidi w:val="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吨位(t/h)</w:t>
                  </w:r>
                </w:p>
              </w:tc>
              <w:tc>
                <w:tcPr>
                  <w:tcW w:w="651" w:type="dxa"/>
                  <w:tcBorders>
                    <w:tl2br w:val="nil"/>
                    <w:tr2bl w:val="nil"/>
                  </w:tcBorders>
                  <w:vAlign w:val="center"/>
                </w:tcPr>
                <w:p w14:paraId="38F8152B">
                  <w:pPr>
                    <w:pStyle w:val="35"/>
                    <w:bidi w:val="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年工作时间(h)</w:t>
                  </w:r>
                </w:p>
              </w:tc>
              <w:tc>
                <w:tcPr>
                  <w:tcW w:w="685" w:type="dxa"/>
                  <w:tcBorders>
                    <w:tl2br w:val="nil"/>
                    <w:tr2bl w:val="nil"/>
                  </w:tcBorders>
                  <w:vAlign w:val="center"/>
                </w:tcPr>
                <w:p w14:paraId="4C03568A">
                  <w:pPr>
                    <w:pStyle w:val="35"/>
                    <w:bidi w:val="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年蒸汽量(t/a)</w:t>
                  </w:r>
                </w:p>
              </w:tc>
              <w:tc>
                <w:tcPr>
                  <w:tcW w:w="830" w:type="dxa"/>
                  <w:tcBorders>
                    <w:tl2br w:val="nil"/>
                    <w:tr2bl w:val="nil"/>
                  </w:tcBorders>
                  <w:vAlign w:val="center"/>
                </w:tcPr>
                <w:p w14:paraId="5B403B13">
                  <w:pPr>
                    <w:pStyle w:val="35"/>
                    <w:bidi w:val="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水汽化热万Kcal/t</w:t>
                  </w:r>
                </w:p>
              </w:tc>
              <w:tc>
                <w:tcPr>
                  <w:tcW w:w="830" w:type="dxa"/>
                  <w:tcBorders>
                    <w:tl2br w:val="nil"/>
                    <w:tr2bl w:val="nil"/>
                  </w:tcBorders>
                  <w:vAlign w:val="center"/>
                </w:tcPr>
                <w:p w14:paraId="7D79F748">
                  <w:pPr>
                    <w:pStyle w:val="35"/>
                    <w:bidi w:val="0"/>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锅炉效率</w:t>
                  </w:r>
                </w:p>
              </w:tc>
              <w:tc>
                <w:tcPr>
                  <w:tcW w:w="996" w:type="dxa"/>
                  <w:tcBorders>
                    <w:tl2br w:val="nil"/>
                    <w:tr2bl w:val="nil"/>
                  </w:tcBorders>
                  <w:vAlign w:val="center"/>
                </w:tcPr>
                <w:p w14:paraId="00BA39D0">
                  <w:pPr>
                    <w:pStyle w:val="35"/>
                    <w:bidi w:val="0"/>
                    <w:rPr>
                      <w:rFonts w:hint="default"/>
                      <w:b/>
                      <w:bCs/>
                      <w:color w:val="000000" w:themeColor="text1"/>
                      <w:u w:val="single"/>
                      <w:lang w:val="en-US" w:eastAsia="zh-CN"/>
                      <w14:textFill>
                        <w14:solidFill>
                          <w14:schemeClr w14:val="tx1"/>
                        </w14:solidFill>
                      </w14:textFill>
                    </w:rPr>
                  </w:pPr>
                  <w:r>
                    <w:rPr>
                      <w:b/>
                      <w:bCs/>
                      <w:color w:val="000000" w:themeColor="text1"/>
                      <w:u w:val="single"/>
                      <w14:textFill>
                        <w14:solidFill>
                          <w14:schemeClr w14:val="tx1"/>
                        </w14:solidFill>
                      </w14:textFill>
                    </w:rPr>
                    <w:t>空气干燥基灰分</w:t>
                  </w:r>
                  <w:r>
                    <w:rPr>
                      <w:rFonts w:hint="eastAsia"/>
                      <w:b/>
                      <w:bCs/>
                      <w:color w:val="000000" w:themeColor="text1"/>
                      <w:u w:val="single"/>
                      <w:lang w:eastAsia="zh-CN"/>
                      <w14:textFill>
                        <w14:solidFill>
                          <w14:schemeClr w14:val="tx1"/>
                        </w14:solidFill>
                      </w14:textFill>
                    </w:rPr>
                    <w:t>（</w:t>
                  </w:r>
                  <w:r>
                    <w:rPr>
                      <w:b/>
                      <w:bCs/>
                      <w:color w:val="000000" w:themeColor="text1"/>
                      <w:u w:val="single"/>
                      <w14:textFill>
                        <w14:solidFill>
                          <w14:schemeClr w14:val="tx1"/>
                        </w14:solidFill>
                      </w14:textFill>
                    </w:rPr>
                    <w:t>Aad</w:t>
                  </w:r>
                  <w:r>
                    <w:rPr>
                      <w:rFonts w:hint="eastAsia"/>
                      <w:b/>
                      <w:bCs/>
                      <w:color w:val="000000" w:themeColor="text1"/>
                      <w:u w:val="single"/>
                      <w:lang w:eastAsia="zh-CN"/>
                      <w14:textFill>
                        <w14:solidFill>
                          <w14:schemeClr w14:val="tx1"/>
                        </w14:solidFill>
                      </w14:textFill>
                    </w:rPr>
                    <w:t>）</w:t>
                  </w:r>
                </w:p>
              </w:tc>
              <w:tc>
                <w:tcPr>
                  <w:tcW w:w="996" w:type="dxa"/>
                  <w:tcBorders>
                    <w:tl2br w:val="nil"/>
                    <w:tr2bl w:val="nil"/>
                  </w:tcBorders>
                  <w:vAlign w:val="center"/>
                </w:tcPr>
                <w:p w14:paraId="7119478B">
                  <w:pPr>
                    <w:pStyle w:val="35"/>
                    <w:bidi w:val="0"/>
                    <w:rPr>
                      <w:rFonts w:hint="default" w:ascii="Times New Roman" w:hAnsi="Times New Roman" w:cs="Times New Roman"/>
                      <w:b/>
                      <w:bCs/>
                      <w:color w:val="000000" w:themeColor="text1"/>
                      <w:highlight w:val="none"/>
                      <w:u w:val="single"/>
                      <w:lang w:val="en-US" w:eastAsia="zh-CN"/>
                      <w14:textFill>
                        <w14:solidFill>
                          <w14:schemeClr w14:val="tx1"/>
                        </w14:solidFill>
                      </w14:textFill>
                    </w:rPr>
                  </w:pPr>
                  <w:r>
                    <w:rPr>
                      <w:b/>
                      <w:bCs/>
                      <w:color w:val="000000" w:themeColor="text1"/>
                      <w:spacing w:val="1"/>
                      <w:u w:val="single"/>
                      <w14:textFill>
                        <w14:solidFill>
                          <w14:schemeClr w14:val="tx1"/>
                        </w14:solidFill>
                      </w14:textFill>
                    </w:rPr>
                    <w:t>空气干燥基挥发分</w:t>
                  </w:r>
                  <w:r>
                    <w:rPr>
                      <w:b/>
                      <w:bCs/>
                      <w:color w:val="000000" w:themeColor="text1"/>
                      <w:spacing w:val="-10"/>
                      <w:u w:val="single"/>
                      <w14:textFill>
                        <w14:solidFill>
                          <w14:schemeClr w14:val="tx1"/>
                        </w14:solidFill>
                      </w14:textFill>
                    </w:rPr>
                    <w:t>(St,ad)</w:t>
                  </w:r>
                  <w:r>
                    <w:rPr>
                      <w:b/>
                      <w:bCs/>
                      <w:color w:val="000000" w:themeColor="text1"/>
                      <w:u w:val="single"/>
                      <w14:textFill>
                        <w14:solidFill>
                          <w14:schemeClr w14:val="tx1"/>
                        </w14:solidFill>
                      </w14:textFill>
                    </w:rPr>
                    <w:t xml:space="preserve"> </w:t>
                  </w:r>
                </w:p>
              </w:tc>
              <w:tc>
                <w:tcPr>
                  <w:tcW w:w="996" w:type="dxa"/>
                  <w:tcBorders>
                    <w:tl2br w:val="nil"/>
                    <w:tr2bl w:val="nil"/>
                  </w:tcBorders>
                  <w:vAlign w:val="center"/>
                </w:tcPr>
                <w:p w14:paraId="55FA1564">
                  <w:pPr>
                    <w:pStyle w:val="35"/>
                    <w:bidi w:val="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生物质低位发热量(Kcal/kg)</w:t>
                  </w:r>
                </w:p>
              </w:tc>
              <w:tc>
                <w:tcPr>
                  <w:tcW w:w="831" w:type="dxa"/>
                  <w:tcBorders>
                    <w:tl2br w:val="nil"/>
                    <w:tr2bl w:val="nil"/>
                  </w:tcBorders>
                  <w:vAlign w:val="center"/>
                </w:tcPr>
                <w:p w14:paraId="7CFAD6E8">
                  <w:pPr>
                    <w:pStyle w:val="35"/>
                    <w:bidi w:val="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生物质颗粒用量(t/a)</w:t>
                  </w:r>
                </w:p>
              </w:tc>
            </w:tr>
            <w:tr w14:paraId="3B3A93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4" w:type="dxa"/>
                  <w:tcBorders>
                    <w:tl2br w:val="nil"/>
                    <w:tr2bl w:val="nil"/>
                  </w:tcBorders>
                  <w:vAlign w:val="center"/>
                </w:tcPr>
                <w:p w14:paraId="6F8278E3">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数值</w:t>
                  </w:r>
                </w:p>
              </w:tc>
              <w:tc>
                <w:tcPr>
                  <w:tcW w:w="554" w:type="dxa"/>
                  <w:tcBorders>
                    <w:tl2br w:val="nil"/>
                    <w:tr2bl w:val="nil"/>
                  </w:tcBorders>
                  <w:vAlign w:val="center"/>
                </w:tcPr>
                <w:p w14:paraId="2F9FA033">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w:t>
                  </w:r>
                </w:p>
              </w:tc>
              <w:tc>
                <w:tcPr>
                  <w:tcW w:w="651" w:type="dxa"/>
                  <w:tcBorders>
                    <w:tl2br w:val="nil"/>
                    <w:tr2bl w:val="nil"/>
                  </w:tcBorders>
                  <w:vAlign w:val="center"/>
                </w:tcPr>
                <w:p w14:paraId="417F3947">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7200</w:t>
                  </w:r>
                </w:p>
              </w:tc>
              <w:tc>
                <w:tcPr>
                  <w:tcW w:w="685" w:type="dxa"/>
                  <w:tcBorders>
                    <w:tl2br w:val="nil"/>
                    <w:tr2bl w:val="nil"/>
                  </w:tcBorders>
                  <w:vAlign w:val="center"/>
                </w:tcPr>
                <w:p w14:paraId="5998D0CD">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60000</w:t>
                  </w:r>
                </w:p>
              </w:tc>
              <w:tc>
                <w:tcPr>
                  <w:tcW w:w="830" w:type="dxa"/>
                  <w:tcBorders>
                    <w:tl2br w:val="nil"/>
                    <w:tr2bl w:val="nil"/>
                  </w:tcBorders>
                  <w:vAlign w:val="center"/>
                </w:tcPr>
                <w:p w14:paraId="569F8D86">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54</w:t>
                  </w:r>
                </w:p>
              </w:tc>
              <w:tc>
                <w:tcPr>
                  <w:tcW w:w="830" w:type="dxa"/>
                  <w:tcBorders>
                    <w:tl2br w:val="nil"/>
                    <w:tr2bl w:val="nil"/>
                  </w:tcBorders>
                  <w:vAlign w:val="center"/>
                </w:tcPr>
                <w:p w14:paraId="2F5AF969">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85%</w:t>
                  </w:r>
                </w:p>
              </w:tc>
              <w:tc>
                <w:tcPr>
                  <w:tcW w:w="996" w:type="dxa"/>
                  <w:tcBorders>
                    <w:tl2br w:val="nil"/>
                    <w:tr2bl w:val="nil"/>
                  </w:tcBorders>
                  <w:vAlign w:val="center"/>
                </w:tcPr>
                <w:p w14:paraId="4E7183CD">
                  <w:pPr>
                    <w:pStyle w:val="35"/>
                    <w:bidi w:val="0"/>
                    <w:rPr>
                      <w:rFonts w:hint="eastAsia" w:ascii="Times New Roman" w:hAnsi="Times New Roman" w:eastAsia="宋体" w:cs="Times New Roman"/>
                      <w:color w:val="000000" w:themeColor="text1"/>
                      <w:highlight w:val="none"/>
                      <w:u w:val="single"/>
                      <w:lang w:val="en-US" w:eastAsia="zh-CN"/>
                      <w14:textFill>
                        <w14:solidFill>
                          <w14:schemeClr w14:val="tx1"/>
                        </w14:solidFill>
                      </w14:textFill>
                    </w:rPr>
                  </w:pPr>
                  <w:r>
                    <w:rPr>
                      <w:color w:val="000000" w:themeColor="text1"/>
                      <w:spacing w:val="-8"/>
                      <w:position w:val="6"/>
                      <w:u w:val="single"/>
                      <w14:textFill>
                        <w14:solidFill>
                          <w14:schemeClr w14:val="tx1"/>
                        </w14:solidFill>
                      </w14:textFill>
                    </w:rPr>
                    <w:t>1.76</w:t>
                  </w:r>
                  <w:r>
                    <w:rPr>
                      <w:rFonts w:hint="eastAsia"/>
                      <w:color w:val="000000" w:themeColor="text1"/>
                      <w:spacing w:val="-8"/>
                      <w:position w:val="6"/>
                      <w:u w:val="single"/>
                      <w:lang w:val="en-US" w:eastAsia="zh-CN"/>
                      <w14:textFill>
                        <w14:solidFill>
                          <w14:schemeClr w14:val="tx1"/>
                        </w14:solidFill>
                      </w14:textFill>
                    </w:rPr>
                    <w:t>%</w:t>
                  </w:r>
                </w:p>
              </w:tc>
              <w:tc>
                <w:tcPr>
                  <w:tcW w:w="996" w:type="dxa"/>
                  <w:tcBorders>
                    <w:tl2br w:val="nil"/>
                    <w:tr2bl w:val="nil"/>
                  </w:tcBorders>
                  <w:vAlign w:val="center"/>
                </w:tcPr>
                <w:p w14:paraId="54C3A69A">
                  <w:pPr>
                    <w:pStyle w:val="35"/>
                    <w:bidi w:val="0"/>
                    <w:rPr>
                      <w:rFonts w:hint="default" w:ascii="Times New Roman" w:hAnsi="Times New Roman" w:cs="Times New Roman"/>
                      <w:color w:val="000000" w:themeColor="text1"/>
                      <w:highlight w:val="none"/>
                      <w:u w:val="single"/>
                      <w:lang w:val="en-US" w:eastAsia="zh-CN"/>
                      <w14:textFill>
                        <w14:solidFill>
                          <w14:schemeClr w14:val="tx1"/>
                        </w14:solidFill>
                      </w14:textFill>
                    </w:rPr>
                  </w:pPr>
                  <w:r>
                    <w:rPr>
                      <w:rFonts w:hint="eastAsia" w:cs="Times New Roman"/>
                      <w:color w:val="000000" w:themeColor="text1"/>
                      <w:highlight w:val="none"/>
                      <w:u w:val="single"/>
                      <w:lang w:val="en-US" w:eastAsia="zh-CN"/>
                      <w14:textFill>
                        <w14:solidFill>
                          <w14:schemeClr w14:val="tx1"/>
                        </w14:solidFill>
                      </w14:textFill>
                    </w:rPr>
                    <w:t>0.00%</w:t>
                  </w:r>
                </w:p>
              </w:tc>
              <w:tc>
                <w:tcPr>
                  <w:tcW w:w="996" w:type="dxa"/>
                  <w:tcBorders>
                    <w:tl2br w:val="nil"/>
                    <w:tr2bl w:val="nil"/>
                  </w:tcBorders>
                  <w:vAlign w:val="center"/>
                </w:tcPr>
                <w:p w14:paraId="40003427">
                  <w:pPr>
                    <w:pStyle w:val="35"/>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4092</w:t>
                  </w:r>
                </w:p>
              </w:tc>
              <w:tc>
                <w:tcPr>
                  <w:tcW w:w="831" w:type="dxa"/>
                  <w:tcBorders>
                    <w:tl2br w:val="nil"/>
                    <w:tr2bl w:val="nil"/>
                  </w:tcBorders>
                  <w:vAlign w:val="center"/>
                </w:tcPr>
                <w:p w14:paraId="4159AB0E">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 xml:space="preserve">8943 </w:t>
                  </w:r>
                </w:p>
              </w:tc>
            </w:tr>
          </w:tbl>
          <w:p w14:paraId="080303CD">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备注：生物质颗粒燃料用量计算过程8t/h×7200h×</w:t>
            </w:r>
            <w:r>
              <w:rPr>
                <w:rFonts w:hint="default" w:ascii="Times New Roman" w:hAnsi="Times New Roman" w:cs="Times New Roman"/>
                <w:color w:val="000000" w:themeColor="text1"/>
                <w:highlight w:val="none"/>
                <w14:textFill>
                  <w14:solidFill>
                    <w14:schemeClr w14:val="tx1"/>
                  </w14:solidFill>
                </w14:textFill>
              </w:rPr>
              <w:t>54</w:t>
            </w:r>
            <w:r>
              <w:rPr>
                <w:rFonts w:hint="default" w:ascii="Times New Roman" w:hAnsi="Times New Roman" w:cs="Times New Roman"/>
                <w:color w:val="000000" w:themeColor="text1"/>
                <w:highlight w:val="none"/>
                <w:lang w:val="en-US" w:eastAsia="zh-CN"/>
                <w14:textFill>
                  <w14:solidFill>
                    <w14:schemeClr w14:val="tx1"/>
                  </w14:solidFill>
                </w14:textFill>
              </w:rPr>
              <w:t>0000Kcal/t÷</w:t>
            </w:r>
            <w:r>
              <w:rPr>
                <w:rFonts w:hint="default" w:ascii="Times New Roman" w:hAnsi="Times New Roman" w:cs="Times New Roman"/>
                <w:color w:val="000000" w:themeColor="text1"/>
                <w:highlight w:val="none"/>
                <w14:textFill>
                  <w14:solidFill>
                    <w14:schemeClr w14:val="tx1"/>
                  </w14:solidFill>
                </w14:textFill>
              </w:rPr>
              <w:t>0.85</w:t>
            </w:r>
            <w:r>
              <w:rPr>
                <w:rFonts w:hint="default" w:ascii="Times New Roman" w:hAnsi="Times New Roman" w:cs="Times New Roman"/>
                <w:color w:val="000000" w:themeColor="text1"/>
                <w:highlight w:val="none"/>
                <w:lang w:val="en-US" w:eastAsia="zh-CN"/>
                <w14:textFill>
                  <w14:solidFill>
                    <w14:schemeClr w14:val="tx1"/>
                  </w14:solidFill>
                </w14:textFill>
              </w:rPr>
              <w:t>÷4092Kcal/kg÷1000=8943t/a</w:t>
            </w:r>
            <w:bookmarkStart w:id="49" w:name="_Ref186111855"/>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则生物质成型颗粒年用量为</w:t>
            </w:r>
            <w:r>
              <w:rPr>
                <w:rFonts w:hint="default" w:ascii="Times New Roman" w:hAnsi="Times New Roman" w:cs="Times New Roman"/>
                <w:color w:val="000000" w:themeColor="text1"/>
                <w:highlight w:val="none"/>
                <w:lang w:val="en-US" w:eastAsia="zh-CN"/>
                <w14:textFill>
                  <w14:solidFill>
                    <w14:schemeClr w14:val="tx1"/>
                  </w14:solidFill>
                </w14:textFill>
              </w:rPr>
              <w:t>8943</w:t>
            </w:r>
            <w:r>
              <w:rPr>
                <w:rFonts w:hint="default" w:ascii="Times New Roman" w:hAnsi="Times New Roman" w:cs="Times New Roman"/>
                <w:color w:val="000000" w:themeColor="text1"/>
                <w:highlight w:val="none"/>
                <w:lang w:eastAsia="zh-CN"/>
                <w14:textFill>
                  <w14:solidFill>
                    <w14:schemeClr w14:val="tx1"/>
                  </w14:solidFill>
                </w14:textFill>
              </w:rPr>
              <w:t>t</w:t>
            </w:r>
            <w:r>
              <w:rPr>
                <w:rFonts w:hint="default" w:ascii="Times New Roman" w:hAnsi="Times New Roman" w:cs="Times New Roman"/>
                <w:color w:val="000000" w:themeColor="text1"/>
                <w:highlight w:val="none"/>
                <w14:textFill>
                  <w14:solidFill>
                    <w14:schemeClr w14:val="tx1"/>
                  </w14:solidFill>
                </w14:textFill>
              </w:rPr>
              <w:t>。</w:t>
            </w:r>
          </w:p>
          <w:p w14:paraId="65A72080">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 xml:space="preserve">表2- </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：主要原辅材料用量一览表</w:t>
            </w:r>
            <w:bookmarkEnd w:id="49"/>
          </w:p>
          <w:tbl>
            <w:tblPr>
              <w:tblStyle w:val="4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25"/>
              <w:gridCol w:w="975"/>
              <w:gridCol w:w="1056"/>
              <w:gridCol w:w="672"/>
              <w:gridCol w:w="852"/>
              <w:gridCol w:w="752"/>
              <w:gridCol w:w="1372"/>
              <w:gridCol w:w="933"/>
              <w:gridCol w:w="929"/>
            </w:tblGrid>
            <w:tr w14:paraId="60F094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6FFE631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序号</w:t>
                  </w:r>
                </w:p>
              </w:tc>
              <w:tc>
                <w:tcPr>
                  <w:tcW w:w="982"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668928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名称</w:t>
                  </w:r>
                </w:p>
              </w:tc>
              <w:tc>
                <w:tcPr>
                  <w:tcW w:w="1730" w:type="dxa"/>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E9C0B9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质量控制指标</w:t>
                  </w:r>
                </w:p>
              </w:tc>
              <w:tc>
                <w:tcPr>
                  <w:tcW w:w="857" w:type="dxa"/>
                  <w:tcBorders>
                    <w:top w:val="single" w:color="auto" w:sz="12" w:space="0"/>
                    <w:bottom w:val="single" w:color="auto" w:sz="12" w:space="0"/>
                    <w:right w:val="single" w:color="auto" w:sz="4" w:space="0"/>
                    <w:insideH w:val="single" w:sz="12" w:space="0"/>
                    <w:insideV w:val="single" w:sz="4" w:space="0"/>
                    <w:tl2br w:val="nil"/>
                    <w:tr2bl w:val="nil"/>
                  </w:tcBorders>
                  <w:shd w:val="clear" w:color="auto" w:fill="auto"/>
                  <w:vAlign w:val="center"/>
                </w:tcPr>
                <w:p w14:paraId="33C1836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来源</w:t>
                  </w:r>
                </w:p>
              </w:tc>
              <w:tc>
                <w:tcPr>
                  <w:tcW w:w="756" w:type="dxa"/>
                  <w:tcBorders>
                    <w:top w:val="single" w:color="auto" w:sz="12" w:space="0"/>
                    <w:bottom w:val="single" w:color="auto" w:sz="12" w:space="0"/>
                    <w:right w:val="single" w:color="auto" w:sz="4" w:space="0"/>
                    <w:insideH w:val="single" w:sz="12" w:space="0"/>
                    <w:insideV w:val="single" w:sz="4" w:space="0"/>
                    <w:tl2br w:val="nil"/>
                    <w:tr2bl w:val="nil"/>
                  </w:tcBorders>
                  <w:shd w:val="clear" w:color="auto" w:fill="auto"/>
                  <w:vAlign w:val="center"/>
                </w:tcPr>
                <w:p w14:paraId="4939635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储存位置</w:t>
                  </w:r>
                </w:p>
              </w:tc>
              <w:tc>
                <w:tcPr>
                  <w:tcW w:w="1380" w:type="dxa"/>
                  <w:tcBorders>
                    <w:top w:val="single" w:color="auto" w:sz="12" w:space="0"/>
                    <w:bottom w:val="single" w:color="auto" w:sz="12" w:space="0"/>
                    <w:right w:val="nil"/>
                    <w:insideH w:val="single" w:sz="12" w:space="0"/>
                    <w:insideV w:val="single" w:sz="4" w:space="0"/>
                    <w:tl2br w:val="nil"/>
                    <w:tr2bl w:val="nil"/>
                  </w:tcBorders>
                  <w:shd w:val="clear" w:color="auto" w:fill="auto"/>
                  <w:vAlign w:val="center"/>
                </w:tcPr>
                <w:p w14:paraId="06519A2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最大储存量</w:t>
                  </w:r>
                  <w:r>
                    <w:rPr>
                      <w:rFonts w:hint="default" w:ascii="Times New Roman" w:hAnsi="Times New Roman" w:cs="Times New Roman"/>
                      <w:b/>
                      <w:i w:val="0"/>
                      <w:color w:val="000000" w:themeColor="text1"/>
                      <w:sz w:val="21"/>
                      <w:szCs w:val="21"/>
                      <w:highlight w:val="none"/>
                      <w:lang w:eastAsia="zh-CN"/>
                      <w14:textFill>
                        <w14:solidFill>
                          <w14:schemeClr w14:val="tx1"/>
                        </w14:solidFill>
                      </w14:textFill>
                      <w14:ligatures w14:val="standardContextual"/>
                    </w:rPr>
                    <w:t>（</w:t>
                  </w:r>
                  <w:r>
                    <w:rPr>
                      <w:rFonts w:hint="default" w:ascii="Times New Roman" w:hAnsi="Times New Roman" w:cs="Times New Roman"/>
                      <w:b/>
                      <w:i w:val="0"/>
                      <w:color w:val="000000" w:themeColor="text1"/>
                      <w:sz w:val="21"/>
                      <w:szCs w:val="21"/>
                      <w:highlight w:val="none"/>
                      <w:lang w:val="en-US" w:eastAsia="zh-CN"/>
                      <w14:textFill>
                        <w14:solidFill>
                          <w14:schemeClr w14:val="tx1"/>
                        </w14:solidFill>
                      </w14:textFill>
                      <w14:ligatures w14:val="standardContextual"/>
                    </w:rPr>
                    <w:t>t</w:t>
                  </w:r>
                  <w:r>
                    <w:rPr>
                      <w:rFonts w:hint="default" w:ascii="Times New Roman" w:hAnsi="Times New Roman" w:cs="Times New Roman"/>
                      <w:b/>
                      <w:i w:val="0"/>
                      <w:color w:val="000000" w:themeColor="text1"/>
                      <w:sz w:val="21"/>
                      <w:szCs w:val="21"/>
                      <w:highlight w:val="none"/>
                      <w:lang w:eastAsia="zh-CN"/>
                      <w14:textFill>
                        <w14:solidFill>
                          <w14:schemeClr w14:val="tx1"/>
                        </w14:solidFill>
                      </w14:textFill>
                      <w14:ligatures w14:val="standardContextual"/>
                    </w:rPr>
                    <w:t>）</w:t>
                  </w:r>
                </w:p>
              </w:tc>
              <w:tc>
                <w:tcPr>
                  <w:tcW w:w="935" w:type="dxa"/>
                  <w:tcBorders>
                    <w:top w:val="single" w:color="auto" w:sz="12" w:space="0"/>
                    <w:bottom w:val="single" w:color="auto" w:sz="12" w:space="0"/>
                    <w:right w:val="nil"/>
                    <w:insideH w:val="single" w:sz="12" w:space="0"/>
                    <w:insideV w:val="single" w:sz="4" w:space="0"/>
                    <w:tl2br w:val="nil"/>
                    <w:tr2bl w:val="nil"/>
                  </w:tcBorders>
                  <w:shd w:val="clear" w:color="auto" w:fill="auto"/>
                  <w:vAlign w:val="center"/>
                </w:tcPr>
                <w:p w14:paraId="7B3367B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年用量</w:t>
                  </w:r>
                  <w:r>
                    <w:rPr>
                      <w:rFonts w:hint="default" w:ascii="Times New Roman" w:hAnsi="Times New Roman" w:cs="Times New Roman"/>
                      <w:b/>
                      <w:i w:val="0"/>
                      <w:color w:val="000000" w:themeColor="text1"/>
                      <w:sz w:val="21"/>
                      <w:szCs w:val="21"/>
                      <w:highlight w:val="none"/>
                      <w:lang w:eastAsia="zh-CN"/>
                      <w14:textFill>
                        <w14:solidFill>
                          <w14:schemeClr w14:val="tx1"/>
                        </w14:solidFill>
                      </w14:textFill>
                      <w14:ligatures w14:val="standardContextual"/>
                    </w:rPr>
                    <w:t>（</w:t>
                  </w:r>
                  <w:r>
                    <w:rPr>
                      <w:rFonts w:hint="default" w:ascii="Times New Roman" w:hAnsi="Times New Roman" w:cs="Times New Roman"/>
                      <w:b/>
                      <w:i w:val="0"/>
                      <w:color w:val="000000" w:themeColor="text1"/>
                      <w:sz w:val="21"/>
                      <w:szCs w:val="21"/>
                      <w:highlight w:val="none"/>
                      <w:lang w:val="en-US" w:eastAsia="zh-CN"/>
                      <w14:textFill>
                        <w14:solidFill>
                          <w14:schemeClr w14:val="tx1"/>
                        </w14:solidFill>
                      </w14:textFill>
                      <w14:ligatures w14:val="standardContextual"/>
                    </w:rPr>
                    <w:t>t/a</w:t>
                  </w:r>
                  <w:r>
                    <w:rPr>
                      <w:rFonts w:hint="default" w:ascii="Times New Roman" w:hAnsi="Times New Roman" w:cs="Times New Roman"/>
                      <w:b/>
                      <w:i w:val="0"/>
                      <w:color w:val="000000" w:themeColor="text1"/>
                      <w:sz w:val="21"/>
                      <w:szCs w:val="21"/>
                      <w:highlight w:val="none"/>
                      <w:lang w:eastAsia="zh-CN"/>
                      <w14:textFill>
                        <w14:solidFill>
                          <w14:schemeClr w14:val="tx1"/>
                        </w14:solidFill>
                      </w14:textFill>
                      <w14:ligatures w14:val="standardContextual"/>
                    </w:rPr>
                    <w:t>）</w:t>
                  </w:r>
                </w:p>
              </w:tc>
              <w:tc>
                <w:tcPr>
                  <w:tcW w:w="935" w:type="dxa"/>
                  <w:tcBorders>
                    <w:top w:val="single" w:color="auto" w:sz="12" w:space="0"/>
                    <w:bottom w:val="single" w:color="auto" w:sz="12" w:space="0"/>
                    <w:right w:val="nil"/>
                    <w:insideH w:val="single" w:sz="12" w:space="0"/>
                    <w:insideV w:val="single" w:sz="4" w:space="0"/>
                    <w:tl2br w:val="nil"/>
                    <w:tr2bl w:val="nil"/>
                  </w:tcBorders>
                  <w:shd w:val="clear" w:color="auto" w:fill="auto"/>
                  <w:vAlign w:val="center"/>
                </w:tcPr>
                <w:p w14:paraId="1555A77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eastAsia" w:ascii="Times New Roman" w:hAnsi="Times New Roman" w:eastAsia="宋体" w:cs="Times New Roman"/>
                      <w:b/>
                      <w:i w:val="0"/>
                      <w:color w:val="000000" w:themeColor="text1"/>
                      <w:sz w:val="21"/>
                      <w:szCs w:val="21"/>
                      <w:highlight w:val="none"/>
                      <w:lang w:val="en-US" w:eastAsia="zh-CN"/>
                      <w14:textFill>
                        <w14:solidFill>
                          <w14:schemeClr w14:val="tx1"/>
                        </w14:solidFill>
                      </w14:textFill>
                      <w14:ligatures w14:val="standardContextual"/>
                    </w:rPr>
                  </w:pPr>
                  <w:r>
                    <w:rPr>
                      <w:rFonts w:hint="eastAsia" w:cs="Times New Roman"/>
                      <w:b/>
                      <w:i w:val="0"/>
                      <w:color w:val="000000" w:themeColor="text1"/>
                      <w:sz w:val="21"/>
                      <w:szCs w:val="21"/>
                      <w:highlight w:val="none"/>
                      <w:lang w:val="en-US" w:eastAsia="zh-CN"/>
                      <w14:textFill>
                        <w14:solidFill>
                          <w14:schemeClr w14:val="tx1"/>
                        </w14:solidFill>
                      </w14:textFill>
                      <w14:ligatures w14:val="standardContextual"/>
                    </w:rPr>
                    <w:t>备注</w:t>
                  </w:r>
                </w:p>
              </w:tc>
            </w:tr>
            <w:tr w14:paraId="13166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dxa"/>
                  <w:vAlign w:val="center"/>
                </w:tcPr>
                <w:p w14:paraId="683E3D0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w:t>
                  </w:r>
                </w:p>
              </w:tc>
              <w:tc>
                <w:tcPr>
                  <w:tcW w:w="982" w:type="dxa"/>
                  <w:vAlign w:val="center"/>
                </w:tcPr>
                <w:p w14:paraId="29720F0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生物质成型颗粒</w:t>
                  </w:r>
                </w:p>
              </w:tc>
              <w:tc>
                <w:tcPr>
                  <w:tcW w:w="1730" w:type="dxa"/>
                  <w:gridSpan w:val="2"/>
                  <w:vAlign w:val="center"/>
                </w:tcPr>
                <w:p w14:paraId="79E2B02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低位发热量≥</w:t>
                  </w:r>
                  <w:bookmarkStart w:id="50" w:name="OLE_LINK179"/>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4092</w:t>
                  </w:r>
                  <w:r>
                    <w:rPr>
                      <w:rFonts w:hint="default" w:ascii="Times New Roman" w:hAnsi="Times New Roman" w:cs="Times New Roman"/>
                      <w:color w:val="000000" w:themeColor="text1"/>
                      <w:highlight w:val="none"/>
                      <w14:textFill>
                        <w14:solidFill>
                          <w14:schemeClr w14:val="tx1"/>
                        </w14:solidFill>
                      </w14:textFill>
                      <w14:ligatures w14:val="standardContextual"/>
                    </w:rPr>
                    <w:t>Kcal/kg</w:t>
                  </w:r>
                  <w:bookmarkEnd w:id="50"/>
                  <w:r>
                    <w:rPr>
                      <w:rFonts w:hint="default" w:ascii="Times New Roman" w:hAnsi="Times New Roman" w:cs="Times New Roman"/>
                      <w:color w:val="000000" w:themeColor="text1"/>
                      <w:highlight w:val="none"/>
                      <w14:textFill>
                        <w14:solidFill>
                          <w14:schemeClr w14:val="tx1"/>
                        </w14:solidFill>
                      </w14:textFill>
                      <w14:ligatures w14:val="standardContextual"/>
                    </w:rPr>
                    <w:t>，干基全硫</w:t>
                  </w:r>
                  <w:bookmarkStart w:id="51" w:name="OLE_LINK178"/>
                  <w:r>
                    <w:rPr>
                      <w:rFonts w:hint="default" w:ascii="Times New Roman" w:hAnsi="Times New Roman" w:cs="Times New Roman"/>
                      <w:color w:val="000000" w:themeColor="text1"/>
                      <w:highlight w:val="none"/>
                      <w14:textFill>
                        <w14:solidFill>
                          <w14:schemeClr w14:val="tx1"/>
                        </w14:solidFill>
                      </w14:textFill>
                      <w14:ligatures w14:val="standardContextual"/>
                    </w:rPr>
                    <w:t>≤</w:t>
                  </w:r>
                  <w:bookmarkEnd w:id="51"/>
                  <w:r>
                    <w:rPr>
                      <w:rFonts w:hint="default" w:ascii="Times New Roman" w:hAnsi="Times New Roman" w:cs="Times New Roman"/>
                      <w:color w:val="000000" w:themeColor="text1"/>
                      <w:highlight w:val="none"/>
                      <w14:textFill>
                        <w14:solidFill>
                          <w14:schemeClr w14:val="tx1"/>
                        </w14:solidFill>
                      </w14:textFill>
                      <w14:ligatures w14:val="standardContextual"/>
                    </w:rPr>
                    <w:t>0.0</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0</w:t>
                  </w:r>
                  <w:r>
                    <w:rPr>
                      <w:rFonts w:hint="default" w:ascii="Times New Roman" w:hAnsi="Times New Roman" w:cs="Times New Roman"/>
                      <w:color w:val="000000" w:themeColor="text1"/>
                      <w:highlight w:val="none"/>
                      <w14:textFill>
                        <w14:solidFill>
                          <w14:schemeClr w14:val="tx1"/>
                        </w14:solidFill>
                      </w14:textFill>
                      <w14:ligatures w14:val="standardContextual"/>
                    </w:rPr>
                    <w:t>%</w:t>
                  </w:r>
                </w:p>
              </w:tc>
              <w:tc>
                <w:tcPr>
                  <w:tcW w:w="857" w:type="dxa"/>
                  <w:shd w:val="clear" w:color="auto" w:fill="auto"/>
                  <w:vAlign w:val="center"/>
                </w:tcPr>
                <w:p w14:paraId="3BC62CA9">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外购</w:t>
                  </w:r>
                </w:p>
              </w:tc>
              <w:tc>
                <w:tcPr>
                  <w:tcW w:w="756" w:type="dxa"/>
                  <w:shd w:val="clear" w:color="auto" w:fill="auto"/>
                  <w:vAlign w:val="center"/>
                </w:tcPr>
                <w:p w14:paraId="3A7712CC">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料仓</w:t>
                  </w:r>
                </w:p>
              </w:tc>
              <w:tc>
                <w:tcPr>
                  <w:tcW w:w="1380" w:type="dxa"/>
                  <w:shd w:val="clear" w:color="auto" w:fill="auto"/>
                  <w:vAlign w:val="center"/>
                </w:tcPr>
                <w:p w14:paraId="6C9737D9">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3000</w:t>
                  </w:r>
                </w:p>
              </w:tc>
              <w:tc>
                <w:tcPr>
                  <w:tcW w:w="935" w:type="dxa"/>
                  <w:shd w:val="clear" w:color="auto" w:fill="auto"/>
                  <w:vAlign w:val="center"/>
                </w:tcPr>
                <w:p w14:paraId="297D1CBF">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8943</w:t>
                  </w:r>
                </w:p>
              </w:tc>
              <w:tc>
                <w:tcPr>
                  <w:tcW w:w="935" w:type="dxa"/>
                  <w:shd w:val="clear" w:color="auto" w:fill="auto"/>
                  <w:vAlign w:val="center"/>
                </w:tcPr>
                <w:p w14:paraId="0241614D">
                  <w:pPr>
                    <w:widowControl w:val="0"/>
                    <w:overflowPunct w:val="0"/>
                    <w:autoSpaceDE w:val="0"/>
                    <w:autoSpaceDN w:val="0"/>
                    <w:snapToGrid w:val="0"/>
                    <w:jc w:val="cente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u w:val="single"/>
                      <w:lang w:val="en-US" w:eastAsia="zh-CN"/>
                      <w14:textFill>
                        <w14:solidFill>
                          <w14:schemeClr w14:val="tx1"/>
                        </w14:solidFill>
                      </w14:textFill>
                      <w14:ligatures w14:val="standardContextual"/>
                    </w:rPr>
                    <w:t>本项目新建</w:t>
                  </w:r>
                </w:p>
              </w:tc>
            </w:tr>
            <w:tr w14:paraId="49E923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dxa"/>
                  <w:shd w:val="clear" w:color="auto" w:fill="auto"/>
                  <w:vAlign w:val="center"/>
                </w:tcPr>
                <w:p w14:paraId="4397F94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bCs w:val="0"/>
                      <w:i w:val="0"/>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eastAsia="宋体" w:cs="Times New Roman"/>
                      <w:b/>
                      <w:bCs w:val="0"/>
                      <w:i w:val="0"/>
                      <w:color w:val="000000" w:themeColor="text1"/>
                      <w:sz w:val="21"/>
                      <w:szCs w:val="21"/>
                      <w:highlight w:val="none"/>
                      <w14:textFill>
                        <w14:solidFill>
                          <w14:schemeClr w14:val="tx1"/>
                        </w14:solidFill>
                      </w14:textFill>
                      <w14:ligatures w14:val="standardContextual"/>
                    </w:rPr>
                    <w:t>序号</w:t>
                  </w:r>
                </w:p>
              </w:tc>
              <w:tc>
                <w:tcPr>
                  <w:tcW w:w="982" w:type="dxa"/>
                  <w:shd w:val="clear" w:color="auto" w:fill="auto"/>
                  <w:vAlign w:val="center"/>
                </w:tcPr>
                <w:p w14:paraId="5348C27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bCs w:val="0"/>
                      <w:i w:val="0"/>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eastAsia="宋体" w:cs="Times New Roman"/>
                      <w:b/>
                      <w:bCs w:val="0"/>
                      <w:i w:val="0"/>
                      <w:color w:val="000000" w:themeColor="text1"/>
                      <w:sz w:val="21"/>
                      <w:szCs w:val="21"/>
                      <w:highlight w:val="none"/>
                      <w14:textFill>
                        <w14:solidFill>
                          <w14:schemeClr w14:val="tx1"/>
                        </w14:solidFill>
                      </w14:textFill>
                      <w14:ligatures w14:val="standardContextual"/>
                    </w:rPr>
                    <w:t>名称</w:t>
                  </w:r>
                </w:p>
              </w:tc>
              <w:tc>
                <w:tcPr>
                  <w:tcW w:w="1056" w:type="dxa"/>
                  <w:vAlign w:val="center"/>
                </w:tcPr>
                <w:p w14:paraId="6979397E">
                  <w:pPr>
                    <w:widowControl w:val="0"/>
                    <w:overflowPunct w:val="0"/>
                    <w:autoSpaceDE w:val="0"/>
                    <w:autoSpaceDN w:val="0"/>
                    <w:snapToGrid w:val="0"/>
                    <w:jc w:val="center"/>
                    <w:rPr>
                      <w:rFonts w:hint="default" w:ascii="Times New Roman" w:hAnsi="Times New Roman" w:cs="Times New Roman"/>
                      <w:b/>
                      <w:bCs w:val="0"/>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年</w:t>
                  </w:r>
                  <w:r>
                    <w:rPr>
                      <w:rFonts w:hint="default" w:ascii="Times New Roman" w:hAnsi="Times New Roman" w:cs="Times New Roman"/>
                      <w:b/>
                      <w:bCs w:val="0"/>
                      <w:color w:val="000000" w:themeColor="text1"/>
                      <w:highlight w:val="none"/>
                      <w:lang w:val="en-US" w:eastAsia="zh-CN"/>
                      <w14:textFill>
                        <w14:solidFill>
                          <w14:schemeClr w14:val="tx1"/>
                        </w14:solidFill>
                      </w14:textFill>
                      <w14:ligatures w14:val="standardContextual"/>
                    </w:rPr>
                    <w:t>用量</w:t>
                  </w:r>
                </w:p>
                <w:p w14:paraId="5EC63775">
                  <w:pPr>
                    <w:widowControl w:val="0"/>
                    <w:overflowPunct w:val="0"/>
                    <w:autoSpaceDE w:val="0"/>
                    <w:autoSpaceDN w:val="0"/>
                    <w:snapToGrid w:val="0"/>
                    <w:jc w:val="center"/>
                    <w:rPr>
                      <w:rFonts w:hint="default" w:ascii="Times New Roman" w:hAnsi="Times New Roman" w:eastAsia="宋体" w:cs="Times New Roman"/>
                      <w:b/>
                      <w:bCs w:val="0"/>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b/>
                      <w:i w:val="0"/>
                      <w:color w:val="000000" w:themeColor="text1"/>
                      <w:sz w:val="21"/>
                      <w:szCs w:val="21"/>
                      <w:highlight w:val="none"/>
                      <w:lang w:eastAsia="zh-CN"/>
                      <w14:textFill>
                        <w14:solidFill>
                          <w14:schemeClr w14:val="tx1"/>
                        </w14:solidFill>
                      </w14:textFill>
                      <w14:ligatures w14:val="standardContextual"/>
                    </w:rPr>
                    <w:t>（</w:t>
                  </w:r>
                  <w:r>
                    <w:rPr>
                      <w:rFonts w:hint="default" w:ascii="Times New Roman" w:hAnsi="Times New Roman" w:cs="Times New Roman"/>
                      <w:b/>
                      <w:i w:val="0"/>
                      <w:color w:val="000000" w:themeColor="text1"/>
                      <w:sz w:val="21"/>
                      <w:szCs w:val="21"/>
                      <w:highlight w:val="none"/>
                      <w:lang w:val="en-US" w:eastAsia="zh-CN"/>
                      <w14:textFill>
                        <w14:solidFill>
                          <w14:schemeClr w14:val="tx1"/>
                        </w14:solidFill>
                      </w14:textFill>
                      <w14:ligatures w14:val="standardContextual"/>
                    </w:rPr>
                    <w:t>t/a</w:t>
                  </w:r>
                  <w:r>
                    <w:rPr>
                      <w:rFonts w:hint="default" w:ascii="Times New Roman" w:hAnsi="Times New Roman" w:cs="Times New Roman"/>
                      <w:b/>
                      <w:i w:val="0"/>
                      <w:color w:val="000000" w:themeColor="text1"/>
                      <w:sz w:val="21"/>
                      <w:szCs w:val="21"/>
                      <w:highlight w:val="none"/>
                      <w:lang w:eastAsia="zh-CN"/>
                      <w14:textFill>
                        <w14:solidFill>
                          <w14:schemeClr w14:val="tx1"/>
                        </w14:solidFill>
                      </w14:textFill>
                      <w14:ligatures w14:val="standardContextual"/>
                    </w:rPr>
                    <w:t>）</w:t>
                  </w:r>
                </w:p>
              </w:tc>
              <w:tc>
                <w:tcPr>
                  <w:tcW w:w="674" w:type="dxa"/>
                  <w:vAlign w:val="center"/>
                </w:tcPr>
                <w:p w14:paraId="36CDA558">
                  <w:pPr>
                    <w:widowControl w:val="0"/>
                    <w:overflowPunct w:val="0"/>
                    <w:autoSpaceDE w:val="0"/>
                    <w:autoSpaceDN w:val="0"/>
                    <w:snapToGrid w:val="0"/>
                    <w:jc w:val="center"/>
                    <w:rPr>
                      <w:rFonts w:hint="default" w:ascii="Times New Roman" w:hAnsi="Times New Roman" w:cs="Times New Roman"/>
                      <w:b/>
                      <w:bCs w:val="0"/>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b/>
                      <w:bCs w:val="0"/>
                      <w:i w:val="0"/>
                      <w:color w:val="000000" w:themeColor="text1"/>
                      <w:sz w:val="21"/>
                      <w:szCs w:val="21"/>
                      <w:highlight w:val="none"/>
                      <w14:textFill>
                        <w14:solidFill>
                          <w14:schemeClr w14:val="tx1"/>
                        </w14:solidFill>
                      </w14:textFill>
                      <w14:ligatures w14:val="standardContextual"/>
                    </w:rPr>
                    <w:t>来源</w:t>
                  </w:r>
                </w:p>
              </w:tc>
              <w:tc>
                <w:tcPr>
                  <w:tcW w:w="857" w:type="dxa"/>
                  <w:vAlign w:val="center"/>
                </w:tcPr>
                <w:p w14:paraId="38A40248">
                  <w:pPr>
                    <w:widowControl w:val="0"/>
                    <w:overflowPunct w:val="0"/>
                    <w:autoSpaceDE w:val="0"/>
                    <w:autoSpaceDN w:val="0"/>
                    <w:snapToGrid w:val="0"/>
                    <w:jc w:val="center"/>
                    <w:rPr>
                      <w:rFonts w:hint="default" w:ascii="Times New Roman" w:hAnsi="Times New Roman" w:cs="Times New Roman"/>
                      <w:b/>
                      <w:bCs w:val="0"/>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b/>
                      <w:bCs w:val="0"/>
                      <w:i w:val="0"/>
                      <w:color w:val="000000" w:themeColor="text1"/>
                      <w:sz w:val="21"/>
                      <w:szCs w:val="21"/>
                      <w:highlight w:val="none"/>
                      <w14:textFill>
                        <w14:solidFill>
                          <w14:schemeClr w14:val="tx1"/>
                        </w14:solidFill>
                      </w14:textFill>
                      <w14:ligatures w14:val="standardContextual"/>
                    </w:rPr>
                    <w:t>储存位置</w:t>
                  </w:r>
                </w:p>
              </w:tc>
              <w:tc>
                <w:tcPr>
                  <w:tcW w:w="756" w:type="dxa"/>
                  <w:vAlign w:val="center"/>
                </w:tcPr>
                <w:p w14:paraId="584E4440">
                  <w:pPr>
                    <w:widowControl w:val="0"/>
                    <w:overflowPunct w:val="0"/>
                    <w:autoSpaceDE w:val="0"/>
                    <w:autoSpaceDN w:val="0"/>
                    <w:snapToGrid w:val="0"/>
                    <w:jc w:val="center"/>
                    <w:rPr>
                      <w:rFonts w:hint="default" w:ascii="Times New Roman" w:hAnsi="Times New Roman" w:cs="Times New Roman"/>
                      <w:b/>
                      <w:bCs w:val="0"/>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b/>
                      <w:bCs w:val="0"/>
                      <w:color w:val="000000" w:themeColor="text1"/>
                      <w:highlight w:val="none"/>
                      <w:lang w:val="en-US" w:eastAsia="zh-CN"/>
                      <w14:textFill>
                        <w14:solidFill>
                          <w14:schemeClr w14:val="tx1"/>
                        </w14:solidFill>
                      </w14:textFill>
                      <w14:ligatures w14:val="standardContextual"/>
                    </w:rPr>
                    <w:t>储存方式</w:t>
                  </w:r>
                </w:p>
              </w:tc>
              <w:tc>
                <w:tcPr>
                  <w:tcW w:w="1380" w:type="dxa"/>
                  <w:vAlign w:val="center"/>
                </w:tcPr>
                <w:p w14:paraId="18932122">
                  <w:pPr>
                    <w:widowControl w:val="0"/>
                    <w:overflowPunct w:val="0"/>
                    <w:autoSpaceDE w:val="0"/>
                    <w:autoSpaceDN w:val="0"/>
                    <w:snapToGrid w:val="0"/>
                    <w:jc w:val="center"/>
                    <w:rPr>
                      <w:rFonts w:hint="default" w:ascii="Times New Roman" w:hAnsi="Times New Roman" w:eastAsia="宋体" w:cs="Times New Roman"/>
                      <w:b/>
                      <w:bCs w:val="0"/>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b/>
                      <w:bCs w:val="0"/>
                      <w:color w:val="000000" w:themeColor="text1"/>
                      <w:highlight w:val="none"/>
                      <w:lang w:val="en-US" w:eastAsia="zh-CN"/>
                      <w14:textFill>
                        <w14:solidFill>
                          <w14:schemeClr w14:val="tx1"/>
                        </w14:solidFill>
                      </w14:textFill>
                      <w14:ligatures w14:val="standardContextual"/>
                    </w:rPr>
                    <w:t>储存介质参数</w:t>
                  </w:r>
                </w:p>
              </w:tc>
              <w:tc>
                <w:tcPr>
                  <w:tcW w:w="935" w:type="dxa"/>
                  <w:vAlign w:val="center"/>
                </w:tcPr>
                <w:p w14:paraId="14E7C56B">
                  <w:pPr>
                    <w:widowControl w:val="0"/>
                    <w:overflowPunct w:val="0"/>
                    <w:autoSpaceDE w:val="0"/>
                    <w:autoSpaceDN w:val="0"/>
                    <w:snapToGrid w:val="0"/>
                    <w:jc w:val="center"/>
                    <w:rPr>
                      <w:rFonts w:hint="default" w:ascii="Times New Roman" w:hAnsi="Times New Roman" w:cs="Times New Roman"/>
                      <w:b/>
                      <w:bCs w:val="0"/>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b/>
                      <w:bCs w:val="0"/>
                      <w:color w:val="000000" w:themeColor="text1"/>
                      <w:highlight w:val="none"/>
                      <w:lang w:val="en-US" w:eastAsia="zh-CN"/>
                      <w14:textFill>
                        <w14:solidFill>
                          <w14:schemeClr w14:val="tx1"/>
                        </w14:solidFill>
                      </w14:textFill>
                      <w14:ligatures w14:val="standardContextual"/>
                    </w:rPr>
                    <w:t>用途</w:t>
                  </w:r>
                </w:p>
              </w:tc>
              <w:tc>
                <w:tcPr>
                  <w:tcW w:w="935" w:type="dxa"/>
                  <w:vAlign w:val="center"/>
                </w:tcPr>
                <w:p w14:paraId="00DF1258">
                  <w:pPr>
                    <w:widowControl w:val="0"/>
                    <w:overflowPunct w:val="0"/>
                    <w:autoSpaceDE w:val="0"/>
                    <w:autoSpaceDN w:val="0"/>
                    <w:snapToGrid w:val="0"/>
                    <w:jc w:val="center"/>
                    <w:rPr>
                      <w:rFonts w:hint="default" w:ascii="Times New Roman" w:hAnsi="Times New Roman" w:cs="Times New Roman"/>
                      <w:b/>
                      <w:bCs w:val="0"/>
                      <w:color w:val="000000" w:themeColor="text1"/>
                      <w:highlight w:val="none"/>
                      <w:lang w:val="en-US" w:eastAsia="zh-CN"/>
                      <w14:textFill>
                        <w14:solidFill>
                          <w14:schemeClr w14:val="tx1"/>
                        </w14:solidFill>
                      </w14:textFill>
                      <w14:ligatures w14:val="standardContextual"/>
                    </w:rPr>
                  </w:pPr>
                  <w:r>
                    <w:rPr>
                      <w:rFonts w:hint="eastAsia" w:cs="Times New Roman"/>
                      <w:b/>
                      <w:i w:val="0"/>
                      <w:color w:val="000000" w:themeColor="text1"/>
                      <w:sz w:val="21"/>
                      <w:szCs w:val="21"/>
                      <w:highlight w:val="none"/>
                      <w:lang w:val="en-US" w:eastAsia="zh-CN"/>
                      <w14:textFill>
                        <w14:solidFill>
                          <w14:schemeClr w14:val="tx1"/>
                        </w14:solidFill>
                      </w14:textFill>
                      <w14:ligatures w14:val="standardContextual"/>
                    </w:rPr>
                    <w:t>备注</w:t>
                  </w:r>
                </w:p>
              </w:tc>
            </w:tr>
            <w:tr w14:paraId="7855D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dxa"/>
                  <w:vAlign w:val="center"/>
                </w:tcPr>
                <w:p w14:paraId="368691B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w:t>
                  </w:r>
                </w:p>
              </w:tc>
              <w:tc>
                <w:tcPr>
                  <w:tcW w:w="982" w:type="dxa"/>
                  <w:vAlign w:val="center"/>
                </w:tcPr>
                <w:p w14:paraId="51575B89">
                  <w:pPr>
                    <w:widowControl w:val="0"/>
                    <w:overflowPunct w:val="0"/>
                    <w:autoSpaceDE w:val="0"/>
                    <w:autoSpaceDN w:val="0"/>
                    <w:snapToGrid w:val="0"/>
                    <w:jc w:val="center"/>
                    <w:rPr>
                      <w:rFonts w:hint="default" w:ascii="Times New Roman" w:hAnsi="Times New Roman" w:eastAsia="宋体"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超滤膜</w:t>
                  </w:r>
                </w:p>
              </w:tc>
              <w:tc>
                <w:tcPr>
                  <w:tcW w:w="1056" w:type="dxa"/>
                  <w:vAlign w:val="center"/>
                </w:tcPr>
                <w:p w14:paraId="7062EF75">
                  <w:pPr>
                    <w:widowControl w:val="0"/>
                    <w:overflowPunct w:val="0"/>
                    <w:autoSpaceDE w:val="0"/>
                    <w:autoSpaceDN w:val="0"/>
                    <w:snapToGrid w:val="0"/>
                    <w:jc w:val="center"/>
                    <w:rPr>
                      <w:rFonts w:hint="default" w:ascii="Times New Roman" w:hAnsi="Times New Roman" w:eastAsia="宋体"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eastAsia="宋体" w:cs="Times New Roman"/>
                      <w:color w:val="000000" w:themeColor="text1"/>
                      <w:highlight w:val="none"/>
                      <w:u w:val="single"/>
                      <w:lang w:val="en-US" w:eastAsia="zh-CN"/>
                      <w14:textFill>
                        <w14:solidFill>
                          <w14:schemeClr w14:val="tx1"/>
                        </w14:solidFill>
                      </w14:textFill>
                      <w14:ligatures w14:val="standardContextual"/>
                    </w:rPr>
                    <w:t>70000 m²</w:t>
                  </w:r>
                </w:p>
              </w:tc>
              <w:tc>
                <w:tcPr>
                  <w:tcW w:w="674" w:type="dxa"/>
                  <w:vAlign w:val="center"/>
                </w:tcPr>
                <w:p w14:paraId="02B5CD69">
                  <w:pPr>
                    <w:widowControl w:val="0"/>
                    <w:overflowPunct w:val="0"/>
                    <w:autoSpaceDE w:val="0"/>
                    <w:autoSpaceDN w:val="0"/>
                    <w:snapToGrid w:val="0"/>
                    <w:jc w:val="center"/>
                    <w:rPr>
                      <w:rFonts w:hint="default" w:ascii="Times New Roman" w:hAnsi="Times New Roman" w:cs="Times New Roman"/>
                      <w:color w:val="000000" w:themeColor="text1"/>
                      <w:highlight w:val="none"/>
                      <w:u w:val="single"/>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外购</w:t>
                  </w:r>
                </w:p>
              </w:tc>
              <w:tc>
                <w:tcPr>
                  <w:tcW w:w="857" w:type="dxa"/>
                  <w:vAlign w:val="center"/>
                </w:tcPr>
                <w:p w14:paraId="68434BF8">
                  <w:pPr>
                    <w:widowControl w:val="0"/>
                    <w:overflowPunct w:val="0"/>
                    <w:autoSpaceDE w:val="0"/>
                    <w:autoSpaceDN w:val="0"/>
                    <w:snapToGrid w:val="0"/>
                    <w:jc w:val="cente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循环</w:t>
                  </w:r>
                </w:p>
                <w:p w14:paraId="3F59D9CE">
                  <w:pPr>
                    <w:widowControl w:val="0"/>
                    <w:overflowPunct w:val="0"/>
                    <w:autoSpaceDE w:val="0"/>
                    <w:autoSpaceDN w:val="0"/>
                    <w:snapToGrid w:val="0"/>
                    <w:jc w:val="center"/>
                    <w:rPr>
                      <w:rFonts w:hint="default" w:ascii="Times New Roman" w:hAnsi="Times New Roman" w:cs="Times New Roman"/>
                      <w:color w:val="000000" w:themeColor="text1"/>
                      <w:highlight w:val="none"/>
                      <w:u w:val="single"/>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水站</w:t>
                  </w:r>
                </w:p>
              </w:tc>
              <w:tc>
                <w:tcPr>
                  <w:tcW w:w="756" w:type="dxa"/>
                  <w:vAlign w:val="center"/>
                </w:tcPr>
                <w:p w14:paraId="125BB04B">
                  <w:pPr>
                    <w:widowControl w:val="0"/>
                    <w:overflowPunct w:val="0"/>
                    <w:autoSpaceDE w:val="0"/>
                    <w:autoSpaceDN w:val="0"/>
                    <w:snapToGrid w:val="0"/>
                    <w:jc w:val="center"/>
                    <w:rPr>
                      <w:rFonts w:hint="default" w:ascii="Times New Roman" w:hAnsi="Times New Roman" w:eastAsia="宋体" w:cs="Times New Roman"/>
                      <w:color w:val="000000" w:themeColor="text1"/>
                      <w:highlight w:val="none"/>
                      <w:u w:val="singl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袋装</w:t>
                  </w:r>
                </w:p>
              </w:tc>
              <w:tc>
                <w:tcPr>
                  <w:tcW w:w="1380" w:type="dxa"/>
                  <w:vAlign w:val="center"/>
                </w:tcPr>
                <w:p w14:paraId="5410D4E0">
                  <w:pPr>
                    <w:widowControl w:val="0"/>
                    <w:overflowPunct w:val="0"/>
                    <w:autoSpaceDE w:val="0"/>
                    <w:autoSpaceDN w:val="0"/>
                    <w:snapToGrid w:val="0"/>
                    <w:jc w:val="center"/>
                    <w:rPr>
                      <w:rFonts w:hint="default" w:ascii="Times New Roman" w:hAnsi="Times New Roman" w:eastAsia="宋体" w:cs="Times New Roman"/>
                      <w:color w:val="000000" w:themeColor="text1"/>
                      <w:highlight w:val="none"/>
                      <w:u w:val="singl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w:t>
                  </w:r>
                </w:p>
              </w:tc>
              <w:tc>
                <w:tcPr>
                  <w:tcW w:w="935" w:type="dxa"/>
                  <w:vAlign w:val="center"/>
                </w:tcPr>
                <w:p w14:paraId="3D56920C">
                  <w:pPr>
                    <w:widowControl w:val="0"/>
                    <w:overflowPunct w:val="0"/>
                    <w:autoSpaceDE w:val="0"/>
                    <w:autoSpaceDN w:val="0"/>
                    <w:snapToGrid w:val="0"/>
                    <w:jc w:val="cente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超滤工序更换</w:t>
                  </w:r>
                </w:p>
              </w:tc>
              <w:tc>
                <w:tcPr>
                  <w:tcW w:w="935" w:type="dxa"/>
                  <w:vAlign w:val="center"/>
                </w:tcPr>
                <w:p w14:paraId="46ED9A1E">
                  <w:pPr>
                    <w:widowControl w:val="0"/>
                    <w:overflowPunct w:val="0"/>
                    <w:autoSpaceDE w:val="0"/>
                    <w:autoSpaceDN w:val="0"/>
                    <w:snapToGrid w:val="0"/>
                    <w:jc w:val="center"/>
                    <w:rPr>
                      <w:rFonts w:hint="eastAsia" w:cs="Times New Roman"/>
                      <w:color w:val="000000" w:themeColor="text1"/>
                      <w:highlight w:val="none"/>
                      <w:u w:val="single"/>
                      <w:lang w:val="en-US" w:eastAsia="zh-CN"/>
                      <w14:textFill>
                        <w14:solidFill>
                          <w14:schemeClr w14:val="tx1"/>
                        </w14:solidFill>
                      </w14:textFill>
                      <w14:ligatures w14:val="standardContextual"/>
                    </w:rPr>
                  </w:pPr>
                  <w:r>
                    <w:rPr>
                      <w:rFonts w:hint="eastAsia" w:cs="Times New Roman"/>
                      <w:color w:val="000000" w:themeColor="text1"/>
                      <w:highlight w:val="none"/>
                      <w:u w:val="single"/>
                      <w:lang w:val="en-US" w:eastAsia="zh-CN"/>
                      <w14:textFill>
                        <w14:solidFill>
                          <w14:schemeClr w14:val="tx1"/>
                        </w14:solidFill>
                      </w14:textFill>
                      <w14:ligatures w14:val="standardContextual"/>
                    </w:rPr>
                    <w:t>依托</w:t>
                  </w:r>
                </w:p>
                <w:p w14:paraId="21E62A85">
                  <w:pPr>
                    <w:widowControl w:val="0"/>
                    <w:overflowPunct w:val="0"/>
                    <w:autoSpaceDE w:val="0"/>
                    <w:autoSpaceDN w:val="0"/>
                    <w:snapToGrid w:val="0"/>
                    <w:jc w:val="cente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pPr>
                  <w:r>
                    <w:rPr>
                      <w:rFonts w:hint="eastAsia" w:cs="Times New Roman"/>
                      <w:color w:val="000000" w:themeColor="text1"/>
                      <w:highlight w:val="none"/>
                      <w:u w:val="single"/>
                      <w:lang w:val="en-US" w:eastAsia="zh-CN"/>
                      <w14:textFill>
                        <w14:solidFill>
                          <w14:schemeClr w14:val="tx1"/>
                        </w14:solidFill>
                      </w14:textFill>
                      <w14:ligatures w14:val="standardContextual"/>
                    </w:rPr>
                    <w:t>现有</w:t>
                  </w:r>
                </w:p>
              </w:tc>
            </w:tr>
            <w:tr w14:paraId="49B06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dxa"/>
                  <w:vAlign w:val="center"/>
                </w:tcPr>
                <w:p w14:paraId="4B3A9737">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3</w:t>
                  </w:r>
                </w:p>
              </w:tc>
              <w:tc>
                <w:tcPr>
                  <w:tcW w:w="982" w:type="dxa"/>
                  <w:vAlign w:val="center"/>
                </w:tcPr>
                <w:p w14:paraId="79D9A14B">
                  <w:pPr>
                    <w:widowControl w:val="0"/>
                    <w:overflowPunct w:val="0"/>
                    <w:autoSpaceDE w:val="0"/>
                    <w:autoSpaceDN w:val="0"/>
                    <w:adjustRightInd w:val="0"/>
                    <w:snapToGrid w:val="0"/>
                    <w:jc w:val="center"/>
                    <w:rPr>
                      <w:rFonts w:hint="default" w:ascii="Times New Roman" w:hAnsi="Times New Roman" w:eastAsia="宋体"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反渗透膜</w:t>
                  </w:r>
                </w:p>
              </w:tc>
              <w:tc>
                <w:tcPr>
                  <w:tcW w:w="1056" w:type="dxa"/>
                  <w:shd w:val="clear" w:color="auto" w:fill="auto"/>
                  <w:vAlign w:val="center"/>
                </w:tcPr>
                <w:p w14:paraId="5BC95F26">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u w:val="single"/>
                      <w:lang w:val="en-US" w:eastAsia="zh-CN" w:bidi="ar-SA"/>
                      <w14:textFill>
                        <w14:solidFill>
                          <w14:schemeClr w14:val="tx1"/>
                        </w14:solidFill>
                      </w14:textFill>
                      <w14:ligatures w14:val="standardContextual"/>
                    </w:rPr>
                  </w:pPr>
                  <w:r>
                    <w:rPr>
                      <w:rFonts w:hint="default" w:ascii="Times New Roman" w:hAnsi="Times New Roman" w:eastAsia="宋体" w:cs="Times New Roman"/>
                      <w:color w:val="000000" w:themeColor="text1"/>
                      <w:highlight w:val="none"/>
                      <w:u w:val="single"/>
                      <w:lang w:val="en-US" w:eastAsia="zh-CN"/>
                      <w14:textFill>
                        <w14:solidFill>
                          <w14:schemeClr w14:val="tx1"/>
                        </w14:solidFill>
                      </w14:textFill>
                      <w14:ligatures w14:val="standardContextual"/>
                    </w:rPr>
                    <w:t>100000m²</w:t>
                  </w:r>
                </w:p>
              </w:tc>
              <w:tc>
                <w:tcPr>
                  <w:tcW w:w="674" w:type="dxa"/>
                  <w:shd w:val="clear" w:color="auto" w:fill="auto"/>
                  <w:vAlign w:val="center"/>
                </w:tcPr>
                <w:p w14:paraId="0BE40682">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u w:val="singl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外购</w:t>
                  </w:r>
                </w:p>
              </w:tc>
              <w:tc>
                <w:tcPr>
                  <w:tcW w:w="857" w:type="dxa"/>
                  <w:shd w:val="clear" w:color="auto" w:fill="auto"/>
                  <w:vAlign w:val="center"/>
                </w:tcPr>
                <w:p w14:paraId="46CBAA36">
                  <w:pPr>
                    <w:widowControl w:val="0"/>
                    <w:overflowPunct w:val="0"/>
                    <w:autoSpaceDE w:val="0"/>
                    <w:autoSpaceDN w:val="0"/>
                    <w:snapToGrid w:val="0"/>
                    <w:jc w:val="cente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循环</w:t>
                  </w:r>
                </w:p>
                <w:p w14:paraId="3203100C">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u w:val="singl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水站</w:t>
                  </w:r>
                </w:p>
              </w:tc>
              <w:tc>
                <w:tcPr>
                  <w:tcW w:w="756" w:type="dxa"/>
                  <w:shd w:val="clear" w:color="auto" w:fill="auto"/>
                  <w:vAlign w:val="center"/>
                </w:tcPr>
                <w:p w14:paraId="5B6F5607">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u w:val="singl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袋装</w:t>
                  </w:r>
                </w:p>
              </w:tc>
              <w:tc>
                <w:tcPr>
                  <w:tcW w:w="1380" w:type="dxa"/>
                  <w:shd w:val="clear" w:color="auto" w:fill="auto"/>
                  <w:vAlign w:val="center"/>
                </w:tcPr>
                <w:p w14:paraId="24CAFCD8">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u w:val="singl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w:t>
                  </w:r>
                </w:p>
              </w:tc>
              <w:tc>
                <w:tcPr>
                  <w:tcW w:w="935" w:type="dxa"/>
                  <w:shd w:val="clear" w:color="auto" w:fill="auto"/>
                  <w:vAlign w:val="center"/>
                </w:tcPr>
                <w:p w14:paraId="68517D63">
                  <w:pPr>
                    <w:pStyle w:val="35"/>
                    <w:widowControl w:val="0"/>
                    <w:overflowPunct w:val="0"/>
                    <w:autoSpaceDE w:val="0"/>
                    <w:autoSpaceDN w:val="0"/>
                    <w:bidi w:val="0"/>
                    <w:snapToGrid w:val="0"/>
                    <w:rPr>
                      <w:rFonts w:hint="default" w:ascii="Times New Roman" w:hAnsi="Times New Roman" w:eastAsia="宋体" w:cs="Times New Roman"/>
                      <w:color w:val="000000" w:themeColor="text1"/>
                      <w:sz w:val="21"/>
                      <w:szCs w:val="21"/>
                      <w:highlight w:val="none"/>
                      <w:u w:val="singl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反渗透工序更换</w:t>
                  </w:r>
                </w:p>
              </w:tc>
              <w:tc>
                <w:tcPr>
                  <w:tcW w:w="935" w:type="dxa"/>
                  <w:shd w:val="clear" w:color="auto" w:fill="auto"/>
                  <w:vAlign w:val="center"/>
                </w:tcPr>
                <w:p w14:paraId="75B51BB9">
                  <w:pPr>
                    <w:pStyle w:val="35"/>
                    <w:widowControl w:val="0"/>
                    <w:overflowPunct w:val="0"/>
                    <w:autoSpaceDE w:val="0"/>
                    <w:autoSpaceDN w:val="0"/>
                    <w:bidi w:val="0"/>
                    <w:snapToGrid w:val="0"/>
                    <w:rPr>
                      <w:rFonts w:hint="eastAsia" w:cs="Times New Roman"/>
                      <w:color w:val="000000" w:themeColor="text1"/>
                      <w:highlight w:val="none"/>
                      <w:u w:val="single"/>
                      <w:lang w:val="en-US" w:eastAsia="zh-CN"/>
                      <w14:textFill>
                        <w14:solidFill>
                          <w14:schemeClr w14:val="tx1"/>
                        </w14:solidFill>
                      </w14:textFill>
                      <w14:ligatures w14:val="standardContextual"/>
                    </w:rPr>
                  </w:pPr>
                  <w:r>
                    <w:rPr>
                      <w:rFonts w:hint="eastAsia" w:cs="Times New Roman"/>
                      <w:color w:val="000000" w:themeColor="text1"/>
                      <w:highlight w:val="none"/>
                      <w:u w:val="single"/>
                      <w:lang w:val="en-US" w:eastAsia="zh-CN"/>
                      <w14:textFill>
                        <w14:solidFill>
                          <w14:schemeClr w14:val="tx1"/>
                        </w14:solidFill>
                      </w14:textFill>
                      <w14:ligatures w14:val="standardContextual"/>
                    </w:rPr>
                    <w:t>依托</w:t>
                  </w:r>
                </w:p>
                <w:p w14:paraId="5F9473DC">
                  <w:pPr>
                    <w:pStyle w:val="35"/>
                    <w:widowControl w:val="0"/>
                    <w:overflowPunct w:val="0"/>
                    <w:autoSpaceDE w:val="0"/>
                    <w:autoSpaceDN w:val="0"/>
                    <w:bidi w:val="0"/>
                    <w:snapToGrid w:val="0"/>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pPr>
                  <w:r>
                    <w:rPr>
                      <w:rFonts w:hint="eastAsia" w:cs="Times New Roman"/>
                      <w:color w:val="000000" w:themeColor="text1"/>
                      <w:highlight w:val="none"/>
                      <w:u w:val="single"/>
                      <w:lang w:val="en-US" w:eastAsia="zh-CN"/>
                      <w14:textFill>
                        <w14:solidFill>
                          <w14:schemeClr w14:val="tx1"/>
                        </w14:solidFill>
                      </w14:textFill>
                      <w14:ligatures w14:val="standardContextual"/>
                    </w:rPr>
                    <w:t>现有</w:t>
                  </w:r>
                </w:p>
              </w:tc>
            </w:tr>
            <w:tr w14:paraId="37557D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dxa"/>
                  <w:vAlign w:val="center"/>
                </w:tcPr>
                <w:p w14:paraId="2E37C790">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4</w:t>
                  </w:r>
                </w:p>
              </w:tc>
              <w:tc>
                <w:tcPr>
                  <w:tcW w:w="982" w:type="dxa"/>
                  <w:vAlign w:val="center"/>
                </w:tcPr>
                <w:p w14:paraId="68DF11EC">
                  <w:pPr>
                    <w:widowControl w:val="0"/>
                    <w:overflowPunct w:val="0"/>
                    <w:autoSpaceDE w:val="0"/>
                    <w:autoSpaceDN w:val="0"/>
                    <w:snapToGrid w:val="0"/>
                    <w:jc w:val="center"/>
                    <w:rPr>
                      <w:rFonts w:hint="default" w:ascii="Times New Roman" w:hAnsi="Times New Roman" w:eastAsia="宋体"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阻垢剂</w:t>
                  </w:r>
                </w:p>
              </w:tc>
              <w:tc>
                <w:tcPr>
                  <w:tcW w:w="1056" w:type="dxa"/>
                  <w:vAlign w:val="center"/>
                </w:tcPr>
                <w:p w14:paraId="59546115">
                  <w:pPr>
                    <w:widowControl w:val="0"/>
                    <w:overflowPunct w:val="0"/>
                    <w:autoSpaceDE w:val="0"/>
                    <w:autoSpaceDN w:val="0"/>
                    <w:snapToGrid w:val="0"/>
                    <w:jc w:val="center"/>
                    <w:rPr>
                      <w:rFonts w:hint="default" w:ascii="Times New Roman" w:hAnsi="Times New Roman" w:eastAsia="宋体"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0.1</w:t>
                  </w:r>
                </w:p>
              </w:tc>
              <w:tc>
                <w:tcPr>
                  <w:tcW w:w="674" w:type="dxa"/>
                  <w:vAlign w:val="center"/>
                </w:tcPr>
                <w:p w14:paraId="32004672">
                  <w:pPr>
                    <w:widowControl w:val="0"/>
                    <w:overflowPunct w:val="0"/>
                    <w:autoSpaceDE w:val="0"/>
                    <w:autoSpaceDN w:val="0"/>
                    <w:snapToGrid w:val="0"/>
                    <w:jc w:val="center"/>
                    <w:rPr>
                      <w:rFonts w:hint="default" w:ascii="Times New Roman" w:hAnsi="Times New Roman" w:cs="Times New Roman"/>
                      <w:color w:val="000000" w:themeColor="text1"/>
                      <w:highlight w:val="none"/>
                      <w:u w:val="single"/>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外购</w:t>
                  </w:r>
                </w:p>
              </w:tc>
              <w:tc>
                <w:tcPr>
                  <w:tcW w:w="857" w:type="dxa"/>
                  <w:vAlign w:val="center"/>
                </w:tcPr>
                <w:p w14:paraId="1FE93BAF">
                  <w:pPr>
                    <w:widowControl w:val="0"/>
                    <w:overflowPunct w:val="0"/>
                    <w:autoSpaceDE w:val="0"/>
                    <w:autoSpaceDN w:val="0"/>
                    <w:snapToGrid w:val="0"/>
                    <w:jc w:val="cente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循环</w:t>
                  </w:r>
                </w:p>
                <w:p w14:paraId="73A15088">
                  <w:pPr>
                    <w:widowControl w:val="0"/>
                    <w:overflowPunct w:val="0"/>
                    <w:autoSpaceDE w:val="0"/>
                    <w:autoSpaceDN w:val="0"/>
                    <w:snapToGrid w:val="0"/>
                    <w:jc w:val="center"/>
                    <w:rPr>
                      <w:rFonts w:hint="default" w:ascii="Times New Roman" w:hAnsi="Times New Roman" w:cs="Times New Roman"/>
                      <w:color w:val="000000" w:themeColor="text1"/>
                      <w:highlight w:val="none"/>
                      <w:u w:val="single"/>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水站</w:t>
                  </w:r>
                </w:p>
              </w:tc>
              <w:tc>
                <w:tcPr>
                  <w:tcW w:w="756" w:type="dxa"/>
                  <w:vAlign w:val="center"/>
                </w:tcPr>
                <w:p w14:paraId="0F967F58">
                  <w:pPr>
                    <w:widowControl w:val="0"/>
                    <w:overflowPunct w:val="0"/>
                    <w:autoSpaceDE w:val="0"/>
                    <w:autoSpaceDN w:val="0"/>
                    <w:snapToGrid w:val="0"/>
                    <w:jc w:val="center"/>
                    <w:rPr>
                      <w:rFonts w:hint="default" w:ascii="Times New Roman" w:hAnsi="Times New Roman" w:cs="Times New Roman"/>
                      <w:color w:val="000000" w:themeColor="text1"/>
                      <w:highlight w:val="none"/>
                      <w:u w:val="single"/>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碳钢衬胶储罐</w:t>
                  </w:r>
                </w:p>
              </w:tc>
              <w:tc>
                <w:tcPr>
                  <w:tcW w:w="1380" w:type="dxa"/>
                  <w:vAlign w:val="center"/>
                </w:tcPr>
                <w:p w14:paraId="7CF3C8D6">
                  <w:pPr>
                    <w:widowControl w:val="0"/>
                    <w:overflowPunct w:val="0"/>
                    <w:autoSpaceDE w:val="0"/>
                    <w:autoSpaceDN w:val="0"/>
                    <w:snapToGrid w:val="0"/>
                    <w:jc w:val="center"/>
                    <w:rPr>
                      <w:rFonts w:hint="default" w:ascii="Times New Roman" w:hAnsi="Times New Roman" w:eastAsia="宋体"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容积：0.5t</w:t>
                  </w:r>
                </w:p>
              </w:tc>
              <w:tc>
                <w:tcPr>
                  <w:tcW w:w="935" w:type="dxa"/>
                  <w:vAlign w:val="center"/>
                </w:tcPr>
                <w:p w14:paraId="1AD75705">
                  <w:pPr>
                    <w:pStyle w:val="35"/>
                    <w:widowControl w:val="0"/>
                    <w:overflowPunct w:val="0"/>
                    <w:autoSpaceDE w:val="0"/>
                    <w:autoSpaceDN w:val="0"/>
                    <w:bidi w:val="0"/>
                    <w:snapToGrid w:val="0"/>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防止水中钙、镁等离形成水垢</w:t>
                  </w:r>
                </w:p>
              </w:tc>
              <w:tc>
                <w:tcPr>
                  <w:tcW w:w="935" w:type="dxa"/>
                  <w:vAlign w:val="center"/>
                </w:tcPr>
                <w:p w14:paraId="634F1F3F">
                  <w:pPr>
                    <w:pStyle w:val="35"/>
                    <w:widowControl w:val="0"/>
                    <w:overflowPunct w:val="0"/>
                    <w:autoSpaceDE w:val="0"/>
                    <w:autoSpaceDN w:val="0"/>
                    <w:bidi w:val="0"/>
                    <w:snapToGrid w:val="0"/>
                    <w:rPr>
                      <w:rFonts w:hint="eastAsia" w:cs="Times New Roman"/>
                      <w:color w:val="000000" w:themeColor="text1"/>
                      <w:highlight w:val="none"/>
                      <w:u w:val="single"/>
                      <w:lang w:val="en-US" w:eastAsia="zh-CN"/>
                      <w14:textFill>
                        <w14:solidFill>
                          <w14:schemeClr w14:val="tx1"/>
                        </w14:solidFill>
                      </w14:textFill>
                      <w14:ligatures w14:val="standardContextual"/>
                    </w:rPr>
                  </w:pPr>
                  <w:r>
                    <w:rPr>
                      <w:rFonts w:hint="eastAsia" w:cs="Times New Roman"/>
                      <w:color w:val="000000" w:themeColor="text1"/>
                      <w:highlight w:val="none"/>
                      <w:u w:val="single"/>
                      <w:lang w:val="en-US" w:eastAsia="zh-CN"/>
                      <w14:textFill>
                        <w14:solidFill>
                          <w14:schemeClr w14:val="tx1"/>
                        </w14:solidFill>
                      </w14:textFill>
                      <w14:ligatures w14:val="standardContextual"/>
                    </w:rPr>
                    <w:t>依托</w:t>
                  </w:r>
                </w:p>
                <w:p w14:paraId="015B9675">
                  <w:pPr>
                    <w:pStyle w:val="35"/>
                    <w:widowControl w:val="0"/>
                    <w:overflowPunct w:val="0"/>
                    <w:autoSpaceDE w:val="0"/>
                    <w:autoSpaceDN w:val="0"/>
                    <w:bidi w:val="0"/>
                    <w:snapToGrid w:val="0"/>
                    <w:rPr>
                      <w:rFonts w:hint="default" w:ascii="Times New Roman" w:hAnsi="Times New Roman" w:cs="Times New Roman"/>
                      <w:color w:val="000000" w:themeColor="text1"/>
                      <w:highlight w:val="none"/>
                      <w:u w:val="single"/>
                      <w14:textFill>
                        <w14:solidFill>
                          <w14:schemeClr w14:val="tx1"/>
                        </w14:solidFill>
                      </w14:textFill>
                      <w14:ligatures w14:val="standardContextual"/>
                    </w:rPr>
                  </w:pPr>
                  <w:r>
                    <w:rPr>
                      <w:rFonts w:hint="eastAsia" w:cs="Times New Roman"/>
                      <w:color w:val="000000" w:themeColor="text1"/>
                      <w:highlight w:val="none"/>
                      <w:u w:val="single"/>
                      <w:lang w:val="en-US" w:eastAsia="zh-CN"/>
                      <w14:textFill>
                        <w14:solidFill>
                          <w14:schemeClr w14:val="tx1"/>
                        </w14:solidFill>
                      </w14:textFill>
                      <w14:ligatures w14:val="standardContextual"/>
                    </w:rPr>
                    <w:t>现有</w:t>
                  </w:r>
                </w:p>
              </w:tc>
            </w:tr>
            <w:tr w14:paraId="6D81CC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6" w:type="dxa"/>
                  <w:vAlign w:val="center"/>
                </w:tcPr>
                <w:p w14:paraId="067CA35E">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5</w:t>
                  </w:r>
                </w:p>
              </w:tc>
              <w:tc>
                <w:tcPr>
                  <w:tcW w:w="982" w:type="dxa"/>
                  <w:vAlign w:val="center"/>
                </w:tcPr>
                <w:p w14:paraId="6B16AC27">
                  <w:pPr>
                    <w:widowControl w:val="0"/>
                    <w:overflowPunct w:val="0"/>
                    <w:autoSpaceDE w:val="0"/>
                    <w:autoSpaceDN w:val="0"/>
                    <w:snapToGrid w:val="0"/>
                    <w:jc w:val="center"/>
                    <w:rPr>
                      <w:rFonts w:hint="default" w:ascii="Times New Roman" w:hAnsi="Times New Roman" w:eastAsia="宋体"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还原剂</w:t>
                  </w:r>
                </w:p>
              </w:tc>
              <w:tc>
                <w:tcPr>
                  <w:tcW w:w="1056" w:type="dxa"/>
                  <w:vAlign w:val="center"/>
                </w:tcPr>
                <w:p w14:paraId="7540BCDC">
                  <w:pPr>
                    <w:widowControl w:val="0"/>
                    <w:overflowPunct w:val="0"/>
                    <w:autoSpaceDE w:val="0"/>
                    <w:autoSpaceDN w:val="0"/>
                    <w:snapToGrid w:val="0"/>
                    <w:jc w:val="center"/>
                    <w:rPr>
                      <w:rFonts w:hint="default" w:ascii="Times New Roman" w:hAnsi="Times New Roman" w:eastAsia="宋体"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0.1</w:t>
                  </w:r>
                </w:p>
              </w:tc>
              <w:tc>
                <w:tcPr>
                  <w:tcW w:w="674" w:type="dxa"/>
                  <w:vAlign w:val="center"/>
                </w:tcPr>
                <w:p w14:paraId="394D670F">
                  <w:pPr>
                    <w:widowControl w:val="0"/>
                    <w:overflowPunct w:val="0"/>
                    <w:autoSpaceDE w:val="0"/>
                    <w:autoSpaceDN w:val="0"/>
                    <w:snapToGrid w:val="0"/>
                    <w:jc w:val="center"/>
                    <w:rPr>
                      <w:rFonts w:hint="default" w:ascii="Times New Roman" w:hAnsi="Times New Roman" w:cs="Times New Roman"/>
                      <w:color w:val="000000" w:themeColor="text1"/>
                      <w:highlight w:val="none"/>
                      <w:u w:val="single"/>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外购</w:t>
                  </w:r>
                </w:p>
              </w:tc>
              <w:tc>
                <w:tcPr>
                  <w:tcW w:w="857" w:type="dxa"/>
                  <w:vAlign w:val="center"/>
                </w:tcPr>
                <w:p w14:paraId="7F6EFA86">
                  <w:pPr>
                    <w:widowControl w:val="0"/>
                    <w:overflowPunct w:val="0"/>
                    <w:autoSpaceDE w:val="0"/>
                    <w:autoSpaceDN w:val="0"/>
                    <w:snapToGrid w:val="0"/>
                    <w:jc w:val="cente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循环</w:t>
                  </w:r>
                </w:p>
                <w:p w14:paraId="06746FCE">
                  <w:pPr>
                    <w:widowControl w:val="0"/>
                    <w:overflowPunct w:val="0"/>
                    <w:autoSpaceDE w:val="0"/>
                    <w:autoSpaceDN w:val="0"/>
                    <w:snapToGrid w:val="0"/>
                    <w:jc w:val="center"/>
                    <w:rPr>
                      <w:rFonts w:hint="default" w:ascii="Times New Roman" w:hAnsi="Times New Roman" w:cs="Times New Roman"/>
                      <w:color w:val="000000" w:themeColor="text1"/>
                      <w:highlight w:val="none"/>
                      <w:u w:val="single"/>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水站</w:t>
                  </w:r>
                </w:p>
              </w:tc>
              <w:tc>
                <w:tcPr>
                  <w:tcW w:w="756" w:type="dxa"/>
                  <w:vAlign w:val="center"/>
                </w:tcPr>
                <w:p w14:paraId="27B20336">
                  <w:pPr>
                    <w:widowControl w:val="0"/>
                    <w:overflowPunct w:val="0"/>
                    <w:autoSpaceDE w:val="0"/>
                    <w:autoSpaceDN w:val="0"/>
                    <w:snapToGrid w:val="0"/>
                    <w:jc w:val="center"/>
                    <w:rPr>
                      <w:rFonts w:hint="default" w:ascii="Times New Roman" w:hAnsi="Times New Roman" w:cs="Times New Roman"/>
                      <w:color w:val="000000" w:themeColor="text1"/>
                      <w:highlight w:val="none"/>
                      <w:u w:val="single"/>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碳钢衬胶储罐</w:t>
                  </w:r>
                </w:p>
              </w:tc>
              <w:tc>
                <w:tcPr>
                  <w:tcW w:w="1380" w:type="dxa"/>
                  <w:vAlign w:val="center"/>
                </w:tcPr>
                <w:p w14:paraId="24F50A01">
                  <w:pPr>
                    <w:widowControl w:val="0"/>
                    <w:overflowPunct w:val="0"/>
                    <w:autoSpaceDE w:val="0"/>
                    <w:autoSpaceDN w:val="0"/>
                    <w:snapToGrid w:val="0"/>
                    <w:jc w:val="center"/>
                    <w:rPr>
                      <w:rFonts w:hint="default" w:ascii="Times New Roman" w:hAnsi="Times New Roman" w:cs="Times New Roman"/>
                      <w:color w:val="000000" w:themeColor="text1"/>
                      <w:highlight w:val="none"/>
                      <w:u w:val="single"/>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容积：0.5t</w:t>
                  </w:r>
                </w:p>
              </w:tc>
              <w:tc>
                <w:tcPr>
                  <w:tcW w:w="935" w:type="dxa"/>
                  <w:vAlign w:val="center"/>
                </w:tcPr>
                <w:p w14:paraId="73BF1927">
                  <w:pPr>
                    <w:pStyle w:val="35"/>
                    <w:widowControl w:val="0"/>
                    <w:overflowPunct w:val="0"/>
                    <w:autoSpaceDE w:val="0"/>
                    <w:autoSpaceDN w:val="0"/>
                    <w:bidi w:val="0"/>
                    <w:snapToGrid w:val="0"/>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去除水中余氯</w:t>
                  </w:r>
                </w:p>
              </w:tc>
              <w:tc>
                <w:tcPr>
                  <w:tcW w:w="935" w:type="dxa"/>
                  <w:vAlign w:val="center"/>
                </w:tcPr>
                <w:p w14:paraId="7E49EA90">
                  <w:pPr>
                    <w:pStyle w:val="35"/>
                    <w:widowControl w:val="0"/>
                    <w:overflowPunct w:val="0"/>
                    <w:autoSpaceDE w:val="0"/>
                    <w:autoSpaceDN w:val="0"/>
                    <w:bidi w:val="0"/>
                    <w:snapToGrid w:val="0"/>
                    <w:rPr>
                      <w:rFonts w:hint="eastAsia" w:cs="Times New Roman"/>
                      <w:color w:val="000000" w:themeColor="text1"/>
                      <w:highlight w:val="none"/>
                      <w:u w:val="single"/>
                      <w:lang w:val="en-US" w:eastAsia="zh-CN"/>
                      <w14:textFill>
                        <w14:solidFill>
                          <w14:schemeClr w14:val="tx1"/>
                        </w14:solidFill>
                      </w14:textFill>
                      <w14:ligatures w14:val="standardContextual"/>
                    </w:rPr>
                  </w:pPr>
                  <w:r>
                    <w:rPr>
                      <w:rFonts w:hint="eastAsia" w:cs="Times New Roman"/>
                      <w:color w:val="000000" w:themeColor="text1"/>
                      <w:highlight w:val="none"/>
                      <w:u w:val="single"/>
                      <w:lang w:val="en-US" w:eastAsia="zh-CN"/>
                      <w14:textFill>
                        <w14:solidFill>
                          <w14:schemeClr w14:val="tx1"/>
                        </w14:solidFill>
                      </w14:textFill>
                      <w14:ligatures w14:val="standardContextual"/>
                    </w:rPr>
                    <w:t>依托</w:t>
                  </w:r>
                </w:p>
                <w:p w14:paraId="5C091467">
                  <w:pPr>
                    <w:pStyle w:val="35"/>
                    <w:widowControl w:val="0"/>
                    <w:overflowPunct w:val="0"/>
                    <w:autoSpaceDE w:val="0"/>
                    <w:autoSpaceDN w:val="0"/>
                    <w:bidi w:val="0"/>
                    <w:snapToGrid w:val="0"/>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pPr>
                  <w:r>
                    <w:rPr>
                      <w:rFonts w:hint="eastAsia" w:cs="Times New Roman"/>
                      <w:color w:val="000000" w:themeColor="text1"/>
                      <w:highlight w:val="none"/>
                      <w:u w:val="single"/>
                      <w:lang w:val="en-US" w:eastAsia="zh-CN"/>
                      <w14:textFill>
                        <w14:solidFill>
                          <w14:schemeClr w14:val="tx1"/>
                        </w14:solidFill>
                      </w14:textFill>
                      <w14:ligatures w14:val="standardContextual"/>
                    </w:rPr>
                    <w:t>现有</w:t>
                  </w:r>
                </w:p>
              </w:tc>
            </w:tr>
          </w:tbl>
          <w:p w14:paraId="4D852736">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 xml:space="preserve">表2- </w:t>
            </w: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：主要原辅材料</w:t>
            </w:r>
            <w:r>
              <w:rPr>
                <w:rFonts w:hint="default" w:ascii="Times New Roman" w:hAnsi="Times New Roman" w:cs="Times New Roman"/>
                <w:color w:val="000000" w:themeColor="text1"/>
                <w:highlight w:val="none"/>
                <w:lang w:val="en-US" w:eastAsia="zh-CN"/>
                <w14:textFill>
                  <w14:solidFill>
                    <w14:schemeClr w14:val="tx1"/>
                  </w14:solidFill>
                </w14:textFill>
              </w:rPr>
              <w:t>理化性质</w:t>
            </w:r>
            <w:r>
              <w:rPr>
                <w:rFonts w:hint="default" w:ascii="Times New Roman" w:hAnsi="Times New Roman" w:cs="Times New Roman"/>
                <w:color w:val="000000" w:themeColor="text1"/>
                <w:highlight w:val="none"/>
                <w14:textFill>
                  <w14:solidFill>
                    <w14:schemeClr w14:val="tx1"/>
                  </w14:solidFill>
                </w14:textFill>
              </w:rPr>
              <w:t>一览表</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8"/>
              <w:gridCol w:w="1021"/>
              <w:gridCol w:w="6334"/>
            </w:tblGrid>
            <w:tr w14:paraId="571FA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3" w:type="pct"/>
                  <w:tcBorders>
                    <w:tl2br w:val="nil"/>
                    <w:tr2bl w:val="nil"/>
                  </w:tcBorders>
                  <w:shd w:val="clear" w:color="auto" w:fill="auto"/>
                  <w:vAlign w:val="center"/>
                </w:tcPr>
                <w:p w14:paraId="223ECE60">
                  <w:pPr>
                    <w:pStyle w:val="35"/>
                    <w:bidi w:val="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序号</w:t>
                  </w:r>
                </w:p>
              </w:tc>
              <w:tc>
                <w:tcPr>
                  <w:tcW w:w="649" w:type="pct"/>
                  <w:tcBorders>
                    <w:tl2br w:val="nil"/>
                    <w:tr2bl w:val="nil"/>
                  </w:tcBorders>
                  <w:shd w:val="clear" w:color="auto" w:fill="auto"/>
                  <w:vAlign w:val="center"/>
                </w:tcPr>
                <w:p w14:paraId="0306F1E4">
                  <w:pPr>
                    <w:pStyle w:val="35"/>
                    <w:bidi w:val="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名称</w:t>
                  </w:r>
                </w:p>
              </w:tc>
              <w:tc>
                <w:tcPr>
                  <w:tcW w:w="4027" w:type="pct"/>
                  <w:tcBorders>
                    <w:tl2br w:val="nil"/>
                    <w:tr2bl w:val="nil"/>
                  </w:tcBorders>
                  <w:vAlign w:val="center"/>
                </w:tcPr>
                <w:p w14:paraId="3EFE8AC3">
                  <w:pPr>
                    <w:pStyle w:val="35"/>
                    <w:bidi w:val="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理化性质</w:t>
                  </w:r>
                </w:p>
              </w:tc>
            </w:tr>
            <w:tr w14:paraId="38D0E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6" w:hRule="atLeast"/>
              </w:trPr>
              <w:tc>
                <w:tcPr>
                  <w:tcW w:w="323" w:type="pct"/>
                  <w:tcBorders>
                    <w:tl2br w:val="nil"/>
                    <w:tr2bl w:val="nil"/>
                  </w:tcBorders>
                  <w:shd w:val="clear" w:color="auto" w:fill="auto"/>
                  <w:vAlign w:val="center"/>
                </w:tcPr>
                <w:p w14:paraId="73A1099A">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649" w:type="pct"/>
                  <w:tcBorders>
                    <w:tl2br w:val="nil"/>
                    <w:tr2bl w:val="nil"/>
                  </w:tcBorders>
                  <w:shd w:val="clear" w:color="auto" w:fill="auto"/>
                  <w:vAlign w:val="center"/>
                </w:tcPr>
                <w:p w14:paraId="1E833470">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生物质成型颗粒</w:t>
                  </w:r>
                </w:p>
              </w:tc>
              <w:tc>
                <w:tcPr>
                  <w:tcW w:w="4027" w:type="pct"/>
                  <w:tcBorders>
                    <w:tl2br w:val="nil"/>
                    <w:tr2bl w:val="nil"/>
                  </w:tcBorders>
                  <w:vAlign w:val="center"/>
                </w:tcPr>
                <w:p w14:paraId="27524FF7">
                  <w:pPr>
                    <w:pStyle w:val="35"/>
                    <w:bidi w:val="0"/>
                    <w:jc w:val="left"/>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外观上多为柱形块状，直径一般在8mm左右，长度约为直径的4倍。主要成分是秸秆、玉米芯等生物质，含水量通常低于10%，密度在1-1.3g/cm³之间，燃烧热值在3500-5000cal/g之间，挥发分含量为41.5%-45.3%，灰分含量为0.8%-4.2%</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本项目使用的</w:t>
                  </w:r>
                  <w:r>
                    <w:rPr>
                      <w:rFonts w:hint="default" w:ascii="Times New Roman" w:hAnsi="Times New Roman" w:cs="Times New Roman"/>
                      <w:color w:val="000000" w:themeColor="text1"/>
                      <w:highlight w:val="none"/>
                      <w14:textFill>
                        <w14:solidFill>
                          <w14:schemeClr w14:val="tx1"/>
                        </w14:solidFill>
                      </w14:textFill>
                    </w:rPr>
                    <w:t>生物质成型颗粒，发热量在</w:t>
                  </w:r>
                  <w:r>
                    <w:rPr>
                      <w:rFonts w:hint="default" w:ascii="Times New Roman" w:hAnsi="Times New Roman" w:cs="Times New Roman"/>
                      <w:color w:val="000000" w:themeColor="text1"/>
                      <w:highlight w:val="none"/>
                      <w:lang w:eastAsia="zh-CN"/>
                      <w14:textFill>
                        <w14:solidFill>
                          <w14:schemeClr w14:val="tx1"/>
                        </w14:solidFill>
                      </w14:textFill>
                    </w:rPr>
                    <w:t>4092-4638千卡/公斤</w:t>
                  </w:r>
                  <w:r>
                    <w:rPr>
                      <w:rFonts w:hint="default" w:ascii="Times New Roman" w:hAnsi="Times New Roman" w:cs="Times New Roman"/>
                      <w:color w:val="000000" w:themeColor="text1"/>
                      <w:highlight w:val="none"/>
                      <w14:textFill>
                        <w14:solidFill>
                          <w14:schemeClr w14:val="tx1"/>
                        </w14:solidFill>
                      </w14:textFill>
                    </w:rPr>
                    <w:t>（未经碳化的发热量），其主要供应来源钦州、北海、防城港等地附近的生物质颗粒制造企业。</w:t>
                  </w:r>
                </w:p>
              </w:tc>
            </w:tr>
            <w:tr w14:paraId="257A5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3" w:type="pct"/>
                  <w:tcBorders>
                    <w:tl2br w:val="nil"/>
                    <w:tr2bl w:val="nil"/>
                  </w:tcBorders>
                  <w:shd w:val="clear" w:color="auto" w:fill="auto"/>
                  <w:vAlign w:val="center"/>
                </w:tcPr>
                <w:p w14:paraId="2C4BE698">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649" w:type="pct"/>
                  <w:tcBorders>
                    <w:tl2br w:val="nil"/>
                    <w:tr2bl w:val="nil"/>
                  </w:tcBorders>
                  <w:shd w:val="clear" w:color="auto" w:fill="auto"/>
                  <w:vAlign w:val="center"/>
                </w:tcPr>
                <w:p w14:paraId="30FFBA37">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超滤膜</w:t>
                  </w:r>
                </w:p>
              </w:tc>
              <w:tc>
                <w:tcPr>
                  <w:tcW w:w="4027" w:type="pct"/>
                  <w:tcBorders>
                    <w:tl2br w:val="nil"/>
                    <w:tr2bl w:val="nil"/>
                  </w:tcBorders>
                  <w:vAlign w:val="center"/>
                </w:tcPr>
                <w:p w14:paraId="14B798CB">
                  <w:pPr>
                    <w:pStyle w:val="35"/>
                    <w:bidi w:val="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孔径在20-50nm左右，具有较低的驱动压力，能有效去除水中的颗粒与胶体。材质不同，其性质有所差异，如聚偏氟乙烯（PVDF）超滤膜，具有较强的化学稳定性和机械强度，亲水性较好，适用的pH范围较宽，一般为强酸强碱。</w:t>
                  </w:r>
                </w:p>
              </w:tc>
            </w:tr>
            <w:tr w14:paraId="17CC4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3" w:type="pct"/>
                  <w:tcBorders>
                    <w:tl2br w:val="nil"/>
                    <w:tr2bl w:val="nil"/>
                  </w:tcBorders>
                  <w:shd w:val="clear" w:color="auto" w:fill="auto"/>
                  <w:vAlign w:val="center"/>
                </w:tcPr>
                <w:p w14:paraId="6CB7AD23">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p>
              </w:tc>
              <w:tc>
                <w:tcPr>
                  <w:tcW w:w="649" w:type="pct"/>
                  <w:tcBorders>
                    <w:tl2br w:val="nil"/>
                    <w:tr2bl w:val="nil"/>
                  </w:tcBorders>
                  <w:shd w:val="clear" w:color="auto" w:fill="auto"/>
                  <w:vAlign w:val="center"/>
                </w:tcPr>
                <w:p w14:paraId="5E3E2CC8">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反渗透膜</w:t>
                  </w:r>
                </w:p>
              </w:tc>
              <w:tc>
                <w:tcPr>
                  <w:tcW w:w="4027" w:type="pct"/>
                  <w:tcBorders>
                    <w:tl2br w:val="nil"/>
                    <w:tr2bl w:val="nil"/>
                  </w:tcBorders>
                  <w:vAlign w:val="center"/>
                </w:tcPr>
                <w:p w14:paraId="1B2FC2BA">
                  <w:pPr>
                    <w:pStyle w:val="35"/>
                    <w:bidi w:val="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多为芳香族聚酰胺复合膜，具有特殊的理化性质，严格意义上不属于物理性分离。对进水水质要求较高，需保证进水无杂质、无细菌滋生，否则易堵塞膜孔。耐压、耐腐蚀、耐细菌滋生，能在较高的压力下稳定运行，有效去除水中的离子和其他小分子杂质。</w:t>
                  </w:r>
                </w:p>
              </w:tc>
            </w:tr>
            <w:tr w14:paraId="5F9B5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3" w:type="pct"/>
                  <w:tcBorders>
                    <w:tl2br w:val="nil"/>
                    <w:tr2bl w:val="nil"/>
                  </w:tcBorders>
                  <w:shd w:val="clear" w:color="auto" w:fill="auto"/>
                  <w:vAlign w:val="center"/>
                </w:tcPr>
                <w:p w14:paraId="40EDBF7A">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4</w:t>
                  </w:r>
                </w:p>
              </w:tc>
              <w:tc>
                <w:tcPr>
                  <w:tcW w:w="649" w:type="pct"/>
                  <w:tcBorders>
                    <w:tl2br w:val="nil"/>
                    <w:tr2bl w:val="nil"/>
                  </w:tcBorders>
                  <w:shd w:val="clear" w:color="auto" w:fill="auto"/>
                  <w:vAlign w:val="center"/>
                </w:tcPr>
                <w:p w14:paraId="4856A8D3">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阻垢剂</w:t>
                  </w:r>
                </w:p>
              </w:tc>
              <w:tc>
                <w:tcPr>
                  <w:tcW w:w="4027" w:type="pct"/>
                  <w:tcBorders>
                    <w:tl2br w:val="nil"/>
                    <w:tr2bl w:val="nil"/>
                  </w:tcBorders>
                  <w:vAlign w:val="center"/>
                </w:tcPr>
                <w:p w14:paraId="19692DC6">
                  <w:pPr>
                    <w:pStyle w:val="35"/>
                    <w:bidi w:val="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主要由有机磷酸盐、聚羧酸盐等组成，易溶于水，化学性质稳定，能在水体中形成一层保护膜，阻止水垢的形成。一般为无色或淡黄色液体，密度在1.1-1.3g/cm³之间，pH值在2-4之间。</w:t>
                  </w:r>
                </w:p>
              </w:tc>
            </w:tr>
            <w:tr w14:paraId="614B3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3" w:type="pct"/>
                  <w:tcBorders>
                    <w:tl2br w:val="nil"/>
                    <w:tr2bl w:val="nil"/>
                  </w:tcBorders>
                  <w:shd w:val="clear" w:color="auto" w:fill="auto"/>
                  <w:vAlign w:val="center"/>
                </w:tcPr>
                <w:p w14:paraId="50B63553">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5</w:t>
                  </w:r>
                </w:p>
              </w:tc>
              <w:tc>
                <w:tcPr>
                  <w:tcW w:w="649" w:type="pct"/>
                  <w:tcBorders>
                    <w:tl2br w:val="nil"/>
                    <w:tr2bl w:val="nil"/>
                  </w:tcBorders>
                  <w:shd w:val="clear" w:color="auto" w:fill="auto"/>
                  <w:vAlign w:val="center"/>
                </w:tcPr>
                <w:p w14:paraId="44ADB1E6">
                  <w:pPr>
                    <w:pStyle w:val="35"/>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还原剂</w:t>
                  </w:r>
                </w:p>
              </w:tc>
              <w:tc>
                <w:tcPr>
                  <w:tcW w:w="4027" w:type="pct"/>
                  <w:tcBorders>
                    <w:tl2br w:val="nil"/>
                    <w:tr2bl w:val="nil"/>
                  </w:tcBorders>
                  <w:vAlign w:val="center"/>
                </w:tcPr>
                <w:p w14:paraId="32DB2E75">
                  <w:pPr>
                    <w:pStyle w:val="35"/>
                    <w:bidi w:val="0"/>
                    <w:jc w:val="left"/>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常用的还原剂有亚硫酸氢钠等，为白色结晶或粒状物，易溶于水，水溶液呈弱碱性。在水处理中可将氧化态的物质还原，去除水中的氧化性杂质，保护设备免受氧化腐蚀。</w:t>
                  </w:r>
                </w:p>
              </w:tc>
            </w:tr>
          </w:tbl>
          <w:p w14:paraId="583481A2">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选用燃料：根据附件</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生物质检测报告，燃料成份如下：</w:t>
            </w:r>
            <w:bookmarkStart w:id="52" w:name="OLE_LINK6"/>
          </w:p>
          <w:bookmarkEnd w:id="52"/>
          <w:p w14:paraId="27FB43EB">
            <w:pPr>
              <w:pStyle w:val="34"/>
              <w:rPr>
                <w:rFonts w:hint="default" w:ascii="Times New Roman" w:hAnsi="Times New Roman" w:cs="Times New Roman"/>
                <w:color w:val="000000" w:themeColor="text1"/>
                <w:highlight w:val="none"/>
                <w14:textFill>
                  <w14:solidFill>
                    <w14:schemeClr w14:val="tx1"/>
                  </w14:solidFill>
                </w14:textFill>
              </w:rPr>
            </w:pPr>
            <w:bookmarkStart w:id="53" w:name="_Ref186453469"/>
            <w:bookmarkStart w:id="54" w:name="_Ref184219052"/>
            <w:r>
              <w:rPr>
                <w:rFonts w:hint="default" w:ascii="Times New Roman" w:hAnsi="Times New Roman" w:cs="Times New Roman"/>
                <w:color w:val="000000" w:themeColor="text1"/>
                <w:highlight w:val="none"/>
                <w14:textFill>
                  <w14:solidFill>
                    <w14:schemeClr w14:val="tx1"/>
                  </w14:solidFill>
                </w14:textFill>
              </w:rPr>
              <w:t xml:space="preserve">表2- </w:t>
            </w:r>
            <w:bookmarkEnd w:id="53"/>
            <w:r>
              <w:rPr>
                <w:rFonts w:hint="default"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w:t>
            </w:r>
            <w:bookmarkStart w:id="55" w:name="_Ref186453493"/>
            <w:r>
              <w:rPr>
                <w:rFonts w:hint="default" w:ascii="Times New Roman" w:hAnsi="Times New Roman" w:cs="Times New Roman"/>
                <w:color w:val="000000" w:themeColor="text1"/>
                <w:highlight w:val="none"/>
                <w14:textFill>
                  <w14:solidFill>
                    <w14:schemeClr w14:val="tx1"/>
                  </w14:solidFill>
                </w14:textFill>
              </w:rPr>
              <w:t>生物质成型颗粒成分一览表</w:t>
            </w:r>
            <w:bookmarkEnd w:id="54"/>
            <w:bookmarkEnd w:id="55"/>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06"/>
              <w:gridCol w:w="1350"/>
              <w:gridCol w:w="1350"/>
              <w:gridCol w:w="1350"/>
              <w:gridCol w:w="1117"/>
              <w:gridCol w:w="1493"/>
            </w:tblGrid>
            <w:tr w14:paraId="23A7A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67"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799819D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项目</w:t>
                  </w:r>
                </w:p>
              </w:tc>
              <w:tc>
                <w:tcPr>
                  <w:tcW w:w="85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FFD2A1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收到基水分</w:t>
                  </w:r>
                </w:p>
              </w:tc>
              <w:tc>
                <w:tcPr>
                  <w:tcW w:w="85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301FB4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挥发分</w:t>
                  </w:r>
                </w:p>
              </w:tc>
              <w:tc>
                <w:tcPr>
                  <w:tcW w:w="85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3B02E3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灰分</w:t>
                  </w:r>
                </w:p>
              </w:tc>
              <w:tc>
                <w:tcPr>
                  <w:tcW w:w="71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33CA08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全硫</w:t>
                  </w:r>
                </w:p>
              </w:tc>
              <w:tc>
                <w:tcPr>
                  <w:tcW w:w="949" w:type="pct"/>
                  <w:tcBorders>
                    <w:top w:val="single" w:color="auto" w:sz="12" w:space="0"/>
                    <w:bottom w:val="single" w:color="auto" w:sz="12" w:space="0"/>
                    <w:right w:val="nil"/>
                    <w:insideH w:val="single" w:sz="12" w:space="0"/>
                    <w:insideV w:val="single" w:sz="4" w:space="0"/>
                    <w:tl2br w:val="nil"/>
                    <w:tr2bl w:val="nil"/>
                  </w:tcBorders>
                  <w:vAlign w:val="center"/>
                </w:tcPr>
                <w:p w14:paraId="6B3AC76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低位发热量</w:t>
                  </w:r>
                </w:p>
              </w:tc>
            </w:tr>
            <w:tr w14:paraId="754CD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67" w:type="pct"/>
                  <w:vAlign w:val="center"/>
                </w:tcPr>
                <w:p w14:paraId="13F5392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占比</w:t>
                  </w:r>
                </w:p>
              </w:tc>
              <w:tc>
                <w:tcPr>
                  <w:tcW w:w="858" w:type="pct"/>
                  <w:vAlign w:val="center"/>
                </w:tcPr>
                <w:p w14:paraId="573F98E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5.5</w:t>
                  </w:r>
                  <w:r>
                    <w:rPr>
                      <w:rFonts w:hint="default" w:ascii="Times New Roman" w:hAnsi="Times New Roman" w:cs="Times New Roman"/>
                      <w:color w:val="000000" w:themeColor="text1"/>
                      <w:highlight w:val="none"/>
                      <w14:textFill>
                        <w14:solidFill>
                          <w14:schemeClr w14:val="tx1"/>
                        </w14:solidFill>
                      </w14:textFill>
                      <w14:ligatures w14:val="standardContextual"/>
                    </w:rPr>
                    <w:t>%</w:t>
                  </w:r>
                </w:p>
              </w:tc>
              <w:tc>
                <w:tcPr>
                  <w:tcW w:w="858" w:type="pct"/>
                  <w:vAlign w:val="center"/>
                </w:tcPr>
                <w:p w14:paraId="001E71C9">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79.63</w:t>
                  </w:r>
                  <w:r>
                    <w:rPr>
                      <w:rFonts w:hint="default" w:ascii="Times New Roman" w:hAnsi="Times New Roman" w:cs="Times New Roman"/>
                      <w:color w:val="000000" w:themeColor="text1"/>
                      <w:highlight w:val="none"/>
                      <w14:textFill>
                        <w14:solidFill>
                          <w14:schemeClr w14:val="tx1"/>
                        </w14:solidFill>
                      </w14:textFill>
                      <w14:ligatures w14:val="standardContextual"/>
                    </w:rPr>
                    <w:t>%</w:t>
                  </w:r>
                </w:p>
              </w:tc>
              <w:tc>
                <w:tcPr>
                  <w:tcW w:w="858" w:type="pct"/>
                  <w:vAlign w:val="center"/>
                </w:tcPr>
                <w:p w14:paraId="7BEA7D46">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1.76</w:t>
                  </w:r>
                  <w:r>
                    <w:rPr>
                      <w:rFonts w:hint="default" w:ascii="Times New Roman" w:hAnsi="Times New Roman" w:cs="Times New Roman"/>
                      <w:color w:val="000000" w:themeColor="text1"/>
                      <w:highlight w:val="none"/>
                      <w14:textFill>
                        <w14:solidFill>
                          <w14:schemeClr w14:val="tx1"/>
                        </w14:solidFill>
                      </w14:textFill>
                      <w14:ligatures w14:val="standardContextual"/>
                    </w:rPr>
                    <w:t>%</w:t>
                  </w:r>
                </w:p>
              </w:tc>
              <w:tc>
                <w:tcPr>
                  <w:tcW w:w="710" w:type="pct"/>
                  <w:vAlign w:val="center"/>
                </w:tcPr>
                <w:p w14:paraId="02817D5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0.00</w:t>
                  </w:r>
                  <w:r>
                    <w:rPr>
                      <w:rFonts w:hint="default" w:ascii="Times New Roman" w:hAnsi="Times New Roman" w:cs="Times New Roman"/>
                      <w:color w:val="000000" w:themeColor="text1"/>
                      <w:highlight w:val="none"/>
                      <w14:textFill>
                        <w14:solidFill>
                          <w14:schemeClr w14:val="tx1"/>
                        </w14:solidFill>
                      </w14:textFill>
                      <w14:ligatures w14:val="standardContextual"/>
                    </w:rPr>
                    <w:t>%</w:t>
                  </w:r>
                </w:p>
              </w:tc>
              <w:tc>
                <w:tcPr>
                  <w:tcW w:w="949" w:type="pct"/>
                  <w:vAlign w:val="center"/>
                </w:tcPr>
                <w:p w14:paraId="2996A3A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4092</w:t>
                  </w:r>
                  <w:r>
                    <w:rPr>
                      <w:rFonts w:hint="default" w:ascii="Times New Roman" w:hAnsi="Times New Roman" w:cs="Times New Roman"/>
                      <w:color w:val="000000" w:themeColor="text1"/>
                      <w:highlight w:val="none"/>
                      <w14:textFill>
                        <w14:solidFill>
                          <w14:schemeClr w14:val="tx1"/>
                        </w14:solidFill>
                      </w14:textFill>
                      <w14:ligatures w14:val="standardContextual"/>
                    </w:rPr>
                    <w:t>Kcal/kg</w:t>
                  </w:r>
                </w:p>
              </w:tc>
            </w:tr>
          </w:tbl>
          <w:p w14:paraId="394D33DE">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七、劳动定员及工作制度</w:t>
            </w:r>
          </w:p>
          <w:p w14:paraId="47140E7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w:t>
            </w:r>
            <w:r>
              <w:rPr>
                <w:rFonts w:hint="default" w:ascii="Times New Roman" w:hAnsi="Times New Roman" w:cs="Times New Roman"/>
                <w:color w:val="000000" w:themeColor="text1"/>
                <w:highlight w:val="none"/>
                <w14:textFill>
                  <w14:solidFill>
                    <w14:schemeClr w14:val="tx1"/>
                  </w14:solidFill>
                </w14:textFill>
              </w:rPr>
              <w:t>不需增加劳动人员，</w:t>
            </w:r>
            <w:r>
              <w:rPr>
                <w:rFonts w:hint="default" w:ascii="Times New Roman" w:hAnsi="Times New Roman" w:cs="Times New Roman"/>
                <w:color w:val="000000" w:themeColor="text1"/>
                <w:highlight w:val="none"/>
                <w:lang w:val="en-US" w:eastAsia="zh-CN"/>
                <w14:textFill>
                  <w14:solidFill>
                    <w14:schemeClr w14:val="tx1"/>
                  </w14:solidFill>
                </w14:textFill>
              </w:rPr>
              <w:t>采用现有人员</w:t>
            </w:r>
            <w:r>
              <w:rPr>
                <w:rFonts w:hint="default" w:ascii="Times New Roman" w:hAnsi="Times New Roman" w:cs="Times New Roman"/>
                <w:color w:val="000000" w:themeColor="text1"/>
                <w:highlight w:val="none"/>
                <w14:textFill>
                  <w14:solidFill>
                    <w14:schemeClr w14:val="tx1"/>
                  </w14:solidFill>
                </w14:textFill>
              </w:rPr>
              <w:t>（共50人）</w:t>
            </w:r>
            <w:r>
              <w:rPr>
                <w:rFonts w:hint="default" w:ascii="Times New Roman" w:hAnsi="Times New Roman" w:cs="Times New Roman"/>
                <w:color w:val="000000" w:themeColor="text1"/>
                <w:highlight w:val="none"/>
                <w:lang w:val="en-US" w:eastAsia="zh-CN"/>
                <w14:textFill>
                  <w14:solidFill>
                    <w14:schemeClr w14:val="tx1"/>
                  </w14:solidFill>
                </w14:textFill>
              </w:rPr>
              <w:t>调配，现有人员</w:t>
            </w:r>
            <w:r>
              <w:rPr>
                <w:rFonts w:hint="default" w:ascii="Times New Roman" w:hAnsi="Times New Roman" w:cs="Times New Roman"/>
                <w:color w:val="000000" w:themeColor="text1"/>
                <w:highlight w:val="none"/>
                <w14:textFill>
                  <w14:solidFill>
                    <w14:schemeClr w14:val="tx1"/>
                  </w14:solidFill>
                </w14:textFill>
              </w:rPr>
              <w:t>兼顾锅炉运维。</w:t>
            </w:r>
          </w:p>
          <w:p w14:paraId="152139B0">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本项目锅炉房每天运行</w:t>
            </w:r>
            <w:r>
              <w:rPr>
                <w:rFonts w:hint="default" w:ascii="Times New Roman" w:hAnsi="Times New Roman" w:cs="Times New Roman"/>
                <w:color w:val="000000" w:themeColor="text1"/>
                <w:highlight w:val="none"/>
                <w:lang w:val="en-US" w:eastAsia="zh-CN"/>
                <w14:textFill>
                  <w14:solidFill>
                    <w14:schemeClr w14:val="tx1"/>
                  </w14:solidFill>
                </w14:textFill>
              </w:rPr>
              <w:t>24</w:t>
            </w:r>
            <w:r>
              <w:rPr>
                <w:rFonts w:hint="default" w:ascii="Times New Roman" w:hAnsi="Times New Roman" w:cs="Times New Roman"/>
                <w:color w:val="000000" w:themeColor="text1"/>
                <w:highlight w:val="none"/>
                <w14:textFill>
                  <w14:solidFill>
                    <w14:schemeClr w14:val="tx1"/>
                  </w14:solidFill>
                </w14:textFill>
              </w:rPr>
              <w:t>h，年运行时间为年工作3</w:t>
            </w: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default" w:ascii="Times New Roman" w:hAnsi="Times New Roman" w:cs="Times New Roman"/>
                <w:color w:val="000000" w:themeColor="text1"/>
                <w:highlight w:val="none"/>
                <w14:textFill>
                  <w14:solidFill>
                    <w14:schemeClr w14:val="tx1"/>
                  </w14:solidFill>
                </w14:textFill>
              </w:rPr>
              <w:t>0天，共</w:t>
            </w:r>
            <w:bookmarkStart w:id="56" w:name="OLE_LINK220"/>
            <w:r>
              <w:rPr>
                <w:rFonts w:hint="default" w:ascii="Times New Roman" w:hAnsi="Times New Roman" w:cs="Times New Roman"/>
                <w:color w:val="000000" w:themeColor="text1"/>
                <w:highlight w:val="none"/>
                <w:lang w:eastAsia="zh-CN"/>
                <w14:textFill>
                  <w14:solidFill>
                    <w14:schemeClr w14:val="tx1"/>
                  </w14:solidFill>
                </w14:textFill>
              </w:rPr>
              <w:t>7200h</w:t>
            </w:r>
            <w:r>
              <w:rPr>
                <w:rFonts w:hint="default" w:ascii="Times New Roman" w:hAnsi="Times New Roman" w:cs="Times New Roman"/>
                <w:color w:val="000000" w:themeColor="text1"/>
                <w:highlight w:val="none"/>
                <w14:textFill>
                  <w14:solidFill>
                    <w14:schemeClr w14:val="tx1"/>
                  </w14:solidFill>
                </w14:textFill>
              </w:rPr>
              <w:t>/a</w:t>
            </w:r>
            <w:bookmarkEnd w:id="56"/>
            <w:r>
              <w:rPr>
                <w:rFonts w:hint="default" w:ascii="Times New Roman" w:hAnsi="Times New Roman" w:cs="Times New Roman"/>
                <w:color w:val="000000" w:themeColor="text1"/>
                <w:highlight w:val="none"/>
                <w14:textFill>
                  <w14:solidFill>
                    <w14:schemeClr w14:val="tx1"/>
                  </w14:solidFill>
                </w14:textFill>
              </w:rPr>
              <w:t>。</w:t>
            </w:r>
          </w:p>
          <w:p w14:paraId="07440529">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八、水平衡分析</w:t>
            </w:r>
          </w:p>
          <w:p w14:paraId="0DF07144">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（1）用水</w:t>
            </w:r>
          </w:p>
          <w:p w14:paraId="7E8E112C">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本项目不涉及生活配套建筑，</w:t>
            </w:r>
            <w:r>
              <w:rPr>
                <w:rFonts w:hint="default" w:ascii="Times New Roman" w:hAnsi="Times New Roman" w:cs="Times New Roman"/>
                <w:color w:val="000000" w:themeColor="text1"/>
                <w:highlight w:val="none"/>
                <w:lang w:val="en-US" w:eastAsia="zh-CN"/>
                <w14:textFill>
                  <w14:solidFill>
                    <w14:schemeClr w14:val="tx1"/>
                  </w14:solidFill>
                </w14:textFill>
              </w:rPr>
              <w:t>无新增职工、因此无新增</w:t>
            </w:r>
            <w:r>
              <w:rPr>
                <w:rFonts w:hint="default" w:ascii="Times New Roman" w:hAnsi="Times New Roman" w:cs="Times New Roman"/>
                <w:color w:val="000000" w:themeColor="text1"/>
                <w:highlight w:val="none"/>
                <w14:textFill>
                  <w14:solidFill>
                    <w14:schemeClr w14:val="tx1"/>
                  </w14:solidFill>
                </w14:textFill>
              </w:rPr>
              <w:t>生活用水，</w:t>
            </w:r>
            <w:r>
              <w:rPr>
                <w:rFonts w:hint="default" w:ascii="Times New Roman" w:hAnsi="Times New Roman" w:cs="Times New Roman"/>
                <w:color w:val="000000" w:themeColor="text1"/>
                <w:highlight w:val="none"/>
                <w:lang w:val="en-US" w:eastAsia="zh-CN"/>
                <w14:textFill>
                  <w14:solidFill>
                    <w14:schemeClr w14:val="tx1"/>
                  </w14:solidFill>
                </w14:textFill>
              </w:rPr>
              <w:t>新增</w:t>
            </w:r>
            <w:r>
              <w:rPr>
                <w:rFonts w:hint="default" w:ascii="Times New Roman" w:hAnsi="Times New Roman" w:cs="Times New Roman"/>
                <w:color w:val="000000" w:themeColor="text1"/>
                <w:highlight w:val="none"/>
                <w14:textFill>
                  <w14:solidFill>
                    <w14:schemeClr w14:val="tx1"/>
                  </w14:solidFill>
                </w14:textFill>
              </w:rPr>
              <w:t>生产用水只涉及软水制备用水和锅炉用水。</w:t>
            </w:r>
          </w:p>
          <w:p w14:paraId="631A3E2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项目生物质锅炉</w:t>
            </w:r>
            <w:r>
              <w:rPr>
                <w:rFonts w:hint="default" w:ascii="Times New Roman" w:hAnsi="Times New Roman" w:cs="Times New Roman"/>
                <w:color w:val="000000" w:themeColor="text1"/>
                <w:highlight w:val="none"/>
                <w:lang w:val="en-US" w:eastAsia="zh-CN"/>
                <w14:textFill>
                  <w14:solidFill>
                    <w14:schemeClr w14:val="tx1"/>
                  </w14:solidFill>
                </w14:textFill>
              </w:rPr>
              <w:t>依托</w:t>
            </w:r>
            <w:r>
              <w:rPr>
                <w:rFonts w:hint="default" w:ascii="Times New Roman" w:hAnsi="Times New Roman" w:cs="Times New Roman"/>
                <w:color w:val="000000" w:themeColor="text1"/>
                <w:sz w:val="24"/>
                <w:highlight w:val="none"/>
                <w:lang w:val="en-US" w:eastAsia="zh-CN"/>
                <w14:textFill>
                  <w14:solidFill>
                    <w14:schemeClr w14:val="tx1"/>
                  </w14:solidFill>
                </w14:textFill>
              </w:rPr>
              <w:t>厂内原有制水设备，原水由企山水库供应，经反应沉淀池过滤、空擦池送至化学水池，化学水泵加压至超滤、反渗透、EDI处理后进入除盐水箱，由锅炉给水泵送至锅炉用水。厂内现有水处理能力3</w:t>
            </w:r>
            <w:r>
              <w:rPr>
                <w:rFonts w:hint="default" w:ascii="Times New Roman" w:hAnsi="Times New Roman" w:cs="Times New Roman"/>
                <w:color w:val="000000" w:themeColor="text1"/>
                <w:highlight w:val="none"/>
                <w:u w:val="none"/>
                <w:lang w:val="en-US" w:eastAsia="zh-CN"/>
                <w14:textFill>
                  <w14:solidFill>
                    <w14:schemeClr w14:val="tx1"/>
                  </w14:solidFill>
                </w14:textFill>
              </w:rPr>
              <w:t>×55t/h。</w:t>
            </w:r>
            <w:r>
              <w:rPr>
                <w:rFonts w:hint="eastAsia" w:cs="Times New Roman"/>
                <w:color w:val="000000" w:themeColor="text1"/>
                <w:highlight w:val="none"/>
                <w:u w:val="none"/>
                <w:lang w:val="en-US" w:eastAsia="zh-CN"/>
                <w14:textFill>
                  <w14:solidFill>
                    <w14:schemeClr w14:val="tx1"/>
                  </w14:solidFill>
                </w14:textFill>
              </w:rPr>
              <w:t>本次扩建</w:t>
            </w:r>
            <w:r>
              <w:rPr>
                <w:rFonts w:hint="default" w:ascii="Times New Roman" w:hAnsi="Times New Roman" w:cs="Times New Roman"/>
                <w:color w:val="000000" w:themeColor="text1"/>
                <w:highlight w:val="none"/>
                <w14:textFill>
                  <w14:solidFill>
                    <w14:schemeClr w14:val="tx1"/>
                  </w14:solidFill>
                </w14:textFill>
              </w:rPr>
              <w:t>锅炉软化水用水量为</w:t>
            </w:r>
            <w:r>
              <w:rPr>
                <w:rFonts w:hint="default"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/h</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57600</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/a）。此外锅炉定期</w:t>
            </w:r>
            <w:bookmarkStart w:id="57" w:name="OLE_LINK233"/>
            <w:r>
              <w:rPr>
                <w:rFonts w:hint="default" w:ascii="Times New Roman" w:hAnsi="Times New Roman" w:cs="Times New Roman"/>
                <w:color w:val="000000" w:themeColor="text1"/>
                <w:highlight w:val="none"/>
                <w14:textFill>
                  <w14:solidFill>
                    <w14:schemeClr w14:val="tx1"/>
                  </w14:solidFill>
                </w14:textFill>
              </w:rPr>
              <w:t>排污</w:t>
            </w:r>
            <w:bookmarkEnd w:id="57"/>
            <w:r>
              <w:rPr>
                <w:rFonts w:hint="default" w:ascii="Times New Roman" w:hAnsi="Times New Roman" w:cs="Times New Roman"/>
                <w:color w:val="000000" w:themeColor="text1"/>
                <w:highlight w:val="none"/>
                <w14:textFill>
                  <w14:solidFill>
                    <w14:schemeClr w14:val="tx1"/>
                  </w14:solidFill>
                </w14:textFill>
              </w:rPr>
              <w:t>，每月一次，每次用水量约为1m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，则清洗排污年用软水量为</w:t>
            </w:r>
            <w:bookmarkStart w:id="58" w:name="OLE_LINK75"/>
            <w:r>
              <w:rPr>
                <w:rFonts w:hint="default" w:ascii="Times New Roman" w:hAnsi="Times New Roman" w:cs="Times New Roman"/>
                <w:color w:val="000000" w:themeColor="text1"/>
                <w:highlight w:val="none"/>
                <w14:textFill>
                  <w14:solidFill>
                    <w14:schemeClr w14:val="tx1"/>
                  </w14:solidFill>
                </w14:textFill>
              </w:rPr>
              <w:t>12</w:t>
            </w:r>
            <w:bookmarkStart w:id="59" w:name="OLE_LINK234"/>
            <w:bookmarkStart w:id="60" w:name="OLE_LINK240"/>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bookmarkEnd w:id="59"/>
            <w:r>
              <w:rPr>
                <w:rFonts w:hint="default" w:ascii="Times New Roman" w:hAnsi="Times New Roman" w:cs="Times New Roman"/>
                <w:color w:val="000000" w:themeColor="text1"/>
                <w:highlight w:val="none"/>
                <w14:textFill>
                  <w14:solidFill>
                    <w14:schemeClr w14:val="tx1"/>
                  </w14:solidFill>
                </w14:textFill>
              </w:rPr>
              <w:t>/a</w:t>
            </w:r>
            <w:bookmarkEnd w:id="58"/>
            <w:bookmarkEnd w:id="60"/>
            <w:r>
              <w:rPr>
                <w:rFonts w:hint="default" w:ascii="Times New Roman" w:hAnsi="Times New Roman" w:cs="Times New Roman"/>
                <w:color w:val="000000" w:themeColor="text1"/>
                <w:highlight w:val="none"/>
                <w14:textFill>
                  <w14:solidFill>
                    <w14:schemeClr w14:val="tx1"/>
                  </w14:solidFill>
                </w14:textFill>
              </w:rPr>
              <w:t>，产生锅炉排污水12m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/a。项目年用软水量合计为</w:t>
            </w:r>
            <w:r>
              <w:rPr>
                <w:rFonts w:hint="default" w:ascii="Times New Roman" w:hAnsi="Times New Roman" w:cs="Times New Roman"/>
                <w:color w:val="000000" w:themeColor="text1"/>
                <w:highlight w:val="none"/>
                <w:lang w:eastAsia="zh-CN"/>
                <w14:textFill>
                  <w14:solidFill>
                    <w14:schemeClr w14:val="tx1"/>
                  </w14:solidFill>
                </w14:textFill>
              </w:rPr>
              <w:t>57612</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/a。根据企业提供数据，软水制备效率约为75%，则项目需使用</w:t>
            </w:r>
            <w:r>
              <w:rPr>
                <w:rFonts w:hint="default" w:ascii="Times New Roman" w:hAnsi="Times New Roman" w:cs="Times New Roman"/>
                <w:color w:val="000000" w:themeColor="text1"/>
                <w:highlight w:val="none"/>
                <w:lang w:eastAsia="zh-CN"/>
                <w14:textFill>
                  <w14:solidFill>
                    <w14:schemeClr w14:val="tx1"/>
                  </w14:solidFill>
                </w14:textFill>
              </w:rPr>
              <w:t>76816</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/a新鲜水制备软水，可得</w:t>
            </w:r>
            <w:r>
              <w:rPr>
                <w:rFonts w:hint="default" w:ascii="Times New Roman" w:hAnsi="Times New Roman" w:cs="Times New Roman"/>
                <w:color w:val="000000" w:themeColor="text1"/>
                <w:highlight w:val="none"/>
                <w:lang w:eastAsia="zh-CN"/>
                <w14:textFill>
                  <w14:solidFill>
                    <w14:schemeClr w14:val="tx1"/>
                  </w14:solidFill>
                </w14:textFill>
              </w:rPr>
              <w:t>57612</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/a的软水及</w:t>
            </w:r>
            <w:r>
              <w:rPr>
                <w:rFonts w:hint="default" w:ascii="Times New Roman" w:hAnsi="Times New Roman" w:cs="Times New Roman"/>
                <w:color w:val="000000" w:themeColor="text1"/>
                <w:highlight w:val="none"/>
                <w:lang w:eastAsia="zh-CN"/>
                <w14:textFill>
                  <w14:solidFill>
                    <w14:schemeClr w14:val="tx1"/>
                  </w14:solidFill>
                </w14:textFill>
              </w:rPr>
              <w:t>19204</w:t>
            </w:r>
            <w:r>
              <w:rPr>
                <w:rFonts w:hint="default" w:ascii="Times New Roman" w:hAnsi="Times New Roman" w:cs="Times New Roman"/>
                <w:color w:val="000000" w:themeColor="text1"/>
                <w:highlight w:val="none"/>
                <w14:textFill>
                  <w14:solidFill>
                    <w14:schemeClr w14:val="tx1"/>
                  </w14:solidFill>
                </w14:textFill>
              </w:rPr>
              <w:t xml:space="preserve"> 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/a的软化制备废水。</w:t>
            </w:r>
          </w:p>
          <w:p w14:paraId="00B010E2">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（2）排水</w:t>
            </w:r>
          </w:p>
          <w:p w14:paraId="739C16C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本项目排水为雨污分流，园区设有雨污水管道。</w:t>
            </w:r>
          </w:p>
          <w:p w14:paraId="378998A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项目生产废水主要为</w:t>
            </w:r>
            <w:bookmarkStart w:id="61" w:name="OLE_LINK302"/>
            <w:r>
              <w:rPr>
                <w:rFonts w:hint="default" w:ascii="Times New Roman" w:hAnsi="Times New Roman" w:cs="Times New Roman"/>
                <w:color w:val="000000" w:themeColor="text1"/>
                <w:highlight w:val="none"/>
                <w14:textFill>
                  <w14:solidFill>
                    <w14:schemeClr w14:val="tx1"/>
                  </w14:solidFill>
                </w14:textFill>
              </w:rPr>
              <w:t>软水制备废水</w:t>
            </w:r>
            <w:bookmarkEnd w:id="61"/>
            <w:r>
              <w:rPr>
                <w:rFonts w:hint="default" w:ascii="Times New Roman" w:hAnsi="Times New Roman" w:cs="Times New Roman"/>
                <w:color w:val="000000" w:themeColor="text1"/>
                <w:highlight w:val="none"/>
                <w14:textFill>
                  <w14:solidFill>
                    <w14:schemeClr w14:val="tx1"/>
                  </w14:solidFill>
                </w14:textFill>
              </w:rPr>
              <w:t>、锅炉排污水，根据上文分析，锅炉排污水产生量为12m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/a，软水制备废水产生量为</w:t>
            </w:r>
            <w:r>
              <w:rPr>
                <w:rFonts w:hint="eastAsia" w:cs="Times New Roman"/>
                <w:color w:val="000000" w:themeColor="text1"/>
                <w:highlight w:val="none"/>
                <w:lang w:val="en-US" w:eastAsia="zh-CN"/>
                <w14:textFill>
                  <w14:solidFill>
                    <w14:schemeClr w14:val="tx1"/>
                  </w14:solidFill>
                </w14:textFill>
              </w:rPr>
              <w:t>19204</w:t>
            </w:r>
            <w:r>
              <w:rPr>
                <w:rFonts w:hint="default" w:ascii="Times New Roman" w:hAnsi="Times New Roman" w:cs="Times New Roman"/>
                <w:color w:val="000000" w:themeColor="text1"/>
                <w:highlight w:val="none"/>
                <w14:textFill>
                  <w14:solidFill>
                    <w14:schemeClr w14:val="tx1"/>
                  </w14:solidFill>
                </w14:textFill>
              </w:rPr>
              <w:t xml:space="preserve"> 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/a，生产废水产生量合计为</w:t>
            </w:r>
            <w:r>
              <w:rPr>
                <w:rFonts w:hint="default" w:ascii="Times New Roman" w:hAnsi="Times New Roman" w:cs="Times New Roman"/>
                <w:color w:val="000000" w:themeColor="text1"/>
                <w:highlight w:val="none"/>
                <w:lang w:val="en-US" w:eastAsia="zh-CN"/>
                <w14:textFill>
                  <w14:solidFill>
                    <w14:schemeClr w14:val="tx1"/>
                  </w14:solidFill>
                </w14:textFill>
              </w:rPr>
              <w:t>192</w:t>
            </w:r>
            <w:r>
              <w:rPr>
                <w:rFonts w:hint="eastAsia" w:cs="Times New Roman"/>
                <w:color w:val="000000" w:themeColor="text1"/>
                <w:highlight w:val="none"/>
                <w:lang w:val="en-US" w:eastAsia="zh-CN"/>
                <w14:textFill>
                  <w14:solidFill>
                    <w14:schemeClr w14:val="tx1"/>
                  </w14:solidFill>
                </w14:textFill>
              </w:rPr>
              <w:t>16</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w:t>
            </w:r>
            <w:r>
              <w:rPr>
                <w:rFonts w:hint="default" w:ascii="Times New Roman" w:hAnsi="Times New Roman" w:cs="Times New Roman"/>
                <w:color w:val="000000" w:themeColor="text1"/>
                <w:highlight w:val="none"/>
                <w:lang w:eastAsia="zh-CN"/>
                <w14:textFill>
                  <w14:solidFill>
                    <w14:schemeClr w14:val="tx1"/>
                  </w14:solidFill>
                </w14:textFill>
              </w:rPr>
              <w:t>6</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eastAsia="zh-CN"/>
                <w14:textFill>
                  <w14:solidFill>
                    <w14:schemeClr w14:val="tx1"/>
                  </w14:solidFill>
                </w14:textFill>
              </w:rPr>
              <w:t>.0533</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/d）。生产废水</w:t>
            </w:r>
            <w:bookmarkStart w:id="62" w:name="OLE_LINK64"/>
            <w:r>
              <w:rPr>
                <w:rFonts w:hint="default" w:ascii="Times New Roman" w:hAnsi="Times New Roman" w:cs="Times New Roman"/>
                <w:color w:val="000000" w:themeColor="text1"/>
                <w:highlight w:val="none"/>
                <w14:textFill>
                  <w14:solidFill>
                    <w14:schemeClr w14:val="tx1"/>
                  </w14:solidFill>
                </w14:textFill>
              </w:rPr>
              <w:t>直接经园区污水管网进入大榄坪污水处理厂处理</w:t>
            </w:r>
            <w:bookmarkEnd w:id="62"/>
            <w:r>
              <w:rPr>
                <w:rFonts w:hint="default" w:ascii="Times New Roman" w:hAnsi="Times New Roman" w:cs="Times New Roman"/>
                <w:color w:val="000000" w:themeColor="text1"/>
                <w:highlight w:val="none"/>
                <w14:textFill>
                  <w14:solidFill>
                    <w14:schemeClr w14:val="tx1"/>
                  </w14:solidFill>
                </w14:textFill>
              </w:rPr>
              <w:t>。</w:t>
            </w:r>
          </w:p>
          <w:p w14:paraId="5BE1ED7C">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本项目建成后全厂水平衡如下：</w:t>
            </w:r>
          </w:p>
          <w:p w14:paraId="16BC1872">
            <w:pPr>
              <w:pStyle w:val="34"/>
              <w:rPr>
                <w:rFonts w:hint="default" w:ascii="Times New Roman" w:hAnsi="Times New Roman" w:cs="Times New Roman"/>
                <w:color w:val="000000" w:themeColor="text1"/>
                <w:highlight w:val="none"/>
                <w14:textFill>
                  <w14:solidFill>
                    <w14:schemeClr w14:val="tx1"/>
                  </w14:solidFill>
                </w14:textFill>
              </w:rPr>
            </w:pPr>
            <w:bookmarkStart w:id="63" w:name="OLE_LINK41"/>
            <w:bookmarkStart w:id="64" w:name="_Ref176881275"/>
            <w:r>
              <w:rPr>
                <w:rFonts w:hint="default" w:ascii="Times New Roman" w:hAnsi="Times New Roman" w:cs="Times New Roman"/>
                <w:color w:val="000000" w:themeColor="text1"/>
                <w:highlight w:val="none"/>
                <w14:textFill>
                  <w14:solidFill>
                    <w14:schemeClr w14:val="tx1"/>
                  </w14:solidFill>
                </w14:textFill>
              </w:rPr>
              <w:t xml:space="preserve">表2- </w:t>
            </w:r>
            <w:r>
              <w:rPr>
                <w:rFonts w:hint="default"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w:t>
            </w:r>
            <w:bookmarkEnd w:id="63"/>
            <w:r>
              <w:rPr>
                <w:rFonts w:hint="default" w:ascii="Times New Roman" w:hAnsi="Times New Roman" w:cs="Times New Roman"/>
                <w:color w:val="000000" w:themeColor="text1"/>
                <w:highlight w:val="none"/>
                <w14:textFill>
                  <w14:solidFill>
                    <w14:schemeClr w14:val="tx1"/>
                  </w14:solidFill>
                </w14:textFill>
              </w:rPr>
              <w:t>水平衡表（单位m³/a）</w:t>
            </w:r>
            <w:bookmarkEnd w:id="64"/>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63"/>
              <w:gridCol w:w="1646"/>
              <w:gridCol w:w="1161"/>
              <w:gridCol w:w="1142"/>
              <w:gridCol w:w="955"/>
              <w:gridCol w:w="1037"/>
              <w:gridCol w:w="1462"/>
            </w:tblGrid>
            <w:tr w14:paraId="6A6882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94" w:type="pct"/>
                  <w:vMerge w:val="restar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445F8C9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序号</w:t>
                  </w:r>
                </w:p>
              </w:tc>
              <w:tc>
                <w:tcPr>
                  <w:tcW w:w="1045" w:type="pct"/>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3917FF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项目</w:t>
                  </w:r>
                </w:p>
              </w:tc>
              <w:tc>
                <w:tcPr>
                  <w:tcW w:w="1464" w:type="pct"/>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0E11C8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用水</w:t>
                  </w:r>
                </w:p>
              </w:tc>
              <w:tc>
                <w:tcPr>
                  <w:tcW w:w="2195" w:type="pct"/>
                  <w:gridSpan w:val="3"/>
                  <w:tcBorders>
                    <w:top w:val="single" w:color="auto" w:sz="12" w:space="0"/>
                    <w:bottom w:val="single" w:color="auto" w:sz="12" w:space="0"/>
                    <w:right w:val="nil"/>
                    <w:insideH w:val="single" w:sz="12" w:space="0"/>
                    <w:insideV w:val="single" w:sz="4" w:space="0"/>
                    <w:tl2br w:val="nil"/>
                    <w:tr2bl w:val="nil"/>
                  </w:tcBorders>
                  <w:vAlign w:val="center"/>
                </w:tcPr>
                <w:p w14:paraId="4130F92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排水</w:t>
                  </w:r>
                </w:p>
              </w:tc>
            </w:tr>
            <w:tr w14:paraId="67874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294" w:type="pct"/>
                  <w:vMerge w:val="continue"/>
                  <w:vAlign w:val="center"/>
                </w:tcPr>
                <w:p w14:paraId="091C27C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045" w:type="pct"/>
                  <w:vMerge w:val="continue"/>
                  <w:vAlign w:val="center"/>
                </w:tcPr>
                <w:p w14:paraId="72E5CEF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738" w:type="pct"/>
                  <w:vAlign w:val="center"/>
                </w:tcPr>
                <w:p w14:paraId="4D541946">
                  <w:pPr>
                    <w:widowControl w:val="0"/>
                    <w:overflowPunct w:val="0"/>
                    <w:autoSpaceDE w:val="0"/>
                    <w:autoSpaceDN w:val="0"/>
                    <w:snapToGrid w:val="0"/>
                    <w:jc w:val="center"/>
                    <w:rPr>
                      <w:rFonts w:hint="default" w:ascii="Times New Roman" w:hAnsi="Times New Roman" w:cs="Times New Roman"/>
                      <w:b/>
                      <w:bCs/>
                      <w:i w:val="0"/>
                      <w:iCs w:val="0"/>
                      <w:color w:val="000000" w:themeColor="text1"/>
                      <w:highlight w:val="none"/>
                      <w14:textFill>
                        <w14:solidFill>
                          <w14:schemeClr w14:val="tx1"/>
                        </w14:solidFill>
                      </w14:textFill>
                      <w14:ligatures w14:val="standardContextual"/>
                    </w:rPr>
                  </w:pPr>
                  <w:r>
                    <w:rPr>
                      <w:rFonts w:hint="default" w:ascii="Times New Roman" w:hAnsi="Times New Roman" w:cs="Times New Roman"/>
                      <w:b/>
                      <w:bCs/>
                      <w:i w:val="0"/>
                      <w:iCs w:val="0"/>
                      <w:color w:val="000000" w:themeColor="text1"/>
                      <w:highlight w:val="none"/>
                      <w14:textFill>
                        <w14:solidFill>
                          <w14:schemeClr w14:val="tx1"/>
                        </w14:solidFill>
                      </w14:textFill>
                      <w14:ligatures w14:val="standardContextual"/>
                    </w:rPr>
                    <w:t>新水量</w:t>
                  </w:r>
                </w:p>
              </w:tc>
              <w:tc>
                <w:tcPr>
                  <w:tcW w:w="726" w:type="pct"/>
                  <w:vAlign w:val="center"/>
                </w:tcPr>
                <w:p w14:paraId="71DA75D4">
                  <w:pPr>
                    <w:widowControl w:val="0"/>
                    <w:overflowPunct w:val="0"/>
                    <w:autoSpaceDE w:val="0"/>
                    <w:autoSpaceDN w:val="0"/>
                    <w:snapToGrid w:val="0"/>
                    <w:jc w:val="center"/>
                    <w:rPr>
                      <w:rFonts w:hint="default" w:ascii="Times New Roman" w:hAnsi="Times New Roman" w:cs="Times New Roman"/>
                      <w:b/>
                      <w:bCs/>
                      <w:i w:val="0"/>
                      <w:iCs w:val="0"/>
                      <w:color w:val="000000" w:themeColor="text1"/>
                      <w:highlight w:val="none"/>
                      <w14:textFill>
                        <w14:solidFill>
                          <w14:schemeClr w14:val="tx1"/>
                        </w14:solidFill>
                      </w14:textFill>
                      <w14:ligatures w14:val="standardContextual"/>
                    </w:rPr>
                  </w:pPr>
                  <w:bookmarkStart w:id="65" w:name="OLE_LINK185"/>
                  <w:r>
                    <w:rPr>
                      <w:rFonts w:hint="default" w:ascii="Times New Roman" w:hAnsi="Times New Roman" w:cs="Times New Roman"/>
                      <w:b/>
                      <w:bCs/>
                      <w:i w:val="0"/>
                      <w:iCs w:val="0"/>
                      <w:color w:val="000000" w:themeColor="text1"/>
                      <w:highlight w:val="none"/>
                      <w14:textFill>
                        <w14:solidFill>
                          <w14:schemeClr w14:val="tx1"/>
                        </w14:solidFill>
                      </w14:textFill>
                      <w14:ligatures w14:val="standardContextual"/>
                    </w:rPr>
                    <w:t>软水</w:t>
                  </w:r>
                  <w:bookmarkEnd w:id="65"/>
                </w:p>
              </w:tc>
              <w:tc>
                <w:tcPr>
                  <w:tcW w:w="607" w:type="pct"/>
                  <w:vAlign w:val="center"/>
                </w:tcPr>
                <w:p w14:paraId="1B1C4C13">
                  <w:pPr>
                    <w:widowControl w:val="0"/>
                    <w:overflowPunct w:val="0"/>
                    <w:autoSpaceDE w:val="0"/>
                    <w:autoSpaceDN w:val="0"/>
                    <w:snapToGrid w:val="0"/>
                    <w:jc w:val="center"/>
                    <w:rPr>
                      <w:rFonts w:hint="default" w:ascii="Times New Roman" w:hAnsi="Times New Roman" w:cs="Times New Roman"/>
                      <w:b/>
                      <w:bCs/>
                      <w:i w:val="0"/>
                      <w:iCs w:val="0"/>
                      <w:color w:val="000000" w:themeColor="text1"/>
                      <w:highlight w:val="none"/>
                      <w14:textFill>
                        <w14:solidFill>
                          <w14:schemeClr w14:val="tx1"/>
                        </w14:solidFill>
                      </w14:textFill>
                      <w14:ligatures w14:val="standardContextual"/>
                    </w:rPr>
                  </w:pPr>
                  <w:r>
                    <w:rPr>
                      <w:rFonts w:hint="default" w:ascii="Times New Roman" w:hAnsi="Times New Roman" w:cs="Times New Roman"/>
                      <w:b/>
                      <w:bCs/>
                      <w:i w:val="0"/>
                      <w:iCs w:val="0"/>
                      <w:color w:val="000000" w:themeColor="text1"/>
                      <w:highlight w:val="none"/>
                      <w14:textFill>
                        <w14:solidFill>
                          <w14:schemeClr w14:val="tx1"/>
                        </w14:solidFill>
                      </w14:textFill>
                      <w14:ligatures w14:val="standardContextual"/>
                    </w:rPr>
                    <w:t>软水</w:t>
                  </w:r>
                </w:p>
              </w:tc>
              <w:tc>
                <w:tcPr>
                  <w:tcW w:w="659" w:type="pct"/>
                  <w:noWrap/>
                  <w:vAlign w:val="center"/>
                </w:tcPr>
                <w:p w14:paraId="73B76374">
                  <w:pPr>
                    <w:widowControl w:val="0"/>
                    <w:overflowPunct w:val="0"/>
                    <w:autoSpaceDE w:val="0"/>
                    <w:autoSpaceDN w:val="0"/>
                    <w:snapToGrid w:val="0"/>
                    <w:jc w:val="center"/>
                    <w:rPr>
                      <w:rFonts w:hint="default" w:ascii="Times New Roman" w:hAnsi="Times New Roman" w:cs="Times New Roman"/>
                      <w:b/>
                      <w:bCs/>
                      <w:i w:val="0"/>
                      <w:iCs w:val="0"/>
                      <w:color w:val="000000" w:themeColor="text1"/>
                      <w:sz w:val="22"/>
                      <w:szCs w:val="22"/>
                      <w:highlight w:val="none"/>
                      <w14:textFill>
                        <w14:solidFill>
                          <w14:schemeClr w14:val="tx1"/>
                        </w14:solidFill>
                      </w14:textFill>
                      <w14:ligatures w14:val="standardContextual"/>
                    </w:rPr>
                  </w:pPr>
                  <w:r>
                    <w:rPr>
                      <w:rFonts w:hint="default" w:ascii="Times New Roman" w:hAnsi="Times New Roman" w:cs="Times New Roman"/>
                      <w:b/>
                      <w:bCs/>
                      <w:i w:val="0"/>
                      <w:iCs w:val="0"/>
                      <w:color w:val="000000" w:themeColor="text1"/>
                      <w:sz w:val="22"/>
                      <w:szCs w:val="22"/>
                      <w:highlight w:val="none"/>
                      <w14:textFill>
                        <w14:solidFill>
                          <w14:schemeClr w14:val="tx1"/>
                        </w14:solidFill>
                      </w14:textFill>
                      <w14:ligatures w14:val="standardContextual"/>
                    </w:rPr>
                    <w:t>消耗量</w:t>
                  </w:r>
                </w:p>
              </w:tc>
              <w:tc>
                <w:tcPr>
                  <w:tcW w:w="929" w:type="pct"/>
                  <w:vAlign w:val="center"/>
                </w:tcPr>
                <w:p w14:paraId="51D5C63A">
                  <w:pPr>
                    <w:widowControl w:val="0"/>
                    <w:overflowPunct w:val="0"/>
                    <w:autoSpaceDE w:val="0"/>
                    <w:autoSpaceDN w:val="0"/>
                    <w:snapToGrid w:val="0"/>
                    <w:jc w:val="center"/>
                    <w:rPr>
                      <w:rFonts w:hint="default" w:ascii="Times New Roman" w:hAnsi="Times New Roman" w:cs="Times New Roman"/>
                      <w:b/>
                      <w:bCs/>
                      <w:i w:val="0"/>
                      <w:iCs w:val="0"/>
                      <w:color w:val="000000" w:themeColor="text1"/>
                      <w:highlight w:val="none"/>
                      <w14:textFill>
                        <w14:solidFill>
                          <w14:schemeClr w14:val="tx1"/>
                        </w14:solidFill>
                      </w14:textFill>
                      <w14:ligatures w14:val="standardContextual"/>
                    </w:rPr>
                  </w:pPr>
                  <w:r>
                    <w:rPr>
                      <w:rFonts w:hint="default" w:ascii="Times New Roman" w:hAnsi="Times New Roman" w:cs="Times New Roman"/>
                      <w:b/>
                      <w:bCs/>
                      <w:i w:val="0"/>
                      <w:iCs w:val="0"/>
                      <w:color w:val="000000" w:themeColor="text1"/>
                      <w:highlight w:val="none"/>
                      <w14:textFill>
                        <w14:solidFill>
                          <w14:schemeClr w14:val="tx1"/>
                        </w14:solidFill>
                      </w14:textFill>
                      <w14:ligatures w14:val="standardContextual"/>
                    </w:rPr>
                    <w:t>排水量</w:t>
                  </w:r>
                </w:p>
              </w:tc>
            </w:tr>
            <w:tr w14:paraId="1311F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294" w:type="pct"/>
                  <w:vAlign w:val="center"/>
                </w:tcPr>
                <w:p w14:paraId="53203C65">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1</w:t>
                  </w:r>
                </w:p>
              </w:tc>
              <w:tc>
                <w:tcPr>
                  <w:tcW w:w="1045" w:type="pct"/>
                  <w:vAlign w:val="center"/>
                </w:tcPr>
                <w:p w14:paraId="042F31A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软水制备用水</w:t>
                  </w:r>
                </w:p>
              </w:tc>
              <w:tc>
                <w:tcPr>
                  <w:tcW w:w="738" w:type="pct"/>
                  <w:vAlign w:val="center"/>
                </w:tcPr>
                <w:p w14:paraId="72655303">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76816</w:t>
                  </w:r>
                </w:p>
              </w:tc>
              <w:tc>
                <w:tcPr>
                  <w:tcW w:w="726" w:type="pct"/>
                  <w:vAlign w:val="center"/>
                </w:tcPr>
                <w:p w14:paraId="689CB81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0</w:t>
                  </w:r>
                </w:p>
              </w:tc>
              <w:tc>
                <w:tcPr>
                  <w:tcW w:w="607" w:type="pct"/>
                  <w:vAlign w:val="center"/>
                </w:tcPr>
                <w:p w14:paraId="4CE2F981">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57612</w:t>
                  </w:r>
                </w:p>
              </w:tc>
              <w:tc>
                <w:tcPr>
                  <w:tcW w:w="659" w:type="pct"/>
                  <w:noWrap/>
                  <w:vAlign w:val="center"/>
                </w:tcPr>
                <w:p w14:paraId="52BAD5E6">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0</w:t>
                  </w:r>
                </w:p>
              </w:tc>
              <w:tc>
                <w:tcPr>
                  <w:tcW w:w="929" w:type="pct"/>
                  <w:vAlign w:val="center"/>
                </w:tcPr>
                <w:p w14:paraId="38DD6B5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19204</w:t>
                  </w:r>
                  <w:r>
                    <w:rPr>
                      <w:rFonts w:hint="default" w:ascii="Times New Roman" w:hAnsi="Times New Roman" w:cs="Times New Roman"/>
                      <w:color w:val="000000" w:themeColor="text1"/>
                      <w:highlight w:val="none"/>
                      <w14:textFill>
                        <w14:solidFill>
                          <w14:schemeClr w14:val="tx1"/>
                        </w14:solidFill>
                      </w14:textFill>
                      <w14:ligatures w14:val="standardContextual"/>
                    </w:rPr>
                    <w:t xml:space="preserve"> </w:t>
                  </w:r>
                </w:p>
              </w:tc>
            </w:tr>
            <w:tr w14:paraId="0EAF4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294" w:type="pct"/>
                  <w:vAlign w:val="center"/>
                </w:tcPr>
                <w:p w14:paraId="0A609742">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2</w:t>
                  </w:r>
                </w:p>
              </w:tc>
              <w:tc>
                <w:tcPr>
                  <w:tcW w:w="1045" w:type="pct"/>
                  <w:vAlign w:val="center"/>
                </w:tcPr>
                <w:p w14:paraId="0A2D766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锅炉用水</w:t>
                  </w:r>
                </w:p>
              </w:tc>
              <w:tc>
                <w:tcPr>
                  <w:tcW w:w="738" w:type="pct"/>
                  <w:vAlign w:val="center"/>
                </w:tcPr>
                <w:p w14:paraId="0C6330D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0</w:t>
                  </w:r>
                </w:p>
              </w:tc>
              <w:tc>
                <w:tcPr>
                  <w:tcW w:w="726" w:type="pct"/>
                  <w:vAlign w:val="center"/>
                </w:tcPr>
                <w:p w14:paraId="57EF11C0">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57612</w:t>
                  </w:r>
                </w:p>
              </w:tc>
              <w:tc>
                <w:tcPr>
                  <w:tcW w:w="607" w:type="pct"/>
                  <w:vAlign w:val="center"/>
                </w:tcPr>
                <w:p w14:paraId="4972AE5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0</w:t>
                  </w:r>
                </w:p>
              </w:tc>
              <w:tc>
                <w:tcPr>
                  <w:tcW w:w="659" w:type="pct"/>
                  <w:noWrap/>
                  <w:vAlign w:val="center"/>
                </w:tcPr>
                <w:p w14:paraId="0815F350">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57600</w:t>
                  </w:r>
                </w:p>
              </w:tc>
              <w:tc>
                <w:tcPr>
                  <w:tcW w:w="929" w:type="pct"/>
                  <w:vAlign w:val="center"/>
                </w:tcPr>
                <w:p w14:paraId="3D0415C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bookmarkStart w:id="66" w:name="OLE_LINK190"/>
                  <w:r>
                    <w:rPr>
                      <w:rFonts w:hint="default" w:ascii="Times New Roman" w:hAnsi="Times New Roman" w:cs="Times New Roman"/>
                      <w:color w:val="000000" w:themeColor="text1"/>
                      <w:highlight w:val="none"/>
                      <w14:textFill>
                        <w14:solidFill>
                          <w14:schemeClr w14:val="tx1"/>
                        </w14:solidFill>
                      </w14:textFill>
                      <w14:ligatures w14:val="standardContextual"/>
                    </w:rPr>
                    <w:t>12</w:t>
                  </w:r>
                  <w:bookmarkEnd w:id="66"/>
                </w:p>
              </w:tc>
            </w:tr>
            <w:tr w14:paraId="68FE0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1340" w:type="pct"/>
                  <w:gridSpan w:val="2"/>
                  <w:vAlign w:val="center"/>
                </w:tcPr>
                <w:p w14:paraId="437D4FF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合计</w:t>
                  </w:r>
                </w:p>
              </w:tc>
              <w:tc>
                <w:tcPr>
                  <w:tcW w:w="738" w:type="pct"/>
                  <w:vAlign w:val="center"/>
                </w:tcPr>
                <w:p w14:paraId="46C74681">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76816</w:t>
                  </w:r>
                </w:p>
              </w:tc>
              <w:tc>
                <w:tcPr>
                  <w:tcW w:w="726" w:type="pct"/>
                  <w:vAlign w:val="center"/>
                </w:tcPr>
                <w:p w14:paraId="64AEA8CA">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57612</w:t>
                  </w:r>
                </w:p>
              </w:tc>
              <w:tc>
                <w:tcPr>
                  <w:tcW w:w="607" w:type="pct"/>
                  <w:vAlign w:val="center"/>
                </w:tcPr>
                <w:p w14:paraId="5EFB95D6">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57612</w:t>
                  </w:r>
                </w:p>
              </w:tc>
              <w:tc>
                <w:tcPr>
                  <w:tcW w:w="659" w:type="pct"/>
                  <w:vAlign w:val="center"/>
                </w:tcPr>
                <w:p w14:paraId="36D52CAB">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57600</w:t>
                  </w:r>
                </w:p>
              </w:tc>
              <w:tc>
                <w:tcPr>
                  <w:tcW w:w="929" w:type="pct"/>
                  <w:vAlign w:val="center"/>
                </w:tcPr>
                <w:p w14:paraId="3FD8D0E0">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192</w:t>
                  </w:r>
                  <w:r>
                    <w:rPr>
                      <w:rFonts w:hint="eastAsia" w:cs="Times New Roman"/>
                      <w:color w:val="000000" w:themeColor="text1"/>
                      <w:highlight w:val="none"/>
                      <w:lang w:val="en-US" w:eastAsia="zh-CN"/>
                      <w14:textFill>
                        <w14:solidFill>
                          <w14:schemeClr w14:val="tx1"/>
                        </w14:solidFill>
                      </w14:textFill>
                      <w14:ligatures w14:val="standardContextual"/>
                    </w:rPr>
                    <w:t>16</w:t>
                  </w:r>
                </w:p>
              </w:tc>
            </w:tr>
          </w:tbl>
          <w:p w14:paraId="65C8CB95">
            <w:pPr>
              <w:pStyle w:val="36"/>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object>
                <v:shape id="_x0000_i1025" o:spt="75" type="#_x0000_t75" style="height:130.8pt;width:341.1pt;" o:ole="t" filled="f" o:preferrelative="t" stroked="f" coordsize="21600,21600">
                  <v:path/>
                  <v:fill on="f" focussize="0,0"/>
                  <v:stroke on="f"/>
                  <v:imagedata r:id="rId15" o:title=""/>
                  <o:lock v:ext="edit" aspectratio="t"/>
                  <w10:wrap type="none"/>
                  <w10:anchorlock/>
                </v:shape>
                <o:OLEObject Type="Embed" ProgID="Visio.Drawing.15" ShapeID="_x0000_i1025" DrawAspect="Content" ObjectID="_1468075725" r:id="rId14">
                  <o:LockedField>false</o:LockedField>
                </o:OLEObject>
              </w:object>
            </w:r>
          </w:p>
          <w:p w14:paraId="152F334A">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图2- 1：本项目水平衡图（单位m³/a）</w:t>
            </w:r>
          </w:p>
          <w:p w14:paraId="6FA4BF0F">
            <w:pPr>
              <w:pStyle w:val="37"/>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九、平面布置</w:t>
            </w:r>
          </w:p>
          <w:p w14:paraId="65C30725">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本项目总平面布置功能分区明确，</w:t>
            </w:r>
            <w:r>
              <w:rPr>
                <w:rFonts w:hint="default" w:ascii="Times New Roman" w:hAnsi="Times New Roman" w:cs="Times New Roman"/>
                <w:color w:val="000000" w:themeColor="text1"/>
                <w:highlight w:val="none"/>
                <w:lang w:val="en-US" w:eastAsia="zh-CN"/>
                <w14:textFill>
                  <w14:solidFill>
                    <w14:schemeClr w14:val="tx1"/>
                  </w14:solidFill>
                </w14:textFill>
              </w:rPr>
              <w:t>项目区东侧为厂区内道路、南侧为化学水处理室、西侧为化学水处理室、北侧为厂区内空地</w:t>
            </w:r>
            <w:r>
              <w:rPr>
                <w:rFonts w:hint="default" w:ascii="Times New Roman" w:hAnsi="Times New Roman" w:cs="Times New Roman"/>
                <w:color w:val="000000" w:themeColor="text1"/>
                <w:highlight w:val="none"/>
                <w14:textFill>
                  <w14:solidFill>
                    <w14:schemeClr w14:val="tx1"/>
                  </w14:solidFill>
                </w14:textFill>
              </w:rPr>
              <w:t>，总体布置能满足工艺流程技术要求；各建构筑物依地形、地势、现状合理布局；厂内道路、出入口、功能用房等均布局较合理。项目总平面布置见附图2。</w:t>
            </w:r>
          </w:p>
          <w:p w14:paraId="47006B98">
            <w:pPr>
              <w:pStyle w:val="37"/>
              <w:keepNext w:val="0"/>
              <w:keepLines w:val="0"/>
              <w:pageBreakBefore w:val="0"/>
              <w:widowControl w:val="0"/>
              <w:kinsoku/>
              <w:wordWrap/>
              <w:overflowPunct/>
              <w:topLinePunct w:val="0"/>
              <w:autoSpaceDE/>
              <w:autoSpaceDN/>
              <w:bidi w:val="0"/>
              <w:adjustRightInd/>
              <w:snapToGrid/>
              <w:textAlignment w:val="auto"/>
              <w:outlineLvl w:val="9"/>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十、</w:t>
            </w:r>
            <w:r>
              <w:rPr>
                <w:rFonts w:hint="default" w:ascii="Times New Roman" w:hAnsi="Times New Roman" w:cs="Times New Roman"/>
                <w:color w:val="000000" w:themeColor="text1"/>
                <w:highlight w:val="none"/>
                <w14:textFill>
                  <w14:solidFill>
                    <w14:schemeClr w14:val="tx1"/>
                  </w14:solidFill>
                </w14:textFill>
              </w:rPr>
              <w:t>环保投资</w:t>
            </w:r>
          </w:p>
          <w:p w14:paraId="153AF1CD">
            <w:pPr>
              <w:adjustRightInd w:val="0"/>
              <w:snapToGrid w:val="0"/>
              <w:spacing w:line="360" w:lineRule="auto"/>
              <w:ind w:firstLine="480" w:firstLineChars="20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该工程总投资</w:t>
            </w:r>
            <w:r>
              <w:rPr>
                <w:rFonts w:hint="default" w:ascii="Times New Roman" w:hAnsi="Times New Roman" w:cs="Times New Roman"/>
                <w:color w:val="000000" w:themeColor="text1"/>
                <w:sz w:val="24"/>
                <w:highlight w:val="none"/>
                <w:lang w:val="en-US" w:eastAsia="zh-CN"/>
                <w14:textFill>
                  <w14:solidFill>
                    <w14:schemeClr w14:val="tx1"/>
                  </w14:solidFill>
                </w14:textFill>
              </w:rPr>
              <w:t>150万元</w:t>
            </w:r>
            <w:r>
              <w:rPr>
                <w:rFonts w:hint="default" w:ascii="Times New Roman" w:hAnsi="Times New Roman" w:cs="Times New Roman"/>
                <w:color w:val="000000" w:themeColor="text1"/>
                <w:sz w:val="24"/>
                <w:highlight w:val="none"/>
                <w14:textFill>
                  <w14:solidFill>
                    <w14:schemeClr w14:val="tx1"/>
                  </w14:solidFill>
                </w14:textFill>
              </w:rPr>
              <w:t>，其</w:t>
            </w:r>
            <w:r>
              <w:rPr>
                <w:rFonts w:hint="default" w:ascii="Times New Roman" w:hAnsi="Times New Roman" w:cs="Times New Roman"/>
                <w:color w:val="000000" w:themeColor="text1"/>
                <w:kern w:val="0"/>
                <w:sz w:val="24"/>
                <w:highlight w:val="none"/>
                <w14:textFill>
                  <w14:solidFill>
                    <w14:schemeClr w14:val="tx1"/>
                  </w14:solidFill>
                </w14:textFill>
              </w:rPr>
              <w:t>中环保拟投资</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45</w:t>
            </w:r>
            <w:r>
              <w:rPr>
                <w:rFonts w:hint="default" w:ascii="Times New Roman" w:hAnsi="Times New Roman" w:cs="Times New Roman"/>
                <w:color w:val="000000" w:themeColor="text1"/>
                <w:kern w:val="0"/>
                <w:sz w:val="24"/>
                <w:highlight w:val="none"/>
                <w14:textFill>
                  <w14:solidFill>
                    <w14:schemeClr w14:val="tx1"/>
                  </w14:solidFill>
                </w14:textFill>
              </w:rPr>
              <w:t>万元，占总投资的</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30</w:t>
            </w:r>
            <w:r>
              <w:rPr>
                <w:rFonts w:hint="default" w:ascii="Times New Roman" w:hAnsi="Times New Roman" w:cs="Times New Roman"/>
                <w:color w:val="000000" w:themeColor="text1"/>
                <w:kern w:val="0"/>
                <w:sz w:val="24"/>
                <w:highlight w:val="none"/>
                <w14:textFill>
                  <w14:solidFill>
                    <w14:schemeClr w14:val="tx1"/>
                  </w14:solidFill>
                </w14:textFill>
              </w:rPr>
              <w:t>%。</w:t>
            </w:r>
          </w:p>
          <w:p w14:paraId="28B77837">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表2-8：</w:t>
            </w:r>
            <w:r>
              <w:rPr>
                <w:rFonts w:hint="default" w:ascii="Times New Roman" w:hAnsi="Times New Roman" w:cs="Times New Roman"/>
                <w:color w:val="000000" w:themeColor="text1"/>
                <w:highlight w:val="none"/>
                <w14:textFill>
                  <w14:solidFill>
                    <w14:schemeClr w14:val="tx1"/>
                  </w14:solidFill>
                </w14:textFill>
              </w:rPr>
              <w:t>工程环保设施（措施）及投资估算一览表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66"/>
              <w:gridCol w:w="4056"/>
              <w:gridCol w:w="1485"/>
              <w:gridCol w:w="856"/>
            </w:tblGrid>
            <w:tr w14:paraId="360856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2" w:type="pct"/>
                  <w:tcBorders>
                    <w:tl2br w:val="nil"/>
                    <w:tr2bl w:val="nil"/>
                  </w:tcBorders>
                  <w:noWrap w:val="0"/>
                  <w:vAlign w:val="center"/>
                </w:tcPr>
                <w:p w14:paraId="3C69E61B">
                  <w:pPr>
                    <w:bidi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项目</w:t>
                  </w:r>
                </w:p>
              </w:tc>
              <w:tc>
                <w:tcPr>
                  <w:tcW w:w="2578" w:type="pct"/>
                  <w:tcBorders>
                    <w:tl2br w:val="nil"/>
                    <w:tr2bl w:val="nil"/>
                  </w:tcBorders>
                  <w:noWrap w:val="0"/>
                  <w:vAlign w:val="center"/>
                </w:tcPr>
                <w:p w14:paraId="04571C8C">
                  <w:pPr>
                    <w:bidi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环保建设规模</w:t>
                  </w:r>
                </w:p>
              </w:tc>
              <w:tc>
                <w:tcPr>
                  <w:tcW w:w="944" w:type="pct"/>
                  <w:tcBorders>
                    <w:tl2br w:val="nil"/>
                    <w:tr2bl w:val="nil"/>
                  </w:tcBorders>
                  <w:noWrap w:val="0"/>
                  <w:vAlign w:val="center"/>
                </w:tcPr>
                <w:p w14:paraId="6514C981">
                  <w:pPr>
                    <w:bidi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投资额（万元）</w:t>
                  </w:r>
                </w:p>
              </w:tc>
              <w:tc>
                <w:tcPr>
                  <w:tcW w:w="544" w:type="pct"/>
                  <w:tcBorders>
                    <w:tl2br w:val="nil"/>
                    <w:tr2bl w:val="nil"/>
                  </w:tcBorders>
                  <w:noWrap w:val="0"/>
                  <w:vAlign w:val="center"/>
                </w:tcPr>
                <w:p w14:paraId="5FE6637B">
                  <w:pPr>
                    <w:bidi w:val="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备注</w:t>
                  </w:r>
                </w:p>
              </w:tc>
            </w:tr>
            <w:tr w14:paraId="4E4BEB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2" w:type="pct"/>
                  <w:tcBorders>
                    <w:tl2br w:val="nil"/>
                    <w:tr2bl w:val="nil"/>
                  </w:tcBorders>
                  <w:noWrap w:val="0"/>
                  <w:vAlign w:val="center"/>
                </w:tcPr>
                <w:p w14:paraId="5C510665">
                  <w:pPr>
                    <w:bidi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废气治理</w:t>
                  </w:r>
                </w:p>
              </w:tc>
              <w:tc>
                <w:tcPr>
                  <w:tcW w:w="2578" w:type="pct"/>
                  <w:tcBorders>
                    <w:tl2br w:val="nil"/>
                    <w:tr2bl w:val="nil"/>
                  </w:tcBorders>
                  <w:noWrap w:val="0"/>
                  <w:vAlign w:val="center"/>
                </w:tcPr>
                <w:p w14:paraId="6000548B">
                  <w:pPr>
                    <w:bidi w:val="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DA00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cs="Times New Roman"/>
                      <w:color w:val="000000" w:themeColor="text1"/>
                      <w:sz w:val="21"/>
                      <w:szCs w:val="21"/>
                      <w:highlight w:val="none"/>
                      <w14:textFill>
                        <w14:solidFill>
                          <w14:schemeClr w14:val="tx1"/>
                        </w14:solidFill>
                      </w14:textFill>
                    </w:rPr>
                    <w:t>：生物质锅炉废气（烟尘（颗粒物）、SO</w:t>
                  </w:r>
                  <w:r>
                    <w:rPr>
                      <w:rFonts w:hint="default" w:ascii="Times New Roman" w:hAnsi="Times New Roman"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color w:val="000000" w:themeColor="text1"/>
                      <w:sz w:val="21"/>
                      <w:szCs w:val="21"/>
                      <w:highlight w:val="none"/>
                      <w14:textFill>
                        <w14:solidFill>
                          <w14:schemeClr w14:val="tx1"/>
                        </w14:solidFill>
                      </w14:textFill>
                    </w:rPr>
                    <w:t>、NOx经过“低氮燃烧</w:t>
                  </w:r>
                  <w:r>
                    <w:rPr>
                      <w:rFonts w:hint="default" w:ascii="Times New Roman" w:hAnsi="Times New Roman" w:cs="Times New Roman"/>
                      <w:color w:val="000000" w:themeColor="text1"/>
                      <w:sz w:val="21"/>
                      <w:szCs w:val="21"/>
                      <w:highlight w:val="none"/>
                      <w:lang w:eastAsia="zh-CN"/>
                      <w14:textFill>
                        <w14:solidFill>
                          <w14:schemeClr w14:val="tx1"/>
                        </w14:solidFill>
                      </w14:textFill>
                    </w:rPr>
                    <w:t>+含陶瓷多管除尘器+布袋除尘器</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14:textFill>
                        <w14:solidFill>
                          <w14:schemeClr w14:val="tx1"/>
                        </w14:solidFill>
                      </w14:textFill>
                    </w:rPr>
                    <w:t>5m排气筒</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外排</w:t>
                  </w:r>
                </w:p>
              </w:tc>
              <w:tc>
                <w:tcPr>
                  <w:tcW w:w="944" w:type="pct"/>
                  <w:tcBorders>
                    <w:tl2br w:val="nil"/>
                    <w:tr2bl w:val="nil"/>
                  </w:tcBorders>
                  <w:noWrap w:val="0"/>
                  <w:vAlign w:val="center"/>
                </w:tcPr>
                <w:p w14:paraId="7E25DDC8">
                  <w:pPr>
                    <w:bidi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25</w:t>
                  </w:r>
                </w:p>
              </w:tc>
              <w:tc>
                <w:tcPr>
                  <w:tcW w:w="544" w:type="pct"/>
                  <w:tcBorders>
                    <w:tl2br w:val="nil"/>
                    <w:tr2bl w:val="nil"/>
                  </w:tcBorders>
                  <w:noWrap w:val="0"/>
                  <w:vAlign w:val="center"/>
                </w:tcPr>
                <w:p w14:paraId="6E3513E1">
                  <w:pPr>
                    <w:bidi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w:t>
                  </w:r>
                </w:p>
              </w:tc>
            </w:tr>
            <w:tr w14:paraId="20856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2" w:type="pct"/>
                  <w:tcBorders>
                    <w:tl2br w:val="nil"/>
                    <w:tr2bl w:val="nil"/>
                  </w:tcBorders>
                  <w:noWrap w:val="0"/>
                  <w:vAlign w:val="center"/>
                </w:tcPr>
                <w:p w14:paraId="794E3E49">
                  <w:pPr>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废水治理</w:t>
                  </w:r>
                </w:p>
              </w:tc>
              <w:tc>
                <w:tcPr>
                  <w:tcW w:w="2578" w:type="pct"/>
                  <w:tcBorders>
                    <w:tl2br w:val="nil"/>
                    <w:tr2bl w:val="nil"/>
                  </w:tcBorders>
                  <w:noWrap w:val="0"/>
                  <w:vAlign w:val="center"/>
                </w:tcPr>
                <w:p w14:paraId="70BFDBDD">
                  <w:pPr>
                    <w:bidi w:val="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依托现有</w:t>
                  </w:r>
                </w:p>
              </w:tc>
              <w:tc>
                <w:tcPr>
                  <w:tcW w:w="944" w:type="pct"/>
                  <w:tcBorders>
                    <w:tl2br w:val="nil"/>
                    <w:tr2bl w:val="nil"/>
                  </w:tcBorders>
                  <w:noWrap w:val="0"/>
                  <w:vAlign w:val="center"/>
                </w:tcPr>
                <w:p w14:paraId="2F21C638">
                  <w:pPr>
                    <w:bidi w:val="0"/>
                    <w:jc w:val="center"/>
                    <w:rPr>
                      <w:rFonts w:hint="default" w:ascii="Times New Roman" w:hAnsi="Times New Roman"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0</w:t>
                  </w:r>
                </w:p>
              </w:tc>
              <w:tc>
                <w:tcPr>
                  <w:tcW w:w="544" w:type="pct"/>
                  <w:tcBorders>
                    <w:tl2br w:val="nil"/>
                    <w:tr2bl w:val="nil"/>
                  </w:tcBorders>
                  <w:noWrap w:val="0"/>
                  <w:vAlign w:val="center"/>
                </w:tcPr>
                <w:p w14:paraId="2A8712AC">
                  <w:pPr>
                    <w:bidi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依托现有</w:t>
                  </w:r>
                </w:p>
              </w:tc>
            </w:tr>
            <w:tr w14:paraId="05865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2" w:type="pct"/>
                  <w:tcBorders>
                    <w:tl2br w:val="nil"/>
                    <w:tr2bl w:val="nil"/>
                  </w:tcBorders>
                  <w:noWrap w:val="0"/>
                  <w:vAlign w:val="center"/>
                </w:tcPr>
                <w:p w14:paraId="7B371C75">
                  <w:pPr>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噪声治理</w:t>
                  </w:r>
                </w:p>
              </w:tc>
              <w:tc>
                <w:tcPr>
                  <w:tcW w:w="2578" w:type="pct"/>
                  <w:tcBorders>
                    <w:tl2br w:val="nil"/>
                    <w:tr2bl w:val="nil"/>
                  </w:tcBorders>
                  <w:noWrap w:val="0"/>
                  <w:vAlign w:val="center"/>
                </w:tcPr>
                <w:p w14:paraId="4B87824F">
                  <w:pPr>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厂房隔音、消声、设备减振等</w:t>
                  </w:r>
                </w:p>
              </w:tc>
              <w:tc>
                <w:tcPr>
                  <w:tcW w:w="944" w:type="pct"/>
                  <w:tcBorders>
                    <w:tl2br w:val="nil"/>
                    <w:tr2bl w:val="nil"/>
                  </w:tcBorders>
                  <w:noWrap w:val="0"/>
                  <w:vAlign w:val="center"/>
                </w:tcPr>
                <w:p w14:paraId="1105D706">
                  <w:pPr>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5</w:t>
                  </w:r>
                </w:p>
              </w:tc>
              <w:tc>
                <w:tcPr>
                  <w:tcW w:w="544" w:type="pct"/>
                  <w:tcBorders>
                    <w:tl2br w:val="nil"/>
                    <w:tr2bl w:val="nil"/>
                  </w:tcBorders>
                  <w:noWrap w:val="0"/>
                  <w:vAlign w:val="center"/>
                </w:tcPr>
                <w:p w14:paraId="22CD5CBD">
                  <w:pPr>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新建</w:t>
                  </w:r>
                </w:p>
              </w:tc>
            </w:tr>
            <w:tr w14:paraId="6D6A8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2" w:type="pct"/>
                  <w:tcBorders>
                    <w:tl2br w:val="nil"/>
                    <w:tr2bl w:val="nil"/>
                  </w:tcBorders>
                  <w:noWrap w:val="0"/>
                  <w:vAlign w:val="center"/>
                </w:tcPr>
                <w:p w14:paraId="61AE740E">
                  <w:pPr>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固体废物处置</w:t>
                  </w:r>
                </w:p>
              </w:tc>
              <w:tc>
                <w:tcPr>
                  <w:tcW w:w="2578" w:type="pct"/>
                  <w:tcBorders>
                    <w:tl2br w:val="nil"/>
                    <w:tr2bl w:val="nil"/>
                  </w:tcBorders>
                  <w:noWrap w:val="0"/>
                  <w:vAlign w:val="center"/>
                </w:tcPr>
                <w:p w14:paraId="1CA93F51">
                  <w:pPr>
                    <w:bidi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新建灰渣库</w:t>
                  </w:r>
                </w:p>
              </w:tc>
              <w:tc>
                <w:tcPr>
                  <w:tcW w:w="944" w:type="pct"/>
                  <w:tcBorders>
                    <w:tl2br w:val="nil"/>
                    <w:tr2bl w:val="nil"/>
                  </w:tcBorders>
                  <w:noWrap w:val="0"/>
                  <w:vAlign w:val="center"/>
                </w:tcPr>
                <w:p w14:paraId="587EC4F0">
                  <w:pPr>
                    <w:bidi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15</w:t>
                  </w:r>
                </w:p>
              </w:tc>
              <w:tc>
                <w:tcPr>
                  <w:tcW w:w="544" w:type="pct"/>
                  <w:tcBorders>
                    <w:tl2br w:val="nil"/>
                    <w:tr2bl w:val="nil"/>
                  </w:tcBorders>
                  <w:noWrap w:val="0"/>
                  <w:vAlign w:val="center"/>
                </w:tcPr>
                <w:p w14:paraId="537339C6">
                  <w:pPr>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新建</w:t>
                  </w:r>
                </w:p>
              </w:tc>
            </w:tr>
            <w:tr w14:paraId="48743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2" w:type="pct"/>
                  <w:tcBorders>
                    <w:tl2br w:val="nil"/>
                    <w:tr2bl w:val="nil"/>
                  </w:tcBorders>
                  <w:noWrap w:val="0"/>
                  <w:vAlign w:val="center"/>
                </w:tcPr>
                <w:p w14:paraId="44AB33DE">
                  <w:pPr>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合计</w:t>
                  </w:r>
                </w:p>
              </w:tc>
              <w:tc>
                <w:tcPr>
                  <w:tcW w:w="2578" w:type="pct"/>
                  <w:tcBorders>
                    <w:tl2br w:val="nil"/>
                    <w:tr2bl w:val="nil"/>
                  </w:tcBorders>
                  <w:noWrap w:val="0"/>
                  <w:vAlign w:val="center"/>
                </w:tcPr>
                <w:p w14:paraId="0D368733">
                  <w:pPr>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944" w:type="pct"/>
                  <w:tcBorders>
                    <w:tl2br w:val="nil"/>
                    <w:tr2bl w:val="nil"/>
                  </w:tcBorders>
                  <w:noWrap w:val="0"/>
                  <w:vAlign w:val="center"/>
                </w:tcPr>
                <w:p w14:paraId="58FD0664">
                  <w:pPr>
                    <w:bidi w:val="0"/>
                    <w:jc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45</w:t>
                  </w:r>
                </w:p>
              </w:tc>
              <w:tc>
                <w:tcPr>
                  <w:tcW w:w="544" w:type="pct"/>
                  <w:tcBorders>
                    <w:tl2br w:val="nil"/>
                    <w:tr2bl w:val="nil"/>
                  </w:tcBorders>
                  <w:noWrap w:val="0"/>
                  <w:vAlign w:val="center"/>
                </w:tcPr>
                <w:p w14:paraId="06F9FDD3">
                  <w:pPr>
                    <w:bidi w:val="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r>
          </w:tbl>
          <w:p w14:paraId="687E3252">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tc>
      </w:tr>
      <w:tr w14:paraId="7A6E44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 w:type="pct"/>
            <w:vAlign w:val="center"/>
          </w:tcPr>
          <w:p w14:paraId="17E687C6">
            <w:pPr>
              <w:rPr>
                <w:rFonts w:hint="default" w:ascii="Times New Roman" w:hAnsi="Times New Roman" w:cs="Times New Roman"/>
                <w:color w:val="000000" w:themeColor="text1"/>
                <w:highlight w:val="none"/>
                <w14:textFill>
                  <w14:solidFill>
                    <w14:schemeClr w14:val="tx1"/>
                  </w14:solidFill>
                </w14:textFill>
              </w:rPr>
            </w:pPr>
            <w:bookmarkStart w:id="67" w:name="_Toc175609270"/>
            <w:r>
              <w:rPr>
                <w:rFonts w:hint="default" w:ascii="Times New Roman" w:hAnsi="Times New Roman" w:cs="Times New Roman"/>
                <w:color w:val="000000" w:themeColor="text1"/>
                <w:highlight w:val="none"/>
                <w14:textFill>
                  <w14:solidFill>
                    <w14:schemeClr w14:val="tx1"/>
                  </w14:solidFill>
                </w14:textFill>
              </w:rPr>
              <w:t>工艺流程和产排污环节</w:t>
            </w:r>
            <w:bookmarkEnd w:id="67"/>
          </w:p>
        </w:tc>
        <w:tc>
          <w:tcPr>
            <w:tcW w:w="4741" w:type="pct"/>
          </w:tcPr>
          <w:p w14:paraId="44E81FD7">
            <w:pPr>
              <w:pStyle w:val="7"/>
              <w:rPr>
                <w:rFonts w:hint="default" w:ascii="Times New Roman" w:hAnsi="Times New Roman" w:cs="Times New Roman"/>
                <w:color w:val="000000" w:themeColor="text1"/>
                <w:highlight w:val="none"/>
                <w14:textFill>
                  <w14:solidFill>
                    <w14:schemeClr w14:val="tx1"/>
                  </w14:solidFill>
                </w14:textFill>
              </w:rPr>
            </w:pPr>
            <w:bookmarkStart w:id="68" w:name="OLE_LINK58"/>
            <w:bookmarkStart w:id="69" w:name="一、施工期工艺流程"/>
            <w:r>
              <w:rPr>
                <w:rFonts w:hint="default" w:ascii="Times New Roman" w:hAnsi="Times New Roman" w:cs="Times New Roman"/>
                <w:color w:val="000000" w:themeColor="text1"/>
                <w:highlight w:val="none"/>
                <w14:textFill>
                  <w14:solidFill>
                    <w14:schemeClr w14:val="tx1"/>
                  </w14:solidFill>
                </w14:textFill>
              </w:rPr>
              <w:t>一、施工期工艺流程</w:t>
            </w:r>
            <w:bookmarkEnd w:id="68"/>
            <w:bookmarkEnd w:id="69"/>
          </w:p>
          <w:p w14:paraId="694CB786">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本项目为</w:t>
            </w:r>
            <w:r>
              <w:rPr>
                <w:rFonts w:hint="default" w:ascii="Times New Roman" w:hAnsi="Times New Roman" w:cs="Times New Roman"/>
                <w:color w:val="000000" w:themeColor="text1"/>
                <w:highlight w:val="none"/>
                <w:lang w:eastAsia="zh-CN"/>
                <w14:textFill>
                  <w14:solidFill>
                    <w14:schemeClr w14:val="tx1"/>
                  </w14:solidFill>
                </w14:textFill>
              </w:rPr>
              <w:t>广西中马投控分布式能源有限公司供热配套锅炉增容改造项目，</w:t>
            </w:r>
            <w:r>
              <w:rPr>
                <w:rFonts w:hint="default" w:ascii="Times New Roman" w:hAnsi="Times New Roman" w:cs="Times New Roman"/>
                <w:color w:val="000000" w:themeColor="text1"/>
                <w:highlight w:val="none"/>
                <w14:textFill>
                  <w14:solidFill>
                    <w14:schemeClr w14:val="tx1"/>
                  </w14:solidFill>
                </w14:textFill>
              </w:rPr>
              <w:t>本项目在靠近</w:t>
            </w:r>
            <w:r>
              <w:rPr>
                <w:rFonts w:hint="default" w:ascii="Times New Roman" w:hAnsi="Times New Roman" w:cs="Times New Roman"/>
                <w:color w:val="000000" w:themeColor="text1"/>
                <w:highlight w:val="none"/>
                <w:lang w:val="en-US" w:eastAsia="zh-CN"/>
                <w14:textFill>
                  <w14:solidFill>
                    <w14:schemeClr w14:val="tx1"/>
                  </w14:solidFill>
                </w14:textFill>
              </w:rPr>
              <w:t>厂区东侧</w:t>
            </w:r>
            <w:r>
              <w:rPr>
                <w:rFonts w:hint="default" w:ascii="Times New Roman" w:hAnsi="Times New Roman" w:cs="Times New Roman"/>
                <w:color w:val="000000" w:themeColor="text1"/>
                <w:highlight w:val="none"/>
                <w14:textFill>
                  <w14:solidFill>
                    <w14:schemeClr w14:val="tx1"/>
                  </w14:solidFill>
                </w14:textFill>
              </w:rPr>
              <w:t>的</w:t>
            </w:r>
            <w:r>
              <w:rPr>
                <w:rFonts w:hint="default" w:ascii="Times New Roman" w:hAnsi="Times New Roman" w:cs="Times New Roman"/>
                <w:color w:val="000000" w:themeColor="text1"/>
                <w:highlight w:val="none"/>
                <w:lang w:val="en-US" w:eastAsia="zh-CN"/>
                <w14:textFill>
                  <w14:solidFill>
                    <w14:schemeClr w14:val="tx1"/>
                  </w14:solidFill>
                </w14:textFill>
              </w:rPr>
              <w:t>空地</w:t>
            </w:r>
            <w:r>
              <w:rPr>
                <w:rFonts w:hint="default" w:ascii="Times New Roman" w:hAnsi="Times New Roman" w:cs="Times New Roman"/>
                <w:color w:val="000000" w:themeColor="text1"/>
                <w:highlight w:val="none"/>
                <w14:textFill>
                  <w14:solidFill>
                    <w14:schemeClr w14:val="tx1"/>
                  </w14:solidFill>
                </w14:textFill>
              </w:rPr>
              <w:t>内，</w:t>
            </w:r>
            <w:r>
              <w:rPr>
                <w:rFonts w:hint="default" w:ascii="Times New Roman" w:hAnsi="Times New Roman" w:cs="Times New Roman"/>
                <w:color w:val="000000" w:themeColor="text1"/>
                <w:highlight w:val="none"/>
                <w:lang w:val="en-US" w:eastAsia="zh-CN"/>
                <w14:textFill>
                  <w14:solidFill>
                    <w14:schemeClr w14:val="tx1"/>
                  </w14:solidFill>
                </w14:textFill>
              </w:rPr>
              <w:t>建设锅炉房并</w:t>
            </w:r>
            <w:r>
              <w:rPr>
                <w:rFonts w:hint="default" w:ascii="Times New Roman" w:hAnsi="Times New Roman" w:cs="Times New Roman"/>
                <w:color w:val="000000" w:themeColor="text1"/>
                <w:highlight w:val="none"/>
                <w14:textFill>
                  <w14:solidFill>
                    <w14:schemeClr w14:val="tx1"/>
                  </w14:solidFill>
                </w14:textFill>
              </w:rPr>
              <w:t>安装</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台8</w:t>
            </w:r>
            <w:r>
              <w:rPr>
                <w:rFonts w:hint="default" w:ascii="Times New Roman" w:hAnsi="Times New Roman" w:cs="Times New Roman"/>
                <w:color w:val="000000" w:themeColor="text1"/>
                <w:highlight w:val="none"/>
                <w:lang w:val="en-US" w:eastAsia="zh-CN"/>
                <w14:textFill>
                  <w14:solidFill>
                    <w14:schemeClr w14:val="tx1"/>
                  </w14:solidFill>
                </w14:textFill>
              </w:rPr>
              <w:t>t</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h的</w:t>
            </w:r>
            <w:r>
              <w:rPr>
                <w:rFonts w:hint="default" w:ascii="Times New Roman" w:hAnsi="Times New Roman" w:cs="Times New Roman"/>
                <w:color w:val="000000" w:themeColor="text1"/>
                <w:highlight w:val="none"/>
                <w14:textFill>
                  <w14:solidFill>
                    <w14:schemeClr w14:val="tx1"/>
                  </w14:solidFill>
                </w14:textFill>
              </w:rPr>
              <w:t>生物质锅炉</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施工期主要建设内容为</w:t>
            </w:r>
            <w:r>
              <w:rPr>
                <w:rFonts w:hint="default" w:ascii="Times New Roman" w:hAnsi="Times New Roman" w:cs="Times New Roman"/>
                <w:color w:val="000000" w:themeColor="text1"/>
                <w:highlight w:val="none"/>
                <w:lang w:val="en-US" w:eastAsia="zh-CN"/>
                <w14:textFill>
                  <w14:solidFill>
                    <w14:schemeClr w14:val="tx1"/>
                  </w14:solidFill>
                </w14:textFill>
              </w:rPr>
              <w:t>锅炉房建设及设备安装</w:t>
            </w:r>
            <w:r>
              <w:rPr>
                <w:rFonts w:hint="default" w:ascii="Times New Roman" w:hAnsi="Times New Roman" w:cs="Times New Roman"/>
                <w:color w:val="000000" w:themeColor="text1"/>
                <w:highlight w:val="none"/>
                <w14:textFill>
                  <w14:solidFill>
                    <w14:schemeClr w14:val="tx1"/>
                  </w14:solidFill>
                </w14:textFill>
              </w:rPr>
              <w:t>工程。</w:t>
            </w:r>
          </w:p>
          <w:p w14:paraId="61C40D2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在施工期间将产生扬尘、</w:t>
            </w:r>
            <w:r>
              <w:rPr>
                <w:rFonts w:hint="default" w:ascii="Times New Roman" w:hAnsi="Times New Roman" w:cs="Times New Roman"/>
                <w:color w:val="000000" w:themeColor="text1"/>
                <w:highlight w:val="none"/>
                <w:lang w:eastAsia="zh-CN"/>
                <w14:textFill>
                  <w14:solidFill>
                    <w14:schemeClr w14:val="tx1"/>
                  </w14:solidFill>
                </w14:textFill>
              </w:rPr>
              <w:t>固体废物</w:t>
            </w:r>
            <w:r>
              <w:rPr>
                <w:rFonts w:hint="default" w:ascii="Times New Roman" w:hAnsi="Times New Roman" w:cs="Times New Roman"/>
                <w:color w:val="000000" w:themeColor="text1"/>
                <w:highlight w:val="none"/>
                <w14:textFill>
                  <w14:solidFill>
                    <w14:schemeClr w14:val="tx1"/>
                  </w14:solidFill>
                </w14:textFill>
              </w:rPr>
              <w:t>、废水及噪声等污染物。</w:t>
            </w:r>
          </w:p>
          <w:p w14:paraId="0FA09386">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（1）施工期产排污环节</w:t>
            </w:r>
          </w:p>
          <w:p w14:paraId="2D131295">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施工期主要是项目土建、给排水、电气、消防等建设，使用的施工设备包括电动挖掘机、推土机、电钻及运输、装卸设备等；以昼间施工为主。施工期间的环境影响问题主要有施工废水、扬尘、施工机械和运输车辆产生的燃油废气、施工噪声以及施工固体废物等。主要污染工序如下：</w:t>
            </w:r>
          </w:p>
          <w:p w14:paraId="727DB77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废气：主要为扬尘和施工机械运输车辆燃油废气。施工工地内及施工场地的进出口路段，在风力作用下产生的扬尘；由于车辆的行驶，建筑材料如水泥、河砂等在运输和使用过程中产生的扬尘；施工物料装卸过程所产生的扬尘；运输车辆及施工机械排放的燃油废气，主要污染物是氮氧化物、一氧化碳、THC等。</w:t>
            </w:r>
          </w:p>
          <w:p w14:paraId="57344BF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施工废（污）水：施工场地内施工人员的生活污水及场地内少量施工废水；</w:t>
            </w:r>
          </w:p>
          <w:p w14:paraId="02FCB949">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噪声：施工建筑机械、运输车辆及施工过程产生的噪声；</w:t>
            </w:r>
          </w:p>
          <w:p w14:paraId="451668A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固体废物：施工期产生的弃土、建筑垃圾及施工人员排放的生活垃圾。</w:t>
            </w:r>
          </w:p>
          <w:p w14:paraId="05BAFAE7">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项目施工期较短，且产生的影响随着施工的结束而消失。</w:t>
            </w:r>
          </w:p>
          <w:p w14:paraId="2B8EAEAA">
            <w:pPr>
              <w:pStyle w:val="3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object>
                <v:shape id="_x0000_i1026" o:spt="75" type="#_x0000_t75" style="height:96.45pt;width:206.25pt;" o:ole="t" filled="f" o:preferrelative="t" stroked="f" coordsize="21600,21600">
                  <v:path/>
                  <v:fill on="f" focussize="0,0"/>
                  <v:stroke on="f"/>
                  <v:imagedata r:id="rId17" o:title=""/>
                  <o:lock v:ext="edit" aspectratio="t"/>
                  <w10:wrap type="none"/>
                  <w10:anchorlock/>
                </v:shape>
                <o:OLEObject Type="Embed" ProgID="Visio.Drawing.15" ShapeID="_x0000_i1026" DrawAspect="Content" ObjectID="_1468075726" r:id="rId16">
                  <o:LockedField>false</o:LockedField>
                </o:OLEObject>
              </w:object>
            </w:r>
          </w:p>
          <w:p w14:paraId="5BBA29C4">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 xml:space="preserve">图2- </w:t>
            </w:r>
            <w:r>
              <w:rPr>
                <w:rFonts w:hint="default" w:ascii="Times New Roman" w:hAns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：施工期工艺流程及产污节点图</w:t>
            </w:r>
          </w:p>
          <w:p w14:paraId="1835E49A">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二、运营期工艺流程</w:t>
            </w:r>
          </w:p>
          <w:p w14:paraId="5362AE27">
            <w:pPr>
              <w:pStyle w:val="4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1、软化水系统</w:t>
            </w:r>
          </w:p>
          <w:p w14:paraId="333395B4">
            <w:pPr>
              <w:pStyle w:val="4"/>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本工程</w:t>
            </w:r>
            <w:r>
              <w:rPr>
                <w:rFonts w:hint="default" w:ascii="Times New Roman" w:hAnsi="Times New Roman" w:cs="Times New Roman"/>
                <w:color w:val="000000" w:themeColor="text1"/>
                <w:highlight w:val="none"/>
                <w:lang w:val="en-US" w:eastAsia="zh-CN"/>
                <w14:textFill>
                  <w14:solidFill>
                    <w14:schemeClr w14:val="tx1"/>
                  </w14:solidFill>
                </w14:textFill>
              </w:rPr>
              <w:t>软化水系统依托现有的</w:t>
            </w:r>
            <w:r>
              <w:rPr>
                <w:rFonts w:hint="default" w:ascii="Times New Roman" w:hAnsi="Times New Roman" w:cs="Times New Roman"/>
                <w:color w:val="000000" w:themeColor="text1"/>
                <w:highlight w:val="none"/>
                <w14:textFill>
                  <w14:solidFill>
                    <w14:schemeClr w14:val="tx1"/>
                  </w14:solidFill>
                </w14:textFill>
              </w:rPr>
              <w:t>化学水处理系统（超滤反渗透膜+EDI）</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经反应沉淀池过滤、空擦池送至化学水池，化学水泵加压至超滤、反渗透、EDI处理后进入除盐水箱，由锅炉给水泵送至锅炉用水</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软</w:t>
            </w:r>
            <w:r>
              <w:rPr>
                <w:rFonts w:hint="default" w:ascii="Times New Roman" w:hAnsi="Times New Roman" w:cs="Times New Roman"/>
                <w:color w:val="000000" w:themeColor="text1"/>
                <w:highlight w:val="none"/>
                <w14:textFill>
                  <w14:solidFill>
                    <w14:schemeClr w14:val="tx1"/>
                  </w14:solidFill>
                </w14:textFill>
              </w:rPr>
              <w:t>水处理能力3×55t/h</w:t>
            </w:r>
            <w:r>
              <w:rPr>
                <w:rFonts w:hint="default" w:ascii="Times New Roman" w:hAnsi="Times New Roman" w:cs="Times New Roman"/>
                <w:color w:val="000000" w:themeColor="text1"/>
                <w:highlight w:val="none"/>
                <w:lang w:eastAsia="zh-CN"/>
                <w14:textFill>
                  <w14:solidFill>
                    <w14:schemeClr w14:val="tx1"/>
                  </w14:solidFill>
                </w14:textFill>
              </w:rPr>
              <w:t>。</w:t>
            </w:r>
          </w:p>
          <w:p w14:paraId="212AC8F9">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具体工艺原理流程简述如下：经预处理系统处理后的带压原水→自清洗过滤器→超滤装置→超滤水箱→反渗透高压泵(变频泵)→反渗透保安过滤器→反渗透装置→淡水箱→EDI给水泵→EDI装置→除盐水箱→除盐水泵(变频泵)→主厂房各用水点</w:t>
            </w:r>
          </w:p>
          <w:p w14:paraId="45E5B5E8">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主要工艺说明如下：</w:t>
            </w:r>
          </w:p>
          <w:p w14:paraId="34A1CB2E">
            <w:pPr>
              <w:pStyle w:val="4"/>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超滤</w:t>
            </w:r>
            <w:r>
              <w:rPr>
                <w:rFonts w:hint="default" w:ascii="Times New Roman" w:hAnsi="Times New Roman" w:cs="Times New Roman"/>
                <w:b/>
                <w:bCs/>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是一种以筛分为分离原理，以压力为推动力的膜分离过程。超滤膜的孔径一般在0.005-0.02μm之间，当原水在一定压力下流经超滤膜表面时，水中的微粒、胶体、细菌等大分子物质由于粒径大于膜孔径而被截留，而水分子和小分子物质则透过膜，从而实现对水的净化。</w:t>
            </w:r>
            <w:r>
              <w:rPr>
                <w:rFonts w:hint="default" w:ascii="Times New Roman" w:hAnsi="Times New Roman" w:cs="Times New Roman"/>
                <w:color w:val="000000" w:themeColor="text1"/>
                <w:highlight w:val="none"/>
                <w:lang w:val="en-US" w:eastAsia="zh-CN"/>
                <w14:textFill>
                  <w14:solidFill>
                    <w14:schemeClr w14:val="tx1"/>
                  </w14:solidFill>
                </w14:textFill>
              </w:rPr>
              <w:t>超滤反冲洗在膜处理过程中发挥着关键作用。其主要通过反向水流（与产水方向相反）产生的剪切力，剥离膜表面污垢层，以此去除膜表面及膜孔内的悬浮颗粒、胶体、微生物等堵塞物，从而恢复膜通量，避免跨膜压差持续升高，有效防止因长期未清洗导致污染物硬化结垢而形成不可逆污堵，进而延长膜的使用寿命。</w:t>
            </w:r>
          </w:p>
          <w:p w14:paraId="42D6D4E2">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反渗透：</w:t>
            </w:r>
            <w:r>
              <w:rPr>
                <w:rFonts w:hint="default" w:ascii="Times New Roman" w:hAnsi="Times New Roman" w:cs="Times New Roman"/>
                <w:color w:val="000000" w:themeColor="text1"/>
                <w:highlight w:val="none"/>
                <w14:textFill>
                  <w14:solidFill>
                    <w14:schemeClr w14:val="tx1"/>
                  </w14:solidFill>
                </w14:textFill>
              </w:rPr>
              <w:t>对透过的物质具有选择性的薄膜称为半透膜，一般将只能透过溶剂而不能透过溶质的薄膜称之为理想的半透膜，当把相同体积的稀溶液(例如淡水)和溶液(例如盐水)分别置于半透膜的两侧时，稀溶液中的溶剂将自然穿过半透膜而自发地向浓溶液一侧流动，这一现象称为渗透。当渗透达到平衡时，浓溶液侧的液面会比稀溶液的液面高出一定高度，即形成一个压差，此压差即为渗透压。渗透压的大小取决于溶液的 固有性质，若在浓溶液一侧施加一个大于渗透压的压力时，溶剂的流动方向将与原来的渗透方向相反，开始从浓溶液向稀溶液一侧流动，这一过程称为反渗透。本装置就是利用上述原理利用高压泵将生水增压后，借助半透膜的选择截留作用将生水中的无机离子、细菌、病毒、有机物等杂质去除，以获得高质量的</w:t>
            </w:r>
            <w:r>
              <w:rPr>
                <w:rFonts w:hint="default" w:ascii="Times New Roman" w:hAnsi="Times New Roman" w:cs="Times New Roman"/>
                <w:color w:val="000000" w:themeColor="text1"/>
                <w:highlight w:val="none"/>
                <w:lang w:val="en-US" w:eastAsia="zh-CN"/>
                <w14:textFill>
                  <w14:solidFill>
                    <w14:schemeClr w14:val="tx1"/>
                  </w14:solidFill>
                </w14:textFill>
              </w:rPr>
              <w:t>软化水</w:t>
            </w:r>
            <w:r>
              <w:rPr>
                <w:rFonts w:hint="default" w:ascii="Times New Roman" w:hAnsi="Times New Roman" w:cs="Times New Roman"/>
                <w:color w:val="000000" w:themeColor="text1"/>
                <w:highlight w:val="none"/>
                <w14:textFill>
                  <w14:solidFill>
                    <w14:schemeClr w14:val="tx1"/>
                  </w14:solidFill>
                </w14:textFill>
              </w:rPr>
              <w:t>。</w:t>
            </w:r>
          </w:p>
          <w:p w14:paraId="53E461CA">
            <w:pPr>
              <w:pStyle w:val="4"/>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EDI</w:t>
            </w:r>
            <w:r>
              <w:rPr>
                <w:rFonts w:hint="default" w:ascii="Times New Roman" w:hAnsi="Times New Roman" w:cs="Times New Roman"/>
                <w:b/>
                <w:bCs/>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在直流电场的作用下，借助阴、阳离子交换膜对水中离子的选择透过性以及离子交换树脂对水中离子的交换吸附和电化学再生作用，使水中的离子得以去除。同时，水分子在电极作用下产生氢离子和氢氧根离子，对离子交换树脂进行连续再生，从而实现连续产水和连续除盐的目的。在EDI模块中，离子交换树脂与阴、阳离子交换膜相互交错排列，形成淡水室和浓水室。当水流经淡水室时，水中的离子在直流电场的作用下，会通过离子交换膜分别迁移到浓水室。同时，水分子在电场的作用下发生电离，产生H⁺和OH</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离子。这些离子会不断补充到树脂上，替换掉树脂上吸附的杂质离子，从而实现树脂的再生</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本项目采用</w:t>
            </w:r>
            <w:r>
              <w:rPr>
                <w:rFonts w:hint="default" w:ascii="Times New Roman" w:hAnsi="Times New Roman" w:cs="Times New Roman"/>
                <w:color w:val="000000" w:themeColor="text1"/>
                <w:highlight w:val="none"/>
                <w:lang w:eastAsia="zh-CN"/>
                <w14:textFill>
                  <w14:solidFill>
                    <w14:schemeClr w14:val="tx1"/>
                  </w14:solidFill>
                </w14:textFill>
              </w:rPr>
              <w:t>连续电除离子装置(EDI)由淡水室(D室)、浓水室(C室)和电极室(E室)组成。D室内填充常规混合离子交换树脂，给水中离子由该室除去；D室和C室之间装有阴离子交换或阳离子交换膜，D室中阴(阳)离子在两端电极作用下不断通过阴(阳)离子交换膜进入C室；H</w:t>
            </w:r>
            <w:r>
              <w:rPr>
                <w:rFonts w:hint="default" w:ascii="Times New Roman" w:hAnsi="Times New Roman" w:cs="Times New Roman"/>
                <w:color w:val="000000" w:themeColor="text1"/>
                <w:highlight w:val="none"/>
                <w:vertAlign w:val="subscript"/>
                <w:lang w:eastAsia="zh-CN"/>
                <w14:textFill>
                  <w14:solidFill>
                    <w14:schemeClr w14:val="tx1"/>
                  </w14:solidFill>
                </w14:textFill>
              </w:rPr>
              <w:t>2</w:t>
            </w:r>
            <w:r>
              <w:rPr>
                <w:rFonts w:hint="default" w:ascii="Times New Roman" w:hAnsi="Times New Roman" w:cs="Times New Roman"/>
                <w:color w:val="000000" w:themeColor="text1"/>
                <w:highlight w:val="none"/>
                <w:lang w:eastAsia="zh-CN"/>
                <w14:textFill>
                  <w14:solidFill>
                    <w14:schemeClr w14:val="tx1"/>
                  </w14:solidFill>
                </w14:textFill>
              </w:rPr>
              <w:t>O在直流电能作用下可分解成H</w:t>
            </w:r>
            <w:r>
              <w:rPr>
                <w:rFonts w:hint="default" w:ascii="Times New Roman" w:hAnsi="Times New Roman" w:cs="Times New Roman"/>
                <w:color w:val="000000" w:themeColor="text1"/>
                <w:highlight w:val="none"/>
                <w:vertAlign w:val="superscript"/>
                <w:lang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和OH</w:t>
            </w:r>
            <w:r>
              <w:rPr>
                <w:rFonts w:hint="default" w:ascii="Times New Roman" w:hAnsi="Times New Roman" w:cs="Times New Roman"/>
                <w:color w:val="000000" w:themeColor="text1"/>
                <w:highlight w:val="none"/>
                <w:vertAlign w:val="superscript"/>
                <w:lang w:val="en-US" w:eastAsia="zh-CN"/>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使D室中混合离子交换树脂经常处于再生状态，因而有交换容量，而C室中浓水不断地排走。因此，EDI在通电状态下，可以不断地制出纯水。EDI的每个制水单元均由一组树脂、离子交换膜和有关的隔网组成。每个制水单元串联起来，并与两端的电极</w:t>
            </w:r>
            <w:r>
              <w:rPr>
                <w:rFonts w:hint="eastAsia" w:cs="Times New Roman"/>
                <w:color w:val="000000" w:themeColor="text1"/>
                <w:highlight w:val="none"/>
                <w:lang w:eastAsia="zh-CN"/>
                <w14:textFill>
                  <w14:solidFill>
                    <w14:schemeClr w14:val="tx1"/>
                  </w14:solidFill>
                </w14:textFill>
              </w:rPr>
              <w:t>组成</w:t>
            </w:r>
            <w:r>
              <w:rPr>
                <w:rFonts w:hint="default" w:ascii="Times New Roman" w:hAnsi="Times New Roman" w:cs="Times New Roman"/>
                <w:color w:val="000000" w:themeColor="text1"/>
                <w:highlight w:val="none"/>
                <w:lang w:eastAsia="zh-CN"/>
                <w14:textFill>
                  <w14:solidFill>
                    <w14:schemeClr w14:val="tx1"/>
                  </w14:solidFill>
                </w14:textFill>
              </w:rPr>
              <w:t>一个完整的EDI设备。</w:t>
            </w:r>
          </w:p>
          <w:p w14:paraId="11282EC7">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现有</w:t>
            </w:r>
            <w:r>
              <w:rPr>
                <w:rFonts w:hint="eastAsia" w:cs="Times New Roman"/>
                <w:color w:val="000000" w:themeColor="text1"/>
                <w:highlight w:val="none"/>
                <w:lang w:val="en-US" w:eastAsia="zh-CN"/>
                <w14:textFill>
                  <w14:solidFill>
                    <w14:schemeClr w14:val="tx1"/>
                  </w14:solidFill>
                </w14:textFill>
              </w:rPr>
              <w:t>软水制备能力为165t/h，现有</w:t>
            </w:r>
            <w:r>
              <w:rPr>
                <w:rFonts w:hint="default" w:ascii="Times New Roman" w:hAnsi="Times New Roman" w:cs="Times New Roman"/>
                <w:color w:val="000000" w:themeColor="text1"/>
                <w:highlight w:val="none"/>
                <w:lang w:val="en-US" w:eastAsia="zh-CN"/>
                <w14:textFill>
                  <w14:solidFill>
                    <w14:schemeClr w14:val="tx1"/>
                  </w14:solidFill>
                </w14:textFill>
              </w:rPr>
              <w:t>项目纯水用量为72</w:t>
            </w:r>
            <w:r>
              <w:rPr>
                <w:rFonts w:hint="default" w:ascii="Times New Roman" w:hAnsi="Times New Roman" w:cs="Times New Roman"/>
                <w:color w:val="000000" w:themeColor="text1"/>
                <w:highlight w:val="none"/>
                <w14:textFill>
                  <w14:solidFill>
                    <w14:schemeClr w14:val="tx1"/>
                  </w14:solidFill>
                </w14:textFill>
              </w:rPr>
              <w:t>t/h</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剩余软水处理能力为93t/h，本项目软化水用量为8t/h，现有软水制备设备能满足</w:t>
            </w:r>
            <w:r>
              <w:rPr>
                <w:rFonts w:hint="eastAsia" w:cs="Times New Roman"/>
                <w:color w:val="000000" w:themeColor="text1"/>
                <w:highlight w:val="none"/>
                <w:lang w:val="en-US" w:eastAsia="zh-CN"/>
                <w14:textFill>
                  <w14:solidFill>
                    <w14:schemeClr w14:val="tx1"/>
                  </w14:solidFill>
                </w14:textFill>
              </w:rPr>
              <w:t>扩建项目</w:t>
            </w:r>
            <w:r>
              <w:rPr>
                <w:rFonts w:hint="default" w:ascii="Times New Roman" w:hAnsi="Times New Roman" w:cs="Times New Roman"/>
                <w:color w:val="000000" w:themeColor="text1"/>
                <w:highlight w:val="none"/>
                <w:lang w:val="en-US" w:eastAsia="zh-CN"/>
                <w14:textFill>
                  <w14:solidFill>
                    <w14:schemeClr w14:val="tx1"/>
                  </w14:solidFill>
                </w14:textFill>
              </w:rPr>
              <w:t>锅炉用纯水需要</w:t>
            </w:r>
            <w:r>
              <w:rPr>
                <w:rFonts w:hint="default" w:ascii="Times New Roman" w:hAnsi="Times New Roman" w:cs="Times New Roman"/>
                <w:color w:val="000000" w:themeColor="text1"/>
                <w:highlight w:val="none"/>
                <w14:textFill>
                  <w14:solidFill>
                    <w14:schemeClr w14:val="tx1"/>
                  </w14:solidFill>
                </w14:textFill>
              </w:rPr>
              <w:t>。</w:t>
            </w:r>
          </w:p>
          <w:p w14:paraId="59C3418D">
            <w:pPr>
              <w:pStyle w:val="41"/>
              <w:bidi w:val="0"/>
              <w:rPr>
                <w:rFonts w:hint="default" w:ascii="Times New Roman" w:hAnsi="Times New Roman" w:cs="Times New Roman"/>
                <w:color w:val="000000" w:themeColor="text1"/>
                <w:highlight w:val="none"/>
                <w14:textFill>
                  <w14:solidFill>
                    <w14:schemeClr w14:val="tx1"/>
                  </w14:solidFill>
                </w14:textFill>
              </w:rPr>
            </w:pPr>
            <w:bookmarkStart w:id="70" w:name="_Ref176884529"/>
            <w:r>
              <w:rPr>
                <w:rFonts w:hint="default" w:ascii="Times New Roman" w:hAnsi="Times New Roman" w:cs="Times New Roman"/>
                <w:color w:val="000000" w:themeColor="text1"/>
                <w:highlight w:val="none"/>
                <w14:textFill>
                  <w14:solidFill>
                    <w14:schemeClr w14:val="tx1"/>
                  </w14:solidFill>
                </w14:textFill>
              </w:rPr>
              <w:t>2、锅炉制备蒸汽</w:t>
            </w:r>
          </w:p>
          <w:p w14:paraId="1962014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本项目新增设置</w:t>
            </w:r>
            <w:r>
              <w:rPr>
                <w:rFonts w:hint="default" w:ascii="Times New Roman" w:hAnsi="Times New Roman" w:cs="Times New Roman"/>
                <w:color w:val="000000" w:themeColor="text1"/>
                <w:highlight w:val="none"/>
                <w:u w:val="single"/>
                <w:lang w:val="en-US" w:eastAsia="zh-CN"/>
                <w14:textFill>
                  <w14:solidFill>
                    <w14:schemeClr w14:val="tx1"/>
                  </w14:solidFill>
                </w14:textFill>
              </w:rPr>
              <w:t>1</w:t>
            </w:r>
            <w:r>
              <w:rPr>
                <w:rFonts w:hint="default" w:ascii="Times New Roman" w:hAnsi="Times New Roman" w:cs="Times New Roman"/>
                <w:color w:val="000000" w:themeColor="text1"/>
                <w:highlight w:val="none"/>
                <w:u w:val="single"/>
                <w14:textFill>
                  <w14:solidFill>
                    <w14:schemeClr w14:val="tx1"/>
                  </w14:solidFill>
                </w14:textFill>
              </w:rPr>
              <w:t>台8t/h生物质锅炉，使用软水生产热蒸汽。本项目生物质成型颗粒燃料为压实的长条状燃料，</w:t>
            </w:r>
            <w:r>
              <w:rPr>
                <w:rFonts w:hint="eastAsia" w:cs="Times New Roman"/>
                <w:color w:val="000000" w:themeColor="text1"/>
                <w:highlight w:val="none"/>
                <w:u w:val="single"/>
                <w:lang w:val="en-US" w:eastAsia="zh-CN"/>
                <w14:textFill>
                  <w14:solidFill>
                    <w14:schemeClr w14:val="tx1"/>
                  </w14:solidFill>
                </w14:textFill>
              </w:rPr>
              <w:t>经过</w:t>
            </w:r>
            <w:r>
              <w:rPr>
                <w:rFonts w:hint="default" w:ascii="Times New Roman" w:hAnsi="Times New Roman" w:cs="Times New Roman"/>
                <w:color w:val="000000" w:themeColor="text1"/>
                <w:highlight w:val="none"/>
                <w:u w:val="single"/>
                <w14:textFill>
                  <w14:solidFill>
                    <w14:schemeClr w14:val="tx1"/>
                  </w14:solidFill>
                </w14:textFill>
              </w:rPr>
              <w:t>软管内螺旋机</w:t>
            </w:r>
            <w:r>
              <w:rPr>
                <w:rFonts w:hint="eastAsia" w:cs="Times New Roman"/>
                <w:color w:val="000000" w:themeColor="text1"/>
                <w:highlight w:val="none"/>
                <w:u w:val="single"/>
                <w:lang w:val="en-US" w:eastAsia="zh-CN"/>
                <w14:textFill>
                  <w14:solidFill>
                    <w14:schemeClr w14:val="tx1"/>
                  </w14:solidFill>
                </w14:textFill>
              </w:rPr>
              <w:t>密闭</w:t>
            </w:r>
            <w:r>
              <w:rPr>
                <w:rFonts w:hint="default" w:ascii="Times New Roman" w:hAnsi="Times New Roman" w:cs="Times New Roman"/>
                <w:color w:val="000000" w:themeColor="text1"/>
                <w:highlight w:val="none"/>
                <w:u w:val="single"/>
                <w14:textFill>
                  <w14:solidFill>
                    <w14:schemeClr w14:val="tx1"/>
                  </w14:solidFill>
                </w14:textFill>
              </w:rPr>
              <w:t>输送上料，</w:t>
            </w:r>
            <w:r>
              <w:rPr>
                <w:rFonts w:hint="default" w:ascii="Times New Roman" w:hAnsi="Times New Roman" w:cs="Times New Roman"/>
                <w:color w:val="000000" w:themeColor="text1"/>
                <w:highlight w:val="none"/>
                <w14:textFill>
                  <w14:solidFill>
                    <w14:schemeClr w14:val="tx1"/>
                  </w14:solidFill>
                </w14:textFill>
              </w:rPr>
              <w:t>燃烧废气采用“低氮燃烧</w:t>
            </w:r>
            <w:r>
              <w:rPr>
                <w:rFonts w:hint="default" w:ascii="Times New Roman" w:hAnsi="Times New Roman" w:cs="Times New Roman"/>
                <w:color w:val="000000" w:themeColor="text1"/>
                <w:highlight w:val="none"/>
                <w:lang w:eastAsia="zh-CN"/>
                <w14:textFill>
                  <w14:solidFill>
                    <w14:schemeClr w14:val="tx1"/>
                  </w14:solidFill>
                </w14:textFill>
              </w:rPr>
              <w:t>+含陶瓷多管除尘器+布袋除尘器</w:t>
            </w:r>
            <w:r>
              <w:rPr>
                <w:rFonts w:hint="default" w:ascii="Times New Roman" w:hAnsi="Times New Roman" w:cs="Times New Roman"/>
                <w:color w:val="000000" w:themeColor="text1"/>
                <w:highlight w:val="none"/>
                <w14:textFill>
                  <w14:solidFill>
                    <w14:schemeClr w14:val="tx1"/>
                  </w14:solidFill>
                </w14:textFill>
              </w:rPr>
              <w:t>”处理达标后，由1根</w:t>
            </w:r>
            <w:r>
              <w:rPr>
                <w:rFonts w:hint="default" w:ascii="Times New Roman" w:hAnsi="Times New Roman" w:cs="Times New Roman"/>
                <w:color w:val="000000" w:themeColor="text1"/>
                <w:highlight w:val="none"/>
                <w:lang w:val="en-US" w:eastAsia="zh-CN"/>
                <w14:textFill>
                  <w14:solidFill>
                    <w14:schemeClr w14:val="tx1"/>
                  </w14:solidFill>
                </w14:textFill>
              </w:rPr>
              <w:t>35</w:t>
            </w:r>
            <w:r>
              <w:rPr>
                <w:rFonts w:hint="default" w:ascii="Times New Roman" w:hAnsi="Times New Roman" w:cs="Times New Roman"/>
                <w:color w:val="000000" w:themeColor="text1"/>
                <w:highlight w:val="none"/>
                <w14:textFill>
                  <w14:solidFill>
                    <w14:schemeClr w14:val="tx1"/>
                  </w14:solidFill>
                </w14:textFill>
              </w:rPr>
              <w:t>m高的排气筒排放。</w:t>
            </w:r>
          </w:p>
          <w:p w14:paraId="2C7ABCB7">
            <w:pPr>
              <w:pStyle w:val="4"/>
              <w:ind w:firstLine="48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本项目工艺流程图见下图所示。</w:t>
            </w:r>
          </w:p>
          <w:p w14:paraId="3A299262">
            <w:pPr>
              <w:pStyle w:val="4"/>
              <w:ind w:firstLine="480"/>
              <w:rPr>
                <w:rFonts w:hint="default" w:ascii="Times New Roman" w:hAnsi="Times New Roman" w:cs="Times New Roman"/>
                <w:color w:val="000000" w:themeColor="text1"/>
                <w:highlight w:val="none"/>
                <w:lang w:val="en-US" w:eastAsia="zh-CN"/>
                <w14:textFill>
                  <w14:solidFill>
                    <w14:schemeClr w14:val="tx1"/>
                  </w14:solidFill>
                </w14:textFill>
              </w:rPr>
            </w:pPr>
          </w:p>
          <w:p w14:paraId="02064967">
            <w:pPr>
              <w:pStyle w:val="4"/>
              <w:ind w:firstLine="480"/>
              <w:rPr>
                <w:rFonts w:hint="default" w:ascii="Times New Roman" w:hAnsi="Times New Roman" w:cs="Times New Roman"/>
                <w:color w:val="000000" w:themeColor="text1"/>
                <w:highlight w:val="none"/>
                <w:lang w:val="en-US" w:eastAsia="zh-CN"/>
                <w14:textFill>
                  <w14:solidFill>
                    <w14:schemeClr w14:val="tx1"/>
                  </w14:solidFill>
                </w14:textFill>
              </w:rPr>
            </w:pPr>
          </w:p>
          <w:p w14:paraId="7F98E028">
            <w:pPr>
              <w:pStyle w:val="4"/>
              <w:ind w:firstLine="480"/>
              <w:rPr>
                <w:rFonts w:hint="default" w:ascii="Times New Roman" w:hAnsi="Times New Roman" w:cs="Times New Roman"/>
                <w:color w:val="000000" w:themeColor="text1"/>
                <w:highlight w:val="none"/>
                <w:lang w:val="en-US" w:eastAsia="zh-CN"/>
                <w14:textFill>
                  <w14:solidFill>
                    <w14:schemeClr w14:val="tx1"/>
                  </w14:solidFill>
                </w14:textFill>
              </w:rPr>
            </w:pPr>
          </w:p>
          <w:p w14:paraId="271F8FB0">
            <w:pPr>
              <w:pStyle w:val="4"/>
              <w:ind w:firstLine="480"/>
              <w:rPr>
                <w:rFonts w:hint="default" w:ascii="Times New Roman" w:hAnsi="Times New Roman" w:cs="Times New Roman"/>
                <w:color w:val="000000" w:themeColor="text1"/>
                <w:highlight w:val="none"/>
                <w:lang w:val="en-US" w:eastAsia="zh-CN"/>
                <w14:textFill>
                  <w14:solidFill>
                    <w14:schemeClr w14:val="tx1"/>
                  </w14:solidFill>
                </w14:textFill>
              </w:rPr>
            </w:pPr>
          </w:p>
          <w:p w14:paraId="1DA18438">
            <w:pPr>
              <w:pStyle w:val="4"/>
              <w:ind w:firstLine="480"/>
              <w:rPr>
                <w:rFonts w:hint="default" w:ascii="Times New Roman" w:hAnsi="Times New Roman" w:cs="Times New Roman"/>
                <w:color w:val="000000" w:themeColor="text1"/>
                <w:highlight w:val="none"/>
                <w:lang w:val="en-US" w:eastAsia="zh-CN"/>
                <w14:textFill>
                  <w14:solidFill>
                    <w14:schemeClr w14:val="tx1"/>
                  </w14:solidFill>
                </w14:textFill>
              </w:rPr>
            </w:pPr>
          </w:p>
          <w:p w14:paraId="287D61FC">
            <w:pPr>
              <w:pStyle w:val="4"/>
              <w:ind w:firstLine="480"/>
              <w:rPr>
                <w:rFonts w:hint="default" w:ascii="Times New Roman" w:hAnsi="Times New Roman" w:cs="Times New Roman"/>
                <w:color w:val="000000" w:themeColor="text1"/>
                <w:highlight w:val="none"/>
                <w:lang w:val="en-US" w:eastAsia="zh-CN"/>
                <w14:textFill>
                  <w14:solidFill>
                    <w14:schemeClr w14:val="tx1"/>
                  </w14:solidFill>
                </w14:textFill>
              </w:rPr>
            </w:pPr>
          </w:p>
          <w:p w14:paraId="6C04316B">
            <w:pPr>
              <w:pStyle w:val="4"/>
              <w:ind w:firstLine="480"/>
              <w:rPr>
                <w:rFonts w:hint="default" w:ascii="Times New Roman" w:hAnsi="Times New Roman" w:cs="Times New Roman"/>
                <w:color w:val="000000" w:themeColor="text1"/>
                <w:highlight w:val="none"/>
                <w:lang w:val="en-US" w:eastAsia="zh-CN"/>
                <w14:textFill>
                  <w14:solidFill>
                    <w14:schemeClr w14:val="tx1"/>
                  </w14:solidFill>
                </w14:textFill>
              </w:rPr>
            </w:pPr>
          </w:p>
          <w:p w14:paraId="643EB699">
            <w:pPr>
              <w:pStyle w:val="36"/>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u w:val="single"/>
                <w:lang w:eastAsia="zh-CN"/>
                <w14:textFill>
                  <w14:solidFill>
                    <w14:schemeClr w14:val="tx1"/>
                  </w14:solidFill>
                </w14:textFill>
              </w:rPr>
              <w:object>
                <v:shape id="_x0000_i1027" o:spt="75" type="#_x0000_t75" style="height:181.3pt;width:356.6pt;" o:ole="t" filled="f" o:preferrelative="t" stroked="f" coordsize="21600,21600">
                  <v:path/>
                  <v:fill on="f" focussize="0,0"/>
                  <v:stroke on="f"/>
                  <v:imagedata r:id="rId19" o:title=""/>
                  <o:lock v:ext="edit" aspectratio="t"/>
                  <w10:wrap type="none"/>
                  <w10:anchorlock/>
                </v:shape>
                <o:OLEObject Type="Embed" ProgID="Visio.Drawing.15" ShapeID="_x0000_i1027" DrawAspect="Content" ObjectID="_1468075727" r:id="rId18">
                  <o:LockedField>false</o:LockedField>
                </o:OLEObject>
              </w:object>
            </w:r>
          </w:p>
          <w:p w14:paraId="3B72ECA7">
            <w:pPr>
              <w:pStyle w:val="34"/>
              <w:jc w:val="both"/>
              <w:rPr>
                <w:rFonts w:hint="default" w:ascii="Times New Roman" w:hAnsi="Times New Roman" w:eastAsia="宋体" w:cs="Times New Roman"/>
                <w:color w:val="000000" w:themeColor="text1"/>
                <w:highlight w:val="none"/>
                <w:u w:val="single"/>
                <w:lang w:val="en-US" w:eastAsia="zh-CN"/>
                <w14:textFill>
                  <w14:solidFill>
                    <w14:schemeClr w14:val="tx1"/>
                  </w14:solidFill>
                </w14:textFill>
              </w:rPr>
            </w:pPr>
            <w:bookmarkStart w:id="71" w:name="OLE_LINK42"/>
            <w:bookmarkStart w:id="72" w:name="_Ref192749162"/>
            <w:r>
              <w:rPr>
                <w:rFonts w:hint="eastAsia" w:cs="Times New Roman"/>
                <w:color w:val="000000" w:themeColor="text1"/>
                <w:highlight w:val="none"/>
                <w:u w:val="single"/>
                <w:lang w:val="en-US" w:eastAsia="zh-CN"/>
                <w14:textFill>
                  <w14:solidFill>
                    <w14:schemeClr w14:val="tx1"/>
                  </w14:solidFill>
                </w14:textFill>
              </w:rPr>
              <w:t>注：蓝色字体内容为本项目依托项目。</w:t>
            </w:r>
          </w:p>
          <w:p w14:paraId="4BDFC1E5">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图2-</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bookmarkEnd w:id="71"/>
            <w:r>
              <w:rPr>
                <w:rFonts w:hint="default" w:ascii="Times New Roman" w:hAnsi="Times New Roman" w:cs="Times New Roman"/>
                <w:color w:val="000000" w:themeColor="text1"/>
                <w:highlight w:val="none"/>
                <w14:textFill>
                  <w14:solidFill>
                    <w14:schemeClr w14:val="tx1"/>
                  </w14:solidFill>
                </w14:textFill>
              </w:rPr>
              <w:t>本项目工艺流程及产污节点图</w:t>
            </w:r>
            <w:bookmarkEnd w:id="72"/>
          </w:p>
          <w:p w14:paraId="733290EA">
            <w:pPr>
              <w:pStyle w:val="34"/>
              <w:rPr>
                <w:rFonts w:hint="default" w:ascii="Times New Roman" w:hAnsi="Times New Roman" w:cs="Times New Roman"/>
                <w:color w:val="000000" w:themeColor="text1"/>
                <w:highlight w:val="none"/>
                <w14:textFill>
                  <w14:solidFill>
                    <w14:schemeClr w14:val="tx1"/>
                  </w14:solidFill>
                </w14:textFill>
              </w:rPr>
            </w:pPr>
            <w:bookmarkStart w:id="73" w:name="_Ref186212314"/>
            <w:r>
              <w:rPr>
                <w:rFonts w:hint="default" w:ascii="Times New Roman" w:hAnsi="Times New Roman" w:cs="Times New Roman"/>
                <w:color w:val="000000" w:themeColor="text1"/>
                <w:highlight w:val="none"/>
                <w14:textFill>
                  <w14:solidFill>
                    <w14:schemeClr w14:val="tx1"/>
                  </w14:solidFill>
                </w14:textFill>
              </w:rPr>
              <w:t xml:space="preserve">表2- </w:t>
            </w:r>
            <w:r>
              <w:rPr>
                <w:rFonts w:hint="default" w:ascii="Times New Roman" w:hAnsi="Times New Roman" w:cs="Times New Roman"/>
                <w:color w:val="000000" w:themeColor="text1"/>
                <w:highlight w:val="none"/>
                <w:lang w:val="en-US" w:eastAsia="zh-CN"/>
                <w14:textFill>
                  <w14:solidFill>
                    <w14:schemeClr w14:val="tx1"/>
                  </w14:solidFill>
                </w14:textFill>
              </w:rPr>
              <w:t>9</w:t>
            </w:r>
            <w:r>
              <w:rPr>
                <w:rFonts w:hint="default" w:ascii="Times New Roman" w:hAnsi="Times New Roman" w:cs="Times New Roman"/>
                <w:color w:val="000000" w:themeColor="text1"/>
                <w:highlight w:val="none"/>
                <w14:textFill>
                  <w14:solidFill>
                    <w14:schemeClr w14:val="tx1"/>
                  </w14:solidFill>
                </w14:textFill>
              </w:rPr>
              <w:t>：</w:t>
            </w:r>
            <w:bookmarkStart w:id="74" w:name="OLE_LINK10"/>
            <w:r>
              <w:rPr>
                <w:rFonts w:hint="default" w:ascii="Times New Roman" w:hAnsi="Times New Roman" w:cs="Times New Roman"/>
                <w:color w:val="000000" w:themeColor="text1"/>
                <w:highlight w:val="none"/>
                <w14:textFill>
                  <w14:solidFill>
                    <w14:schemeClr w14:val="tx1"/>
                  </w14:solidFill>
                </w14:textFill>
              </w:rPr>
              <w:t>主要产排污节点一览表</w:t>
            </w:r>
            <w:bookmarkEnd w:id="70"/>
            <w:bookmarkEnd w:id="73"/>
            <w:bookmarkEnd w:id="74"/>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43"/>
              <w:gridCol w:w="698"/>
              <w:gridCol w:w="1319"/>
              <w:gridCol w:w="1330"/>
              <w:gridCol w:w="1066"/>
              <w:gridCol w:w="746"/>
              <w:gridCol w:w="2064"/>
            </w:tblGrid>
            <w:tr w14:paraId="28508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9"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28A0B44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highlight w:val="none"/>
                      <w:lang w:val="en-US" w:eastAsia="zh-CN"/>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污染</w:t>
                  </w:r>
                  <w:r>
                    <w:rPr>
                      <w:rFonts w:hint="default" w:ascii="Times New Roman" w:hAnsi="Times New Roman" w:cs="Times New Roman"/>
                      <w:b/>
                      <w:i w:val="0"/>
                      <w:color w:val="000000" w:themeColor="text1"/>
                      <w:sz w:val="21"/>
                      <w:szCs w:val="21"/>
                      <w:highlight w:val="none"/>
                      <w:lang w:val="en-US" w:eastAsia="zh-CN"/>
                      <w14:textFill>
                        <w14:solidFill>
                          <w14:schemeClr w14:val="tx1"/>
                        </w14:solidFill>
                      </w14:textFill>
                      <w14:ligatures w14:val="standardContextual"/>
                    </w:rPr>
                    <w:t>类型</w:t>
                  </w:r>
                </w:p>
              </w:tc>
              <w:tc>
                <w:tcPr>
                  <w:tcW w:w="44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BDB2A1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编号</w:t>
                  </w:r>
                </w:p>
              </w:tc>
              <w:tc>
                <w:tcPr>
                  <w:tcW w:w="83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DC7040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产污节点</w:t>
                  </w:r>
                </w:p>
              </w:tc>
              <w:tc>
                <w:tcPr>
                  <w:tcW w:w="84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D63CD1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污染源</w:t>
                  </w:r>
                </w:p>
              </w:tc>
              <w:tc>
                <w:tcPr>
                  <w:tcW w:w="67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795F3F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主要污染物</w:t>
                  </w:r>
                </w:p>
              </w:tc>
              <w:tc>
                <w:tcPr>
                  <w:tcW w:w="47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30997A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排放</w:t>
                  </w:r>
                </w:p>
              </w:tc>
              <w:tc>
                <w:tcPr>
                  <w:tcW w:w="1311" w:type="pct"/>
                  <w:tcBorders>
                    <w:top w:val="single" w:color="auto" w:sz="12" w:space="0"/>
                    <w:bottom w:val="single" w:color="auto" w:sz="12" w:space="0"/>
                    <w:right w:val="nil"/>
                    <w:insideH w:val="single" w:sz="12" w:space="0"/>
                    <w:insideV w:val="single" w:sz="4" w:space="0"/>
                    <w:tl2br w:val="nil"/>
                    <w:tr2bl w:val="nil"/>
                  </w:tcBorders>
                  <w:vAlign w:val="center"/>
                </w:tcPr>
                <w:p w14:paraId="530B912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治理措施及排放去向</w:t>
                  </w:r>
                </w:p>
              </w:tc>
            </w:tr>
            <w:tr w14:paraId="38B22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9" w:type="pct"/>
                  <w:vMerge w:val="restart"/>
                  <w:vAlign w:val="center"/>
                </w:tcPr>
                <w:p w14:paraId="7FBD1D4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废水</w:t>
                  </w:r>
                </w:p>
              </w:tc>
              <w:tc>
                <w:tcPr>
                  <w:tcW w:w="443" w:type="pct"/>
                  <w:vAlign w:val="center"/>
                </w:tcPr>
                <w:p w14:paraId="485522C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W1</w:t>
                  </w:r>
                </w:p>
              </w:tc>
              <w:tc>
                <w:tcPr>
                  <w:tcW w:w="838" w:type="pct"/>
                  <w:vAlign w:val="center"/>
                </w:tcPr>
                <w:p w14:paraId="3D4C25E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软化水系统</w:t>
                  </w:r>
                </w:p>
              </w:tc>
              <w:tc>
                <w:tcPr>
                  <w:tcW w:w="845" w:type="pct"/>
                  <w:vAlign w:val="center"/>
                </w:tcPr>
                <w:p w14:paraId="4D11AF2C">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浓水</w:t>
                  </w:r>
                </w:p>
              </w:tc>
              <w:tc>
                <w:tcPr>
                  <w:tcW w:w="677" w:type="pct"/>
                  <w:vAlign w:val="center"/>
                </w:tcPr>
                <w:p w14:paraId="1869ADA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COD、SS</w:t>
                  </w:r>
                </w:p>
              </w:tc>
              <w:tc>
                <w:tcPr>
                  <w:tcW w:w="474" w:type="pct"/>
                  <w:vAlign w:val="center"/>
                </w:tcPr>
                <w:p w14:paraId="46BAABA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连续</w:t>
                  </w:r>
                </w:p>
              </w:tc>
              <w:tc>
                <w:tcPr>
                  <w:tcW w:w="1311" w:type="pct"/>
                  <w:vMerge w:val="restart"/>
                  <w:vAlign w:val="center"/>
                </w:tcPr>
                <w:p w14:paraId="5488028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生产废水排至污水管网进入大榄坪污水处理厂处理</w:t>
                  </w:r>
                </w:p>
              </w:tc>
            </w:tr>
            <w:tr w14:paraId="301E2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9" w:type="pct"/>
                  <w:vMerge w:val="continue"/>
                  <w:vAlign w:val="center"/>
                </w:tcPr>
                <w:p w14:paraId="38155C9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443" w:type="pct"/>
                  <w:vAlign w:val="center"/>
                </w:tcPr>
                <w:p w14:paraId="263DF17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W2</w:t>
                  </w:r>
                </w:p>
              </w:tc>
              <w:tc>
                <w:tcPr>
                  <w:tcW w:w="838" w:type="pct"/>
                  <w:vAlign w:val="center"/>
                </w:tcPr>
                <w:p w14:paraId="10A4416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bookmarkStart w:id="75" w:name="OLE_LINK205"/>
                  <w:r>
                    <w:rPr>
                      <w:rFonts w:hint="default" w:ascii="Times New Roman" w:hAnsi="Times New Roman" w:cs="Times New Roman"/>
                      <w:color w:val="000000" w:themeColor="text1"/>
                      <w:highlight w:val="none"/>
                      <w14:textFill>
                        <w14:solidFill>
                          <w14:schemeClr w14:val="tx1"/>
                        </w14:solidFill>
                      </w14:textFill>
                      <w14:ligatures w14:val="standardContextual"/>
                    </w:rPr>
                    <w:t>生物质锅炉</w:t>
                  </w:r>
                  <w:bookmarkEnd w:id="75"/>
                </w:p>
              </w:tc>
              <w:tc>
                <w:tcPr>
                  <w:tcW w:w="845" w:type="pct"/>
                  <w:vAlign w:val="center"/>
                </w:tcPr>
                <w:p w14:paraId="6F55EF7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锅炉排污水</w:t>
                  </w:r>
                </w:p>
              </w:tc>
              <w:tc>
                <w:tcPr>
                  <w:tcW w:w="677" w:type="pct"/>
                  <w:vAlign w:val="center"/>
                </w:tcPr>
                <w:p w14:paraId="1F82235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COD、SS</w:t>
                  </w:r>
                </w:p>
              </w:tc>
              <w:tc>
                <w:tcPr>
                  <w:tcW w:w="474" w:type="pct"/>
                  <w:vAlign w:val="center"/>
                </w:tcPr>
                <w:p w14:paraId="6F9013B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间歇</w:t>
                  </w:r>
                </w:p>
              </w:tc>
              <w:tc>
                <w:tcPr>
                  <w:tcW w:w="1311" w:type="pct"/>
                  <w:vMerge w:val="continue"/>
                  <w:vAlign w:val="center"/>
                </w:tcPr>
                <w:p w14:paraId="4814D5C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r>
            <w:tr w14:paraId="3B3B3D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9" w:type="pct"/>
                  <w:vAlign w:val="center"/>
                </w:tcPr>
                <w:p w14:paraId="49F4EF6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废气</w:t>
                  </w:r>
                </w:p>
              </w:tc>
              <w:tc>
                <w:tcPr>
                  <w:tcW w:w="443" w:type="pct"/>
                  <w:shd w:val="clear" w:color="auto" w:fill="auto"/>
                  <w:vAlign w:val="center"/>
                </w:tcPr>
                <w:p w14:paraId="00803246">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G</w:t>
                  </w:r>
                  <w:r>
                    <w:rPr>
                      <w:rFonts w:hint="eastAsia" w:cs="Times New Roman"/>
                      <w:color w:val="000000" w:themeColor="text1"/>
                      <w:highlight w:val="none"/>
                      <w:lang w:val="en-US" w:eastAsia="zh-CN"/>
                      <w14:textFill>
                        <w14:solidFill>
                          <w14:schemeClr w14:val="tx1"/>
                        </w14:solidFill>
                      </w14:textFill>
                      <w14:ligatures w14:val="standardContextual"/>
                    </w:rPr>
                    <w:t>1</w:t>
                  </w:r>
                </w:p>
              </w:tc>
              <w:tc>
                <w:tcPr>
                  <w:tcW w:w="838" w:type="pct"/>
                  <w:shd w:val="clear" w:color="auto" w:fill="auto"/>
                  <w:vAlign w:val="center"/>
                </w:tcPr>
                <w:p w14:paraId="6EBB6F73">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生物质锅炉</w:t>
                  </w:r>
                </w:p>
              </w:tc>
              <w:tc>
                <w:tcPr>
                  <w:tcW w:w="845" w:type="pct"/>
                  <w:shd w:val="clear" w:color="auto" w:fill="auto"/>
                  <w:vAlign w:val="center"/>
                </w:tcPr>
                <w:p w14:paraId="46F6EA0E">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生物质锅炉燃烧废气</w:t>
                  </w:r>
                </w:p>
              </w:tc>
              <w:tc>
                <w:tcPr>
                  <w:tcW w:w="677" w:type="pct"/>
                  <w:shd w:val="clear" w:color="auto" w:fill="auto"/>
                  <w:vAlign w:val="center"/>
                </w:tcPr>
                <w:p w14:paraId="0A946175">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SO</w:t>
                  </w:r>
                  <w:r>
                    <w:rPr>
                      <w:rFonts w:hint="default" w:ascii="Times New Roman" w:hAnsi="Times New Roman" w:cs="Times New Roman"/>
                      <w:color w:val="000000" w:themeColor="text1"/>
                      <w:highlight w:val="none"/>
                      <w:vertAlign w:val="subscript"/>
                      <w14:textFill>
                        <w14:solidFill>
                          <w14:schemeClr w14:val="tx1"/>
                        </w14:solidFill>
                      </w14:textFill>
                      <w14:ligatures w14:val="standardContextual"/>
                    </w:rPr>
                    <w:t>2</w:t>
                  </w:r>
                  <w:r>
                    <w:rPr>
                      <w:rFonts w:hint="default" w:ascii="Times New Roman" w:hAnsi="Times New Roman" w:cs="Times New Roman"/>
                      <w:color w:val="000000" w:themeColor="text1"/>
                      <w:highlight w:val="none"/>
                      <w14:textFill>
                        <w14:solidFill>
                          <w14:schemeClr w14:val="tx1"/>
                        </w14:solidFill>
                      </w14:textFill>
                      <w14:ligatures w14:val="standardContextual"/>
                    </w:rPr>
                    <w:t>、NO</w:t>
                  </w:r>
                  <w:r>
                    <w:rPr>
                      <w:rFonts w:hint="default" w:ascii="Times New Roman" w:hAnsi="Times New Roman" w:cs="Times New Roman"/>
                      <w:color w:val="000000" w:themeColor="text1"/>
                      <w:highlight w:val="none"/>
                      <w:vertAlign w:val="subscript"/>
                      <w14:textFill>
                        <w14:solidFill>
                          <w14:schemeClr w14:val="tx1"/>
                        </w14:solidFill>
                      </w14:textFill>
                      <w14:ligatures w14:val="standardContextual"/>
                    </w:rPr>
                    <w:t>x</w:t>
                  </w:r>
                  <w:r>
                    <w:rPr>
                      <w:rFonts w:hint="default" w:ascii="Times New Roman" w:hAnsi="Times New Roman" w:cs="Times New Roman"/>
                      <w:color w:val="000000" w:themeColor="text1"/>
                      <w:highlight w:val="none"/>
                      <w14:textFill>
                        <w14:solidFill>
                          <w14:schemeClr w14:val="tx1"/>
                        </w14:solidFill>
                      </w14:textFill>
                      <w14:ligatures w14:val="standardContextual"/>
                    </w:rPr>
                    <w:t>、锅炉烟尘（颗粒物）</w:t>
                  </w: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等</w:t>
                  </w:r>
                </w:p>
              </w:tc>
              <w:tc>
                <w:tcPr>
                  <w:tcW w:w="474" w:type="pct"/>
                  <w:shd w:val="clear" w:color="auto" w:fill="auto"/>
                  <w:vAlign w:val="center"/>
                </w:tcPr>
                <w:p w14:paraId="753BDDD9">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连续</w:t>
                  </w:r>
                </w:p>
              </w:tc>
              <w:tc>
                <w:tcPr>
                  <w:tcW w:w="1311" w:type="pct"/>
                  <w:shd w:val="clear" w:color="auto" w:fill="auto"/>
                  <w:vAlign w:val="center"/>
                </w:tcPr>
                <w:p w14:paraId="45EA3D1B">
                  <w:pPr>
                    <w:widowControl w:val="0"/>
                    <w:overflowPunct w:val="0"/>
                    <w:autoSpaceDE w:val="0"/>
                    <w:autoSpaceDN w:val="0"/>
                    <w:snapToGrid w:val="0"/>
                    <w:jc w:val="cente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生物质锅炉燃烧废气采用“低氮燃烧</w:t>
                  </w: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+含陶</w:t>
                  </w:r>
                </w:p>
                <w:p w14:paraId="17611273">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瓷多管除尘器+布袋除尘器</w:t>
                  </w:r>
                  <w:r>
                    <w:rPr>
                      <w:rFonts w:hint="default" w:ascii="Times New Roman" w:hAnsi="Times New Roman" w:cs="Times New Roman"/>
                      <w:color w:val="000000" w:themeColor="text1"/>
                      <w:highlight w:val="none"/>
                      <w14:textFill>
                        <w14:solidFill>
                          <w14:schemeClr w14:val="tx1"/>
                        </w14:solidFill>
                      </w14:textFill>
                      <w14:ligatures w14:val="standardContextual"/>
                    </w:rPr>
                    <w:t>”处理达标后，由1根</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35</w:t>
                  </w:r>
                  <w:r>
                    <w:rPr>
                      <w:rFonts w:hint="default" w:ascii="Times New Roman" w:hAnsi="Times New Roman" w:cs="Times New Roman"/>
                      <w:color w:val="000000" w:themeColor="text1"/>
                      <w:highlight w:val="none"/>
                      <w14:textFill>
                        <w14:solidFill>
                          <w14:schemeClr w14:val="tx1"/>
                        </w14:solidFill>
                      </w14:textFill>
                      <w14:ligatures w14:val="standardContextual"/>
                    </w:rPr>
                    <w:t>m高的排气筒排放</w:t>
                  </w:r>
                </w:p>
              </w:tc>
            </w:tr>
            <w:tr w14:paraId="13829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9" w:type="pct"/>
                  <w:vAlign w:val="center"/>
                </w:tcPr>
                <w:p w14:paraId="02A6C91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噪声</w:t>
                  </w:r>
                </w:p>
              </w:tc>
              <w:tc>
                <w:tcPr>
                  <w:tcW w:w="443" w:type="pct"/>
                  <w:vAlign w:val="center"/>
                </w:tcPr>
                <w:p w14:paraId="5636A28E">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N</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1-N4</w:t>
                  </w:r>
                </w:p>
              </w:tc>
              <w:tc>
                <w:tcPr>
                  <w:tcW w:w="838" w:type="pct"/>
                  <w:vAlign w:val="center"/>
                </w:tcPr>
                <w:p w14:paraId="138907E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生产设备</w:t>
                  </w:r>
                </w:p>
              </w:tc>
              <w:tc>
                <w:tcPr>
                  <w:tcW w:w="845" w:type="pct"/>
                  <w:vAlign w:val="center"/>
                </w:tcPr>
                <w:p w14:paraId="4932A69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各类生产设备及风机运行噪声</w:t>
                  </w:r>
                </w:p>
              </w:tc>
              <w:tc>
                <w:tcPr>
                  <w:tcW w:w="677" w:type="pct"/>
                  <w:vAlign w:val="center"/>
                </w:tcPr>
                <w:p w14:paraId="1AF38D3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等效A声级</w:t>
                  </w:r>
                </w:p>
              </w:tc>
              <w:tc>
                <w:tcPr>
                  <w:tcW w:w="474" w:type="pct"/>
                  <w:vAlign w:val="center"/>
                </w:tcPr>
                <w:p w14:paraId="05668D8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间歇</w:t>
                  </w:r>
                </w:p>
              </w:tc>
              <w:tc>
                <w:tcPr>
                  <w:tcW w:w="1311" w:type="pct"/>
                  <w:vAlign w:val="center"/>
                </w:tcPr>
                <w:p w14:paraId="1209C0B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置于厂房内，选用低噪声设备，采取基础减振、厂房隔声、设备定期维护和保养等措施</w:t>
                  </w:r>
                </w:p>
              </w:tc>
            </w:tr>
            <w:tr w14:paraId="0967FF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9" w:type="pct"/>
                  <w:vMerge w:val="restart"/>
                  <w:vAlign w:val="center"/>
                </w:tcPr>
                <w:p w14:paraId="1EB8D47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固废</w:t>
                  </w:r>
                </w:p>
              </w:tc>
              <w:tc>
                <w:tcPr>
                  <w:tcW w:w="443" w:type="pct"/>
                  <w:shd w:val="clear" w:color="auto" w:fill="auto"/>
                  <w:vAlign w:val="center"/>
                </w:tcPr>
                <w:p w14:paraId="0DFFE2DA">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S1</w:t>
                  </w:r>
                </w:p>
              </w:tc>
              <w:tc>
                <w:tcPr>
                  <w:tcW w:w="838" w:type="pct"/>
                  <w:shd w:val="clear" w:color="auto" w:fill="auto"/>
                  <w:vAlign w:val="center"/>
                </w:tcPr>
                <w:p w14:paraId="387CB821">
                  <w:pPr>
                    <w:widowControl w:val="0"/>
                    <w:overflowPunct w:val="0"/>
                    <w:autoSpaceDE w:val="0"/>
                    <w:autoSpaceDN w:val="0"/>
                    <w:snapToGrid w:val="0"/>
                    <w:jc w:val="center"/>
                    <w:rPr>
                      <w:rFonts w:hint="eastAsia" w:ascii="Times New Roman" w:hAnsi="Times New Roman" w:eastAsia="宋体" w:cs="Times New Roman"/>
                      <w:color w:val="000000" w:themeColor="text1"/>
                      <w:sz w:val="21"/>
                      <w:szCs w:val="21"/>
                      <w:highlight w:val="none"/>
                      <w:u w:val="singl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软化水系统</w:t>
                  </w:r>
                  <w:r>
                    <w:rPr>
                      <w:rFonts w:hint="eastAsia" w:cs="Times New Roman"/>
                      <w:color w:val="000000" w:themeColor="text1"/>
                      <w:highlight w:val="none"/>
                      <w:u w:val="single"/>
                      <w:lang w:eastAsia="zh-CN"/>
                      <w14:textFill>
                        <w14:solidFill>
                          <w14:schemeClr w14:val="tx1"/>
                        </w14:solidFill>
                      </w14:textFill>
                      <w14:ligatures w14:val="standardContextual"/>
                    </w:rPr>
                    <w:t>（</w:t>
                  </w:r>
                  <w:r>
                    <w:rPr>
                      <w:rFonts w:hint="eastAsia" w:cs="Times New Roman"/>
                      <w:color w:val="000000" w:themeColor="text1"/>
                      <w:highlight w:val="none"/>
                      <w:u w:val="single"/>
                      <w:lang w:val="en-US" w:eastAsia="zh-CN"/>
                      <w14:textFill>
                        <w14:solidFill>
                          <w14:schemeClr w14:val="tx1"/>
                        </w14:solidFill>
                      </w14:textFill>
                      <w14:ligatures w14:val="standardContextual"/>
                    </w:rPr>
                    <w:t>依托现有</w:t>
                  </w:r>
                  <w:r>
                    <w:rPr>
                      <w:rFonts w:hint="eastAsia" w:cs="Times New Roman"/>
                      <w:color w:val="000000" w:themeColor="text1"/>
                      <w:highlight w:val="none"/>
                      <w:u w:val="single"/>
                      <w:lang w:eastAsia="zh-CN"/>
                      <w14:textFill>
                        <w14:solidFill>
                          <w14:schemeClr w14:val="tx1"/>
                        </w14:solidFill>
                      </w14:textFill>
                      <w14:ligatures w14:val="standardContextual"/>
                    </w:rPr>
                    <w:t>）</w:t>
                  </w:r>
                </w:p>
              </w:tc>
              <w:tc>
                <w:tcPr>
                  <w:tcW w:w="845" w:type="pct"/>
                  <w:shd w:val="clear" w:color="auto" w:fill="auto"/>
                  <w:vAlign w:val="center"/>
                </w:tcPr>
                <w:p w14:paraId="07946DDA">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沉淀池沉渣</w:t>
                  </w:r>
                </w:p>
              </w:tc>
              <w:tc>
                <w:tcPr>
                  <w:tcW w:w="677" w:type="pct"/>
                  <w:shd w:val="clear" w:color="auto" w:fill="auto"/>
                  <w:vAlign w:val="center"/>
                </w:tcPr>
                <w:p w14:paraId="003DB937">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一般固废</w:t>
                  </w:r>
                </w:p>
              </w:tc>
              <w:tc>
                <w:tcPr>
                  <w:tcW w:w="474" w:type="pct"/>
                  <w:shd w:val="clear" w:color="auto" w:fill="auto"/>
                  <w:vAlign w:val="center"/>
                </w:tcPr>
                <w:p w14:paraId="2F7F59A5">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间歇</w:t>
                  </w:r>
                </w:p>
              </w:tc>
              <w:tc>
                <w:tcPr>
                  <w:tcW w:w="1311" w:type="pct"/>
                  <w:vMerge w:val="restart"/>
                  <w:vAlign w:val="center"/>
                </w:tcPr>
                <w:p w14:paraId="588D6059">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外售一般固废处置单位处置</w:t>
                  </w:r>
                </w:p>
              </w:tc>
            </w:tr>
            <w:tr w14:paraId="7B25B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9" w:type="pct"/>
                  <w:vMerge w:val="continue"/>
                  <w:vAlign w:val="center"/>
                </w:tcPr>
                <w:p w14:paraId="21107D1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443" w:type="pct"/>
                  <w:shd w:val="clear" w:color="auto" w:fill="auto"/>
                  <w:vAlign w:val="center"/>
                </w:tcPr>
                <w:p w14:paraId="747C58C5">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S2</w:t>
                  </w:r>
                </w:p>
              </w:tc>
              <w:tc>
                <w:tcPr>
                  <w:tcW w:w="838" w:type="pct"/>
                  <w:shd w:val="clear" w:color="auto" w:fill="auto"/>
                  <w:vAlign w:val="center"/>
                </w:tcPr>
                <w:p w14:paraId="0C8464BF">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u w:val="singl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软化水系统</w:t>
                  </w:r>
                  <w:r>
                    <w:rPr>
                      <w:rFonts w:hint="eastAsia" w:cs="Times New Roman"/>
                      <w:color w:val="000000" w:themeColor="text1"/>
                      <w:highlight w:val="none"/>
                      <w:u w:val="single"/>
                      <w:lang w:eastAsia="zh-CN"/>
                      <w14:textFill>
                        <w14:solidFill>
                          <w14:schemeClr w14:val="tx1"/>
                        </w14:solidFill>
                      </w14:textFill>
                      <w14:ligatures w14:val="standardContextual"/>
                    </w:rPr>
                    <w:t>（</w:t>
                  </w:r>
                  <w:r>
                    <w:rPr>
                      <w:rFonts w:hint="eastAsia" w:cs="Times New Roman"/>
                      <w:color w:val="000000" w:themeColor="text1"/>
                      <w:highlight w:val="none"/>
                      <w:u w:val="single"/>
                      <w:lang w:val="en-US" w:eastAsia="zh-CN"/>
                      <w14:textFill>
                        <w14:solidFill>
                          <w14:schemeClr w14:val="tx1"/>
                        </w14:solidFill>
                      </w14:textFill>
                      <w14:ligatures w14:val="standardContextual"/>
                    </w:rPr>
                    <w:t>依托现有</w:t>
                  </w:r>
                  <w:r>
                    <w:rPr>
                      <w:rFonts w:hint="eastAsia" w:cs="Times New Roman"/>
                      <w:color w:val="000000" w:themeColor="text1"/>
                      <w:highlight w:val="none"/>
                      <w:u w:val="single"/>
                      <w:lang w:eastAsia="zh-CN"/>
                      <w14:textFill>
                        <w14:solidFill>
                          <w14:schemeClr w14:val="tx1"/>
                        </w14:solidFill>
                      </w14:textFill>
                      <w14:ligatures w14:val="standardContextual"/>
                    </w:rPr>
                    <w:t>）</w:t>
                  </w:r>
                </w:p>
              </w:tc>
              <w:tc>
                <w:tcPr>
                  <w:tcW w:w="845" w:type="pct"/>
                  <w:shd w:val="clear" w:color="auto" w:fill="auto"/>
                  <w:vAlign w:val="center"/>
                </w:tcPr>
                <w:p w14:paraId="63447688">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废反渗透膜</w:t>
                  </w:r>
                </w:p>
              </w:tc>
              <w:tc>
                <w:tcPr>
                  <w:tcW w:w="677" w:type="pct"/>
                  <w:shd w:val="clear" w:color="auto" w:fill="auto"/>
                  <w:vAlign w:val="center"/>
                </w:tcPr>
                <w:p w14:paraId="65FE1CB5">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一般固废</w:t>
                  </w:r>
                </w:p>
              </w:tc>
              <w:tc>
                <w:tcPr>
                  <w:tcW w:w="474" w:type="pct"/>
                  <w:shd w:val="clear" w:color="auto" w:fill="auto"/>
                  <w:vAlign w:val="center"/>
                </w:tcPr>
                <w:p w14:paraId="2A99AC13">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间歇</w:t>
                  </w:r>
                </w:p>
              </w:tc>
              <w:tc>
                <w:tcPr>
                  <w:tcW w:w="1311" w:type="pct"/>
                  <w:vMerge w:val="continue"/>
                  <w:vAlign w:val="center"/>
                </w:tcPr>
                <w:p w14:paraId="37168B6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r>
            <w:tr w14:paraId="34428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9" w:type="pct"/>
                  <w:vMerge w:val="continue"/>
                  <w:vAlign w:val="center"/>
                </w:tcPr>
                <w:p w14:paraId="3B6AA04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443" w:type="pct"/>
                  <w:shd w:val="clear" w:color="auto" w:fill="auto"/>
                  <w:vAlign w:val="center"/>
                </w:tcPr>
                <w:p w14:paraId="36561D8A">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S</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3</w:t>
                  </w:r>
                </w:p>
              </w:tc>
              <w:tc>
                <w:tcPr>
                  <w:tcW w:w="838" w:type="pct"/>
                  <w:shd w:val="clear" w:color="auto" w:fill="auto"/>
                  <w:vAlign w:val="center"/>
                </w:tcPr>
                <w:p w14:paraId="5D1780D0">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u w:val="singl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软化水系统</w:t>
                  </w:r>
                  <w:r>
                    <w:rPr>
                      <w:rFonts w:hint="eastAsia" w:cs="Times New Roman"/>
                      <w:color w:val="000000" w:themeColor="text1"/>
                      <w:highlight w:val="none"/>
                      <w:u w:val="single"/>
                      <w:lang w:eastAsia="zh-CN"/>
                      <w14:textFill>
                        <w14:solidFill>
                          <w14:schemeClr w14:val="tx1"/>
                        </w14:solidFill>
                      </w14:textFill>
                      <w14:ligatures w14:val="standardContextual"/>
                    </w:rPr>
                    <w:t>（</w:t>
                  </w:r>
                  <w:r>
                    <w:rPr>
                      <w:rFonts w:hint="eastAsia" w:cs="Times New Roman"/>
                      <w:color w:val="000000" w:themeColor="text1"/>
                      <w:highlight w:val="none"/>
                      <w:u w:val="single"/>
                      <w:lang w:val="en-US" w:eastAsia="zh-CN"/>
                      <w14:textFill>
                        <w14:solidFill>
                          <w14:schemeClr w14:val="tx1"/>
                        </w14:solidFill>
                      </w14:textFill>
                      <w14:ligatures w14:val="standardContextual"/>
                    </w:rPr>
                    <w:t>依托现有</w:t>
                  </w:r>
                  <w:r>
                    <w:rPr>
                      <w:rFonts w:hint="eastAsia" w:cs="Times New Roman"/>
                      <w:color w:val="000000" w:themeColor="text1"/>
                      <w:highlight w:val="none"/>
                      <w:u w:val="single"/>
                      <w:lang w:eastAsia="zh-CN"/>
                      <w14:textFill>
                        <w14:solidFill>
                          <w14:schemeClr w14:val="tx1"/>
                        </w14:solidFill>
                      </w14:textFill>
                      <w14:ligatures w14:val="standardContextual"/>
                    </w:rPr>
                    <w:t>）</w:t>
                  </w:r>
                </w:p>
              </w:tc>
              <w:tc>
                <w:tcPr>
                  <w:tcW w:w="845" w:type="pct"/>
                  <w:shd w:val="clear" w:color="auto" w:fill="auto"/>
                  <w:vAlign w:val="center"/>
                </w:tcPr>
                <w:p w14:paraId="529056E4">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废超滤膜</w:t>
                  </w:r>
                </w:p>
              </w:tc>
              <w:tc>
                <w:tcPr>
                  <w:tcW w:w="677" w:type="pct"/>
                  <w:shd w:val="clear" w:color="auto" w:fill="auto"/>
                  <w:vAlign w:val="center"/>
                </w:tcPr>
                <w:p w14:paraId="18C47D28">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一般固废</w:t>
                  </w:r>
                </w:p>
              </w:tc>
              <w:tc>
                <w:tcPr>
                  <w:tcW w:w="474" w:type="pct"/>
                  <w:shd w:val="clear" w:color="auto" w:fill="auto"/>
                  <w:vAlign w:val="center"/>
                </w:tcPr>
                <w:p w14:paraId="4002FE4D">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间歇</w:t>
                  </w:r>
                </w:p>
              </w:tc>
              <w:tc>
                <w:tcPr>
                  <w:tcW w:w="1311" w:type="pct"/>
                  <w:vMerge w:val="continue"/>
                  <w:vAlign w:val="center"/>
                </w:tcPr>
                <w:p w14:paraId="698DD97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r>
            <w:tr w14:paraId="783E13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9" w:type="pct"/>
                  <w:vMerge w:val="continue"/>
                  <w:vAlign w:val="center"/>
                </w:tcPr>
                <w:p w14:paraId="2163EC79">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443" w:type="pct"/>
                  <w:shd w:val="clear" w:color="auto" w:fill="auto"/>
                  <w:vAlign w:val="center"/>
                </w:tcPr>
                <w:p w14:paraId="1F845BA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S</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4</w:t>
                  </w:r>
                </w:p>
              </w:tc>
              <w:tc>
                <w:tcPr>
                  <w:tcW w:w="838" w:type="pct"/>
                  <w:shd w:val="clear" w:color="auto" w:fill="auto"/>
                  <w:vAlign w:val="center"/>
                </w:tcPr>
                <w:p w14:paraId="0D7FA683">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生物质锅炉</w:t>
                  </w:r>
                </w:p>
              </w:tc>
              <w:tc>
                <w:tcPr>
                  <w:tcW w:w="845" w:type="pct"/>
                  <w:shd w:val="clear" w:color="auto" w:fill="auto"/>
                  <w:vAlign w:val="center"/>
                </w:tcPr>
                <w:p w14:paraId="42107104">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炉渣</w:t>
                  </w:r>
                </w:p>
              </w:tc>
              <w:tc>
                <w:tcPr>
                  <w:tcW w:w="677" w:type="pct"/>
                  <w:shd w:val="clear" w:color="auto" w:fill="auto"/>
                  <w:vAlign w:val="center"/>
                </w:tcPr>
                <w:p w14:paraId="6FDF8EDB">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一般固废</w:t>
                  </w:r>
                </w:p>
              </w:tc>
              <w:tc>
                <w:tcPr>
                  <w:tcW w:w="474" w:type="pct"/>
                  <w:shd w:val="clear" w:color="auto" w:fill="auto"/>
                  <w:vAlign w:val="center"/>
                </w:tcPr>
                <w:p w14:paraId="044D8F06">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间歇</w:t>
                  </w:r>
                </w:p>
              </w:tc>
              <w:tc>
                <w:tcPr>
                  <w:tcW w:w="1311" w:type="pct"/>
                  <w:vMerge w:val="restart"/>
                  <w:vAlign w:val="center"/>
                </w:tcPr>
                <w:p w14:paraId="4768C71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lang w:eastAsia="zh-CN"/>
                      <w14:textFill>
                        <w14:solidFill>
                          <w14:schemeClr w14:val="tx1"/>
                        </w14:solidFill>
                      </w14:textFill>
                      <w14:ligatures w14:val="standardContextual"/>
                    </w:rPr>
                    <w:t>外运做农肥</w:t>
                  </w:r>
                </w:p>
              </w:tc>
            </w:tr>
            <w:tr w14:paraId="59793A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9" w:type="pct"/>
                  <w:vMerge w:val="continue"/>
                  <w:vAlign w:val="center"/>
                </w:tcPr>
                <w:p w14:paraId="6F40069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443" w:type="pct"/>
                  <w:shd w:val="clear" w:color="auto" w:fill="auto"/>
                  <w:vAlign w:val="center"/>
                </w:tcPr>
                <w:p w14:paraId="60CC6D22">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S</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5</w:t>
                  </w:r>
                </w:p>
              </w:tc>
              <w:tc>
                <w:tcPr>
                  <w:tcW w:w="838" w:type="pct"/>
                  <w:shd w:val="clear" w:color="auto" w:fill="auto"/>
                  <w:vAlign w:val="center"/>
                </w:tcPr>
                <w:p w14:paraId="036F1275">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废气处理</w:t>
                  </w:r>
                </w:p>
              </w:tc>
              <w:tc>
                <w:tcPr>
                  <w:tcW w:w="845" w:type="pct"/>
                  <w:shd w:val="clear" w:color="auto" w:fill="auto"/>
                  <w:vAlign w:val="center"/>
                </w:tcPr>
                <w:p w14:paraId="5D59D221">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除尘器粉尘</w:t>
                  </w:r>
                </w:p>
              </w:tc>
              <w:tc>
                <w:tcPr>
                  <w:tcW w:w="677" w:type="pct"/>
                  <w:shd w:val="clear" w:color="auto" w:fill="auto"/>
                  <w:vAlign w:val="center"/>
                </w:tcPr>
                <w:p w14:paraId="45069D6F">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一般固废</w:t>
                  </w:r>
                </w:p>
              </w:tc>
              <w:tc>
                <w:tcPr>
                  <w:tcW w:w="474" w:type="pct"/>
                  <w:shd w:val="clear" w:color="auto" w:fill="auto"/>
                  <w:vAlign w:val="center"/>
                </w:tcPr>
                <w:p w14:paraId="7F5543F3">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间歇</w:t>
                  </w:r>
                </w:p>
              </w:tc>
              <w:tc>
                <w:tcPr>
                  <w:tcW w:w="1311" w:type="pct"/>
                  <w:vMerge w:val="continue"/>
                  <w:vAlign w:val="center"/>
                </w:tcPr>
                <w:p w14:paraId="2B29C42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r>
            <w:tr w14:paraId="4B1B0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9" w:type="pct"/>
                  <w:vMerge w:val="continue"/>
                  <w:vAlign w:val="center"/>
                </w:tcPr>
                <w:p w14:paraId="7062C58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443" w:type="pct"/>
                  <w:shd w:val="clear" w:color="auto" w:fill="auto"/>
                  <w:vAlign w:val="center"/>
                </w:tcPr>
                <w:p w14:paraId="4928459B">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S</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6</w:t>
                  </w:r>
                </w:p>
              </w:tc>
              <w:tc>
                <w:tcPr>
                  <w:tcW w:w="838" w:type="pct"/>
                  <w:shd w:val="clear" w:color="auto" w:fill="auto"/>
                  <w:vAlign w:val="center"/>
                </w:tcPr>
                <w:p w14:paraId="0DDF9CBF">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废气处理</w:t>
                  </w:r>
                </w:p>
              </w:tc>
              <w:tc>
                <w:tcPr>
                  <w:tcW w:w="845" w:type="pct"/>
                  <w:shd w:val="clear" w:color="auto" w:fill="auto"/>
                  <w:vAlign w:val="center"/>
                </w:tcPr>
                <w:p w14:paraId="38A46578">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废布袋</w:t>
                  </w:r>
                </w:p>
              </w:tc>
              <w:tc>
                <w:tcPr>
                  <w:tcW w:w="677" w:type="pct"/>
                  <w:shd w:val="clear" w:color="auto" w:fill="auto"/>
                  <w:vAlign w:val="center"/>
                </w:tcPr>
                <w:p w14:paraId="7298A57B">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一般固废</w:t>
                  </w:r>
                </w:p>
              </w:tc>
              <w:tc>
                <w:tcPr>
                  <w:tcW w:w="474" w:type="pct"/>
                  <w:shd w:val="clear" w:color="auto" w:fill="auto"/>
                  <w:vAlign w:val="center"/>
                </w:tcPr>
                <w:p w14:paraId="564CD954">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间歇</w:t>
                  </w:r>
                </w:p>
              </w:tc>
              <w:tc>
                <w:tcPr>
                  <w:tcW w:w="1311" w:type="pct"/>
                  <w:vAlign w:val="center"/>
                </w:tcPr>
                <w:p w14:paraId="5E6C86F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外售一般固废处置单位处置</w:t>
                  </w:r>
                </w:p>
              </w:tc>
            </w:tr>
            <w:tr w14:paraId="4F5CC9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9" w:type="pct"/>
                  <w:vMerge w:val="continue"/>
                  <w:vAlign w:val="center"/>
                </w:tcPr>
                <w:p w14:paraId="7B1B4AC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443" w:type="pct"/>
                  <w:vAlign w:val="center"/>
                </w:tcPr>
                <w:p w14:paraId="786F63BA">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S</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7</w:t>
                  </w:r>
                </w:p>
              </w:tc>
              <w:tc>
                <w:tcPr>
                  <w:tcW w:w="838" w:type="pct"/>
                  <w:vAlign w:val="center"/>
                </w:tcPr>
                <w:p w14:paraId="73034FB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设备维护</w:t>
                  </w:r>
                </w:p>
              </w:tc>
              <w:tc>
                <w:tcPr>
                  <w:tcW w:w="845" w:type="pct"/>
                  <w:vAlign w:val="center"/>
                </w:tcPr>
                <w:p w14:paraId="0894643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bookmarkStart w:id="76" w:name="OLE_LINK105"/>
                  <w:r>
                    <w:rPr>
                      <w:rFonts w:hint="default" w:ascii="Times New Roman" w:hAnsi="Times New Roman" w:cs="Times New Roman"/>
                      <w:color w:val="000000" w:themeColor="text1"/>
                      <w:highlight w:val="none"/>
                      <w14:textFill>
                        <w14:solidFill>
                          <w14:schemeClr w14:val="tx1"/>
                        </w14:solidFill>
                      </w14:textFill>
                      <w14:ligatures w14:val="standardContextual"/>
                    </w:rPr>
                    <w:t>废润滑油及废油桶</w:t>
                  </w:r>
                  <w:bookmarkEnd w:id="76"/>
                </w:p>
              </w:tc>
              <w:tc>
                <w:tcPr>
                  <w:tcW w:w="677" w:type="pct"/>
                  <w:vAlign w:val="center"/>
                </w:tcPr>
                <w:p w14:paraId="410FF3A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危险废物</w:t>
                  </w:r>
                </w:p>
              </w:tc>
              <w:tc>
                <w:tcPr>
                  <w:tcW w:w="474" w:type="pct"/>
                  <w:vAlign w:val="center"/>
                </w:tcPr>
                <w:p w14:paraId="0DDC3AA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bookmarkStart w:id="77" w:name="OLE_LINK78"/>
                  <w:r>
                    <w:rPr>
                      <w:rFonts w:hint="default" w:ascii="Times New Roman" w:hAnsi="Times New Roman" w:cs="Times New Roman"/>
                      <w:color w:val="000000" w:themeColor="text1"/>
                      <w:highlight w:val="none"/>
                      <w14:textFill>
                        <w14:solidFill>
                          <w14:schemeClr w14:val="tx1"/>
                        </w14:solidFill>
                      </w14:textFill>
                      <w14:ligatures w14:val="standardContextual"/>
                    </w:rPr>
                    <w:t>间歇</w:t>
                  </w:r>
                  <w:bookmarkEnd w:id="77"/>
                </w:p>
              </w:tc>
              <w:tc>
                <w:tcPr>
                  <w:tcW w:w="1311" w:type="pct"/>
                  <w:vMerge w:val="restart"/>
                  <w:vAlign w:val="center"/>
                </w:tcPr>
                <w:p w14:paraId="724FB3F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委托有资质单位处置</w:t>
                  </w:r>
                </w:p>
              </w:tc>
            </w:tr>
            <w:tr w14:paraId="3C231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9" w:type="pct"/>
                  <w:vMerge w:val="continue"/>
                  <w:vAlign w:val="center"/>
                </w:tcPr>
                <w:p w14:paraId="69EA098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443" w:type="pct"/>
                  <w:vAlign w:val="center"/>
                </w:tcPr>
                <w:p w14:paraId="0191348A">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S</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8</w:t>
                  </w:r>
                </w:p>
              </w:tc>
              <w:tc>
                <w:tcPr>
                  <w:tcW w:w="838" w:type="pct"/>
                  <w:vAlign w:val="center"/>
                </w:tcPr>
                <w:p w14:paraId="51F7170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设备维护</w:t>
                  </w:r>
                </w:p>
              </w:tc>
              <w:tc>
                <w:tcPr>
                  <w:tcW w:w="845" w:type="pct"/>
                  <w:vAlign w:val="center"/>
                </w:tcPr>
                <w:p w14:paraId="382DD3F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废含油抹布</w:t>
                  </w:r>
                </w:p>
              </w:tc>
              <w:tc>
                <w:tcPr>
                  <w:tcW w:w="677" w:type="pct"/>
                  <w:vAlign w:val="center"/>
                </w:tcPr>
                <w:p w14:paraId="773A47B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危险废物</w:t>
                  </w:r>
                </w:p>
              </w:tc>
              <w:tc>
                <w:tcPr>
                  <w:tcW w:w="474" w:type="pct"/>
                  <w:vAlign w:val="center"/>
                </w:tcPr>
                <w:p w14:paraId="01F5DFD9">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间歇</w:t>
                  </w:r>
                </w:p>
              </w:tc>
              <w:tc>
                <w:tcPr>
                  <w:tcW w:w="1311" w:type="pct"/>
                  <w:vMerge w:val="continue"/>
                  <w:vAlign w:val="center"/>
                </w:tcPr>
                <w:p w14:paraId="77E1375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r>
          </w:tbl>
          <w:p w14:paraId="2552EFF4">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40ED0642">
            <w:pPr>
              <w:pStyle w:val="4"/>
              <w:ind w:left="0" w:leftChars="0" w:firstLine="0" w:firstLineChars="0"/>
              <w:rPr>
                <w:rFonts w:hint="default" w:ascii="Times New Roman" w:hAnsi="Times New Roman" w:cs="Times New Roman"/>
                <w:color w:val="000000" w:themeColor="text1"/>
                <w:sz w:val="10"/>
                <w:szCs w:val="10"/>
                <w:highlight w:val="none"/>
                <w14:textFill>
                  <w14:solidFill>
                    <w14:schemeClr w14:val="tx1"/>
                  </w14:solidFill>
                </w14:textFill>
              </w:rPr>
            </w:pPr>
          </w:p>
        </w:tc>
      </w:tr>
      <w:tr w14:paraId="706FF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58" w:type="pct"/>
            <w:vAlign w:val="center"/>
          </w:tcPr>
          <w:p w14:paraId="7203AE19">
            <w:pPr>
              <w:rPr>
                <w:rFonts w:hint="default" w:ascii="Times New Roman" w:hAnsi="Times New Roman" w:cs="Times New Roman"/>
                <w:color w:val="000000" w:themeColor="text1"/>
                <w:highlight w:val="none"/>
                <w14:textFill>
                  <w14:solidFill>
                    <w14:schemeClr w14:val="tx1"/>
                  </w14:solidFill>
                </w14:textFill>
              </w:rPr>
            </w:pPr>
            <w:bookmarkStart w:id="78" w:name="_Toc175609271"/>
            <w:bookmarkStart w:id="79" w:name="与项目有关的原有环境污染问题"/>
            <w:r>
              <w:rPr>
                <w:rFonts w:hint="default" w:ascii="Times New Roman" w:hAnsi="Times New Roman" w:cs="Times New Roman"/>
                <w:color w:val="000000" w:themeColor="text1"/>
                <w:highlight w:val="none"/>
                <w14:textFill>
                  <w14:solidFill>
                    <w14:schemeClr w14:val="tx1"/>
                  </w14:solidFill>
                </w14:textFill>
              </w:rPr>
              <w:t>与项目有关的原有环境污染问题</w:t>
            </w:r>
            <w:bookmarkEnd w:id="78"/>
            <w:bookmarkEnd w:id="79"/>
          </w:p>
        </w:tc>
        <w:tc>
          <w:tcPr>
            <w:tcW w:w="4741" w:type="pct"/>
            <w:vAlign w:val="center"/>
          </w:tcPr>
          <w:p w14:paraId="55E582B0">
            <w:pPr>
              <w:pStyle w:val="7"/>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一、</w:t>
            </w:r>
            <w:r>
              <w:rPr>
                <w:rFonts w:hint="default" w:ascii="Times New Roman" w:hAnsi="Times New Roman" w:eastAsia="宋体" w:cs="Times New Roman"/>
                <w:color w:val="000000" w:themeColor="text1"/>
                <w:sz w:val="24"/>
                <w:szCs w:val="24"/>
                <w:highlight w:val="none"/>
                <w14:textFill>
                  <w14:solidFill>
                    <w14:schemeClr w14:val="tx1"/>
                  </w14:solidFill>
                </w14:textFill>
              </w:rPr>
              <w:t>现有项目环评、验收情况及排污许可等手续情况</w:t>
            </w:r>
          </w:p>
          <w:p w14:paraId="404C6A77">
            <w:pPr>
              <w:pStyle w:val="4"/>
              <w:bidi w:val="0"/>
              <w:rPr>
                <w:rFonts w:hint="default" w:ascii="Times New Roman" w:hAnsi="Times New Roman" w:cs="Times New Roman"/>
                <w:b/>
                <w:bCs/>
                <w:color w:val="000000" w:themeColor="text1"/>
                <w:highlight w:val="none"/>
                <w:lang w:val="en-US" w:eastAsia="zh-CN"/>
                <w14:textFill>
                  <w14:solidFill>
                    <w14:schemeClr w14:val="tx1"/>
                  </w14:solidFill>
                </w14:textFill>
              </w:rPr>
            </w:pPr>
            <w:r>
              <w:rPr>
                <w:rFonts w:hint="default" w:ascii="Times New Roman" w:hAnsi="Times New Roman" w:cs="Times New Roman"/>
                <w:b/>
                <w:bCs/>
                <w:color w:val="000000" w:themeColor="text1"/>
                <w:highlight w:val="none"/>
                <w:lang w:val="en-US" w:eastAsia="zh-CN"/>
                <w14:textFill>
                  <w14:solidFill>
                    <w14:schemeClr w14:val="tx1"/>
                  </w14:solidFill>
                </w14:textFill>
              </w:rPr>
              <w:t>1、现有环评验收</w:t>
            </w:r>
            <w:r>
              <w:rPr>
                <w:rFonts w:hint="eastAsia" w:cs="Times New Roman"/>
                <w:b/>
                <w:bCs/>
                <w:color w:val="000000" w:themeColor="text1"/>
                <w:highlight w:val="none"/>
                <w:lang w:val="en-US" w:eastAsia="zh-CN"/>
                <w14:textFill>
                  <w14:solidFill>
                    <w14:schemeClr w14:val="tx1"/>
                  </w14:solidFill>
                </w14:textFill>
              </w:rPr>
              <w:t>、</w:t>
            </w:r>
            <w:r>
              <w:rPr>
                <w:rFonts w:hint="default" w:ascii="Times New Roman" w:hAnsi="Times New Roman" w:cs="Times New Roman"/>
                <w:b/>
                <w:bCs/>
                <w:color w:val="000000" w:themeColor="text1"/>
                <w:highlight w:val="none"/>
                <w:lang w:val="en-US" w:eastAsia="zh-CN"/>
                <w14:textFill>
                  <w14:solidFill>
                    <w14:schemeClr w14:val="tx1"/>
                  </w14:solidFill>
                </w14:textFill>
              </w:rPr>
              <w:t>验收</w:t>
            </w:r>
            <w:r>
              <w:rPr>
                <w:rFonts w:hint="eastAsia" w:cs="Times New Roman"/>
                <w:b/>
                <w:bCs/>
                <w:color w:val="000000" w:themeColor="text1"/>
                <w:highlight w:val="none"/>
                <w:lang w:val="en-US" w:eastAsia="zh-CN"/>
                <w14:textFill>
                  <w14:solidFill>
                    <w14:schemeClr w14:val="tx1"/>
                  </w14:solidFill>
                </w14:textFill>
              </w:rPr>
              <w:t>及排污许可</w:t>
            </w:r>
            <w:r>
              <w:rPr>
                <w:rFonts w:hint="default" w:ascii="Times New Roman" w:hAnsi="Times New Roman" w:cs="Times New Roman"/>
                <w:b/>
                <w:bCs/>
                <w:color w:val="000000" w:themeColor="text1"/>
                <w:highlight w:val="none"/>
                <w:lang w:val="en-US" w:eastAsia="zh-CN"/>
                <w14:textFill>
                  <w14:solidFill>
                    <w14:schemeClr w14:val="tx1"/>
                  </w14:solidFill>
                </w14:textFill>
              </w:rPr>
              <w:t>情况</w:t>
            </w:r>
          </w:p>
          <w:p w14:paraId="65757FDA">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广西协鑫中马分布式能源有限公司</w:t>
            </w:r>
            <w:r>
              <w:rPr>
                <w:rFonts w:hint="default" w:ascii="Times New Roman" w:hAnsi="Times New Roman" w:cs="Times New Roman"/>
                <w:color w:val="000000" w:themeColor="text1"/>
                <w:highlight w:val="none"/>
                <w14:textFill>
                  <w14:solidFill>
                    <w14:schemeClr w14:val="tx1"/>
                  </w14:solidFill>
                </w14:textFill>
              </w:rPr>
              <w:t>2015年9月委托广西泰能工程咨询有限公司编制《</w:t>
            </w:r>
            <w:r>
              <w:rPr>
                <w:rFonts w:hint="default" w:ascii="Times New Roman" w:hAnsi="Times New Roman" w:cs="Times New Roman"/>
                <w:color w:val="000000" w:themeColor="text1"/>
                <w:highlight w:val="none"/>
                <w:lang w:eastAsia="zh-CN"/>
                <w14:textFill>
                  <w14:solidFill>
                    <w14:schemeClr w14:val="tx1"/>
                  </w14:solidFill>
                </w14:textFill>
              </w:rPr>
              <w:t>广西协鑫中马分布式能源项目</w:t>
            </w:r>
            <w:r>
              <w:rPr>
                <w:rFonts w:hint="default" w:ascii="Times New Roman" w:hAnsi="Times New Roman" w:cs="Times New Roman"/>
                <w:color w:val="000000" w:themeColor="text1"/>
                <w:highlight w:val="none"/>
                <w14:textFill>
                  <w14:solidFill>
                    <w14:schemeClr w14:val="tx1"/>
                  </w14:solidFill>
                </w14:textFill>
              </w:rPr>
              <w:t>环境影响报告表》</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2015年</w:t>
            </w:r>
            <w:r>
              <w:rPr>
                <w:rFonts w:hint="default" w:ascii="Times New Roman" w:hAnsi="Times New Roman" w:cs="Times New Roman"/>
                <w:color w:val="000000" w:themeColor="text1"/>
                <w:highlight w:val="none"/>
                <w:lang w:val="en-US" w:eastAsia="zh-CN"/>
                <w14:textFill>
                  <w14:solidFill>
                    <w14:schemeClr w14:val="tx1"/>
                  </w14:solidFill>
                </w14:textFill>
              </w:rPr>
              <w:t>10</w:t>
            </w:r>
            <w:r>
              <w:rPr>
                <w:rFonts w:hint="default" w:ascii="Times New Roman" w:hAnsi="Times New Roman" w:cs="Times New Roman"/>
                <w:color w:val="000000" w:themeColor="text1"/>
                <w:highlight w:val="none"/>
                <w14:textFill>
                  <w14:solidFill>
                    <w14:schemeClr w14:val="tx1"/>
                  </w14:solidFill>
                </w14:textFill>
              </w:rPr>
              <w:t>月</w:t>
            </w:r>
            <w:r>
              <w:rPr>
                <w:rFonts w:hint="default" w:ascii="Times New Roman" w:hAnsi="Times New Roman" w:cs="Times New Roman"/>
                <w:color w:val="000000" w:themeColor="text1"/>
                <w:highlight w:val="none"/>
                <w:lang w:val="en-US" w:eastAsia="zh-CN"/>
                <w14:textFill>
                  <w14:solidFill>
                    <w14:schemeClr w14:val="tx1"/>
                  </w14:solidFill>
                </w14:textFill>
              </w:rPr>
              <w:t>28</w:t>
            </w:r>
            <w:r>
              <w:rPr>
                <w:rFonts w:hint="default" w:ascii="Times New Roman" w:hAnsi="Times New Roman" w:cs="Times New Roman"/>
                <w:color w:val="000000" w:themeColor="text1"/>
                <w:highlight w:val="none"/>
                <w14:textFill>
                  <w14:solidFill>
                    <w14:schemeClr w14:val="tx1"/>
                  </w14:solidFill>
                </w14:textFill>
              </w:rPr>
              <w:t>日</w:t>
            </w:r>
            <w:r>
              <w:rPr>
                <w:rFonts w:hint="default" w:ascii="Times New Roman" w:hAnsi="Times New Roman" w:cs="Times New Roman"/>
                <w:color w:val="000000" w:themeColor="text1"/>
                <w:highlight w:val="none"/>
                <w:lang w:val="en-US" w:eastAsia="zh-CN"/>
                <w14:textFill>
                  <w14:solidFill>
                    <w14:schemeClr w14:val="tx1"/>
                  </w14:solidFill>
                </w14:textFill>
              </w:rPr>
              <w:t>项目</w:t>
            </w:r>
            <w:r>
              <w:rPr>
                <w:rFonts w:hint="default" w:ascii="Times New Roman" w:hAnsi="Times New Roman" w:cs="Times New Roman"/>
                <w:color w:val="000000" w:themeColor="text1"/>
                <w:highlight w:val="none"/>
                <w14:textFill>
                  <w14:solidFill>
                    <w14:schemeClr w14:val="tx1"/>
                  </w14:solidFill>
                </w14:textFill>
              </w:rPr>
              <w:t>取得</w:t>
            </w:r>
            <w:r>
              <w:rPr>
                <w:rFonts w:hint="default" w:ascii="Times New Roman" w:hAnsi="Times New Roman" w:cs="Times New Roman"/>
                <w:color w:val="000000" w:themeColor="text1"/>
                <w:highlight w:val="none"/>
                <w:lang w:eastAsia="zh-CN"/>
                <w14:textFill>
                  <w14:solidFill>
                    <w14:schemeClr w14:val="tx1"/>
                  </w14:solidFill>
                </w14:textFill>
              </w:rPr>
              <w:t>广西壮族自治区</w:t>
            </w:r>
            <w:r>
              <w:rPr>
                <w:rFonts w:hint="eastAsia" w:cs="Times New Roman"/>
                <w:color w:val="000000" w:themeColor="text1"/>
                <w:highlight w:val="none"/>
                <w:lang w:eastAsia="zh-CN"/>
                <w14:textFill>
                  <w14:solidFill>
                    <w14:schemeClr w14:val="tx1"/>
                  </w14:solidFill>
                </w14:textFill>
              </w:rPr>
              <w:t>生态环境厅</w:t>
            </w:r>
            <w:r>
              <w:rPr>
                <w:rFonts w:hint="default" w:ascii="Times New Roman" w:hAnsi="Times New Roman" w:cs="Times New Roman"/>
                <w:color w:val="000000" w:themeColor="text1"/>
                <w:highlight w:val="none"/>
                <w14:textFill>
                  <w14:solidFill>
                    <w14:schemeClr w14:val="tx1"/>
                  </w14:solidFill>
                </w14:textFill>
              </w:rPr>
              <w:t>环评批复</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批复文号为桂环审[2015]180号</w:t>
            </w:r>
            <w:r>
              <w:rPr>
                <w:rFonts w:hint="default" w:ascii="Times New Roman" w:hAnsi="Times New Roman" w:cs="Times New Roman"/>
                <w:color w:val="000000" w:themeColor="text1"/>
                <w:highlight w:val="none"/>
                <w14:textFill>
                  <w14:solidFill>
                    <w14:schemeClr w14:val="tx1"/>
                  </w14:solidFill>
                </w14:textFill>
              </w:rPr>
              <w:t>；该项目于</w:t>
            </w:r>
            <w:r>
              <w:rPr>
                <w:rFonts w:hint="default" w:ascii="Times New Roman" w:hAnsi="Times New Roman" w:cs="Times New Roman"/>
                <w:color w:val="000000" w:themeColor="text1"/>
                <w:highlight w:val="none"/>
                <w:lang w:val="en-US" w:eastAsia="zh-CN"/>
                <w14:textFill>
                  <w14:solidFill>
                    <w14:schemeClr w14:val="tx1"/>
                  </w14:solidFill>
                </w14:textFill>
              </w:rPr>
              <w:t>2021年1</w:t>
            </w:r>
            <w:r>
              <w:rPr>
                <w:rFonts w:hint="eastAsia" w:cs="Times New Roman"/>
                <w:color w:val="000000" w:themeColor="text1"/>
                <w:highlight w:val="none"/>
                <w:lang w:val="en-US" w:eastAsia="zh-CN"/>
                <w14:textFill>
                  <w14:solidFill>
                    <w14:schemeClr w14:val="tx1"/>
                  </w14:solidFill>
                </w14:textFill>
              </w:rPr>
              <w:t>1月1</w:t>
            </w:r>
            <w:r>
              <w:rPr>
                <w:rFonts w:hint="default" w:ascii="Times New Roman" w:hAnsi="Times New Roman" w:cs="Times New Roman"/>
                <w:color w:val="000000" w:themeColor="text1"/>
                <w:highlight w:val="none"/>
                <w:lang w:val="en-US" w:eastAsia="zh-CN"/>
                <w14:textFill>
                  <w14:solidFill>
                    <w14:schemeClr w14:val="tx1"/>
                  </w14:solidFill>
                </w14:textFill>
              </w:rPr>
              <w:t>6日</w:t>
            </w:r>
            <w:r>
              <w:rPr>
                <w:rFonts w:hint="default" w:ascii="Times New Roman" w:hAnsi="Times New Roman" w:cs="Times New Roman"/>
                <w:color w:val="000000" w:themeColor="text1"/>
                <w:highlight w:val="none"/>
                <w14:textFill>
                  <w14:solidFill>
                    <w14:schemeClr w14:val="tx1"/>
                  </w14:solidFill>
                </w14:textFill>
              </w:rPr>
              <w:t>通过自主验收，</w:t>
            </w:r>
            <w:r>
              <w:rPr>
                <w:rFonts w:hint="default" w:ascii="Times New Roman" w:hAnsi="Times New Roman" w:cs="Times New Roman"/>
                <w:color w:val="000000" w:themeColor="text1"/>
                <w:highlight w:val="none"/>
                <w:lang w:eastAsia="zh-CN"/>
                <w14:textFill>
                  <w14:solidFill>
                    <w14:schemeClr w14:val="tx1"/>
                  </w14:solidFill>
                </w14:textFill>
              </w:rPr>
              <w:t>广西协鑫中马分布式能源有限公司</w:t>
            </w:r>
            <w:r>
              <w:rPr>
                <w:rFonts w:hint="default" w:ascii="Times New Roman" w:hAnsi="Times New Roman" w:cs="Times New Roman"/>
                <w:color w:val="000000" w:themeColor="text1"/>
                <w:highlight w:val="none"/>
                <w14:textFill>
                  <w14:solidFill>
                    <w14:schemeClr w14:val="tx1"/>
                  </w14:solidFill>
                </w14:textFill>
              </w:rPr>
              <w:t>排污许可证</w:t>
            </w:r>
            <w:r>
              <w:rPr>
                <w:rFonts w:hint="default" w:ascii="Times New Roman" w:hAnsi="Times New Roman" w:cs="Times New Roman"/>
                <w:color w:val="000000" w:themeColor="text1"/>
                <w:highlight w:val="none"/>
                <w:lang w:eastAsia="zh-CN"/>
                <w14:textFill>
                  <w14:solidFill>
                    <w14:schemeClr w14:val="tx1"/>
                  </w14:solidFill>
                </w14:textFill>
              </w:rPr>
              <w:t>证书编号：91450700340406082M001R</w:t>
            </w:r>
            <w:r>
              <w:rPr>
                <w:rFonts w:hint="default" w:ascii="Times New Roman" w:hAnsi="Times New Roman" w:cs="Times New Roman"/>
                <w:color w:val="000000" w:themeColor="text1"/>
                <w:highlight w:val="none"/>
                <w14:textFill>
                  <w14:solidFill>
                    <w14:schemeClr w14:val="tx1"/>
                  </w14:solidFill>
                </w14:textFill>
              </w:rPr>
              <w:t>。</w:t>
            </w:r>
          </w:p>
          <w:p w14:paraId="7AE5778C">
            <w:pPr>
              <w:pStyle w:val="4"/>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2023年5月17日</w:t>
            </w:r>
            <w:r>
              <w:rPr>
                <w:rFonts w:hint="default" w:ascii="Times New Roman" w:hAnsi="Times New Roman" w:cs="Times New Roman"/>
                <w:color w:val="000000" w:themeColor="text1"/>
                <w:highlight w:val="none"/>
                <w:lang w:val="en-US" w:eastAsia="zh-CN"/>
                <w14:textFill>
                  <w14:solidFill>
                    <w14:schemeClr w14:val="tx1"/>
                  </w14:solidFill>
                </w14:textFill>
              </w:rPr>
              <w:t>广</w:t>
            </w:r>
            <w:r>
              <w:rPr>
                <w:rFonts w:hint="default" w:ascii="Times New Roman" w:hAnsi="Times New Roman" w:cs="Times New Roman"/>
                <w:color w:val="000000" w:themeColor="text1"/>
                <w:highlight w:val="none"/>
                <w14:textFill>
                  <w14:solidFill>
                    <w14:schemeClr w14:val="tx1"/>
                  </w14:solidFill>
                </w14:textFill>
              </w:rPr>
              <w:t>西协鑫中马分布式能源有限公司</w:t>
            </w:r>
            <w:r>
              <w:rPr>
                <w:rFonts w:hint="default" w:ascii="Times New Roman" w:hAnsi="Times New Roman" w:cs="Times New Roman"/>
                <w:color w:val="000000" w:themeColor="text1"/>
                <w:highlight w:val="none"/>
                <w:lang w:val="en-US" w:eastAsia="zh-CN"/>
                <w14:textFill>
                  <w14:solidFill>
                    <w14:schemeClr w14:val="tx1"/>
                  </w14:solidFill>
                </w14:textFill>
              </w:rPr>
              <w:t>更名为广</w:t>
            </w:r>
            <w:r>
              <w:rPr>
                <w:rFonts w:hint="default" w:ascii="Times New Roman" w:hAnsi="Times New Roman" w:cs="Times New Roman"/>
                <w:color w:val="000000" w:themeColor="text1"/>
                <w:highlight w:val="none"/>
                <w14:textFill>
                  <w14:solidFill>
                    <w14:schemeClr w14:val="tx1"/>
                  </w14:solidFill>
                </w14:textFill>
              </w:rPr>
              <w:t>西中马投控分布式能源有限公司</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现有项目环保手续见表2-10所示。</w:t>
            </w:r>
          </w:p>
          <w:p w14:paraId="36229B72">
            <w:pPr>
              <w:pStyle w:val="3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表2-</w:t>
            </w:r>
            <w:r>
              <w:rPr>
                <w:rFonts w:hint="eastAsia" w:cs="Times New Roman"/>
                <w:color w:val="000000" w:themeColor="text1"/>
                <w:highlight w:val="none"/>
                <w:lang w:val="en-US" w:eastAsia="zh-CN"/>
                <w14:textFill>
                  <w14:solidFill>
                    <w14:schemeClr w14:val="tx1"/>
                  </w14:solidFill>
                </w14:textFill>
              </w:rPr>
              <w:t>10</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现有及项目环保手续一览表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36"/>
              <w:gridCol w:w="1553"/>
              <w:gridCol w:w="2643"/>
              <w:gridCol w:w="1631"/>
            </w:tblGrid>
            <w:tr w14:paraId="156F31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1" w:type="pct"/>
                  <w:tcBorders>
                    <w:tl2br w:val="nil"/>
                    <w:tr2bl w:val="nil"/>
                  </w:tcBorders>
                  <w:noWrap w:val="0"/>
                  <w:vAlign w:val="center"/>
                </w:tcPr>
                <w:p w14:paraId="25633B3C">
                  <w:pPr>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项目名称</w:t>
                  </w:r>
                </w:p>
              </w:tc>
              <w:tc>
                <w:tcPr>
                  <w:tcW w:w="1204" w:type="pct"/>
                  <w:tcBorders>
                    <w:tl2br w:val="nil"/>
                    <w:tr2bl w:val="nil"/>
                  </w:tcBorders>
                  <w:noWrap w:val="0"/>
                  <w:vAlign w:val="center"/>
                </w:tcPr>
                <w:p w14:paraId="061338CB">
                  <w:pPr>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环评批复情况</w:t>
                  </w:r>
                </w:p>
              </w:tc>
              <w:tc>
                <w:tcPr>
                  <w:tcW w:w="1031" w:type="pct"/>
                  <w:tcBorders>
                    <w:tl2br w:val="nil"/>
                    <w:tr2bl w:val="nil"/>
                  </w:tcBorders>
                  <w:noWrap w:val="0"/>
                  <w:vAlign w:val="center"/>
                </w:tcPr>
                <w:p w14:paraId="77AF88F0">
                  <w:pPr>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排污许可情况</w:t>
                  </w:r>
                </w:p>
              </w:tc>
              <w:tc>
                <w:tcPr>
                  <w:tcW w:w="1253" w:type="pct"/>
                  <w:tcBorders>
                    <w:tl2br w:val="nil"/>
                    <w:tr2bl w:val="nil"/>
                  </w:tcBorders>
                  <w:noWrap w:val="0"/>
                  <w:vAlign w:val="center"/>
                </w:tcPr>
                <w:p w14:paraId="487F79FF">
                  <w:pPr>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验收情况</w:t>
                  </w:r>
                </w:p>
              </w:tc>
            </w:tr>
            <w:tr w14:paraId="42550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1" w:type="pct"/>
                  <w:tcBorders>
                    <w:tl2br w:val="nil"/>
                    <w:tr2bl w:val="nil"/>
                  </w:tcBorders>
                  <w:noWrap w:val="0"/>
                  <w:vAlign w:val="center"/>
                </w:tcPr>
                <w:p w14:paraId="5DAC280C">
                  <w:pPr>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广西协鑫中马分布式能源有限公司广西协鑫中马分布式能源项目</w:t>
                  </w:r>
                </w:p>
              </w:tc>
              <w:tc>
                <w:tcPr>
                  <w:tcW w:w="1204" w:type="pct"/>
                  <w:tcBorders>
                    <w:tl2br w:val="nil"/>
                    <w:tr2bl w:val="nil"/>
                  </w:tcBorders>
                  <w:noWrap w:val="0"/>
                  <w:vAlign w:val="center"/>
                </w:tcPr>
                <w:p w14:paraId="1A8E9153">
                  <w:pPr>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2013年6月24日</w:t>
                  </w:r>
                  <w:r>
                    <w:rPr>
                      <w:rFonts w:hint="default" w:ascii="Times New Roman" w:hAnsi="Times New Roman" w:cs="Times New Roman"/>
                      <w:color w:val="000000" w:themeColor="text1"/>
                      <w:highlight w:val="none"/>
                      <w:lang w:eastAsia="zh-CN"/>
                      <w14:textFill>
                        <w14:solidFill>
                          <w14:schemeClr w14:val="tx1"/>
                        </w14:solidFill>
                      </w14:textFill>
                    </w:rPr>
                    <w:t>广西壮族自治区</w:t>
                  </w:r>
                  <w:r>
                    <w:rPr>
                      <w:rFonts w:hint="eastAsia" w:cs="Times New Roman"/>
                      <w:color w:val="000000" w:themeColor="text1"/>
                      <w:highlight w:val="none"/>
                      <w:lang w:eastAsia="zh-CN"/>
                      <w14:textFill>
                        <w14:solidFill>
                          <w14:schemeClr w14:val="tx1"/>
                        </w14:solidFill>
                      </w14:textFill>
                    </w:rPr>
                    <w:t>生态环境厅</w:t>
                  </w:r>
                </w:p>
              </w:tc>
              <w:tc>
                <w:tcPr>
                  <w:tcW w:w="1031" w:type="pct"/>
                  <w:tcBorders>
                    <w:tl2br w:val="nil"/>
                    <w:tr2bl w:val="nil"/>
                  </w:tcBorders>
                  <w:noWrap w:val="0"/>
                  <w:vAlign w:val="center"/>
                </w:tcPr>
                <w:p w14:paraId="7152A808">
                  <w:pPr>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91450700340406082M001R</w:t>
                  </w:r>
                </w:p>
              </w:tc>
              <w:tc>
                <w:tcPr>
                  <w:tcW w:w="1253" w:type="pct"/>
                  <w:tcBorders>
                    <w:tl2br w:val="nil"/>
                    <w:tr2bl w:val="nil"/>
                  </w:tcBorders>
                  <w:noWrap w:val="0"/>
                  <w:vAlign w:val="center"/>
                </w:tcPr>
                <w:p w14:paraId="286D54FC">
                  <w:pPr>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2021年1</w:t>
                  </w:r>
                  <w:r>
                    <w:rPr>
                      <w:rFonts w:hint="eastAsia"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月</w:t>
                  </w:r>
                  <w:r>
                    <w:rPr>
                      <w:rFonts w:hint="eastAsia"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lang w:eastAsia="zh-CN"/>
                      <w14:textFill>
                        <w14:solidFill>
                          <w14:schemeClr w14:val="tx1"/>
                        </w14:solidFill>
                      </w14:textFill>
                    </w:rPr>
                    <w:t>6日</w:t>
                  </w:r>
                  <w:r>
                    <w:rPr>
                      <w:rFonts w:hint="default" w:ascii="Times New Roman" w:hAnsi="Times New Roman" w:cs="Times New Roman"/>
                      <w:color w:val="000000" w:themeColor="text1"/>
                      <w:highlight w:val="none"/>
                      <w14:textFill>
                        <w14:solidFill>
                          <w14:schemeClr w14:val="tx1"/>
                        </w14:solidFill>
                      </w14:textFill>
                    </w:rPr>
                    <w:t>自主验收</w:t>
                  </w:r>
                </w:p>
              </w:tc>
            </w:tr>
          </w:tbl>
          <w:p w14:paraId="329AD3EE">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2</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现有工程污染物达标排放情况分析</w:t>
            </w:r>
          </w:p>
          <w:p w14:paraId="5EC2FEB7">
            <w:pPr>
              <w:keepNext w:val="0"/>
              <w:keepLines w:val="0"/>
              <w:pageBreakBefore w:val="0"/>
              <w:widowControl/>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废气</w:t>
            </w:r>
          </w:p>
          <w:p w14:paraId="4CC831E2">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现有项目废气主要为</w:t>
            </w:r>
            <w:r>
              <w:rPr>
                <w:rFonts w:hint="default" w:ascii="Times New Roman" w:hAnsi="Times New Roman" w:cs="Times New Roman"/>
                <w:color w:val="000000" w:themeColor="text1"/>
                <w:sz w:val="24"/>
                <w:highlight w:val="none"/>
                <w:lang w:eastAsia="zh-CN"/>
                <w14:textFill>
                  <w14:solidFill>
                    <w14:schemeClr w14:val="tx1"/>
                  </w14:solidFill>
                </w14:textFill>
              </w:rPr>
              <w:t>燃气轮机组和启动锅炉燃烧产生的废气，主要污染物为氮氧化物、二氧化硫、烟尘、林格曼黑度</w:t>
            </w:r>
            <w:r>
              <w:rPr>
                <w:rFonts w:hint="default" w:ascii="Times New Roman" w:hAnsi="Times New Roman" w:cs="Times New Roman"/>
                <w:color w:val="000000" w:themeColor="text1"/>
                <w:sz w:val="24"/>
                <w:highlight w:val="none"/>
                <w14:textFill>
                  <w14:solidFill>
                    <w14:schemeClr w14:val="tx1"/>
                  </w14:solidFill>
                </w14:textFill>
              </w:rPr>
              <w:t>。</w:t>
            </w:r>
          </w:p>
          <w:p w14:paraId="3A533CB7">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eastAsia" w:cs="Times New Roman"/>
                <w:color w:val="000000" w:themeColor="text1"/>
                <w:sz w:val="24"/>
                <w:highlight w:val="none"/>
                <w:lang w:val="en-US" w:eastAsia="zh-CN"/>
                <w14:textFill>
                  <w14:solidFill>
                    <w14:schemeClr w14:val="tx1"/>
                  </w14:solidFill>
                </w14:textFill>
              </w:rPr>
              <w:t>现有工程</w:t>
            </w:r>
            <w:r>
              <w:rPr>
                <w:rFonts w:hint="default" w:ascii="Times New Roman" w:hAnsi="Times New Roman" w:cs="Times New Roman"/>
                <w:color w:val="000000" w:themeColor="text1"/>
                <w:sz w:val="24"/>
                <w:highlight w:val="none"/>
                <w:lang w:val="en-US" w:eastAsia="zh-CN"/>
                <w14:textFill>
                  <w14:solidFill>
                    <w14:schemeClr w14:val="tx1"/>
                  </w14:solidFill>
                </w14:textFill>
              </w:rPr>
              <w:t>在生产过程中</w:t>
            </w:r>
            <w:r>
              <w:rPr>
                <w:rFonts w:hint="default" w:ascii="Times New Roman" w:hAnsi="Times New Roman" w:cs="Times New Roman"/>
                <w:color w:val="000000" w:themeColor="text1"/>
                <w:sz w:val="24"/>
                <w:highlight w:val="none"/>
                <w:lang w:eastAsia="zh-CN"/>
                <w14:textFill>
                  <w14:solidFill>
                    <w14:schemeClr w14:val="tx1"/>
                  </w14:solidFill>
                </w14:textFill>
              </w:rPr>
              <w:t>使用清洁燃料、低氮燃烧（DLN），在烟囱符合监测高度要求的位置安装烟气连续监测系统（CEMS)。锅炉烟气</w:t>
            </w:r>
            <w:r>
              <w:rPr>
                <w:rFonts w:hint="default" w:ascii="Times New Roman" w:hAnsi="Times New Roman" w:cs="Times New Roman"/>
                <w:color w:val="000000" w:themeColor="text1"/>
                <w:sz w:val="24"/>
                <w:highlight w:val="none"/>
                <w:lang w:val="en-US" w:eastAsia="zh-CN"/>
                <w14:textFill>
                  <w14:solidFill>
                    <w14:schemeClr w14:val="tx1"/>
                  </w14:solidFill>
                </w14:textFill>
              </w:rPr>
              <w:t>中的</w:t>
            </w:r>
            <w:r>
              <w:rPr>
                <w:rFonts w:hint="default" w:ascii="Times New Roman" w:hAnsi="Times New Roman" w:eastAsia="宋体" w:cs="Times New Roman"/>
                <w:color w:val="000000" w:themeColor="text1"/>
                <w:kern w:val="0"/>
                <w:sz w:val="24"/>
                <w:highlight w:val="none"/>
                <w14:textFill>
                  <w14:solidFill>
                    <w14:schemeClr w14:val="tx1"/>
                  </w14:solidFill>
                </w14:textFill>
              </w:rPr>
              <w:t>SO</w:t>
            </w:r>
            <w:r>
              <w:rPr>
                <w:rFonts w:hint="default" w:ascii="Times New Roman" w:hAnsi="Times New Roman" w:eastAsia="宋体" w:cs="Times New Roman"/>
                <w:color w:val="000000" w:themeColor="text1"/>
                <w:kern w:val="0"/>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highlight w:val="none"/>
                <w14:textFill>
                  <w14:solidFill>
                    <w14:schemeClr w14:val="tx1"/>
                  </w14:solidFill>
                </w14:textFill>
              </w:rPr>
              <w:t>、NOx、颗粒物经</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DLN低氮燃烧技术</w:t>
            </w:r>
            <w:r>
              <w:rPr>
                <w:rFonts w:hint="default" w:ascii="Times New Roman" w:hAnsi="Times New Roman"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燃机安装的干式低氮燃烧器相</w:t>
            </w:r>
            <w:r>
              <w:rPr>
                <w:rFonts w:hint="default" w:ascii="Times New Roman" w:hAnsi="Times New Roman" w:eastAsia="宋体" w:cs="Times New Roman"/>
                <w:color w:val="000000" w:themeColor="text1"/>
                <w:kern w:val="0"/>
                <w:sz w:val="24"/>
                <w:highlight w:val="none"/>
                <w14:textFill>
                  <w14:solidFill>
                    <w14:schemeClr w14:val="tx1"/>
                  </w14:solidFill>
                </w14:textFill>
              </w:rPr>
              <w:t>”处理后经</w:t>
            </w:r>
            <w:r>
              <w:rPr>
                <w:rFonts w:hint="default" w:ascii="Times New Roman" w:hAnsi="Times New Roman" w:cs="Times New Roman"/>
                <w:color w:val="000000" w:themeColor="text1"/>
                <w:kern w:val="0"/>
                <w:sz w:val="24"/>
                <w:highlight w:val="none"/>
                <w:lang w:val="en-US" w:eastAsia="zh-CN"/>
                <w14:textFill>
                  <w14:solidFill>
                    <w14:schemeClr w14:val="tx1"/>
                  </w14:solidFill>
                </w14:textFill>
              </w:rPr>
              <w:t>1根15m高的预热排气筒DA00</w:t>
            </w:r>
            <w:r>
              <w:rPr>
                <w:rFonts w:hint="default" w:ascii="Times New Roman" w:hAnsi="Times New Roman" w:cs="Times New Roman"/>
                <w:color w:val="000000" w:themeColor="text1"/>
                <w:sz w:val="24"/>
                <w:highlight w:val="none"/>
                <w:lang w:val="en-US" w:eastAsia="zh-CN"/>
                <w14:textFill>
                  <w14:solidFill>
                    <w14:schemeClr w14:val="tx1"/>
                  </w14:solidFill>
                </w14:textFill>
              </w:rPr>
              <w:t>3和2根40</w:t>
            </w:r>
            <w:r>
              <w:rPr>
                <w:rFonts w:hint="default" w:ascii="Times New Roman" w:hAnsi="Times New Roman" w:cs="Times New Roman"/>
                <w:color w:val="000000" w:themeColor="text1"/>
                <w:sz w:val="24"/>
                <w:highlight w:val="none"/>
                <w14:textFill>
                  <w14:solidFill>
                    <w14:schemeClr w14:val="tx1"/>
                  </w14:solidFill>
                </w14:textFill>
              </w:rPr>
              <w:t>m高</w:t>
            </w:r>
            <w:r>
              <w:rPr>
                <w:rFonts w:hint="default" w:ascii="Times New Roman" w:hAnsi="Times New Roman" w:cs="Times New Roman"/>
                <w:color w:val="000000" w:themeColor="text1"/>
                <w:sz w:val="24"/>
                <w:highlight w:val="none"/>
                <w:lang w:val="en-US" w:eastAsia="zh-CN"/>
                <w14:textFill>
                  <w14:solidFill>
                    <w14:schemeClr w14:val="tx1"/>
                  </w14:solidFill>
                </w14:textFill>
              </w:rPr>
              <w:t>烟囱排放</w:t>
            </w:r>
            <w:r>
              <w:rPr>
                <w:rFonts w:hint="default" w:ascii="Times New Roman" w:hAnsi="Times New Roman" w:cs="Times New Roman"/>
                <w:color w:val="000000" w:themeColor="text1"/>
                <w:sz w:val="24"/>
                <w:highlight w:val="none"/>
                <w14:textFill>
                  <w14:solidFill>
                    <w14:schemeClr w14:val="tx1"/>
                  </w14:solidFill>
                </w14:textFill>
              </w:rPr>
              <w:t>（DA001</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DA00</w:t>
            </w:r>
            <w:r>
              <w:rPr>
                <w:rFonts w:hint="default"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）排放。</w:t>
            </w:r>
          </w:p>
          <w:p w14:paraId="679B16E2">
            <w:pPr>
              <w:pStyle w:val="4"/>
              <w:bidi w:val="0"/>
              <w:rPr>
                <w:rFonts w:hint="default"/>
                <w:b/>
                <w:bCs/>
                <w:color w:val="000000" w:themeColor="text1"/>
                <w:lang w:val="en-US" w:eastAsia="zh-CN"/>
                <w14:textFill>
                  <w14:solidFill>
                    <w14:schemeClr w14:val="tx1"/>
                  </w14:solidFill>
                </w14:textFill>
              </w:rPr>
            </w:pPr>
            <w:r>
              <w:rPr>
                <w:rFonts w:hint="eastAsia"/>
                <w:b/>
                <w:bCs/>
                <w:color w:val="000000" w:themeColor="text1"/>
                <w14:textFill>
                  <w14:solidFill>
                    <w14:schemeClr w14:val="tx1"/>
                  </w14:solidFill>
                </w14:textFill>
              </w:rPr>
              <w:t>①</w:t>
            </w:r>
            <w:r>
              <w:rPr>
                <w:rFonts w:hint="eastAsia"/>
                <w:b/>
                <w:bCs/>
                <w:color w:val="000000" w:themeColor="text1"/>
                <w:lang w:val="en-US" w:eastAsia="zh-CN"/>
                <w14:textFill>
                  <w14:solidFill>
                    <w14:schemeClr w14:val="tx1"/>
                  </w14:solidFill>
                </w14:textFill>
              </w:rPr>
              <w:t>现有</w:t>
            </w:r>
            <w:r>
              <w:rPr>
                <w:rFonts w:hint="default"/>
                <w:b/>
                <w:bCs/>
                <w:color w:val="000000" w:themeColor="text1"/>
                <w14:textFill>
                  <w14:solidFill>
                    <w14:schemeClr w14:val="tx1"/>
                  </w14:solidFill>
                </w14:textFill>
              </w:rPr>
              <w:t>工程</w:t>
            </w:r>
            <w:r>
              <w:rPr>
                <w:rFonts w:hint="eastAsia"/>
                <w:b/>
                <w:bCs/>
                <w:color w:val="000000" w:themeColor="text1"/>
                <w:lang w:val="en-US" w:eastAsia="zh-CN"/>
                <w14:textFill>
                  <w14:solidFill>
                    <w14:schemeClr w14:val="tx1"/>
                  </w14:solidFill>
                </w14:textFill>
              </w:rPr>
              <w:t>废气达标情况</w:t>
            </w:r>
          </w:p>
          <w:p w14:paraId="7FC5B24B">
            <w:pPr>
              <w:spacing w:line="360" w:lineRule="auto"/>
              <w:ind w:firstLine="480"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现有工程废气排放达标情况</w:t>
            </w:r>
            <w:r>
              <w:rPr>
                <w:rFonts w:hint="eastAsia" w:cs="Times New Roman"/>
                <w:color w:val="000000" w:themeColor="text1"/>
                <w:kern w:val="0"/>
                <w:sz w:val="24"/>
                <w:highlight w:val="none"/>
                <w:lang w:val="en-US" w:eastAsia="zh-CN"/>
                <w14:textFill>
                  <w14:solidFill>
                    <w14:schemeClr w14:val="tx1"/>
                  </w14:solidFill>
                </w14:textFill>
              </w:rPr>
              <w:t>见表2-11所示。</w:t>
            </w:r>
          </w:p>
          <w:p w14:paraId="1590E773">
            <w:pPr>
              <w:pStyle w:val="3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表2-</w:t>
            </w:r>
            <w:r>
              <w:rPr>
                <w:rFonts w:hint="eastAsia" w:cs="Times New Roman"/>
                <w:color w:val="000000" w:themeColor="text1"/>
                <w:highlight w:val="none"/>
                <w:lang w:val="en-US" w:eastAsia="zh-CN"/>
                <w14:textFill>
                  <w14:solidFill>
                    <w14:schemeClr w14:val="tx1"/>
                  </w14:solidFill>
                </w14:textFill>
              </w:rPr>
              <w:t>11</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DA003</w:t>
            </w:r>
            <w:r>
              <w:rPr>
                <w:rFonts w:hint="eastAsia" w:cs="Times New Roman"/>
                <w:color w:val="000000" w:themeColor="text1"/>
                <w:highlight w:val="none"/>
                <w:lang w:eastAsia="zh-CN"/>
                <w14:textFill>
                  <w14:solidFill>
                    <w14:schemeClr w14:val="tx1"/>
                  </w14:solidFill>
                </w14:textFill>
              </w:rPr>
              <w:t>余热锅炉</w:t>
            </w:r>
            <w:r>
              <w:rPr>
                <w:rFonts w:hint="default" w:ascii="Times New Roman" w:hAnsi="Times New Roman" w:cs="Times New Roman"/>
                <w:color w:val="000000" w:themeColor="text1"/>
                <w:highlight w:val="none"/>
                <w14:textFill>
                  <w14:solidFill>
                    <w14:schemeClr w14:val="tx1"/>
                  </w14:solidFill>
                </w14:textFill>
              </w:rPr>
              <w:t>废气排放口有组织废气检测结果</w:t>
            </w:r>
          </w:p>
          <w:tbl>
            <w:tblPr>
              <w:tblStyle w:val="4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07"/>
              <w:gridCol w:w="1463"/>
              <w:gridCol w:w="930"/>
              <w:gridCol w:w="434"/>
              <w:gridCol w:w="223"/>
              <w:gridCol w:w="953"/>
              <w:gridCol w:w="245"/>
              <w:gridCol w:w="732"/>
              <w:gridCol w:w="148"/>
              <w:gridCol w:w="637"/>
              <w:gridCol w:w="1094"/>
            </w:tblGrid>
            <w:tr w14:paraId="0CA9D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000" w:type="pct"/>
                  <w:gridSpan w:val="11"/>
                  <w:tcBorders>
                    <w:tl2br w:val="nil"/>
                    <w:tr2bl w:val="nil"/>
                  </w:tcBorders>
                  <w:vAlign w:val="center"/>
                </w:tcPr>
                <w:p w14:paraId="2E499A0A">
                  <w:pPr>
                    <w:pStyle w:val="35"/>
                    <w:widowControl w:val="0"/>
                    <w:autoSpaceDE w:val="0"/>
                    <w:autoSpaceDN w:val="0"/>
                    <w:bidi w:val="0"/>
                    <w:jc w:val="both"/>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(1)污染源排放参数</w:t>
                  </w:r>
                </w:p>
              </w:tc>
            </w:tr>
            <w:tr w14:paraId="56398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tcBorders>
                    <w:tl2br w:val="nil"/>
                    <w:tr2bl w:val="nil"/>
                  </w:tcBorders>
                  <w:vAlign w:val="center"/>
                </w:tcPr>
                <w:p w14:paraId="28AC9E6B">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采样日期</w:t>
                  </w:r>
                </w:p>
              </w:tc>
              <w:tc>
                <w:tcPr>
                  <w:tcW w:w="930" w:type="pct"/>
                  <w:tcBorders>
                    <w:tl2br w:val="nil"/>
                    <w:tr2bl w:val="nil"/>
                  </w:tcBorders>
                  <w:vAlign w:val="center"/>
                </w:tcPr>
                <w:p w14:paraId="1A24BD51">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检测频次</w:t>
                  </w:r>
                </w:p>
              </w:tc>
              <w:tc>
                <w:tcPr>
                  <w:tcW w:w="591" w:type="pct"/>
                  <w:tcBorders>
                    <w:tl2br w:val="nil"/>
                    <w:tr2bl w:val="nil"/>
                  </w:tcBorders>
                  <w:vAlign w:val="center"/>
                </w:tcPr>
                <w:p w14:paraId="61AD59FD">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检测项目</w:t>
                  </w:r>
                </w:p>
              </w:tc>
              <w:tc>
                <w:tcPr>
                  <w:tcW w:w="418" w:type="pct"/>
                  <w:gridSpan w:val="2"/>
                  <w:tcBorders>
                    <w:tl2br w:val="nil"/>
                    <w:tr2bl w:val="nil"/>
                  </w:tcBorders>
                  <w:vAlign w:val="center"/>
                </w:tcPr>
                <w:p w14:paraId="5EDA8635">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氧含量</w:t>
                  </w:r>
                </w:p>
                <w:p w14:paraId="714CB6AF">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w:t>
                  </w:r>
                </w:p>
              </w:tc>
              <w:tc>
                <w:tcPr>
                  <w:tcW w:w="762" w:type="pct"/>
                  <w:gridSpan w:val="2"/>
                  <w:tcBorders>
                    <w:tl2br w:val="nil"/>
                    <w:tr2bl w:val="nil"/>
                  </w:tcBorders>
                  <w:vAlign w:val="center"/>
                </w:tcPr>
                <w:p w14:paraId="186F95D4">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烟温</w:t>
                  </w:r>
                </w:p>
                <w:p w14:paraId="030D77EB">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w:t>
                  </w:r>
                </w:p>
              </w:tc>
              <w:tc>
                <w:tcPr>
                  <w:tcW w:w="465" w:type="pct"/>
                  <w:tcBorders>
                    <w:tl2br w:val="nil"/>
                    <w:tr2bl w:val="nil"/>
                  </w:tcBorders>
                  <w:vAlign w:val="center"/>
                </w:tcPr>
                <w:p w14:paraId="161EC3F0">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含湿量</w:t>
                  </w:r>
                </w:p>
                <w:p w14:paraId="2505E909">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w:t>
                  </w:r>
                </w:p>
              </w:tc>
              <w:tc>
                <w:tcPr>
                  <w:tcW w:w="499" w:type="pct"/>
                  <w:gridSpan w:val="2"/>
                  <w:tcBorders>
                    <w:tl2br w:val="nil"/>
                    <w:tr2bl w:val="nil"/>
                  </w:tcBorders>
                  <w:vAlign w:val="center"/>
                </w:tcPr>
                <w:p w14:paraId="5E8F7090">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流速</w:t>
                  </w:r>
                </w:p>
                <w:p w14:paraId="387935C9">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(m/s)</w:t>
                  </w:r>
                </w:p>
              </w:tc>
              <w:tc>
                <w:tcPr>
                  <w:tcW w:w="693" w:type="pct"/>
                  <w:tcBorders>
                    <w:tl2br w:val="nil"/>
                    <w:tr2bl w:val="nil"/>
                  </w:tcBorders>
                  <w:vAlign w:val="center"/>
                </w:tcPr>
                <w:p w14:paraId="3F433A26">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标干流量</w:t>
                  </w:r>
                </w:p>
                <w:p w14:paraId="35F2D805">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(m³/h)</w:t>
                  </w:r>
                </w:p>
              </w:tc>
            </w:tr>
            <w:tr w14:paraId="29B18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restart"/>
                  <w:tcBorders>
                    <w:tl2br w:val="nil"/>
                    <w:tr2bl w:val="nil"/>
                  </w:tcBorders>
                  <w:vAlign w:val="center"/>
                </w:tcPr>
                <w:p w14:paraId="5C0F49A5">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2025.02.28</w:t>
                  </w:r>
                </w:p>
              </w:tc>
              <w:tc>
                <w:tcPr>
                  <w:tcW w:w="930" w:type="pct"/>
                  <w:tcBorders>
                    <w:tl2br w:val="nil"/>
                    <w:tr2bl w:val="nil"/>
                  </w:tcBorders>
                  <w:vAlign w:val="center"/>
                </w:tcPr>
                <w:p w14:paraId="71BD0400">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第一次</w:t>
                  </w:r>
                </w:p>
              </w:tc>
              <w:tc>
                <w:tcPr>
                  <w:tcW w:w="591" w:type="pct"/>
                  <w:vMerge w:val="restart"/>
                  <w:tcBorders>
                    <w:tl2br w:val="nil"/>
                    <w:tr2bl w:val="nil"/>
                  </w:tcBorders>
                  <w:vAlign w:val="center"/>
                </w:tcPr>
                <w:p w14:paraId="037FC291">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氮氧化物</w:t>
                  </w:r>
                </w:p>
                <w:p w14:paraId="62E6922B">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二氧化硫</w:t>
                  </w:r>
                </w:p>
                <w:p w14:paraId="14D1019A">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颗粒物</w:t>
                  </w:r>
                </w:p>
              </w:tc>
              <w:tc>
                <w:tcPr>
                  <w:tcW w:w="418" w:type="pct"/>
                  <w:gridSpan w:val="2"/>
                  <w:tcBorders>
                    <w:tl2br w:val="nil"/>
                    <w:tr2bl w:val="nil"/>
                  </w:tcBorders>
                  <w:vAlign w:val="center"/>
                </w:tcPr>
                <w:p w14:paraId="0CC7B4EE">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4.5</w:t>
                  </w:r>
                </w:p>
              </w:tc>
              <w:tc>
                <w:tcPr>
                  <w:tcW w:w="762" w:type="pct"/>
                  <w:gridSpan w:val="2"/>
                  <w:tcBorders>
                    <w:tl2br w:val="nil"/>
                    <w:tr2bl w:val="nil"/>
                  </w:tcBorders>
                  <w:vAlign w:val="center"/>
                </w:tcPr>
                <w:p w14:paraId="0031316E">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46.8</w:t>
                  </w:r>
                </w:p>
              </w:tc>
              <w:tc>
                <w:tcPr>
                  <w:tcW w:w="465" w:type="pct"/>
                  <w:tcBorders>
                    <w:tl2br w:val="nil"/>
                    <w:tr2bl w:val="nil"/>
                  </w:tcBorders>
                  <w:vAlign w:val="center"/>
                </w:tcPr>
                <w:p w14:paraId="4120F330">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14.59</w:t>
                  </w:r>
                </w:p>
              </w:tc>
              <w:tc>
                <w:tcPr>
                  <w:tcW w:w="499" w:type="pct"/>
                  <w:gridSpan w:val="2"/>
                  <w:tcBorders>
                    <w:tl2br w:val="nil"/>
                    <w:tr2bl w:val="nil"/>
                  </w:tcBorders>
                  <w:vAlign w:val="center"/>
                </w:tcPr>
                <w:p w14:paraId="6D6A4261">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2.6</w:t>
                  </w:r>
                </w:p>
              </w:tc>
              <w:tc>
                <w:tcPr>
                  <w:tcW w:w="693" w:type="pct"/>
                  <w:tcBorders>
                    <w:tl2br w:val="nil"/>
                    <w:tr2bl w:val="nil"/>
                  </w:tcBorders>
                  <w:vAlign w:val="center"/>
                </w:tcPr>
                <w:p w14:paraId="085780AD">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5353</w:t>
                  </w:r>
                </w:p>
              </w:tc>
            </w:tr>
            <w:tr w14:paraId="08068F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162C0B0C">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930" w:type="pct"/>
                  <w:tcBorders>
                    <w:tl2br w:val="nil"/>
                    <w:tr2bl w:val="nil"/>
                  </w:tcBorders>
                  <w:vAlign w:val="center"/>
                </w:tcPr>
                <w:p w14:paraId="13D843B2">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第二次</w:t>
                  </w:r>
                </w:p>
              </w:tc>
              <w:tc>
                <w:tcPr>
                  <w:tcW w:w="591" w:type="pct"/>
                  <w:vMerge w:val="continue"/>
                  <w:tcBorders>
                    <w:tl2br w:val="nil"/>
                    <w:tr2bl w:val="nil"/>
                  </w:tcBorders>
                  <w:vAlign w:val="center"/>
                </w:tcPr>
                <w:p w14:paraId="2C1E65C6">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418" w:type="pct"/>
                  <w:gridSpan w:val="2"/>
                  <w:tcBorders>
                    <w:tl2br w:val="nil"/>
                    <w:tr2bl w:val="nil"/>
                  </w:tcBorders>
                  <w:vAlign w:val="center"/>
                </w:tcPr>
                <w:p w14:paraId="2C47FFAE">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3.5</w:t>
                  </w:r>
                </w:p>
              </w:tc>
              <w:tc>
                <w:tcPr>
                  <w:tcW w:w="762" w:type="pct"/>
                  <w:gridSpan w:val="2"/>
                  <w:tcBorders>
                    <w:tl2br w:val="nil"/>
                    <w:tr2bl w:val="nil"/>
                  </w:tcBorders>
                  <w:vAlign w:val="center"/>
                </w:tcPr>
                <w:p w14:paraId="5742757B">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50.2</w:t>
                  </w:r>
                </w:p>
              </w:tc>
              <w:tc>
                <w:tcPr>
                  <w:tcW w:w="465" w:type="pct"/>
                  <w:tcBorders>
                    <w:tl2br w:val="nil"/>
                    <w:tr2bl w:val="nil"/>
                  </w:tcBorders>
                  <w:vAlign w:val="center"/>
                </w:tcPr>
                <w:p w14:paraId="4C4B1475">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18.10</w:t>
                  </w:r>
                </w:p>
              </w:tc>
              <w:tc>
                <w:tcPr>
                  <w:tcW w:w="499" w:type="pct"/>
                  <w:gridSpan w:val="2"/>
                  <w:tcBorders>
                    <w:tl2br w:val="nil"/>
                    <w:tr2bl w:val="nil"/>
                  </w:tcBorders>
                  <w:vAlign w:val="center"/>
                </w:tcPr>
                <w:p w14:paraId="53827CAD">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2.8</w:t>
                  </w:r>
                </w:p>
              </w:tc>
              <w:tc>
                <w:tcPr>
                  <w:tcW w:w="693" w:type="pct"/>
                  <w:tcBorders>
                    <w:tl2br w:val="nil"/>
                    <w:tr2bl w:val="nil"/>
                  </w:tcBorders>
                  <w:vAlign w:val="center"/>
                </w:tcPr>
                <w:p w14:paraId="5669B7DA">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5471</w:t>
                  </w:r>
                </w:p>
              </w:tc>
            </w:tr>
            <w:tr w14:paraId="70327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7CDA89C4">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930" w:type="pct"/>
                  <w:tcBorders>
                    <w:tl2br w:val="nil"/>
                    <w:tr2bl w:val="nil"/>
                  </w:tcBorders>
                  <w:vAlign w:val="center"/>
                </w:tcPr>
                <w:p w14:paraId="2686EE49">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第三次</w:t>
                  </w:r>
                </w:p>
              </w:tc>
              <w:tc>
                <w:tcPr>
                  <w:tcW w:w="591" w:type="pct"/>
                  <w:vMerge w:val="continue"/>
                  <w:tcBorders>
                    <w:tl2br w:val="nil"/>
                    <w:tr2bl w:val="nil"/>
                  </w:tcBorders>
                  <w:vAlign w:val="center"/>
                </w:tcPr>
                <w:p w14:paraId="485BCEDA">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418" w:type="pct"/>
                  <w:gridSpan w:val="2"/>
                  <w:tcBorders>
                    <w:tl2br w:val="nil"/>
                    <w:tr2bl w:val="nil"/>
                  </w:tcBorders>
                  <w:vAlign w:val="center"/>
                </w:tcPr>
                <w:p w14:paraId="5DEA2881">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9.2</w:t>
                  </w:r>
                </w:p>
              </w:tc>
              <w:tc>
                <w:tcPr>
                  <w:tcW w:w="762" w:type="pct"/>
                  <w:gridSpan w:val="2"/>
                  <w:tcBorders>
                    <w:tl2br w:val="nil"/>
                    <w:tr2bl w:val="nil"/>
                  </w:tcBorders>
                  <w:vAlign w:val="center"/>
                </w:tcPr>
                <w:p w14:paraId="4EAB78F2">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49.5</w:t>
                  </w:r>
                </w:p>
              </w:tc>
              <w:tc>
                <w:tcPr>
                  <w:tcW w:w="465" w:type="pct"/>
                  <w:tcBorders>
                    <w:tl2br w:val="nil"/>
                    <w:tr2bl w:val="nil"/>
                  </w:tcBorders>
                  <w:vAlign w:val="center"/>
                </w:tcPr>
                <w:p w14:paraId="74FFC692">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14.10</w:t>
                  </w:r>
                </w:p>
              </w:tc>
              <w:tc>
                <w:tcPr>
                  <w:tcW w:w="499" w:type="pct"/>
                  <w:gridSpan w:val="2"/>
                  <w:tcBorders>
                    <w:tl2br w:val="nil"/>
                    <w:tr2bl w:val="nil"/>
                  </w:tcBorders>
                  <w:vAlign w:val="center"/>
                </w:tcPr>
                <w:p w14:paraId="3F9EFF6C">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2.6</w:t>
                  </w:r>
                </w:p>
              </w:tc>
              <w:tc>
                <w:tcPr>
                  <w:tcW w:w="693" w:type="pct"/>
                  <w:tcBorders>
                    <w:tl2br w:val="nil"/>
                    <w:tr2bl w:val="nil"/>
                  </w:tcBorders>
                  <w:vAlign w:val="center"/>
                </w:tcPr>
                <w:p w14:paraId="48B17A40">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5335</w:t>
                  </w:r>
                </w:p>
              </w:tc>
            </w:tr>
            <w:tr w14:paraId="7B26F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7ABA76AB">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930" w:type="pct"/>
                  <w:tcBorders>
                    <w:tl2br w:val="nil"/>
                    <w:tr2bl w:val="nil"/>
                  </w:tcBorders>
                  <w:vAlign w:val="center"/>
                </w:tcPr>
                <w:p w14:paraId="3B7C78CE">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第四次</w:t>
                  </w:r>
                </w:p>
              </w:tc>
              <w:tc>
                <w:tcPr>
                  <w:tcW w:w="591" w:type="pct"/>
                  <w:vMerge w:val="continue"/>
                  <w:tcBorders>
                    <w:tl2br w:val="nil"/>
                    <w:tr2bl w:val="nil"/>
                  </w:tcBorders>
                  <w:vAlign w:val="center"/>
                </w:tcPr>
                <w:p w14:paraId="5B1630AA">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418" w:type="pct"/>
                  <w:gridSpan w:val="2"/>
                  <w:tcBorders>
                    <w:tl2br w:val="nil"/>
                    <w:tr2bl w:val="nil"/>
                  </w:tcBorders>
                  <w:vAlign w:val="center"/>
                </w:tcPr>
                <w:p w14:paraId="5F74BA34">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10.1</w:t>
                  </w:r>
                </w:p>
              </w:tc>
              <w:tc>
                <w:tcPr>
                  <w:tcW w:w="762" w:type="pct"/>
                  <w:gridSpan w:val="2"/>
                  <w:tcBorders>
                    <w:tl2br w:val="nil"/>
                    <w:tr2bl w:val="nil"/>
                  </w:tcBorders>
                  <w:vAlign w:val="center"/>
                </w:tcPr>
                <w:p w14:paraId="3986EDD7">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465" w:type="pct"/>
                  <w:tcBorders>
                    <w:tl2br w:val="nil"/>
                    <w:tr2bl w:val="nil"/>
                  </w:tcBorders>
                  <w:vAlign w:val="center"/>
                </w:tcPr>
                <w:p w14:paraId="18DBCFB0">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499" w:type="pct"/>
                  <w:gridSpan w:val="2"/>
                  <w:tcBorders>
                    <w:tl2br w:val="nil"/>
                    <w:tr2bl w:val="nil"/>
                  </w:tcBorders>
                  <w:vAlign w:val="center"/>
                </w:tcPr>
                <w:p w14:paraId="26773490">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693" w:type="pct"/>
                  <w:tcBorders>
                    <w:tl2br w:val="nil"/>
                    <w:tr2bl w:val="nil"/>
                  </w:tcBorders>
                  <w:vAlign w:val="center"/>
                </w:tcPr>
                <w:p w14:paraId="63E0E892">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r>
            <w:tr w14:paraId="70A6FE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264D92D4">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930" w:type="pct"/>
                  <w:tcBorders>
                    <w:tl2br w:val="nil"/>
                    <w:tr2bl w:val="nil"/>
                  </w:tcBorders>
                  <w:vAlign w:val="center"/>
                </w:tcPr>
                <w:p w14:paraId="087F8EB0">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第五次</w:t>
                  </w:r>
                </w:p>
              </w:tc>
              <w:tc>
                <w:tcPr>
                  <w:tcW w:w="591" w:type="pct"/>
                  <w:vMerge w:val="continue"/>
                  <w:tcBorders>
                    <w:tl2br w:val="nil"/>
                    <w:tr2bl w:val="nil"/>
                  </w:tcBorders>
                  <w:vAlign w:val="center"/>
                </w:tcPr>
                <w:p w14:paraId="7CDC2EA0">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418" w:type="pct"/>
                  <w:gridSpan w:val="2"/>
                  <w:tcBorders>
                    <w:tl2br w:val="nil"/>
                    <w:tr2bl w:val="nil"/>
                  </w:tcBorders>
                  <w:vAlign w:val="center"/>
                </w:tcPr>
                <w:p w14:paraId="3EA97095">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10.0</w:t>
                  </w:r>
                </w:p>
              </w:tc>
              <w:tc>
                <w:tcPr>
                  <w:tcW w:w="762" w:type="pct"/>
                  <w:gridSpan w:val="2"/>
                  <w:tcBorders>
                    <w:tl2br w:val="nil"/>
                    <w:tr2bl w:val="nil"/>
                  </w:tcBorders>
                  <w:vAlign w:val="center"/>
                </w:tcPr>
                <w:p w14:paraId="4C409F04">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465" w:type="pct"/>
                  <w:tcBorders>
                    <w:tl2br w:val="nil"/>
                    <w:tr2bl w:val="nil"/>
                  </w:tcBorders>
                  <w:vAlign w:val="center"/>
                </w:tcPr>
                <w:p w14:paraId="49256322">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499" w:type="pct"/>
                  <w:gridSpan w:val="2"/>
                  <w:tcBorders>
                    <w:tl2br w:val="nil"/>
                    <w:tr2bl w:val="nil"/>
                  </w:tcBorders>
                  <w:vAlign w:val="center"/>
                </w:tcPr>
                <w:p w14:paraId="10BA1972">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693" w:type="pct"/>
                  <w:tcBorders>
                    <w:tl2br w:val="nil"/>
                    <w:tr2bl w:val="nil"/>
                  </w:tcBorders>
                  <w:textDirection w:val="tbRlV"/>
                  <w:vAlign w:val="center"/>
                </w:tcPr>
                <w:p w14:paraId="1C463460">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p w14:paraId="069FDD18">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r>
            <w:tr w14:paraId="63253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570CA111">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930" w:type="pct"/>
                  <w:tcBorders>
                    <w:tl2br w:val="nil"/>
                    <w:tr2bl w:val="nil"/>
                  </w:tcBorders>
                  <w:vAlign w:val="center"/>
                </w:tcPr>
                <w:p w14:paraId="08CE1796">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第六次</w:t>
                  </w:r>
                </w:p>
              </w:tc>
              <w:tc>
                <w:tcPr>
                  <w:tcW w:w="591" w:type="pct"/>
                  <w:vMerge w:val="continue"/>
                  <w:tcBorders>
                    <w:tl2br w:val="nil"/>
                    <w:tr2bl w:val="nil"/>
                  </w:tcBorders>
                  <w:vAlign w:val="center"/>
                </w:tcPr>
                <w:p w14:paraId="16880894">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418" w:type="pct"/>
                  <w:gridSpan w:val="2"/>
                  <w:tcBorders>
                    <w:tl2br w:val="nil"/>
                    <w:tr2bl w:val="nil"/>
                  </w:tcBorders>
                  <w:vAlign w:val="center"/>
                </w:tcPr>
                <w:p w14:paraId="0ACD9BDB">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9.9</w:t>
                  </w:r>
                </w:p>
              </w:tc>
              <w:tc>
                <w:tcPr>
                  <w:tcW w:w="762" w:type="pct"/>
                  <w:gridSpan w:val="2"/>
                  <w:tcBorders>
                    <w:tl2br w:val="nil"/>
                    <w:tr2bl w:val="nil"/>
                  </w:tcBorders>
                  <w:vAlign w:val="center"/>
                </w:tcPr>
                <w:p w14:paraId="07103B6E">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465" w:type="pct"/>
                  <w:tcBorders>
                    <w:tl2br w:val="nil"/>
                    <w:tr2bl w:val="nil"/>
                  </w:tcBorders>
                  <w:vAlign w:val="center"/>
                </w:tcPr>
                <w:p w14:paraId="2EC1713F">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499" w:type="pct"/>
                  <w:gridSpan w:val="2"/>
                  <w:tcBorders>
                    <w:tl2br w:val="nil"/>
                    <w:tr2bl w:val="nil"/>
                  </w:tcBorders>
                  <w:vAlign w:val="center"/>
                </w:tcPr>
                <w:p w14:paraId="02129D5D">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693" w:type="pct"/>
                  <w:tcBorders>
                    <w:tl2br w:val="nil"/>
                    <w:tr2bl w:val="nil"/>
                  </w:tcBorders>
                  <w:vAlign w:val="center"/>
                </w:tcPr>
                <w:p w14:paraId="6F8E17E8">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r>
            <w:tr w14:paraId="656C34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000" w:type="pct"/>
                  <w:gridSpan w:val="11"/>
                  <w:tcBorders>
                    <w:tl2br w:val="nil"/>
                    <w:tr2bl w:val="nil"/>
                  </w:tcBorders>
                  <w:vAlign w:val="center"/>
                </w:tcPr>
                <w:p w14:paraId="2A640B40">
                  <w:pPr>
                    <w:pStyle w:val="35"/>
                    <w:widowControl w:val="0"/>
                    <w:autoSpaceDE w:val="0"/>
                    <w:autoSpaceDN w:val="0"/>
                    <w:bidi w:val="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(2)检测结果</w:t>
                  </w:r>
                </w:p>
              </w:tc>
            </w:tr>
            <w:tr w14:paraId="34483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restart"/>
                  <w:tcBorders>
                    <w:tl2br w:val="nil"/>
                    <w:tr2bl w:val="nil"/>
                  </w:tcBorders>
                  <w:vAlign w:val="center"/>
                </w:tcPr>
                <w:p w14:paraId="62CB3395">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采样日期</w:t>
                  </w:r>
                </w:p>
              </w:tc>
              <w:tc>
                <w:tcPr>
                  <w:tcW w:w="1797" w:type="pct"/>
                  <w:gridSpan w:val="3"/>
                  <w:vMerge w:val="restart"/>
                  <w:tcBorders>
                    <w:tl2br w:val="nil"/>
                    <w:tr2bl w:val="nil"/>
                  </w:tcBorders>
                  <w:vAlign w:val="center"/>
                </w:tcPr>
                <w:p w14:paraId="5D2CD286">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检测点位</w:t>
                  </w:r>
                </w:p>
              </w:tc>
              <w:tc>
                <w:tcPr>
                  <w:tcW w:w="748" w:type="pct"/>
                  <w:gridSpan w:val="2"/>
                  <w:vMerge w:val="restart"/>
                  <w:tcBorders>
                    <w:tl2br w:val="nil"/>
                    <w:tr2bl w:val="nil"/>
                  </w:tcBorders>
                  <w:vAlign w:val="center"/>
                </w:tcPr>
                <w:p w14:paraId="44427AB5">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检测频次</w:t>
                  </w:r>
                </w:p>
              </w:tc>
              <w:tc>
                <w:tcPr>
                  <w:tcW w:w="715" w:type="pct"/>
                  <w:gridSpan w:val="3"/>
                  <w:vMerge w:val="restart"/>
                  <w:tcBorders>
                    <w:tl2br w:val="nil"/>
                    <w:tr2bl w:val="nil"/>
                  </w:tcBorders>
                  <w:vAlign w:val="center"/>
                </w:tcPr>
                <w:p w14:paraId="349B160F">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检测项目</w:t>
                  </w:r>
                </w:p>
              </w:tc>
              <w:tc>
                <w:tcPr>
                  <w:tcW w:w="1099" w:type="pct"/>
                  <w:gridSpan w:val="2"/>
                  <w:tcBorders>
                    <w:tl2br w:val="nil"/>
                    <w:tr2bl w:val="nil"/>
                  </w:tcBorders>
                  <w:vAlign w:val="center"/>
                </w:tcPr>
                <w:p w14:paraId="60002C7C">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检测结果</w:t>
                  </w:r>
                </w:p>
              </w:tc>
            </w:tr>
            <w:tr w14:paraId="3FDDA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066D521E">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p>
              </w:tc>
              <w:tc>
                <w:tcPr>
                  <w:tcW w:w="1797" w:type="pct"/>
                  <w:gridSpan w:val="3"/>
                  <w:vMerge w:val="continue"/>
                  <w:tcBorders>
                    <w:tl2br w:val="nil"/>
                    <w:tr2bl w:val="nil"/>
                  </w:tcBorders>
                  <w:vAlign w:val="center"/>
                </w:tcPr>
                <w:p w14:paraId="1BE41037">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p>
              </w:tc>
              <w:tc>
                <w:tcPr>
                  <w:tcW w:w="748" w:type="pct"/>
                  <w:gridSpan w:val="2"/>
                  <w:vMerge w:val="continue"/>
                  <w:tcBorders>
                    <w:tl2br w:val="nil"/>
                    <w:tr2bl w:val="nil"/>
                  </w:tcBorders>
                  <w:vAlign w:val="center"/>
                </w:tcPr>
                <w:p w14:paraId="7EB4D6AE">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p>
              </w:tc>
              <w:tc>
                <w:tcPr>
                  <w:tcW w:w="715" w:type="pct"/>
                  <w:gridSpan w:val="3"/>
                  <w:vMerge w:val="continue"/>
                  <w:tcBorders>
                    <w:tl2br w:val="nil"/>
                    <w:tr2bl w:val="nil"/>
                  </w:tcBorders>
                  <w:vAlign w:val="center"/>
                </w:tcPr>
                <w:p w14:paraId="429E71A1">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p>
              </w:tc>
              <w:tc>
                <w:tcPr>
                  <w:tcW w:w="1099" w:type="pct"/>
                  <w:gridSpan w:val="2"/>
                  <w:tcBorders>
                    <w:tl2br w:val="nil"/>
                    <w:tr2bl w:val="nil"/>
                  </w:tcBorders>
                  <w:vAlign w:val="center"/>
                </w:tcPr>
                <w:p w14:paraId="33EC4011">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实测浓度(mg/m³)</w:t>
                  </w:r>
                </w:p>
              </w:tc>
            </w:tr>
            <w:tr w14:paraId="7107B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restart"/>
                  <w:tcBorders>
                    <w:tl2br w:val="nil"/>
                    <w:tr2bl w:val="nil"/>
                  </w:tcBorders>
                  <w:vAlign w:val="center"/>
                </w:tcPr>
                <w:p w14:paraId="0C68DCA6">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2025.02.28</w:t>
                  </w:r>
                </w:p>
              </w:tc>
              <w:tc>
                <w:tcPr>
                  <w:tcW w:w="1797" w:type="pct"/>
                  <w:gridSpan w:val="3"/>
                  <w:vMerge w:val="restart"/>
                  <w:tcBorders>
                    <w:tl2br w:val="nil"/>
                    <w:tr2bl w:val="nil"/>
                  </w:tcBorders>
                  <w:vAlign w:val="center"/>
                </w:tcPr>
                <w:p w14:paraId="7A7C0CB2">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DA003预热锅炉废气排放口</w:t>
                  </w:r>
                </w:p>
              </w:tc>
              <w:tc>
                <w:tcPr>
                  <w:tcW w:w="748" w:type="pct"/>
                  <w:gridSpan w:val="2"/>
                  <w:vMerge w:val="restart"/>
                  <w:tcBorders>
                    <w:tl2br w:val="nil"/>
                    <w:tr2bl w:val="nil"/>
                  </w:tcBorders>
                  <w:vAlign w:val="center"/>
                </w:tcPr>
                <w:p w14:paraId="32BFF6BF">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第一次</w:t>
                  </w:r>
                </w:p>
              </w:tc>
              <w:tc>
                <w:tcPr>
                  <w:tcW w:w="715" w:type="pct"/>
                  <w:gridSpan w:val="3"/>
                  <w:tcBorders>
                    <w:tl2br w:val="nil"/>
                    <w:tr2bl w:val="nil"/>
                  </w:tcBorders>
                  <w:vAlign w:val="center"/>
                </w:tcPr>
                <w:p w14:paraId="6A60CD94">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二氧化硫</w:t>
                  </w:r>
                </w:p>
              </w:tc>
              <w:tc>
                <w:tcPr>
                  <w:tcW w:w="1099" w:type="pct"/>
                  <w:gridSpan w:val="2"/>
                  <w:tcBorders>
                    <w:tl2br w:val="nil"/>
                    <w:tr2bl w:val="nil"/>
                  </w:tcBorders>
                  <w:vAlign w:val="center"/>
                </w:tcPr>
                <w:p w14:paraId="2E837CC8">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ND</w:t>
                  </w:r>
                </w:p>
              </w:tc>
            </w:tr>
            <w:tr w14:paraId="1B2D4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5EB81556">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797" w:type="pct"/>
                  <w:gridSpan w:val="3"/>
                  <w:vMerge w:val="continue"/>
                  <w:tcBorders>
                    <w:tl2br w:val="nil"/>
                    <w:tr2bl w:val="nil"/>
                  </w:tcBorders>
                  <w:vAlign w:val="center"/>
                </w:tcPr>
                <w:p w14:paraId="4C713CE6">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48" w:type="pct"/>
                  <w:gridSpan w:val="2"/>
                  <w:vMerge w:val="continue"/>
                  <w:tcBorders>
                    <w:tl2br w:val="nil"/>
                    <w:tr2bl w:val="nil"/>
                  </w:tcBorders>
                  <w:vAlign w:val="center"/>
                </w:tcPr>
                <w:p w14:paraId="088AEE74">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15" w:type="pct"/>
                  <w:gridSpan w:val="3"/>
                  <w:tcBorders>
                    <w:tl2br w:val="nil"/>
                    <w:tr2bl w:val="nil"/>
                  </w:tcBorders>
                  <w:vAlign w:val="center"/>
                </w:tcPr>
                <w:p w14:paraId="2B8220BF">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氮氧化物</w:t>
                  </w:r>
                </w:p>
              </w:tc>
              <w:tc>
                <w:tcPr>
                  <w:tcW w:w="1099" w:type="pct"/>
                  <w:gridSpan w:val="2"/>
                  <w:tcBorders>
                    <w:tl2br w:val="nil"/>
                    <w:tr2bl w:val="nil"/>
                  </w:tcBorders>
                  <w:vAlign w:val="center"/>
                </w:tcPr>
                <w:p w14:paraId="12B44316">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64</w:t>
                  </w:r>
                </w:p>
              </w:tc>
            </w:tr>
            <w:tr w14:paraId="7C65E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2B3DEEF8">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797" w:type="pct"/>
                  <w:gridSpan w:val="3"/>
                  <w:vMerge w:val="continue"/>
                  <w:tcBorders>
                    <w:tl2br w:val="nil"/>
                    <w:tr2bl w:val="nil"/>
                  </w:tcBorders>
                  <w:vAlign w:val="center"/>
                </w:tcPr>
                <w:p w14:paraId="5154BD2D">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48" w:type="pct"/>
                  <w:gridSpan w:val="2"/>
                  <w:vMerge w:val="continue"/>
                  <w:tcBorders>
                    <w:tl2br w:val="nil"/>
                    <w:tr2bl w:val="nil"/>
                  </w:tcBorders>
                  <w:vAlign w:val="center"/>
                </w:tcPr>
                <w:p w14:paraId="09EF694C">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15" w:type="pct"/>
                  <w:gridSpan w:val="3"/>
                  <w:tcBorders>
                    <w:tl2br w:val="nil"/>
                    <w:tr2bl w:val="nil"/>
                  </w:tcBorders>
                  <w:vAlign w:val="center"/>
                </w:tcPr>
                <w:p w14:paraId="57CC65C9">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颗粒物</w:t>
                  </w:r>
                </w:p>
              </w:tc>
              <w:tc>
                <w:tcPr>
                  <w:tcW w:w="1099" w:type="pct"/>
                  <w:gridSpan w:val="2"/>
                  <w:tcBorders>
                    <w:tl2br w:val="nil"/>
                    <w:tr2bl w:val="nil"/>
                  </w:tcBorders>
                  <w:vAlign w:val="center"/>
                </w:tcPr>
                <w:p w14:paraId="289BAE98">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3.4</w:t>
                  </w:r>
                </w:p>
              </w:tc>
            </w:tr>
            <w:tr w14:paraId="41539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180E79F2">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797" w:type="pct"/>
                  <w:gridSpan w:val="3"/>
                  <w:vMerge w:val="continue"/>
                  <w:tcBorders>
                    <w:tl2br w:val="nil"/>
                    <w:tr2bl w:val="nil"/>
                  </w:tcBorders>
                  <w:vAlign w:val="center"/>
                </w:tcPr>
                <w:p w14:paraId="16C5E0FB">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48" w:type="pct"/>
                  <w:gridSpan w:val="2"/>
                  <w:vMerge w:val="restart"/>
                  <w:tcBorders>
                    <w:tl2br w:val="nil"/>
                    <w:tr2bl w:val="nil"/>
                  </w:tcBorders>
                  <w:vAlign w:val="center"/>
                </w:tcPr>
                <w:p w14:paraId="25521A7C">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第二次</w:t>
                  </w:r>
                </w:p>
              </w:tc>
              <w:tc>
                <w:tcPr>
                  <w:tcW w:w="715" w:type="pct"/>
                  <w:gridSpan w:val="3"/>
                  <w:tcBorders>
                    <w:tl2br w:val="nil"/>
                    <w:tr2bl w:val="nil"/>
                  </w:tcBorders>
                  <w:vAlign w:val="center"/>
                </w:tcPr>
                <w:p w14:paraId="7AC89B1B">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二氧化硫</w:t>
                  </w:r>
                </w:p>
              </w:tc>
              <w:tc>
                <w:tcPr>
                  <w:tcW w:w="1099" w:type="pct"/>
                  <w:gridSpan w:val="2"/>
                  <w:tcBorders>
                    <w:tl2br w:val="nil"/>
                    <w:tr2bl w:val="nil"/>
                  </w:tcBorders>
                  <w:vAlign w:val="center"/>
                </w:tcPr>
                <w:p w14:paraId="624395BE">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ND</w:t>
                  </w:r>
                </w:p>
              </w:tc>
            </w:tr>
            <w:tr w14:paraId="0005AF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7DA6F965">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797" w:type="pct"/>
                  <w:gridSpan w:val="3"/>
                  <w:vMerge w:val="continue"/>
                  <w:tcBorders>
                    <w:tl2br w:val="nil"/>
                    <w:tr2bl w:val="nil"/>
                  </w:tcBorders>
                  <w:vAlign w:val="center"/>
                </w:tcPr>
                <w:p w14:paraId="1F6F45B1">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48" w:type="pct"/>
                  <w:gridSpan w:val="2"/>
                  <w:vMerge w:val="continue"/>
                  <w:tcBorders>
                    <w:tl2br w:val="nil"/>
                    <w:tr2bl w:val="nil"/>
                  </w:tcBorders>
                  <w:vAlign w:val="center"/>
                </w:tcPr>
                <w:p w14:paraId="26291C12">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15" w:type="pct"/>
                  <w:gridSpan w:val="3"/>
                  <w:tcBorders>
                    <w:tl2br w:val="nil"/>
                    <w:tr2bl w:val="nil"/>
                  </w:tcBorders>
                  <w:vAlign w:val="center"/>
                </w:tcPr>
                <w:p w14:paraId="1DBBC0F8">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氮氧化物</w:t>
                  </w:r>
                </w:p>
              </w:tc>
              <w:tc>
                <w:tcPr>
                  <w:tcW w:w="1099" w:type="pct"/>
                  <w:gridSpan w:val="2"/>
                  <w:tcBorders>
                    <w:tl2br w:val="nil"/>
                    <w:tr2bl w:val="nil"/>
                  </w:tcBorders>
                  <w:vAlign w:val="center"/>
                </w:tcPr>
                <w:p w14:paraId="407C20EF">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65</w:t>
                  </w:r>
                </w:p>
              </w:tc>
            </w:tr>
            <w:tr w14:paraId="39E33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06805068">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797" w:type="pct"/>
                  <w:gridSpan w:val="3"/>
                  <w:vMerge w:val="continue"/>
                  <w:tcBorders>
                    <w:tl2br w:val="nil"/>
                    <w:tr2bl w:val="nil"/>
                  </w:tcBorders>
                  <w:vAlign w:val="center"/>
                </w:tcPr>
                <w:p w14:paraId="681A256B">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48" w:type="pct"/>
                  <w:gridSpan w:val="2"/>
                  <w:vMerge w:val="continue"/>
                  <w:tcBorders>
                    <w:tl2br w:val="nil"/>
                    <w:tr2bl w:val="nil"/>
                  </w:tcBorders>
                  <w:vAlign w:val="center"/>
                </w:tcPr>
                <w:p w14:paraId="09C96986">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15" w:type="pct"/>
                  <w:gridSpan w:val="3"/>
                  <w:tcBorders>
                    <w:tl2br w:val="nil"/>
                    <w:tr2bl w:val="nil"/>
                  </w:tcBorders>
                  <w:vAlign w:val="center"/>
                </w:tcPr>
                <w:p w14:paraId="4E0C8C0E">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颗粒物</w:t>
                  </w:r>
                </w:p>
              </w:tc>
              <w:tc>
                <w:tcPr>
                  <w:tcW w:w="1099" w:type="pct"/>
                  <w:gridSpan w:val="2"/>
                  <w:tcBorders>
                    <w:tl2br w:val="nil"/>
                    <w:tr2bl w:val="nil"/>
                  </w:tcBorders>
                  <w:vAlign w:val="center"/>
                </w:tcPr>
                <w:p w14:paraId="29C29EF0">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5.3</w:t>
                  </w:r>
                </w:p>
              </w:tc>
            </w:tr>
            <w:tr w14:paraId="26E63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64B50725">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797" w:type="pct"/>
                  <w:gridSpan w:val="3"/>
                  <w:vMerge w:val="continue"/>
                  <w:tcBorders>
                    <w:tl2br w:val="nil"/>
                    <w:tr2bl w:val="nil"/>
                  </w:tcBorders>
                  <w:vAlign w:val="center"/>
                </w:tcPr>
                <w:p w14:paraId="6ECD4F0E">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48" w:type="pct"/>
                  <w:gridSpan w:val="2"/>
                  <w:vMerge w:val="restart"/>
                  <w:tcBorders>
                    <w:tl2br w:val="nil"/>
                    <w:tr2bl w:val="nil"/>
                  </w:tcBorders>
                  <w:vAlign w:val="center"/>
                </w:tcPr>
                <w:p w14:paraId="47570A74">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第三次</w:t>
                  </w:r>
                </w:p>
              </w:tc>
              <w:tc>
                <w:tcPr>
                  <w:tcW w:w="715" w:type="pct"/>
                  <w:gridSpan w:val="3"/>
                  <w:tcBorders>
                    <w:tl2br w:val="nil"/>
                    <w:tr2bl w:val="nil"/>
                  </w:tcBorders>
                  <w:vAlign w:val="center"/>
                </w:tcPr>
                <w:p w14:paraId="55F23FD1">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二氧化硫</w:t>
                  </w:r>
                </w:p>
              </w:tc>
              <w:tc>
                <w:tcPr>
                  <w:tcW w:w="1099" w:type="pct"/>
                  <w:gridSpan w:val="2"/>
                  <w:tcBorders>
                    <w:tl2br w:val="nil"/>
                    <w:tr2bl w:val="nil"/>
                  </w:tcBorders>
                  <w:vAlign w:val="center"/>
                </w:tcPr>
                <w:p w14:paraId="2B893BE9">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ND</w:t>
                  </w:r>
                </w:p>
              </w:tc>
            </w:tr>
            <w:tr w14:paraId="3336B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3DB61EE0">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797" w:type="pct"/>
                  <w:gridSpan w:val="3"/>
                  <w:vMerge w:val="continue"/>
                  <w:tcBorders>
                    <w:tl2br w:val="nil"/>
                    <w:tr2bl w:val="nil"/>
                  </w:tcBorders>
                  <w:vAlign w:val="center"/>
                </w:tcPr>
                <w:p w14:paraId="0077F264">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48" w:type="pct"/>
                  <w:gridSpan w:val="2"/>
                  <w:vMerge w:val="continue"/>
                  <w:tcBorders>
                    <w:tl2br w:val="nil"/>
                    <w:tr2bl w:val="nil"/>
                  </w:tcBorders>
                  <w:vAlign w:val="center"/>
                </w:tcPr>
                <w:p w14:paraId="43A42A91">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15" w:type="pct"/>
                  <w:gridSpan w:val="3"/>
                  <w:tcBorders>
                    <w:tl2br w:val="nil"/>
                    <w:tr2bl w:val="nil"/>
                  </w:tcBorders>
                  <w:vAlign w:val="center"/>
                </w:tcPr>
                <w:p w14:paraId="7903D631">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氮氧化物</w:t>
                  </w:r>
                </w:p>
              </w:tc>
              <w:tc>
                <w:tcPr>
                  <w:tcW w:w="1099" w:type="pct"/>
                  <w:gridSpan w:val="2"/>
                  <w:tcBorders>
                    <w:tl2br w:val="nil"/>
                    <w:tr2bl w:val="nil"/>
                  </w:tcBorders>
                  <w:vAlign w:val="center"/>
                </w:tcPr>
                <w:p w14:paraId="7A68E805">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46</w:t>
                  </w:r>
                </w:p>
              </w:tc>
            </w:tr>
            <w:tr w14:paraId="14852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342F0158">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797" w:type="pct"/>
                  <w:gridSpan w:val="3"/>
                  <w:vMerge w:val="continue"/>
                  <w:tcBorders>
                    <w:tl2br w:val="nil"/>
                    <w:tr2bl w:val="nil"/>
                  </w:tcBorders>
                  <w:vAlign w:val="center"/>
                </w:tcPr>
                <w:p w14:paraId="3BBE9818">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48" w:type="pct"/>
                  <w:gridSpan w:val="2"/>
                  <w:vMerge w:val="continue"/>
                  <w:tcBorders>
                    <w:tl2br w:val="nil"/>
                    <w:tr2bl w:val="nil"/>
                  </w:tcBorders>
                  <w:vAlign w:val="center"/>
                </w:tcPr>
                <w:p w14:paraId="1E83E839">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15" w:type="pct"/>
                  <w:gridSpan w:val="3"/>
                  <w:tcBorders>
                    <w:tl2br w:val="nil"/>
                    <w:tr2bl w:val="nil"/>
                  </w:tcBorders>
                  <w:vAlign w:val="center"/>
                </w:tcPr>
                <w:p w14:paraId="3EAB6A27">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颗粒物</w:t>
                  </w:r>
                </w:p>
              </w:tc>
              <w:tc>
                <w:tcPr>
                  <w:tcW w:w="1099" w:type="pct"/>
                  <w:gridSpan w:val="2"/>
                  <w:tcBorders>
                    <w:tl2br w:val="nil"/>
                    <w:tr2bl w:val="nil"/>
                  </w:tcBorders>
                  <w:vAlign w:val="center"/>
                </w:tcPr>
                <w:p w14:paraId="2C5E2A84">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4.2</w:t>
                  </w:r>
                </w:p>
              </w:tc>
            </w:tr>
            <w:tr w14:paraId="774C11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21727B6D">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797" w:type="pct"/>
                  <w:gridSpan w:val="3"/>
                  <w:vMerge w:val="continue"/>
                  <w:tcBorders>
                    <w:tl2br w:val="nil"/>
                    <w:tr2bl w:val="nil"/>
                  </w:tcBorders>
                  <w:vAlign w:val="center"/>
                </w:tcPr>
                <w:p w14:paraId="71DCEC3B">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48" w:type="pct"/>
                  <w:gridSpan w:val="2"/>
                  <w:vMerge w:val="restart"/>
                  <w:tcBorders>
                    <w:tl2br w:val="nil"/>
                    <w:tr2bl w:val="nil"/>
                  </w:tcBorders>
                  <w:vAlign w:val="center"/>
                </w:tcPr>
                <w:p w14:paraId="4F3A15CD">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第四次</w:t>
                  </w:r>
                </w:p>
              </w:tc>
              <w:tc>
                <w:tcPr>
                  <w:tcW w:w="715" w:type="pct"/>
                  <w:gridSpan w:val="3"/>
                  <w:tcBorders>
                    <w:tl2br w:val="nil"/>
                    <w:tr2bl w:val="nil"/>
                  </w:tcBorders>
                  <w:vAlign w:val="center"/>
                </w:tcPr>
                <w:p w14:paraId="0771434A">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二氧化硫</w:t>
                  </w:r>
                </w:p>
              </w:tc>
              <w:tc>
                <w:tcPr>
                  <w:tcW w:w="1099" w:type="pct"/>
                  <w:gridSpan w:val="2"/>
                  <w:tcBorders>
                    <w:tl2br w:val="nil"/>
                    <w:tr2bl w:val="nil"/>
                  </w:tcBorders>
                  <w:vAlign w:val="center"/>
                </w:tcPr>
                <w:p w14:paraId="3D09C4A9">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ND</w:t>
                  </w:r>
                </w:p>
              </w:tc>
            </w:tr>
            <w:tr w14:paraId="4C8DF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57E6E0D3">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797" w:type="pct"/>
                  <w:gridSpan w:val="3"/>
                  <w:vMerge w:val="continue"/>
                  <w:tcBorders>
                    <w:tl2br w:val="nil"/>
                    <w:tr2bl w:val="nil"/>
                  </w:tcBorders>
                  <w:vAlign w:val="center"/>
                </w:tcPr>
                <w:p w14:paraId="61FE44A6">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48" w:type="pct"/>
                  <w:gridSpan w:val="2"/>
                  <w:vMerge w:val="continue"/>
                  <w:tcBorders>
                    <w:tl2br w:val="nil"/>
                    <w:tr2bl w:val="nil"/>
                  </w:tcBorders>
                  <w:vAlign w:val="center"/>
                </w:tcPr>
                <w:p w14:paraId="34A70F62">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15" w:type="pct"/>
                  <w:gridSpan w:val="3"/>
                  <w:tcBorders>
                    <w:tl2br w:val="nil"/>
                    <w:tr2bl w:val="nil"/>
                  </w:tcBorders>
                  <w:vAlign w:val="center"/>
                </w:tcPr>
                <w:p w14:paraId="0B531242">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氮氧化物</w:t>
                  </w:r>
                </w:p>
              </w:tc>
              <w:tc>
                <w:tcPr>
                  <w:tcW w:w="1099" w:type="pct"/>
                  <w:gridSpan w:val="2"/>
                  <w:tcBorders>
                    <w:tl2br w:val="nil"/>
                    <w:tr2bl w:val="nil"/>
                  </w:tcBorders>
                  <w:vAlign w:val="center"/>
                </w:tcPr>
                <w:p w14:paraId="5B46E19F">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44</w:t>
                  </w:r>
                </w:p>
              </w:tc>
            </w:tr>
            <w:tr w14:paraId="4B852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77A433B5">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797" w:type="pct"/>
                  <w:gridSpan w:val="3"/>
                  <w:vMerge w:val="continue"/>
                  <w:tcBorders>
                    <w:tl2br w:val="nil"/>
                    <w:tr2bl w:val="nil"/>
                  </w:tcBorders>
                  <w:vAlign w:val="center"/>
                </w:tcPr>
                <w:p w14:paraId="1BEE4E56">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48" w:type="pct"/>
                  <w:gridSpan w:val="2"/>
                  <w:vMerge w:val="restart"/>
                  <w:tcBorders>
                    <w:tl2br w:val="nil"/>
                    <w:tr2bl w:val="nil"/>
                  </w:tcBorders>
                  <w:vAlign w:val="center"/>
                </w:tcPr>
                <w:p w14:paraId="318221A3">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第五次</w:t>
                  </w:r>
                </w:p>
              </w:tc>
              <w:tc>
                <w:tcPr>
                  <w:tcW w:w="715" w:type="pct"/>
                  <w:gridSpan w:val="3"/>
                  <w:tcBorders>
                    <w:tl2br w:val="nil"/>
                    <w:tr2bl w:val="nil"/>
                  </w:tcBorders>
                  <w:vAlign w:val="center"/>
                </w:tcPr>
                <w:p w14:paraId="05BFA37A">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二氧化硫</w:t>
                  </w:r>
                </w:p>
              </w:tc>
              <w:tc>
                <w:tcPr>
                  <w:tcW w:w="1099" w:type="pct"/>
                  <w:gridSpan w:val="2"/>
                  <w:tcBorders>
                    <w:tl2br w:val="nil"/>
                    <w:tr2bl w:val="nil"/>
                  </w:tcBorders>
                  <w:vAlign w:val="center"/>
                </w:tcPr>
                <w:p w14:paraId="461ED3DC">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ND</w:t>
                  </w:r>
                </w:p>
              </w:tc>
            </w:tr>
            <w:tr w14:paraId="50CFA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5C758F82">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797" w:type="pct"/>
                  <w:gridSpan w:val="3"/>
                  <w:vMerge w:val="continue"/>
                  <w:tcBorders>
                    <w:tl2br w:val="nil"/>
                    <w:tr2bl w:val="nil"/>
                  </w:tcBorders>
                  <w:vAlign w:val="center"/>
                </w:tcPr>
                <w:p w14:paraId="03695528">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48" w:type="pct"/>
                  <w:gridSpan w:val="2"/>
                  <w:vMerge w:val="continue"/>
                  <w:tcBorders>
                    <w:tl2br w:val="nil"/>
                    <w:tr2bl w:val="nil"/>
                  </w:tcBorders>
                  <w:vAlign w:val="center"/>
                </w:tcPr>
                <w:p w14:paraId="2CD74AA0">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15" w:type="pct"/>
                  <w:gridSpan w:val="3"/>
                  <w:tcBorders>
                    <w:tl2br w:val="nil"/>
                    <w:tr2bl w:val="nil"/>
                  </w:tcBorders>
                  <w:vAlign w:val="center"/>
                </w:tcPr>
                <w:p w14:paraId="134B93CF">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氮氧化物</w:t>
                  </w:r>
                </w:p>
              </w:tc>
              <w:tc>
                <w:tcPr>
                  <w:tcW w:w="1099" w:type="pct"/>
                  <w:gridSpan w:val="2"/>
                  <w:tcBorders>
                    <w:tl2br w:val="nil"/>
                    <w:tr2bl w:val="nil"/>
                  </w:tcBorders>
                  <w:vAlign w:val="center"/>
                </w:tcPr>
                <w:p w14:paraId="07D6410D">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44</w:t>
                  </w:r>
                </w:p>
              </w:tc>
            </w:tr>
            <w:tr w14:paraId="2930FB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70020D77">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797" w:type="pct"/>
                  <w:gridSpan w:val="3"/>
                  <w:vMerge w:val="continue"/>
                  <w:tcBorders>
                    <w:tl2br w:val="nil"/>
                    <w:tr2bl w:val="nil"/>
                  </w:tcBorders>
                  <w:vAlign w:val="center"/>
                </w:tcPr>
                <w:p w14:paraId="1B78C9A5">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48" w:type="pct"/>
                  <w:gridSpan w:val="2"/>
                  <w:vMerge w:val="restart"/>
                  <w:tcBorders>
                    <w:tl2br w:val="nil"/>
                    <w:tr2bl w:val="nil"/>
                  </w:tcBorders>
                  <w:vAlign w:val="center"/>
                </w:tcPr>
                <w:p w14:paraId="665820AF">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第六次</w:t>
                  </w:r>
                </w:p>
              </w:tc>
              <w:tc>
                <w:tcPr>
                  <w:tcW w:w="715" w:type="pct"/>
                  <w:gridSpan w:val="3"/>
                  <w:tcBorders>
                    <w:tl2br w:val="nil"/>
                    <w:tr2bl w:val="nil"/>
                  </w:tcBorders>
                  <w:vAlign w:val="center"/>
                </w:tcPr>
                <w:p w14:paraId="7BA74CFC">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二氧化硫</w:t>
                  </w:r>
                </w:p>
              </w:tc>
              <w:tc>
                <w:tcPr>
                  <w:tcW w:w="1099" w:type="pct"/>
                  <w:gridSpan w:val="2"/>
                  <w:tcBorders>
                    <w:tl2br w:val="nil"/>
                    <w:tr2bl w:val="nil"/>
                  </w:tcBorders>
                  <w:vAlign w:val="center"/>
                </w:tcPr>
                <w:p w14:paraId="75D69090">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ND</w:t>
                  </w:r>
                </w:p>
              </w:tc>
            </w:tr>
            <w:tr w14:paraId="661C8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40" w:type="pct"/>
                  <w:vMerge w:val="continue"/>
                  <w:tcBorders>
                    <w:tl2br w:val="nil"/>
                    <w:tr2bl w:val="nil"/>
                  </w:tcBorders>
                  <w:vAlign w:val="center"/>
                </w:tcPr>
                <w:p w14:paraId="74C49F47">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797" w:type="pct"/>
                  <w:gridSpan w:val="3"/>
                  <w:vMerge w:val="continue"/>
                  <w:tcBorders>
                    <w:tl2br w:val="nil"/>
                    <w:tr2bl w:val="nil"/>
                  </w:tcBorders>
                  <w:vAlign w:val="center"/>
                </w:tcPr>
                <w:p w14:paraId="4517DE4A">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48" w:type="pct"/>
                  <w:gridSpan w:val="2"/>
                  <w:vMerge w:val="continue"/>
                  <w:tcBorders>
                    <w:tl2br w:val="nil"/>
                    <w:tr2bl w:val="nil"/>
                  </w:tcBorders>
                  <w:vAlign w:val="center"/>
                </w:tcPr>
                <w:p w14:paraId="44B0684B">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715" w:type="pct"/>
                  <w:gridSpan w:val="3"/>
                  <w:tcBorders>
                    <w:tl2br w:val="nil"/>
                    <w:tr2bl w:val="nil"/>
                  </w:tcBorders>
                  <w:vAlign w:val="center"/>
                </w:tcPr>
                <w:p w14:paraId="67BBC78D">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氮氧化物</w:t>
                  </w:r>
                </w:p>
              </w:tc>
              <w:tc>
                <w:tcPr>
                  <w:tcW w:w="1099" w:type="pct"/>
                  <w:gridSpan w:val="2"/>
                  <w:tcBorders>
                    <w:tl2br w:val="nil"/>
                    <w:tr2bl w:val="nil"/>
                  </w:tcBorders>
                  <w:vAlign w:val="center"/>
                </w:tcPr>
                <w:p w14:paraId="7BC84FC6">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44</w:t>
                  </w:r>
                </w:p>
              </w:tc>
            </w:tr>
            <w:tr w14:paraId="4FEE62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000" w:type="pct"/>
                  <w:gridSpan w:val="11"/>
                  <w:tcBorders>
                    <w:tl2br w:val="nil"/>
                    <w:tr2bl w:val="nil"/>
                  </w:tcBorders>
                  <w:vAlign w:val="center"/>
                </w:tcPr>
                <w:p w14:paraId="677ABE2D">
                  <w:pPr>
                    <w:pStyle w:val="35"/>
                    <w:widowControl w:val="0"/>
                    <w:autoSpaceDE w:val="0"/>
                    <w:autoSpaceDN w:val="0"/>
                    <w:bidi w:val="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注：“ND”表示检测结果低于方法检出限。</w:t>
                  </w:r>
                </w:p>
              </w:tc>
            </w:tr>
          </w:tbl>
          <w:p w14:paraId="19F9D587">
            <w:pPr>
              <w:pStyle w:val="3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表2-1</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DA003</w:t>
            </w:r>
            <w:r>
              <w:rPr>
                <w:rFonts w:hint="eastAsia" w:cs="Times New Roman"/>
                <w:color w:val="000000" w:themeColor="text1"/>
                <w:highlight w:val="none"/>
                <w:lang w:eastAsia="zh-CN"/>
                <w14:textFill>
                  <w14:solidFill>
                    <w14:schemeClr w14:val="tx1"/>
                  </w14:solidFill>
                </w14:textFill>
              </w:rPr>
              <w:t>余热锅炉</w:t>
            </w:r>
            <w:r>
              <w:rPr>
                <w:rFonts w:hint="default" w:ascii="Times New Roman" w:hAnsi="Times New Roman" w:cs="Times New Roman"/>
                <w:color w:val="000000" w:themeColor="text1"/>
                <w:highlight w:val="none"/>
                <w14:textFill>
                  <w14:solidFill>
                    <w14:schemeClr w14:val="tx1"/>
                  </w14:solidFill>
                </w14:textFill>
              </w:rPr>
              <w:t>废气排放口有组织废气检测结果</w:t>
            </w:r>
          </w:p>
          <w:tbl>
            <w:tblPr>
              <w:tblStyle w:val="4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48"/>
              <w:gridCol w:w="2939"/>
              <w:gridCol w:w="933"/>
              <w:gridCol w:w="933"/>
              <w:gridCol w:w="2010"/>
            </w:tblGrid>
            <w:tr w14:paraId="6B038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6" w:type="pct"/>
                  <w:tcBorders>
                    <w:tl2br w:val="nil"/>
                    <w:tr2bl w:val="nil"/>
                  </w:tcBorders>
                  <w:vAlign w:val="center"/>
                </w:tcPr>
                <w:p w14:paraId="7EF726AF">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检测日期</w:t>
                  </w:r>
                </w:p>
              </w:tc>
              <w:tc>
                <w:tcPr>
                  <w:tcW w:w="1868" w:type="pct"/>
                  <w:tcBorders>
                    <w:tl2br w:val="nil"/>
                    <w:tr2bl w:val="nil"/>
                  </w:tcBorders>
                  <w:vAlign w:val="center"/>
                </w:tcPr>
                <w:p w14:paraId="5E6EDC48">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检测点位</w:t>
                  </w:r>
                </w:p>
              </w:tc>
              <w:tc>
                <w:tcPr>
                  <w:tcW w:w="593" w:type="pct"/>
                  <w:tcBorders>
                    <w:tl2br w:val="nil"/>
                    <w:tr2bl w:val="nil"/>
                  </w:tcBorders>
                  <w:vAlign w:val="center"/>
                </w:tcPr>
                <w:p w14:paraId="5CB1634B">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检测项目</w:t>
                  </w:r>
                </w:p>
              </w:tc>
              <w:tc>
                <w:tcPr>
                  <w:tcW w:w="593" w:type="pct"/>
                  <w:tcBorders>
                    <w:tl2br w:val="nil"/>
                    <w:tr2bl w:val="nil"/>
                  </w:tcBorders>
                  <w:vAlign w:val="center"/>
                </w:tcPr>
                <w:p w14:paraId="50AEE0E4">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检测频次</w:t>
                  </w:r>
                </w:p>
              </w:tc>
              <w:tc>
                <w:tcPr>
                  <w:tcW w:w="1277" w:type="pct"/>
                  <w:tcBorders>
                    <w:tl2br w:val="nil"/>
                    <w:tr2bl w:val="nil"/>
                  </w:tcBorders>
                  <w:vAlign w:val="center"/>
                </w:tcPr>
                <w:p w14:paraId="51CF7C03">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检测结果(单位：级)</w:t>
                  </w:r>
                </w:p>
              </w:tc>
            </w:tr>
            <w:tr w14:paraId="57CEA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6" w:type="pct"/>
                  <w:vMerge w:val="restart"/>
                  <w:tcBorders>
                    <w:tl2br w:val="nil"/>
                    <w:tr2bl w:val="nil"/>
                  </w:tcBorders>
                  <w:vAlign w:val="center"/>
                </w:tcPr>
                <w:p w14:paraId="02445B7A">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2025.02.28</w:t>
                  </w:r>
                </w:p>
              </w:tc>
              <w:tc>
                <w:tcPr>
                  <w:tcW w:w="1868" w:type="pct"/>
                  <w:vMerge w:val="restart"/>
                  <w:tcBorders>
                    <w:tl2br w:val="nil"/>
                    <w:tr2bl w:val="nil"/>
                  </w:tcBorders>
                  <w:vAlign w:val="center"/>
                </w:tcPr>
                <w:p w14:paraId="78DBBA01">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DA003预热锅炉废气排放口</w:t>
                  </w:r>
                </w:p>
              </w:tc>
              <w:tc>
                <w:tcPr>
                  <w:tcW w:w="593" w:type="pct"/>
                  <w:vMerge w:val="restart"/>
                  <w:tcBorders>
                    <w:tl2br w:val="nil"/>
                    <w:tr2bl w:val="nil"/>
                  </w:tcBorders>
                  <w:vAlign w:val="center"/>
                </w:tcPr>
                <w:p w14:paraId="7BD5DECA">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烟气黑度</w:t>
                  </w:r>
                </w:p>
              </w:tc>
              <w:tc>
                <w:tcPr>
                  <w:tcW w:w="593" w:type="pct"/>
                  <w:tcBorders>
                    <w:tl2br w:val="nil"/>
                    <w:tr2bl w:val="nil"/>
                  </w:tcBorders>
                  <w:vAlign w:val="center"/>
                </w:tcPr>
                <w:p w14:paraId="1E13DCD0">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第一次</w:t>
                  </w:r>
                </w:p>
              </w:tc>
              <w:tc>
                <w:tcPr>
                  <w:tcW w:w="1277" w:type="pct"/>
                  <w:tcBorders>
                    <w:tl2br w:val="nil"/>
                    <w:tr2bl w:val="nil"/>
                  </w:tcBorders>
                  <w:vAlign w:val="center"/>
                </w:tcPr>
                <w:p w14:paraId="46F5E690">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&lt;1</w:t>
                  </w:r>
                </w:p>
              </w:tc>
            </w:tr>
            <w:tr w14:paraId="2EAA7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6" w:type="pct"/>
                  <w:vMerge w:val="continue"/>
                  <w:tcBorders>
                    <w:tl2br w:val="nil"/>
                    <w:tr2bl w:val="nil"/>
                  </w:tcBorders>
                  <w:vAlign w:val="center"/>
                </w:tcPr>
                <w:p w14:paraId="5B22D3F6">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868" w:type="pct"/>
                  <w:vMerge w:val="continue"/>
                  <w:tcBorders>
                    <w:tl2br w:val="nil"/>
                    <w:tr2bl w:val="nil"/>
                  </w:tcBorders>
                  <w:vAlign w:val="center"/>
                </w:tcPr>
                <w:p w14:paraId="7DA76D81">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593" w:type="pct"/>
                  <w:vMerge w:val="continue"/>
                  <w:tcBorders>
                    <w:tl2br w:val="nil"/>
                    <w:tr2bl w:val="nil"/>
                  </w:tcBorders>
                  <w:vAlign w:val="center"/>
                </w:tcPr>
                <w:p w14:paraId="27D1DA3B">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593" w:type="pct"/>
                  <w:tcBorders>
                    <w:tl2br w:val="nil"/>
                    <w:tr2bl w:val="nil"/>
                  </w:tcBorders>
                  <w:vAlign w:val="center"/>
                </w:tcPr>
                <w:p w14:paraId="08B1D101">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第二次</w:t>
                  </w:r>
                </w:p>
              </w:tc>
              <w:tc>
                <w:tcPr>
                  <w:tcW w:w="1277" w:type="pct"/>
                  <w:tcBorders>
                    <w:tl2br w:val="nil"/>
                    <w:tr2bl w:val="nil"/>
                  </w:tcBorders>
                  <w:vAlign w:val="center"/>
                </w:tcPr>
                <w:p w14:paraId="31297E1D">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&lt;1</w:t>
                  </w:r>
                </w:p>
              </w:tc>
            </w:tr>
            <w:tr w14:paraId="32F18A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6" w:type="pct"/>
                  <w:vMerge w:val="continue"/>
                  <w:tcBorders>
                    <w:tl2br w:val="nil"/>
                    <w:tr2bl w:val="nil"/>
                  </w:tcBorders>
                  <w:vAlign w:val="center"/>
                </w:tcPr>
                <w:p w14:paraId="1D11F45D">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868" w:type="pct"/>
                  <w:vMerge w:val="continue"/>
                  <w:tcBorders>
                    <w:tl2br w:val="nil"/>
                    <w:tr2bl w:val="nil"/>
                  </w:tcBorders>
                  <w:vAlign w:val="center"/>
                </w:tcPr>
                <w:p w14:paraId="31741A2E">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593" w:type="pct"/>
                  <w:vMerge w:val="continue"/>
                  <w:tcBorders>
                    <w:tl2br w:val="nil"/>
                    <w:tr2bl w:val="nil"/>
                  </w:tcBorders>
                  <w:vAlign w:val="center"/>
                </w:tcPr>
                <w:p w14:paraId="72EACC3C">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593" w:type="pct"/>
                  <w:tcBorders>
                    <w:tl2br w:val="nil"/>
                    <w:tr2bl w:val="nil"/>
                  </w:tcBorders>
                  <w:vAlign w:val="center"/>
                </w:tcPr>
                <w:p w14:paraId="32FBB296">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第三次</w:t>
                  </w:r>
                </w:p>
              </w:tc>
              <w:tc>
                <w:tcPr>
                  <w:tcW w:w="1277" w:type="pct"/>
                  <w:tcBorders>
                    <w:tl2br w:val="nil"/>
                    <w:tr2bl w:val="nil"/>
                  </w:tcBorders>
                  <w:vAlign w:val="center"/>
                </w:tcPr>
                <w:p w14:paraId="5E540589">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&lt;1</w:t>
                  </w:r>
                </w:p>
              </w:tc>
            </w:tr>
          </w:tbl>
          <w:p w14:paraId="5CB37A90">
            <w:pPr>
              <w:pStyle w:val="4"/>
              <w:bidi w:val="0"/>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根据以上数据可知：锅炉排气筒DA00</w:t>
            </w:r>
            <w:r>
              <w:rPr>
                <w:rFonts w:hint="eastAsia"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排放的颗粒物、二氧化硫、氮氧化物排放浓度满足《锅炉大气污染物排放标准》（DB37/2374—2018）表2中标准要求</w:t>
            </w:r>
            <w:r>
              <w:rPr>
                <w:rFonts w:hint="default" w:ascii="Times New Roman" w:hAnsi="Times New Roman" w:cs="Times New Roman"/>
                <w:color w:val="000000" w:themeColor="text1"/>
                <w:highlight w:val="none"/>
                <w:lang w:eastAsia="zh-CN"/>
                <w14:textFill>
                  <w14:solidFill>
                    <w14:schemeClr w14:val="tx1"/>
                  </w14:solidFill>
                </w14:textFill>
              </w:rPr>
              <w:t>。</w:t>
            </w:r>
          </w:p>
          <w:p w14:paraId="4DE2B7D7">
            <w:pPr>
              <w:pStyle w:val="4"/>
              <w:bidi w:val="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eastAsia="zh-CN"/>
                <w14:textFill>
                  <w14:solidFill>
                    <w14:schemeClr w14:val="tx1"/>
                  </w14:solidFill>
                </w14:textFill>
              </w:rPr>
              <w:t>②</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现有工程废气污染物排放量</w:t>
            </w:r>
          </w:p>
          <w:p w14:paraId="18DCC953">
            <w:pPr>
              <w:pStyle w:val="4"/>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现有工程污染物排放量依据广西中马投控分布式能源有限公司2024年度执行报告统计，统计结果见表2-13所示。</w:t>
            </w:r>
          </w:p>
          <w:p w14:paraId="6A5500E9">
            <w:pPr>
              <w:pStyle w:val="34"/>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表2-13：废气污染物排放量统计表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53"/>
              <w:gridCol w:w="1301"/>
              <w:gridCol w:w="1518"/>
              <w:gridCol w:w="1518"/>
              <w:gridCol w:w="2164"/>
              <w:gridCol w:w="709"/>
            </w:tblGrid>
            <w:tr w14:paraId="247BAB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415" w:type="pct"/>
                  <w:vMerge w:val="restart"/>
                  <w:tcBorders>
                    <w:tl2br w:val="nil"/>
                    <w:tr2bl w:val="nil"/>
                  </w:tcBorders>
                  <w:shd w:val="clear" w:color="auto" w:fill="auto"/>
                  <w:noWrap/>
                  <w:vAlign w:val="center"/>
                </w:tcPr>
                <w:p w14:paraId="23893E4A">
                  <w:pPr>
                    <w:pStyle w:val="35"/>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序号</w:t>
                  </w:r>
                </w:p>
              </w:tc>
              <w:tc>
                <w:tcPr>
                  <w:tcW w:w="827" w:type="pct"/>
                  <w:vMerge w:val="restart"/>
                  <w:tcBorders>
                    <w:tl2br w:val="nil"/>
                    <w:tr2bl w:val="nil"/>
                  </w:tcBorders>
                  <w:shd w:val="clear" w:color="auto" w:fill="auto"/>
                  <w:vAlign w:val="center"/>
                </w:tcPr>
                <w:p w14:paraId="2AEACF31">
                  <w:pPr>
                    <w:pStyle w:val="35"/>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污染物名称</w:t>
                  </w:r>
                </w:p>
              </w:tc>
              <w:tc>
                <w:tcPr>
                  <w:tcW w:w="3757" w:type="pct"/>
                  <w:gridSpan w:val="4"/>
                  <w:tcBorders>
                    <w:tl2br w:val="nil"/>
                    <w:tr2bl w:val="nil"/>
                  </w:tcBorders>
                  <w:shd w:val="clear" w:color="auto" w:fill="auto"/>
                  <w:vAlign w:val="center"/>
                </w:tcPr>
                <w:p w14:paraId="1107D18B">
                  <w:pPr>
                    <w:pStyle w:val="35"/>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污染物排放量（t）</w:t>
                  </w:r>
                </w:p>
              </w:tc>
            </w:tr>
            <w:tr w14:paraId="703A0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vMerge w:val="continue"/>
                  <w:tcBorders>
                    <w:tl2br w:val="nil"/>
                    <w:tr2bl w:val="nil"/>
                  </w:tcBorders>
                  <w:shd w:val="clear" w:color="auto" w:fill="auto"/>
                  <w:noWrap/>
                  <w:vAlign w:val="center"/>
                </w:tcPr>
                <w:p w14:paraId="1442E8AD">
                  <w:pPr>
                    <w:pStyle w:val="35"/>
                    <w:bidi w:val="0"/>
                    <w:rPr>
                      <w:rFonts w:hint="eastAsia"/>
                      <w:b/>
                      <w:bCs/>
                      <w:color w:val="000000" w:themeColor="text1"/>
                      <w:highlight w:val="none"/>
                      <w14:textFill>
                        <w14:solidFill>
                          <w14:schemeClr w14:val="tx1"/>
                        </w14:solidFill>
                      </w14:textFill>
                    </w:rPr>
                  </w:pPr>
                </w:p>
              </w:tc>
              <w:tc>
                <w:tcPr>
                  <w:tcW w:w="827" w:type="pct"/>
                  <w:vMerge w:val="continue"/>
                  <w:tcBorders>
                    <w:tl2br w:val="nil"/>
                    <w:tr2bl w:val="nil"/>
                  </w:tcBorders>
                  <w:shd w:val="clear" w:color="auto" w:fill="auto"/>
                  <w:vAlign w:val="center"/>
                </w:tcPr>
                <w:p w14:paraId="797D2D59">
                  <w:pPr>
                    <w:pStyle w:val="35"/>
                    <w:bidi w:val="0"/>
                    <w:rPr>
                      <w:rFonts w:hint="eastAsia"/>
                      <w:b/>
                      <w:bCs/>
                      <w:color w:val="000000" w:themeColor="text1"/>
                      <w:highlight w:val="none"/>
                      <w14:textFill>
                        <w14:solidFill>
                          <w14:schemeClr w14:val="tx1"/>
                        </w14:solidFill>
                      </w14:textFill>
                    </w:rPr>
                  </w:pPr>
                </w:p>
              </w:tc>
              <w:tc>
                <w:tcPr>
                  <w:tcW w:w="965" w:type="pct"/>
                  <w:tcBorders>
                    <w:tl2br w:val="nil"/>
                    <w:tr2bl w:val="nil"/>
                  </w:tcBorders>
                  <w:shd w:val="clear" w:color="auto" w:fill="auto"/>
                  <w:vAlign w:val="center"/>
                </w:tcPr>
                <w:p w14:paraId="31E3FED9">
                  <w:pPr>
                    <w:pStyle w:val="35"/>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DA001-烟囱1</w:t>
                  </w:r>
                </w:p>
              </w:tc>
              <w:tc>
                <w:tcPr>
                  <w:tcW w:w="965" w:type="pct"/>
                  <w:tcBorders>
                    <w:tl2br w:val="nil"/>
                    <w:tr2bl w:val="nil"/>
                  </w:tcBorders>
                  <w:shd w:val="clear" w:color="auto" w:fill="auto"/>
                  <w:vAlign w:val="center"/>
                </w:tcPr>
                <w:p w14:paraId="15589180">
                  <w:pPr>
                    <w:pStyle w:val="35"/>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DA002-烟囱2</w:t>
                  </w:r>
                </w:p>
              </w:tc>
              <w:tc>
                <w:tcPr>
                  <w:tcW w:w="1376" w:type="pct"/>
                  <w:tcBorders>
                    <w:tl2br w:val="nil"/>
                    <w:tr2bl w:val="nil"/>
                  </w:tcBorders>
                  <w:shd w:val="clear" w:color="auto" w:fill="auto"/>
                  <w:vAlign w:val="center"/>
                </w:tcPr>
                <w:p w14:paraId="0F59F71E">
                  <w:pPr>
                    <w:pStyle w:val="35"/>
                    <w:bidi w:val="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DA003-</w:t>
                  </w:r>
                </w:p>
                <w:p w14:paraId="4D67FE4A">
                  <w:pPr>
                    <w:pStyle w:val="35"/>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预热锅炉废气排放口</w:t>
                  </w:r>
                </w:p>
              </w:tc>
              <w:tc>
                <w:tcPr>
                  <w:tcW w:w="449" w:type="pct"/>
                  <w:tcBorders>
                    <w:tl2br w:val="nil"/>
                    <w:tr2bl w:val="nil"/>
                  </w:tcBorders>
                  <w:shd w:val="clear" w:color="auto" w:fill="auto"/>
                  <w:noWrap/>
                  <w:vAlign w:val="center"/>
                </w:tcPr>
                <w:p w14:paraId="6F9F901E">
                  <w:pPr>
                    <w:pStyle w:val="35"/>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合计</w:t>
                  </w:r>
                </w:p>
              </w:tc>
            </w:tr>
            <w:tr w14:paraId="274B7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tcBorders>
                    <w:tl2br w:val="nil"/>
                    <w:tr2bl w:val="nil"/>
                  </w:tcBorders>
                  <w:shd w:val="clear" w:color="auto" w:fill="auto"/>
                  <w:noWrap/>
                  <w:vAlign w:val="center"/>
                </w:tcPr>
                <w:p w14:paraId="013A5305">
                  <w:pPr>
                    <w:pStyle w:val="35"/>
                    <w:bidi w:val="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p>
              </w:tc>
              <w:tc>
                <w:tcPr>
                  <w:tcW w:w="827" w:type="pct"/>
                  <w:tcBorders>
                    <w:tl2br w:val="nil"/>
                    <w:tr2bl w:val="nil"/>
                  </w:tcBorders>
                  <w:shd w:val="clear" w:color="auto" w:fill="auto"/>
                  <w:vAlign w:val="center"/>
                </w:tcPr>
                <w:p w14:paraId="622EBE74">
                  <w:pPr>
                    <w:pStyle w:val="35"/>
                    <w:bidi w:val="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烟尘</w:t>
                  </w:r>
                </w:p>
              </w:tc>
              <w:tc>
                <w:tcPr>
                  <w:tcW w:w="965" w:type="pct"/>
                  <w:tcBorders>
                    <w:tl2br w:val="nil"/>
                    <w:tr2bl w:val="nil"/>
                  </w:tcBorders>
                  <w:shd w:val="clear" w:color="auto" w:fill="auto"/>
                  <w:vAlign w:val="center"/>
                </w:tcPr>
                <w:p w14:paraId="22A16B14">
                  <w:pPr>
                    <w:pStyle w:val="35"/>
                    <w:bidi w:val="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1.13</w:t>
                  </w:r>
                </w:p>
              </w:tc>
              <w:tc>
                <w:tcPr>
                  <w:tcW w:w="965" w:type="pct"/>
                  <w:tcBorders>
                    <w:tl2br w:val="nil"/>
                    <w:tr2bl w:val="nil"/>
                  </w:tcBorders>
                  <w:shd w:val="clear" w:color="auto" w:fill="auto"/>
                  <w:vAlign w:val="center"/>
                </w:tcPr>
                <w:p w14:paraId="146A8D65">
                  <w:pPr>
                    <w:pStyle w:val="35"/>
                    <w:bidi w:val="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0.66</w:t>
                  </w:r>
                </w:p>
              </w:tc>
              <w:tc>
                <w:tcPr>
                  <w:tcW w:w="1376" w:type="pct"/>
                  <w:tcBorders>
                    <w:tl2br w:val="nil"/>
                    <w:tr2bl w:val="nil"/>
                  </w:tcBorders>
                  <w:shd w:val="clear" w:color="auto" w:fill="auto"/>
                  <w:vAlign w:val="center"/>
                </w:tcPr>
                <w:p w14:paraId="79C52518">
                  <w:pPr>
                    <w:pStyle w:val="35"/>
                    <w:bidi w:val="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449" w:type="pct"/>
                  <w:tcBorders>
                    <w:tl2br w:val="nil"/>
                    <w:tr2bl w:val="nil"/>
                  </w:tcBorders>
                  <w:shd w:val="clear" w:color="auto" w:fill="auto"/>
                  <w:noWrap/>
                  <w:vAlign w:val="center"/>
                </w:tcPr>
                <w:p w14:paraId="2A618E55">
                  <w:pPr>
                    <w:pStyle w:val="35"/>
                    <w:bidi w:val="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1.79</w:t>
                  </w:r>
                </w:p>
              </w:tc>
            </w:tr>
            <w:tr w14:paraId="0FC68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tcBorders>
                    <w:tl2br w:val="nil"/>
                    <w:tr2bl w:val="nil"/>
                  </w:tcBorders>
                  <w:shd w:val="clear" w:color="auto" w:fill="auto"/>
                  <w:noWrap/>
                  <w:vAlign w:val="center"/>
                </w:tcPr>
                <w:p w14:paraId="12641E22">
                  <w:pPr>
                    <w:pStyle w:val="35"/>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p>
              </w:tc>
              <w:tc>
                <w:tcPr>
                  <w:tcW w:w="827" w:type="pct"/>
                  <w:tcBorders>
                    <w:tl2br w:val="nil"/>
                    <w:tr2bl w:val="nil"/>
                  </w:tcBorders>
                  <w:shd w:val="clear" w:color="auto" w:fill="auto"/>
                  <w:vAlign w:val="center"/>
                </w:tcPr>
                <w:p w14:paraId="29A88DD9">
                  <w:pPr>
                    <w:pStyle w:val="35"/>
                    <w:bidi w:val="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二氧化硫</w:t>
                  </w:r>
                </w:p>
              </w:tc>
              <w:tc>
                <w:tcPr>
                  <w:tcW w:w="965" w:type="pct"/>
                  <w:tcBorders>
                    <w:tl2br w:val="nil"/>
                    <w:tr2bl w:val="nil"/>
                  </w:tcBorders>
                  <w:shd w:val="clear" w:color="auto" w:fill="auto"/>
                  <w:vAlign w:val="center"/>
                </w:tcPr>
                <w:p w14:paraId="1770731E">
                  <w:pPr>
                    <w:pStyle w:val="35"/>
                    <w:bidi w:val="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10.78</w:t>
                  </w:r>
                </w:p>
              </w:tc>
              <w:tc>
                <w:tcPr>
                  <w:tcW w:w="965" w:type="pct"/>
                  <w:tcBorders>
                    <w:tl2br w:val="nil"/>
                    <w:tr2bl w:val="nil"/>
                  </w:tcBorders>
                  <w:shd w:val="clear" w:color="auto" w:fill="auto"/>
                  <w:vAlign w:val="center"/>
                </w:tcPr>
                <w:p w14:paraId="01B64EA4">
                  <w:pPr>
                    <w:pStyle w:val="35"/>
                    <w:bidi w:val="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3.31</w:t>
                  </w:r>
                </w:p>
              </w:tc>
              <w:tc>
                <w:tcPr>
                  <w:tcW w:w="1376" w:type="pct"/>
                  <w:tcBorders>
                    <w:tl2br w:val="nil"/>
                    <w:tr2bl w:val="nil"/>
                  </w:tcBorders>
                  <w:shd w:val="clear" w:color="auto" w:fill="auto"/>
                  <w:vAlign w:val="center"/>
                </w:tcPr>
                <w:p w14:paraId="27EDC2BE">
                  <w:pPr>
                    <w:pStyle w:val="35"/>
                    <w:bidi w:val="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449" w:type="pct"/>
                  <w:tcBorders>
                    <w:tl2br w:val="nil"/>
                    <w:tr2bl w:val="nil"/>
                  </w:tcBorders>
                  <w:shd w:val="clear" w:color="auto" w:fill="auto"/>
                  <w:noWrap/>
                  <w:vAlign w:val="center"/>
                </w:tcPr>
                <w:p w14:paraId="7804DF64">
                  <w:pPr>
                    <w:pStyle w:val="35"/>
                    <w:bidi w:val="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14.09</w:t>
                  </w:r>
                </w:p>
              </w:tc>
            </w:tr>
            <w:tr w14:paraId="7971BB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5" w:type="pct"/>
                  <w:tcBorders>
                    <w:tl2br w:val="nil"/>
                    <w:tr2bl w:val="nil"/>
                  </w:tcBorders>
                  <w:shd w:val="clear" w:color="auto" w:fill="auto"/>
                  <w:noWrap/>
                  <w:vAlign w:val="center"/>
                </w:tcPr>
                <w:p w14:paraId="076265B1">
                  <w:pPr>
                    <w:pStyle w:val="35"/>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p>
              </w:tc>
              <w:tc>
                <w:tcPr>
                  <w:tcW w:w="827" w:type="pct"/>
                  <w:tcBorders>
                    <w:tl2br w:val="nil"/>
                    <w:tr2bl w:val="nil"/>
                  </w:tcBorders>
                  <w:shd w:val="clear" w:color="auto" w:fill="auto"/>
                  <w:vAlign w:val="center"/>
                </w:tcPr>
                <w:p w14:paraId="56AB035C">
                  <w:pPr>
                    <w:pStyle w:val="35"/>
                    <w:bidi w:val="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氮氧化物</w:t>
                  </w:r>
                </w:p>
              </w:tc>
              <w:tc>
                <w:tcPr>
                  <w:tcW w:w="965" w:type="pct"/>
                  <w:tcBorders>
                    <w:tl2br w:val="nil"/>
                    <w:tr2bl w:val="nil"/>
                  </w:tcBorders>
                  <w:shd w:val="clear" w:color="auto" w:fill="auto"/>
                  <w:vAlign w:val="center"/>
                </w:tcPr>
                <w:p w14:paraId="2546C819">
                  <w:pPr>
                    <w:pStyle w:val="35"/>
                    <w:bidi w:val="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23.66</w:t>
                  </w:r>
                </w:p>
              </w:tc>
              <w:tc>
                <w:tcPr>
                  <w:tcW w:w="965" w:type="pct"/>
                  <w:tcBorders>
                    <w:tl2br w:val="nil"/>
                    <w:tr2bl w:val="nil"/>
                  </w:tcBorders>
                  <w:shd w:val="clear" w:color="auto" w:fill="auto"/>
                  <w:vAlign w:val="center"/>
                </w:tcPr>
                <w:p w14:paraId="4D43EE36">
                  <w:pPr>
                    <w:pStyle w:val="35"/>
                    <w:bidi w:val="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10.46</w:t>
                  </w:r>
                </w:p>
              </w:tc>
              <w:tc>
                <w:tcPr>
                  <w:tcW w:w="1376" w:type="pct"/>
                  <w:tcBorders>
                    <w:tl2br w:val="nil"/>
                    <w:tr2bl w:val="nil"/>
                  </w:tcBorders>
                  <w:shd w:val="clear" w:color="auto" w:fill="auto"/>
                  <w:vAlign w:val="center"/>
                </w:tcPr>
                <w:p w14:paraId="47C26D8C">
                  <w:pPr>
                    <w:pStyle w:val="35"/>
                    <w:bidi w:val="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449" w:type="pct"/>
                  <w:tcBorders>
                    <w:tl2br w:val="nil"/>
                    <w:tr2bl w:val="nil"/>
                  </w:tcBorders>
                  <w:shd w:val="clear" w:color="auto" w:fill="auto"/>
                  <w:noWrap/>
                  <w:vAlign w:val="center"/>
                </w:tcPr>
                <w:p w14:paraId="73329025">
                  <w:pPr>
                    <w:pStyle w:val="35"/>
                    <w:bidi w:val="0"/>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34.12</w:t>
                  </w:r>
                </w:p>
              </w:tc>
            </w:tr>
          </w:tbl>
          <w:p w14:paraId="4DE14E6D">
            <w:pPr>
              <w:pStyle w:val="4"/>
              <w:bidi w:val="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根据上表可知，广西中马投控分布式能源有限公司</w:t>
            </w:r>
            <w:r>
              <w:rPr>
                <w:rFonts w:hint="eastAsia"/>
                <w:color w:val="000000" w:themeColor="text1"/>
                <w:highlight w:val="none"/>
                <w:lang w:val="en-US" w:eastAsia="zh-CN"/>
                <w14:textFill>
                  <w14:solidFill>
                    <w14:schemeClr w14:val="tx1"/>
                  </w14:solidFill>
                </w14:textFill>
              </w:rPr>
              <w:t>烟尘1.79t/a、二氧化硫14.09t/a、氮氧化物排放量34.12t/a。</w:t>
            </w:r>
          </w:p>
          <w:p w14:paraId="39222617">
            <w:pPr>
              <w:keepNext w:val="0"/>
              <w:keepLines w:val="0"/>
              <w:pageBreakBefore w:val="0"/>
              <w:kinsoku/>
              <w:wordWrap/>
              <w:overflowPunct/>
              <w:topLinePunct w:val="0"/>
              <w:autoSpaceDE/>
              <w:autoSpaceDN/>
              <w:bidi w:val="0"/>
              <w:spacing w:line="360" w:lineRule="auto"/>
              <w:ind w:firstLine="482"/>
              <w:textAlignment w:val="auto"/>
              <w:rPr>
                <w:rFonts w:hint="eastAsia" w:ascii="Times New Roman" w:hAnsi="Times New Roman" w:eastAsia="宋体" w:cs="Times New Roman"/>
                <w:b/>
                <w:bCs/>
                <w:color w:val="000000" w:themeColor="text1"/>
                <w:sz w:val="24"/>
                <w:highlight w:val="none"/>
                <w:lang w:eastAsia="zh-CN"/>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eastAsia" w:cs="Times New Roman"/>
                <w:b/>
                <w:bCs/>
                <w:color w:val="000000" w:themeColor="text1"/>
                <w:sz w:val="24"/>
                <w:highlight w:val="none"/>
                <w:lang w:val="en-US" w:eastAsia="zh-CN"/>
                <w14:textFill>
                  <w14:solidFill>
                    <w14:schemeClr w14:val="tx1"/>
                  </w14:solidFill>
                </w14:textFill>
              </w:rPr>
              <w:t>废水</w:t>
            </w:r>
          </w:p>
          <w:p w14:paraId="5E07321B">
            <w:pPr>
              <w:pStyle w:val="4"/>
              <w:keepNext w:val="0"/>
              <w:keepLines w:val="0"/>
              <w:pageBreakBefore w:val="0"/>
              <w:kinsoku/>
              <w:wordWrap/>
              <w:overflowPunct/>
              <w:topLinePunct w:val="0"/>
              <w:autoSpaceDE/>
              <w:autoSpaceDN/>
              <w:bidi w:val="0"/>
              <w:spacing w:line="360" w:lineRule="auto"/>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根据本项目2024年度执行报告知，本项目废水包括生活污水、综合废水、生产废水、循环冷却水，污水排放量31430m</w:t>
            </w:r>
            <w:r>
              <w:rPr>
                <w:rFonts w:hint="eastAsia" w:cs="Times New Roman"/>
                <w:color w:val="000000" w:themeColor="text1"/>
                <w:highlight w:val="none"/>
                <w:vertAlign w:val="superscript"/>
                <w:lang w:val="en-US" w:eastAsia="zh-CN"/>
                <w14:textFill>
                  <w14:solidFill>
                    <w14:schemeClr w14:val="tx1"/>
                  </w14:solidFill>
                </w14:textFill>
              </w:rPr>
              <w:t>3</w:t>
            </w:r>
            <w:r>
              <w:rPr>
                <w:rFonts w:hint="eastAsia" w:cs="Times New Roman"/>
                <w:color w:val="000000" w:themeColor="text1"/>
                <w:highlight w:val="none"/>
                <w:lang w:val="en-US" w:eastAsia="zh-CN"/>
                <w14:textFill>
                  <w14:solidFill>
                    <w14:schemeClr w14:val="tx1"/>
                  </w14:solidFill>
                </w14:textFill>
              </w:rPr>
              <w:t>/a；</w:t>
            </w:r>
          </w:p>
          <w:p w14:paraId="29A237E5">
            <w:pPr>
              <w:pStyle w:val="4"/>
              <w:bidi w:val="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①</w:t>
            </w:r>
            <w:r>
              <w:rPr>
                <w:rFonts w:hint="eastAsia"/>
                <w:b/>
                <w:bCs/>
                <w:color w:val="000000" w:themeColor="text1"/>
                <w:highlight w:val="none"/>
                <w:lang w:val="en-US" w:eastAsia="zh-CN"/>
                <w14:textFill>
                  <w14:solidFill>
                    <w14:schemeClr w14:val="tx1"/>
                  </w14:solidFill>
                </w14:textFill>
              </w:rPr>
              <w:t>现有</w:t>
            </w:r>
            <w:r>
              <w:rPr>
                <w:rFonts w:hint="default"/>
                <w:b/>
                <w:bCs/>
                <w:color w:val="000000" w:themeColor="text1"/>
                <w:highlight w:val="none"/>
                <w14:textFill>
                  <w14:solidFill>
                    <w14:schemeClr w14:val="tx1"/>
                  </w14:solidFill>
                </w14:textFill>
              </w:rPr>
              <w:t>工程</w:t>
            </w:r>
            <w:r>
              <w:rPr>
                <w:rFonts w:hint="eastAsia"/>
                <w:b/>
                <w:bCs/>
                <w:color w:val="000000" w:themeColor="text1"/>
                <w:highlight w:val="none"/>
                <w:lang w:val="en-US" w:eastAsia="zh-CN"/>
                <w14:textFill>
                  <w14:solidFill>
                    <w14:schemeClr w14:val="tx1"/>
                  </w14:solidFill>
                </w14:textFill>
              </w:rPr>
              <w:t>废水达标情况</w:t>
            </w:r>
          </w:p>
          <w:p w14:paraId="5A45F0BF">
            <w:pPr>
              <w:pStyle w:val="4"/>
              <w:keepNext w:val="0"/>
              <w:keepLines w:val="0"/>
              <w:pageBreakBefore w:val="0"/>
              <w:kinsoku/>
              <w:wordWrap/>
              <w:overflowPunct/>
              <w:topLinePunct w:val="0"/>
              <w:autoSpaceDE/>
              <w:autoSpaceDN/>
              <w:bidi w:val="0"/>
              <w:spacing w:line="360" w:lineRule="auto"/>
              <w:textAlignment w:val="auto"/>
              <w:rPr>
                <w:rFonts w:hint="eastAsia"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废水污染物浓度依据2024年第三季度废水监测结果进行统计，统计结果见表2-14所示。</w:t>
            </w:r>
          </w:p>
          <w:p w14:paraId="365A1561">
            <w:pPr>
              <w:pStyle w:val="34"/>
              <w:bidi w:val="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表2-1</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废水总排口</w:t>
            </w:r>
            <w:r>
              <w:rPr>
                <w:rFonts w:hint="default" w:ascii="Times New Roman" w:hAnsi="Times New Roman" w:cs="Times New Roman"/>
                <w:color w:val="000000" w:themeColor="text1"/>
                <w:highlight w:val="none"/>
                <w:lang w:val="en-US" w:eastAsia="zh-CN"/>
                <w14:textFill>
                  <w14:solidFill>
                    <w14:schemeClr w14:val="tx1"/>
                  </w14:solidFill>
                </w14:textFill>
              </w:rPr>
              <w:t>检测结果</w:t>
            </w:r>
          </w:p>
          <w:tbl>
            <w:tblPr>
              <w:tblStyle w:val="47"/>
              <w:tblW w:w="49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92"/>
              <w:gridCol w:w="1111"/>
              <w:gridCol w:w="960"/>
              <w:gridCol w:w="1916"/>
              <w:gridCol w:w="1321"/>
              <w:gridCol w:w="1331"/>
            </w:tblGrid>
            <w:tr w14:paraId="71F3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61" w:type="pct"/>
                  <w:tcBorders>
                    <w:top w:val="single" w:color="auto" w:sz="12" w:space="0"/>
                  </w:tcBorders>
                  <w:vAlign w:val="center"/>
                </w:tcPr>
                <w:p w14:paraId="6735C409">
                  <w:pPr>
                    <w:pStyle w:val="35"/>
                    <w:widowControl w:val="0"/>
                    <w:autoSpaceDE w:val="0"/>
                    <w:autoSpaceDN w:val="0"/>
                    <w:bidi w:val="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采样日期</w:t>
                  </w:r>
                </w:p>
              </w:tc>
              <w:tc>
                <w:tcPr>
                  <w:tcW w:w="709" w:type="pct"/>
                  <w:tcBorders>
                    <w:top w:val="single" w:color="auto" w:sz="12" w:space="0"/>
                  </w:tcBorders>
                  <w:vAlign w:val="center"/>
                </w:tcPr>
                <w:p w14:paraId="18822EA6">
                  <w:pPr>
                    <w:pStyle w:val="35"/>
                    <w:widowControl w:val="0"/>
                    <w:autoSpaceDE w:val="0"/>
                    <w:autoSpaceDN w:val="0"/>
                    <w:bidi w:val="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检测点位</w:t>
                  </w:r>
                </w:p>
              </w:tc>
              <w:tc>
                <w:tcPr>
                  <w:tcW w:w="612" w:type="pct"/>
                  <w:tcBorders>
                    <w:top w:val="single" w:color="auto" w:sz="12" w:space="0"/>
                  </w:tcBorders>
                  <w:vAlign w:val="center"/>
                </w:tcPr>
                <w:p w14:paraId="6FDE951B">
                  <w:pPr>
                    <w:pStyle w:val="35"/>
                    <w:widowControl w:val="0"/>
                    <w:autoSpaceDE w:val="0"/>
                    <w:autoSpaceDN w:val="0"/>
                    <w:bidi w:val="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次数</w:t>
                  </w:r>
                </w:p>
              </w:tc>
              <w:tc>
                <w:tcPr>
                  <w:tcW w:w="1223" w:type="pct"/>
                  <w:tcBorders>
                    <w:top w:val="single" w:color="auto" w:sz="12" w:space="0"/>
                  </w:tcBorders>
                  <w:vAlign w:val="center"/>
                </w:tcPr>
                <w:p w14:paraId="60EAAC1A">
                  <w:pPr>
                    <w:pStyle w:val="35"/>
                    <w:widowControl w:val="0"/>
                    <w:autoSpaceDE w:val="0"/>
                    <w:autoSpaceDN w:val="0"/>
                    <w:bidi w:val="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化学需氧量(mg/L)</w:t>
                  </w:r>
                </w:p>
              </w:tc>
              <w:tc>
                <w:tcPr>
                  <w:tcW w:w="843" w:type="pct"/>
                  <w:tcBorders>
                    <w:top w:val="single" w:color="auto" w:sz="12" w:space="0"/>
                  </w:tcBorders>
                  <w:vAlign w:val="center"/>
                </w:tcPr>
                <w:p w14:paraId="1D4995A9">
                  <w:pPr>
                    <w:pStyle w:val="35"/>
                    <w:widowControl w:val="0"/>
                    <w:autoSpaceDE w:val="0"/>
                    <w:autoSpaceDN w:val="0"/>
                    <w:bidi w:val="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氨氮(mg/L)</w:t>
                  </w:r>
                </w:p>
              </w:tc>
              <w:tc>
                <w:tcPr>
                  <w:tcW w:w="849" w:type="pct"/>
                  <w:tcBorders>
                    <w:top w:val="single" w:color="auto" w:sz="12" w:space="0"/>
                    <w:right w:val="nil"/>
                  </w:tcBorders>
                  <w:vAlign w:val="center"/>
                </w:tcPr>
                <w:p w14:paraId="4AC7F085">
                  <w:pPr>
                    <w:pStyle w:val="35"/>
                    <w:widowControl w:val="0"/>
                    <w:autoSpaceDE w:val="0"/>
                    <w:autoSpaceDN w:val="0"/>
                    <w:bidi w:val="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总磷(mg/L)</w:t>
                  </w:r>
                </w:p>
              </w:tc>
            </w:tr>
            <w:tr w14:paraId="023E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61" w:type="pct"/>
                  <w:vMerge w:val="restart"/>
                  <w:tcBorders>
                    <w:left w:val="nil"/>
                  </w:tcBorders>
                  <w:vAlign w:val="center"/>
                </w:tcPr>
                <w:p w14:paraId="46A9AC2E">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2024.07.24</w:t>
                  </w:r>
                </w:p>
              </w:tc>
              <w:tc>
                <w:tcPr>
                  <w:tcW w:w="709" w:type="pct"/>
                  <w:vMerge w:val="restart"/>
                  <w:vAlign w:val="center"/>
                </w:tcPr>
                <w:p w14:paraId="195412E2">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DW001</w:t>
                  </w:r>
                </w:p>
              </w:tc>
              <w:tc>
                <w:tcPr>
                  <w:tcW w:w="612" w:type="pct"/>
                  <w:vAlign w:val="center"/>
                </w:tcPr>
                <w:p w14:paraId="5E2684F4">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第1次</w:t>
                  </w:r>
                </w:p>
              </w:tc>
              <w:tc>
                <w:tcPr>
                  <w:tcW w:w="1223" w:type="pct"/>
                  <w:vAlign w:val="center"/>
                </w:tcPr>
                <w:p w14:paraId="54E2E7C6">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16.4</w:t>
                  </w:r>
                </w:p>
              </w:tc>
              <w:tc>
                <w:tcPr>
                  <w:tcW w:w="843" w:type="pct"/>
                  <w:vAlign w:val="center"/>
                </w:tcPr>
                <w:p w14:paraId="6EF06077">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0.508</w:t>
                  </w:r>
                </w:p>
              </w:tc>
              <w:tc>
                <w:tcPr>
                  <w:tcW w:w="849" w:type="pct"/>
                  <w:tcBorders>
                    <w:right w:val="nil"/>
                  </w:tcBorders>
                  <w:vAlign w:val="center"/>
                </w:tcPr>
                <w:p w14:paraId="7A2C6615">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0.22</w:t>
                  </w:r>
                </w:p>
              </w:tc>
            </w:tr>
            <w:tr w14:paraId="4AC3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61" w:type="pct"/>
                  <w:vMerge w:val="continue"/>
                  <w:tcBorders>
                    <w:left w:val="nil"/>
                  </w:tcBorders>
                  <w:vAlign w:val="center"/>
                </w:tcPr>
                <w:p w14:paraId="670D8EDB">
                  <w:pPr>
                    <w:pStyle w:val="35"/>
                    <w:widowControl w:val="0"/>
                    <w:autoSpaceDE w:val="0"/>
                    <w:autoSpaceDN w:val="0"/>
                    <w:bidi w:val="0"/>
                    <w:jc w:val="center"/>
                    <w:rPr>
                      <w:color w:val="000000" w:themeColor="text1"/>
                      <w:highlight w:val="none"/>
                      <w14:textFill>
                        <w14:solidFill>
                          <w14:schemeClr w14:val="tx1"/>
                        </w14:solidFill>
                      </w14:textFill>
                    </w:rPr>
                  </w:pPr>
                </w:p>
              </w:tc>
              <w:tc>
                <w:tcPr>
                  <w:tcW w:w="709" w:type="pct"/>
                  <w:vMerge w:val="continue"/>
                  <w:vAlign w:val="center"/>
                </w:tcPr>
                <w:p w14:paraId="7043A941">
                  <w:pPr>
                    <w:pStyle w:val="35"/>
                    <w:widowControl w:val="0"/>
                    <w:autoSpaceDE w:val="0"/>
                    <w:autoSpaceDN w:val="0"/>
                    <w:bidi w:val="0"/>
                    <w:jc w:val="center"/>
                    <w:rPr>
                      <w:color w:val="000000" w:themeColor="text1"/>
                      <w:highlight w:val="none"/>
                      <w14:textFill>
                        <w14:solidFill>
                          <w14:schemeClr w14:val="tx1"/>
                        </w14:solidFill>
                      </w14:textFill>
                    </w:rPr>
                  </w:pPr>
                </w:p>
              </w:tc>
              <w:tc>
                <w:tcPr>
                  <w:tcW w:w="612" w:type="pct"/>
                  <w:vAlign w:val="center"/>
                </w:tcPr>
                <w:p w14:paraId="55C121D8">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第2次</w:t>
                  </w:r>
                </w:p>
              </w:tc>
              <w:tc>
                <w:tcPr>
                  <w:tcW w:w="1223" w:type="pct"/>
                  <w:vAlign w:val="center"/>
                </w:tcPr>
                <w:p w14:paraId="22AC1FB1">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15.0</w:t>
                  </w:r>
                </w:p>
              </w:tc>
              <w:tc>
                <w:tcPr>
                  <w:tcW w:w="843" w:type="pct"/>
                  <w:vAlign w:val="center"/>
                </w:tcPr>
                <w:p w14:paraId="7CC1687F">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0.531</w:t>
                  </w:r>
                </w:p>
              </w:tc>
              <w:tc>
                <w:tcPr>
                  <w:tcW w:w="849" w:type="pct"/>
                  <w:tcBorders>
                    <w:right w:val="nil"/>
                  </w:tcBorders>
                  <w:vAlign w:val="center"/>
                </w:tcPr>
                <w:p w14:paraId="43FFD6DB">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0.19</w:t>
                  </w:r>
                </w:p>
              </w:tc>
            </w:tr>
            <w:tr w14:paraId="07CB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61" w:type="pct"/>
                  <w:vMerge w:val="continue"/>
                  <w:tcBorders>
                    <w:left w:val="nil"/>
                  </w:tcBorders>
                  <w:vAlign w:val="center"/>
                </w:tcPr>
                <w:p w14:paraId="5EE6F1E3">
                  <w:pPr>
                    <w:pStyle w:val="35"/>
                    <w:widowControl w:val="0"/>
                    <w:autoSpaceDE w:val="0"/>
                    <w:autoSpaceDN w:val="0"/>
                    <w:bidi w:val="0"/>
                    <w:jc w:val="center"/>
                    <w:rPr>
                      <w:color w:val="000000" w:themeColor="text1"/>
                      <w:highlight w:val="none"/>
                      <w14:textFill>
                        <w14:solidFill>
                          <w14:schemeClr w14:val="tx1"/>
                        </w14:solidFill>
                      </w14:textFill>
                    </w:rPr>
                  </w:pPr>
                </w:p>
              </w:tc>
              <w:tc>
                <w:tcPr>
                  <w:tcW w:w="709" w:type="pct"/>
                  <w:vMerge w:val="continue"/>
                  <w:vAlign w:val="center"/>
                </w:tcPr>
                <w:p w14:paraId="79C0D51E">
                  <w:pPr>
                    <w:pStyle w:val="35"/>
                    <w:widowControl w:val="0"/>
                    <w:autoSpaceDE w:val="0"/>
                    <w:autoSpaceDN w:val="0"/>
                    <w:bidi w:val="0"/>
                    <w:jc w:val="center"/>
                    <w:rPr>
                      <w:color w:val="000000" w:themeColor="text1"/>
                      <w:highlight w:val="none"/>
                      <w14:textFill>
                        <w14:solidFill>
                          <w14:schemeClr w14:val="tx1"/>
                        </w14:solidFill>
                      </w14:textFill>
                    </w:rPr>
                  </w:pPr>
                </w:p>
              </w:tc>
              <w:tc>
                <w:tcPr>
                  <w:tcW w:w="612" w:type="pct"/>
                  <w:vAlign w:val="center"/>
                </w:tcPr>
                <w:p w14:paraId="249B3077">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第3次</w:t>
                  </w:r>
                </w:p>
              </w:tc>
              <w:tc>
                <w:tcPr>
                  <w:tcW w:w="1223" w:type="pct"/>
                  <w:vAlign w:val="center"/>
                </w:tcPr>
                <w:p w14:paraId="63FC393C">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18.1</w:t>
                  </w:r>
                </w:p>
              </w:tc>
              <w:tc>
                <w:tcPr>
                  <w:tcW w:w="843" w:type="pct"/>
                  <w:vAlign w:val="center"/>
                </w:tcPr>
                <w:p w14:paraId="3DB5033C">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0.493</w:t>
                  </w:r>
                </w:p>
              </w:tc>
              <w:tc>
                <w:tcPr>
                  <w:tcW w:w="849" w:type="pct"/>
                  <w:tcBorders>
                    <w:right w:val="nil"/>
                  </w:tcBorders>
                  <w:vAlign w:val="center"/>
                </w:tcPr>
                <w:p w14:paraId="4D18B951">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0.21</w:t>
                  </w:r>
                </w:p>
              </w:tc>
            </w:tr>
            <w:tr w14:paraId="43BB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61" w:type="pct"/>
                  <w:vMerge w:val="continue"/>
                  <w:tcBorders>
                    <w:left w:val="nil"/>
                  </w:tcBorders>
                  <w:vAlign w:val="center"/>
                </w:tcPr>
                <w:p w14:paraId="58A43EC7">
                  <w:pPr>
                    <w:pStyle w:val="35"/>
                    <w:widowControl w:val="0"/>
                    <w:autoSpaceDE w:val="0"/>
                    <w:autoSpaceDN w:val="0"/>
                    <w:bidi w:val="0"/>
                    <w:jc w:val="center"/>
                    <w:rPr>
                      <w:color w:val="000000" w:themeColor="text1"/>
                      <w:highlight w:val="none"/>
                      <w14:textFill>
                        <w14:solidFill>
                          <w14:schemeClr w14:val="tx1"/>
                        </w14:solidFill>
                      </w14:textFill>
                    </w:rPr>
                  </w:pPr>
                </w:p>
              </w:tc>
              <w:tc>
                <w:tcPr>
                  <w:tcW w:w="709" w:type="pct"/>
                  <w:vMerge w:val="continue"/>
                  <w:vAlign w:val="center"/>
                </w:tcPr>
                <w:p w14:paraId="0D1A1F38">
                  <w:pPr>
                    <w:pStyle w:val="35"/>
                    <w:widowControl w:val="0"/>
                    <w:autoSpaceDE w:val="0"/>
                    <w:autoSpaceDN w:val="0"/>
                    <w:bidi w:val="0"/>
                    <w:jc w:val="center"/>
                    <w:rPr>
                      <w:color w:val="000000" w:themeColor="text1"/>
                      <w:highlight w:val="none"/>
                      <w14:textFill>
                        <w14:solidFill>
                          <w14:schemeClr w14:val="tx1"/>
                        </w14:solidFill>
                      </w14:textFill>
                    </w:rPr>
                  </w:pPr>
                </w:p>
              </w:tc>
              <w:tc>
                <w:tcPr>
                  <w:tcW w:w="612" w:type="pct"/>
                  <w:vAlign w:val="center"/>
                </w:tcPr>
                <w:p w14:paraId="059C47EF">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第4次</w:t>
                  </w:r>
                </w:p>
              </w:tc>
              <w:tc>
                <w:tcPr>
                  <w:tcW w:w="1223" w:type="pct"/>
                  <w:vAlign w:val="center"/>
                </w:tcPr>
                <w:p w14:paraId="63B9CB7A">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14.4</w:t>
                  </w:r>
                </w:p>
              </w:tc>
              <w:tc>
                <w:tcPr>
                  <w:tcW w:w="843" w:type="pct"/>
                  <w:vAlign w:val="center"/>
                </w:tcPr>
                <w:p w14:paraId="757A78AF">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0.482</w:t>
                  </w:r>
                </w:p>
              </w:tc>
              <w:tc>
                <w:tcPr>
                  <w:tcW w:w="849" w:type="pct"/>
                  <w:tcBorders>
                    <w:right w:val="nil"/>
                  </w:tcBorders>
                  <w:vAlign w:val="center"/>
                </w:tcPr>
                <w:p w14:paraId="3E9DF0E4">
                  <w:pPr>
                    <w:pStyle w:val="35"/>
                    <w:widowControl w:val="0"/>
                    <w:autoSpaceDE w:val="0"/>
                    <w:autoSpaceDN w:val="0"/>
                    <w:bidi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0.24</w:t>
                  </w:r>
                </w:p>
              </w:tc>
            </w:tr>
            <w:tr w14:paraId="4F97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61" w:type="pct"/>
                  <w:vMerge w:val="continue"/>
                  <w:tcBorders>
                    <w:left w:val="nil"/>
                  </w:tcBorders>
                  <w:vAlign w:val="center"/>
                </w:tcPr>
                <w:p w14:paraId="1109561E">
                  <w:pPr>
                    <w:pStyle w:val="35"/>
                    <w:widowControl w:val="0"/>
                    <w:autoSpaceDE w:val="0"/>
                    <w:autoSpaceDN w:val="0"/>
                    <w:bidi w:val="0"/>
                    <w:jc w:val="center"/>
                    <w:rPr>
                      <w:color w:val="000000" w:themeColor="text1"/>
                      <w:highlight w:val="none"/>
                      <w14:textFill>
                        <w14:solidFill>
                          <w14:schemeClr w14:val="tx1"/>
                        </w14:solidFill>
                      </w14:textFill>
                    </w:rPr>
                  </w:pPr>
                </w:p>
              </w:tc>
              <w:tc>
                <w:tcPr>
                  <w:tcW w:w="709" w:type="pct"/>
                  <w:vMerge w:val="continue"/>
                  <w:vAlign w:val="center"/>
                </w:tcPr>
                <w:p w14:paraId="2200E9A4">
                  <w:pPr>
                    <w:pStyle w:val="35"/>
                    <w:widowControl w:val="0"/>
                    <w:autoSpaceDE w:val="0"/>
                    <w:autoSpaceDN w:val="0"/>
                    <w:bidi w:val="0"/>
                    <w:jc w:val="center"/>
                    <w:rPr>
                      <w:color w:val="000000" w:themeColor="text1"/>
                      <w:highlight w:val="none"/>
                      <w14:textFill>
                        <w14:solidFill>
                          <w14:schemeClr w14:val="tx1"/>
                        </w14:solidFill>
                      </w14:textFill>
                    </w:rPr>
                  </w:pPr>
                </w:p>
              </w:tc>
              <w:tc>
                <w:tcPr>
                  <w:tcW w:w="612" w:type="pct"/>
                  <w:vAlign w:val="center"/>
                </w:tcPr>
                <w:p w14:paraId="53DA9BDE">
                  <w:pPr>
                    <w:pStyle w:val="35"/>
                    <w:widowControl w:val="0"/>
                    <w:autoSpaceDE w:val="0"/>
                    <w:autoSpaceDN w:val="0"/>
                    <w:bidi w:val="0"/>
                    <w:jc w:val="center"/>
                    <w:rPr>
                      <w:rFonts w:hint="eastAsia"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日均值</w:t>
                  </w:r>
                </w:p>
              </w:tc>
              <w:tc>
                <w:tcPr>
                  <w:tcW w:w="1223" w:type="pct"/>
                  <w:vAlign w:val="center"/>
                </w:tcPr>
                <w:p w14:paraId="66B3908B">
                  <w:pPr>
                    <w:pStyle w:val="35"/>
                    <w:widowControl w:val="0"/>
                    <w:autoSpaceDE w:val="0"/>
                    <w:autoSpaceDN w:val="0"/>
                    <w:bidi w:val="0"/>
                    <w:rPr>
                      <w:b/>
                      <w:bCs/>
                      <w:color w:val="000000" w:themeColor="text1"/>
                      <w:highlight w:val="none"/>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 xml:space="preserve">16.0 </w:t>
                  </w:r>
                </w:p>
              </w:tc>
              <w:tc>
                <w:tcPr>
                  <w:tcW w:w="843" w:type="pct"/>
                  <w:vAlign w:val="center"/>
                </w:tcPr>
                <w:p w14:paraId="1431DB8C">
                  <w:pPr>
                    <w:pStyle w:val="35"/>
                    <w:widowControl w:val="0"/>
                    <w:autoSpaceDE w:val="0"/>
                    <w:autoSpaceDN w:val="0"/>
                    <w:bidi w:val="0"/>
                    <w:rPr>
                      <w:b/>
                      <w:bCs/>
                      <w:color w:val="000000" w:themeColor="text1"/>
                      <w:highlight w:val="none"/>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 xml:space="preserve">0.504 </w:t>
                  </w:r>
                </w:p>
              </w:tc>
              <w:tc>
                <w:tcPr>
                  <w:tcW w:w="849" w:type="pct"/>
                  <w:tcBorders>
                    <w:right w:val="nil"/>
                  </w:tcBorders>
                  <w:vAlign w:val="center"/>
                </w:tcPr>
                <w:p w14:paraId="5FBDCF03">
                  <w:pPr>
                    <w:pStyle w:val="35"/>
                    <w:widowControl w:val="0"/>
                    <w:autoSpaceDE w:val="0"/>
                    <w:autoSpaceDN w:val="0"/>
                    <w:bidi w:val="0"/>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 xml:space="preserve">0.22 </w:t>
                  </w:r>
                </w:p>
              </w:tc>
            </w:tr>
            <w:tr w14:paraId="11DD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083" w:type="pct"/>
                  <w:gridSpan w:val="3"/>
                  <w:tcBorders>
                    <w:left w:val="nil"/>
                    <w:bottom w:val="single" w:color="auto" w:sz="12" w:space="0"/>
                  </w:tcBorders>
                  <w:vAlign w:val="center"/>
                </w:tcPr>
                <w:p w14:paraId="5CD15CA1">
                  <w:pPr>
                    <w:pStyle w:val="35"/>
                    <w:widowControl w:val="0"/>
                    <w:autoSpaceDE w:val="0"/>
                    <w:autoSpaceDN w:val="0"/>
                    <w:bidi w:val="0"/>
                    <w:jc w:val="center"/>
                    <w:rPr>
                      <w:rFonts w:hint="default"/>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《污水综合排放标准》(GB8978-1996)三级标准限值</w:t>
                  </w:r>
                </w:p>
              </w:tc>
              <w:tc>
                <w:tcPr>
                  <w:tcW w:w="1223" w:type="pct"/>
                  <w:tcBorders>
                    <w:bottom w:val="single" w:color="auto" w:sz="12" w:space="0"/>
                  </w:tcBorders>
                  <w:vAlign w:val="center"/>
                </w:tcPr>
                <w:p w14:paraId="00845C6E">
                  <w:pPr>
                    <w:pStyle w:val="35"/>
                    <w:widowControl w:val="0"/>
                    <w:autoSpaceDE w:val="0"/>
                    <w:autoSpaceDN w:val="0"/>
                    <w:bidi w:val="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500</w:t>
                  </w:r>
                </w:p>
              </w:tc>
              <w:tc>
                <w:tcPr>
                  <w:tcW w:w="843" w:type="pct"/>
                  <w:tcBorders>
                    <w:bottom w:val="single" w:color="auto" w:sz="12" w:space="0"/>
                  </w:tcBorders>
                  <w:vAlign w:val="center"/>
                </w:tcPr>
                <w:p w14:paraId="7FD95477">
                  <w:pPr>
                    <w:pStyle w:val="35"/>
                    <w:widowControl w:val="0"/>
                    <w:autoSpaceDE w:val="0"/>
                    <w:autoSpaceDN w:val="0"/>
                    <w:bidi w:val="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35</w:t>
                  </w:r>
                </w:p>
              </w:tc>
              <w:tc>
                <w:tcPr>
                  <w:tcW w:w="849" w:type="pct"/>
                  <w:tcBorders>
                    <w:bottom w:val="single" w:color="auto" w:sz="12" w:space="0"/>
                    <w:right w:val="nil"/>
                  </w:tcBorders>
                  <w:vAlign w:val="center"/>
                </w:tcPr>
                <w:p w14:paraId="27C9A2CB">
                  <w:pPr>
                    <w:pStyle w:val="35"/>
                    <w:widowControl w:val="0"/>
                    <w:autoSpaceDE w:val="0"/>
                    <w:autoSpaceDN w:val="0"/>
                    <w:bidi w:val="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4.5</w:t>
                  </w:r>
                </w:p>
              </w:tc>
            </w:tr>
          </w:tbl>
          <w:p w14:paraId="21C05119">
            <w:pPr>
              <w:pStyle w:val="4"/>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监测结果表明：</w:t>
            </w:r>
            <w:r>
              <w:rPr>
                <w:rFonts w:hint="default"/>
                <w:color w:val="000000" w:themeColor="text1"/>
                <w:highlight w:val="none"/>
                <w:lang w:eastAsia="zh-CN"/>
                <w14:textFill>
                  <w14:solidFill>
                    <w14:schemeClr w14:val="tx1"/>
                  </w14:solidFill>
                </w14:textFill>
              </w:rPr>
              <w:t>废水各指标分别为</w:t>
            </w:r>
            <w:r>
              <w:rPr>
                <w:rFonts w:hint="default"/>
                <w:color w:val="000000" w:themeColor="text1"/>
                <w:highlight w:val="none"/>
                <w:lang w:val="zh-CN" w:eastAsia="zh-CN"/>
                <w14:textFill>
                  <w14:solidFill>
                    <w14:schemeClr w14:val="tx1"/>
                  </w14:solidFill>
                </w14:textFill>
              </w:rPr>
              <w:t>COD</w:t>
            </w:r>
            <w:r>
              <w:rPr>
                <w:rFonts w:hint="default"/>
                <w:b w:val="0"/>
                <w:bCs w:val="0"/>
                <w:color w:val="000000" w:themeColor="text1"/>
                <w:highlight w:val="none"/>
                <w:lang w:val="en-US" w:eastAsia="zh-CN"/>
                <w14:textFill>
                  <w14:solidFill>
                    <w14:schemeClr w14:val="tx1"/>
                  </w14:solidFill>
                </w14:textFill>
              </w:rPr>
              <w:t>16.0</w:t>
            </w:r>
            <w:r>
              <w:rPr>
                <w:rFonts w:hint="default"/>
                <w:b/>
                <w:bCs/>
                <w:color w:val="000000" w:themeColor="text1"/>
                <w:highlight w:val="none"/>
                <w:lang w:val="en-US" w:eastAsia="zh-CN"/>
                <w14:textFill>
                  <w14:solidFill>
                    <w14:schemeClr w14:val="tx1"/>
                  </w14:solidFill>
                </w14:textFill>
              </w:rPr>
              <w:t xml:space="preserve"> </w:t>
            </w:r>
            <w:r>
              <w:rPr>
                <w:rFonts w:hint="default"/>
                <w:color w:val="000000" w:themeColor="text1"/>
                <w:highlight w:val="none"/>
                <w:lang w:val="zh-CN" w:eastAsia="zh-CN"/>
                <w14:textFill>
                  <w14:solidFill>
                    <w14:schemeClr w14:val="tx1"/>
                  </w14:solidFill>
                </w14:textFill>
              </w:rPr>
              <w:t>mg/L、</w:t>
            </w:r>
            <w:r>
              <w:rPr>
                <w:rFonts w:hint="default"/>
                <w:color w:val="000000" w:themeColor="text1"/>
                <w:highlight w:val="none"/>
                <w:lang w:eastAsia="zh-CN"/>
                <w14:textFill>
                  <w14:solidFill>
                    <w14:schemeClr w14:val="tx1"/>
                  </w14:solidFill>
                </w14:textFill>
              </w:rPr>
              <w:t>氨氮</w:t>
            </w:r>
            <w:r>
              <w:rPr>
                <w:rFonts w:hint="eastAsia"/>
                <w:color w:val="000000" w:themeColor="text1"/>
                <w:highlight w:val="none"/>
                <w:lang w:val="en-US" w:eastAsia="zh-CN"/>
                <w14:textFill>
                  <w14:solidFill>
                    <w14:schemeClr w14:val="tx1"/>
                  </w14:solidFill>
                </w14:textFill>
              </w:rPr>
              <w:t>0.504</w:t>
            </w:r>
            <w:r>
              <w:rPr>
                <w:rFonts w:hint="default"/>
                <w:color w:val="000000" w:themeColor="text1"/>
                <w:highlight w:val="none"/>
                <w:lang w:val="zh-CN" w:eastAsia="zh-CN"/>
                <w14:textFill>
                  <w14:solidFill>
                    <w14:schemeClr w14:val="tx1"/>
                  </w14:solidFill>
                </w14:textFill>
              </w:rPr>
              <w:t>mg/L，</w:t>
            </w:r>
            <w:r>
              <w:rPr>
                <w:rFonts w:hint="eastAsia"/>
                <w:color w:val="000000" w:themeColor="text1"/>
                <w:highlight w:val="none"/>
                <w:lang w:val="en-US" w:eastAsia="zh-CN"/>
                <w14:textFill>
                  <w14:solidFill>
                    <w14:schemeClr w14:val="tx1"/>
                  </w14:solidFill>
                </w14:textFill>
              </w:rPr>
              <w:t>总磷0.22</w:t>
            </w:r>
            <w:r>
              <w:rPr>
                <w:rFonts w:hint="default"/>
                <w:color w:val="000000" w:themeColor="text1"/>
                <w:highlight w:val="none"/>
                <w:lang w:val="zh-CN" w:eastAsia="zh-CN"/>
                <w14:textFill>
                  <w14:solidFill>
                    <w14:schemeClr w14:val="tx1"/>
                  </w14:solidFill>
                </w14:textFill>
              </w:rPr>
              <w:t>mg/L</w:t>
            </w:r>
            <w:r>
              <w:rPr>
                <w:rFonts w:hint="eastAsia"/>
                <w:color w:val="000000" w:themeColor="text1"/>
                <w:highlight w:val="none"/>
                <w:lang w:val="zh-CN"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满足</w:t>
            </w:r>
            <w:r>
              <w:rPr>
                <w:rFonts w:hint="default"/>
                <w:color w:val="000000" w:themeColor="text1"/>
                <w:highlight w:val="none"/>
                <w:lang w:eastAsia="zh-CN"/>
                <w14:textFill>
                  <w14:solidFill>
                    <w14:schemeClr w14:val="tx1"/>
                  </w14:solidFill>
                </w14:textFill>
              </w:rPr>
              <w:t>大榄坪污水处理厂纳管标准即《污水综合排放标准》(GB8978-1996)三级标准限值</w:t>
            </w:r>
            <w:r>
              <w:rPr>
                <w:rFonts w:hint="eastAsia"/>
                <w:color w:val="000000" w:themeColor="text1"/>
                <w:highlight w:val="none"/>
                <w:lang w:val="en-US" w:eastAsia="zh-CN"/>
                <w14:textFill>
                  <w14:solidFill>
                    <w14:schemeClr w14:val="tx1"/>
                  </w14:solidFill>
                </w14:textFill>
              </w:rPr>
              <w:t>要求</w:t>
            </w:r>
            <w:r>
              <w:rPr>
                <w:rFonts w:hint="default"/>
                <w:color w:val="000000" w:themeColor="text1"/>
                <w:highlight w:val="none"/>
                <w:lang w:val="en-US" w:eastAsia="zh-CN"/>
                <w14:textFill>
                  <w14:solidFill>
                    <w14:schemeClr w14:val="tx1"/>
                  </w14:solidFill>
                </w14:textFill>
              </w:rPr>
              <w:t>。</w:t>
            </w:r>
          </w:p>
          <w:p w14:paraId="3216A67C">
            <w:pPr>
              <w:pStyle w:val="4"/>
              <w:bidi w:val="0"/>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eastAsia="zh-CN"/>
                <w14:textFill>
                  <w14:solidFill>
                    <w14:schemeClr w14:val="tx1"/>
                  </w14:solidFill>
                </w14:textFill>
              </w:rPr>
              <w:t>②</w:t>
            </w:r>
            <w:r>
              <w:rPr>
                <w:rFonts w:hint="eastAsia" w:ascii="宋体" w:hAnsi="宋体" w:eastAsia="宋体" w:cs="宋体"/>
                <w:b/>
                <w:bCs/>
                <w:color w:val="000000" w:themeColor="text1"/>
                <w:highlight w:val="none"/>
                <w:lang w:val="en-US" w:eastAsia="zh-CN"/>
                <w14:textFill>
                  <w14:solidFill>
                    <w14:schemeClr w14:val="tx1"/>
                  </w14:solidFill>
                </w14:textFill>
              </w:rPr>
              <w:t>现有工程废水污染物排放量</w:t>
            </w:r>
          </w:p>
          <w:p w14:paraId="6A38D12D">
            <w:pPr>
              <w:pStyle w:val="4"/>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根据2024年第三季度废水检测结果计算，现有项目废水污染物排放量见表2-15所示。</w:t>
            </w:r>
          </w:p>
          <w:p w14:paraId="75EF16BA">
            <w:pPr>
              <w:pStyle w:val="34"/>
              <w:bidi w:val="0"/>
              <w:rPr>
                <w:rFonts w:hint="default" w:ascii="Times New Roman" w:hAnsi="Times New Roman" w:cs="Times New Roman"/>
                <w:color w:val="000000" w:themeColor="text1"/>
                <w:highlight w:val="none"/>
                <w:lang w:val="en-US" w:eastAsia="zh-CN"/>
                <w14:textFill>
                  <w14:solidFill>
                    <w14:schemeClr w14:val="tx1"/>
                  </w14:solidFill>
                </w14:textFill>
              </w:rPr>
            </w:pPr>
          </w:p>
          <w:p w14:paraId="4513F844">
            <w:pPr>
              <w:pStyle w:val="34"/>
              <w:bidi w:val="0"/>
              <w:rPr>
                <w:rFonts w:hint="default"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表2-1</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废水污染物排放量计算</w:t>
            </w:r>
            <w:r>
              <w:rPr>
                <w:rFonts w:hint="default" w:ascii="Times New Roman" w:hAnsi="Times New Roman" w:cs="Times New Roman"/>
                <w:color w:val="000000" w:themeColor="text1"/>
                <w:highlight w:val="none"/>
                <w:lang w:val="en-US" w:eastAsia="zh-CN"/>
                <w14:textFill>
                  <w14:solidFill>
                    <w14:schemeClr w14:val="tx1"/>
                  </w14:solidFill>
                </w14:textFill>
              </w:rPr>
              <w:t>结果</w:t>
            </w:r>
          </w:p>
          <w:tbl>
            <w:tblPr>
              <w:tblStyle w:val="4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287"/>
              <w:gridCol w:w="1853"/>
              <w:gridCol w:w="1855"/>
              <w:gridCol w:w="1868"/>
            </w:tblGrid>
            <w:tr w14:paraId="5FB92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54" w:type="pct"/>
                  <w:tcBorders>
                    <w:tl2br w:val="nil"/>
                    <w:tr2bl w:val="nil"/>
                  </w:tcBorders>
                  <w:vAlign w:val="center"/>
                </w:tcPr>
                <w:p w14:paraId="6F347D0D">
                  <w:pPr>
                    <w:pStyle w:val="35"/>
                    <w:widowControl w:val="0"/>
                    <w:autoSpaceDE w:val="0"/>
                    <w:autoSpaceDN w:val="0"/>
                    <w:bidi w:val="0"/>
                    <w:jc w:val="center"/>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废水排放量（m</w:t>
                  </w:r>
                  <w:r>
                    <w:rPr>
                      <w:rFonts w:hint="eastAsia"/>
                      <w:b/>
                      <w:bCs/>
                      <w:color w:val="000000" w:themeColor="text1"/>
                      <w:highlight w:val="none"/>
                      <w:vertAlign w:val="superscript"/>
                      <w:lang w:val="en-US" w:eastAsia="zh-CN"/>
                      <w14:textFill>
                        <w14:solidFill>
                          <w14:schemeClr w14:val="tx1"/>
                        </w14:solidFill>
                      </w14:textFill>
                    </w:rPr>
                    <w:t>3</w:t>
                  </w:r>
                  <w:r>
                    <w:rPr>
                      <w:rFonts w:hint="eastAsia"/>
                      <w:b/>
                      <w:bCs/>
                      <w:color w:val="000000" w:themeColor="text1"/>
                      <w:highlight w:val="none"/>
                      <w:lang w:val="en-US" w:eastAsia="zh-CN"/>
                      <w14:textFill>
                        <w14:solidFill>
                          <w14:schemeClr w14:val="tx1"/>
                        </w14:solidFill>
                      </w14:textFill>
                    </w:rPr>
                    <w:t>/a）</w:t>
                  </w:r>
                </w:p>
              </w:tc>
              <w:tc>
                <w:tcPr>
                  <w:tcW w:w="1178" w:type="pct"/>
                  <w:tcBorders>
                    <w:tl2br w:val="nil"/>
                    <w:tr2bl w:val="nil"/>
                  </w:tcBorders>
                  <w:vAlign w:val="center"/>
                </w:tcPr>
                <w:p w14:paraId="347F364B">
                  <w:pPr>
                    <w:pStyle w:val="35"/>
                    <w:widowControl w:val="0"/>
                    <w:autoSpaceDE w:val="0"/>
                    <w:autoSpaceDN w:val="0"/>
                    <w:bidi w:val="0"/>
                    <w:jc w:val="center"/>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污染物名称</w:t>
                  </w:r>
                </w:p>
              </w:tc>
              <w:tc>
                <w:tcPr>
                  <w:tcW w:w="1179" w:type="pct"/>
                  <w:tcBorders>
                    <w:tl2br w:val="nil"/>
                    <w:tr2bl w:val="nil"/>
                  </w:tcBorders>
                  <w:vAlign w:val="center"/>
                </w:tcPr>
                <w:p w14:paraId="4E5ECFF5">
                  <w:pPr>
                    <w:pStyle w:val="35"/>
                    <w:widowControl w:val="0"/>
                    <w:autoSpaceDE w:val="0"/>
                    <w:autoSpaceDN w:val="0"/>
                    <w:bidi w:val="0"/>
                    <w:jc w:val="center"/>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排放浓度</w:t>
                  </w:r>
                  <w:r>
                    <w:rPr>
                      <w:b/>
                      <w:bCs/>
                      <w:color w:val="000000" w:themeColor="text1"/>
                      <w:highlight w:val="none"/>
                      <w14:textFill>
                        <w14:solidFill>
                          <w14:schemeClr w14:val="tx1"/>
                        </w14:solidFill>
                      </w14:textFill>
                    </w:rPr>
                    <w:t>(mg/L)</w:t>
                  </w:r>
                </w:p>
              </w:tc>
              <w:tc>
                <w:tcPr>
                  <w:tcW w:w="1187" w:type="pct"/>
                  <w:tcBorders>
                    <w:tl2br w:val="nil"/>
                    <w:tr2bl w:val="nil"/>
                  </w:tcBorders>
                  <w:vAlign w:val="center"/>
                </w:tcPr>
                <w:p w14:paraId="2BC90B0D">
                  <w:pPr>
                    <w:pStyle w:val="35"/>
                    <w:widowControl w:val="0"/>
                    <w:autoSpaceDE w:val="0"/>
                    <w:autoSpaceDN w:val="0"/>
                    <w:bidi w:val="0"/>
                    <w:jc w:val="center"/>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污染物排放量（t/a）</w:t>
                  </w:r>
                </w:p>
              </w:tc>
            </w:tr>
            <w:tr w14:paraId="15125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54" w:type="pct"/>
                  <w:vMerge w:val="restart"/>
                  <w:tcBorders>
                    <w:tl2br w:val="nil"/>
                    <w:tr2bl w:val="nil"/>
                  </w:tcBorders>
                  <w:shd w:val="clear" w:color="auto" w:fill="auto"/>
                  <w:vAlign w:val="center"/>
                </w:tcPr>
                <w:p w14:paraId="57044C06">
                  <w:pPr>
                    <w:pStyle w:val="35"/>
                    <w:widowControl w:val="0"/>
                    <w:autoSpaceDE w:val="0"/>
                    <w:autoSpaceDN w:val="0"/>
                    <w:bidi w:val="0"/>
                    <w:jc w:val="cente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31430</w:t>
                  </w:r>
                </w:p>
              </w:tc>
              <w:tc>
                <w:tcPr>
                  <w:tcW w:w="1178" w:type="pct"/>
                  <w:tcBorders>
                    <w:tl2br w:val="nil"/>
                    <w:tr2bl w:val="nil"/>
                  </w:tcBorders>
                  <w:shd w:val="clear" w:color="auto" w:fill="auto"/>
                  <w:vAlign w:val="center"/>
                </w:tcPr>
                <w:p w14:paraId="0CEEA031">
                  <w:pPr>
                    <w:pStyle w:val="35"/>
                    <w:widowControl w:val="0"/>
                    <w:autoSpaceDE w:val="0"/>
                    <w:autoSpaceDN w:val="0"/>
                    <w:bidi w:val="0"/>
                    <w:jc w:val="center"/>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color w:val="000000" w:themeColor="text1"/>
                      <w:highlight w:val="none"/>
                      <w14:textFill>
                        <w14:solidFill>
                          <w14:schemeClr w14:val="tx1"/>
                        </w14:solidFill>
                      </w14:textFill>
                    </w:rPr>
                    <w:t>化学需氧量</w:t>
                  </w:r>
                </w:p>
              </w:tc>
              <w:tc>
                <w:tcPr>
                  <w:tcW w:w="1179" w:type="pct"/>
                  <w:tcBorders>
                    <w:tl2br w:val="nil"/>
                    <w:tr2bl w:val="nil"/>
                  </w:tcBorders>
                  <w:shd w:val="clear" w:color="auto" w:fill="auto"/>
                  <w:vAlign w:val="center"/>
                </w:tcPr>
                <w:p w14:paraId="1A6C7398">
                  <w:pPr>
                    <w:pStyle w:val="35"/>
                    <w:widowControl w:val="0"/>
                    <w:autoSpaceDE w:val="0"/>
                    <w:autoSpaceDN w:val="0"/>
                    <w:bidi w:val="0"/>
                    <w:rPr>
                      <w:rFonts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color w:val="000000" w:themeColor="text1"/>
                      <w:highlight w:val="none"/>
                      <w:lang w:val="en-US" w:eastAsia="zh-CN"/>
                      <w14:textFill>
                        <w14:solidFill>
                          <w14:schemeClr w14:val="tx1"/>
                        </w14:solidFill>
                      </w14:textFill>
                    </w:rPr>
                    <w:t xml:space="preserve">16.0 </w:t>
                  </w:r>
                </w:p>
              </w:tc>
              <w:tc>
                <w:tcPr>
                  <w:tcW w:w="1865" w:type="dxa"/>
                  <w:tcBorders>
                    <w:tl2br w:val="nil"/>
                    <w:tr2bl w:val="nil"/>
                  </w:tcBorders>
                  <w:shd w:val="clear" w:color="auto" w:fill="auto"/>
                  <w:vAlign w:val="center"/>
                </w:tcPr>
                <w:p w14:paraId="70B520DD">
                  <w:pPr>
                    <w:pStyle w:val="35"/>
                    <w:widowControl w:val="0"/>
                    <w:autoSpaceDE w:val="0"/>
                    <w:autoSpaceDN w:val="0"/>
                    <w:bidi w:val="0"/>
                    <w:rPr>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0.50</w:t>
                  </w: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 xml:space="preserve"> </w:t>
                  </w:r>
                </w:p>
              </w:tc>
            </w:tr>
            <w:tr w14:paraId="0F897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54" w:type="pct"/>
                  <w:vMerge w:val="continue"/>
                  <w:tcBorders>
                    <w:tl2br w:val="nil"/>
                    <w:tr2bl w:val="nil"/>
                  </w:tcBorders>
                  <w:shd w:val="clear" w:color="auto" w:fill="auto"/>
                  <w:vAlign w:val="center"/>
                </w:tcPr>
                <w:p w14:paraId="39878D79">
                  <w:pPr>
                    <w:pStyle w:val="35"/>
                    <w:widowControl w:val="0"/>
                    <w:autoSpaceDE w:val="0"/>
                    <w:autoSpaceDN w:val="0"/>
                    <w:bidi w:val="0"/>
                    <w:jc w:val="center"/>
                    <w:rPr>
                      <w:rFonts w:hint="eastAsia" w:cs="Times New Roman"/>
                      <w:color w:val="000000" w:themeColor="text1"/>
                      <w:highlight w:val="none"/>
                      <w:lang w:val="en-US" w:eastAsia="zh-CN"/>
                      <w14:textFill>
                        <w14:solidFill>
                          <w14:schemeClr w14:val="tx1"/>
                        </w14:solidFill>
                      </w14:textFill>
                    </w:rPr>
                  </w:pPr>
                </w:p>
              </w:tc>
              <w:tc>
                <w:tcPr>
                  <w:tcW w:w="1178" w:type="pct"/>
                  <w:tcBorders>
                    <w:tl2br w:val="nil"/>
                    <w:tr2bl w:val="nil"/>
                  </w:tcBorders>
                  <w:shd w:val="clear" w:color="auto" w:fill="auto"/>
                  <w:vAlign w:val="center"/>
                </w:tcPr>
                <w:p w14:paraId="4F0C620E">
                  <w:pPr>
                    <w:pStyle w:val="35"/>
                    <w:widowControl w:val="0"/>
                    <w:autoSpaceDE w:val="0"/>
                    <w:autoSpaceDN w:val="0"/>
                    <w:bidi w:val="0"/>
                    <w:jc w:val="center"/>
                    <w:rPr>
                      <w:rFonts w:hint="default"/>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氨氮</w:t>
                  </w:r>
                </w:p>
              </w:tc>
              <w:tc>
                <w:tcPr>
                  <w:tcW w:w="1179" w:type="pct"/>
                  <w:tcBorders>
                    <w:tl2br w:val="nil"/>
                    <w:tr2bl w:val="nil"/>
                  </w:tcBorders>
                  <w:shd w:val="clear" w:color="auto" w:fill="auto"/>
                  <w:vAlign w:val="center"/>
                </w:tcPr>
                <w:p w14:paraId="75748E64">
                  <w:pPr>
                    <w:pStyle w:val="35"/>
                    <w:widowControl w:val="0"/>
                    <w:autoSpaceDE w:val="0"/>
                    <w:autoSpaceDN w:val="0"/>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 xml:space="preserve">0.504 </w:t>
                  </w:r>
                </w:p>
              </w:tc>
              <w:tc>
                <w:tcPr>
                  <w:tcW w:w="1865" w:type="dxa"/>
                  <w:tcBorders>
                    <w:tl2br w:val="nil"/>
                    <w:tr2bl w:val="nil"/>
                  </w:tcBorders>
                  <w:shd w:val="clear" w:color="auto" w:fill="auto"/>
                  <w:vAlign w:val="center"/>
                </w:tcPr>
                <w:p w14:paraId="1FB8D740">
                  <w:pPr>
                    <w:pStyle w:val="35"/>
                    <w:widowControl w:val="0"/>
                    <w:autoSpaceDE w:val="0"/>
                    <w:autoSpaceDN w:val="0"/>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 xml:space="preserve">0.0158 </w:t>
                  </w:r>
                </w:p>
              </w:tc>
            </w:tr>
            <w:tr w14:paraId="25C429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454" w:type="pct"/>
                  <w:vMerge w:val="continue"/>
                  <w:tcBorders>
                    <w:tl2br w:val="nil"/>
                    <w:tr2bl w:val="nil"/>
                  </w:tcBorders>
                  <w:shd w:val="clear" w:color="auto" w:fill="auto"/>
                  <w:vAlign w:val="center"/>
                </w:tcPr>
                <w:p w14:paraId="411CDDF5">
                  <w:pPr>
                    <w:pStyle w:val="35"/>
                    <w:widowControl w:val="0"/>
                    <w:autoSpaceDE w:val="0"/>
                    <w:autoSpaceDN w:val="0"/>
                    <w:bidi w:val="0"/>
                    <w:jc w:val="center"/>
                    <w:rPr>
                      <w:rFonts w:hint="eastAsia" w:cs="Times New Roman"/>
                      <w:color w:val="000000" w:themeColor="text1"/>
                      <w:highlight w:val="none"/>
                      <w:lang w:val="en-US" w:eastAsia="zh-CN"/>
                      <w14:textFill>
                        <w14:solidFill>
                          <w14:schemeClr w14:val="tx1"/>
                        </w14:solidFill>
                      </w14:textFill>
                    </w:rPr>
                  </w:pPr>
                </w:p>
              </w:tc>
              <w:tc>
                <w:tcPr>
                  <w:tcW w:w="1178" w:type="pct"/>
                  <w:tcBorders>
                    <w:tl2br w:val="nil"/>
                    <w:tr2bl w:val="nil"/>
                  </w:tcBorders>
                  <w:shd w:val="clear" w:color="auto" w:fill="auto"/>
                  <w:vAlign w:val="center"/>
                </w:tcPr>
                <w:p w14:paraId="4E434AF8">
                  <w:pPr>
                    <w:pStyle w:val="35"/>
                    <w:widowControl w:val="0"/>
                    <w:autoSpaceDE w:val="0"/>
                    <w:autoSpaceDN w:val="0"/>
                    <w:bidi w:val="0"/>
                    <w:rPr>
                      <w:rFonts w:hint="default"/>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总磷</w:t>
                  </w:r>
                </w:p>
              </w:tc>
              <w:tc>
                <w:tcPr>
                  <w:tcW w:w="1179" w:type="pct"/>
                  <w:tcBorders>
                    <w:tl2br w:val="nil"/>
                    <w:tr2bl w:val="nil"/>
                  </w:tcBorders>
                  <w:shd w:val="clear" w:color="auto" w:fill="auto"/>
                  <w:vAlign w:val="center"/>
                </w:tcPr>
                <w:p w14:paraId="14D2CEFD">
                  <w:pPr>
                    <w:pStyle w:val="35"/>
                    <w:widowControl w:val="0"/>
                    <w:autoSpaceDE w:val="0"/>
                    <w:autoSpaceDN w:val="0"/>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0.22 </w:t>
                  </w:r>
                </w:p>
              </w:tc>
              <w:tc>
                <w:tcPr>
                  <w:tcW w:w="1865" w:type="dxa"/>
                  <w:tcBorders>
                    <w:tl2br w:val="nil"/>
                    <w:tr2bl w:val="nil"/>
                  </w:tcBorders>
                  <w:shd w:val="clear" w:color="auto" w:fill="auto"/>
                  <w:vAlign w:val="center"/>
                </w:tcPr>
                <w:p w14:paraId="61098A94">
                  <w:pPr>
                    <w:pStyle w:val="35"/>
                    <w:widowControl w:val="0"/>
                    <w:autoSpaceDE w:val="0"/>
                    <w:autoSpaceDN w:val="0"/>
                    <w:bidi w:val="0"/>
                    <w:rPr>
                      <w:rFonts w:hint="eastAsia"/>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 xml:space="preserve">0.0069 </w:t>
                  </w:r>
                </w:p>
              </w:tc>
            </w:tr>
          </w:tbl>
          <w:p w14:paraId="23B5D2BB">
            <w:pPr>
              <w:pStyle w:val="4"/>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根据表2-15所示，现有项目废水污染物：</w:t>
            </w:r>
            <w:r>
              <w:rPr>
                <w:color w:val="000000" w:themeColor="text1"/>
                <w:highlight w:val="none"/>
                <w14:textFill>
                  <w14:solidFill>
                    <w14:schemeClr w14:val="tx1"/>
                  </w14:solidFill>
                </w14:textFill>
              </w:rPr>
              <w:t>化学需氧量</w:t>
            </w:r>
            <w:r>
              <w:rPr>
                <w:rFonts w:hint="default"/>
                <w:color w:val="000000" w:themeColor="text1"/>
                <w:highlight w:val="none"/>
                <w:lang w:val="en-US" w:eastAsia="zh-CN"/>
                <w14:textFill>
                  <w14:solidFill>
                    <w14:schemeClr w14:val="tx1"/>
                  </w14:solidFill>
                </w14:textFill>
              </w:rPr>
              <w:t>0.50</w:t>
            </w:r>
            <w:r>
              <w:rPr>
                <w:rFonts w:hint="eastAsia"/>
                <w:color w:val="000000" w:themeColor="text1"/>
                <w:highlight w:val="none"/>
                <w:lang w:val="en-US" w:eastAsia="zh-CN"/>
                <w14:textFill>
                  <w14:solidFill>
                    <w14:schemeClr w14:val="tx1"/>
                  </w14:solidFill>
                </w14:textFill>
              </w:rPr>
              <w:t>2t/a、</w:t>
            </w:r>
            <w:r>
              <w:rPr>
                <w:color w:val="000000" w:themeColor="text1"/>
                <w:highlight w:val="none"/>
                <w14:textFill>
                  <w14:solidFill>
                    <w14:schemeClr w14:val="tx1"/>
                  </w14:solidFill>
                </w14:textFill>
              </w:rPr>
              <w:t>氨氮</w:t>
            </w:r>
            <w:r>
              <w:rPr>
                <w:rFonts w:hint="default"/>
                <w:color w:val="000000" w:themeColor="text1"/>
                <w:highlight w:val="none"/>
                <w:lang w:val="en-US" w:eastAsia="zh-CN"/>
                <w14:textFill>
                  <w14:solidFill>
                    <w14:schemeClr w14:val="tx1"/>
                  </w14:solidFill>
                </w14:textFill>
              </w:rPr>
              <w:t>0.0158</w:t>
            </w:r>
            <w:r>
              <w:rPr>
                <w:rFonts w:hint="eastAsia"/>
                <w:color w:val="000000" w:themeColor="text1"/>
                <w:highlight w:val="none"/>
                <w:lang w:val="en-US" w:eastAsia="zh-CN"/>
                <w14:textFill>
                  <w14:solidFill>
                    <w14:schemeClr w14:val="tx1"/>
                  </w14:solidFill>
                </w14:textFill>
              </w:rPr>
              <w:t>t/a、</w:t>
            </w:r>
            <w:r>
              <w:rPr>
                <w:color w:val="000000" w:themeColor="text1"/>
                <w:highlight w:val="none"/>
                <w14:textFill>
                  <w14:solidFill>
                    <w14:schemeClr w14:val="tx1"/>
                  </w14:solidFill>
                </w14:textFill>
              </w:rPr>
              <w:t>总磷</w:t>
            </w:r>
            <w:r>
              <w:rPr>
                <w:rFonts w:hint="default"/>
                <w:color w:val="000000" w:themeColor="text1"/>
                <w:highlight w:val="none"/>
                <w:lang w:val="en-US" w:eastAsia="zh-CN"/>
                <w14:textFill>
                  <w14:solidFill>
                    <w14:schemeClr w14:val="tx1"/>
                  </w14:solidFill>
                </w14:textFill>
              </w:rPr>
              <w:t>0.0069</w:t>
            </w:r>
            <w:r>
              <w:rPr>
                <w:rFonts w:hint="eastAsia"/>
                <w:color w:val="000000" w:themeColor="text1"/>
                <w:highlight w:val="none"/>
                <w:lang w:val="en-US" w:eastAsia="zh-CN"/>
                <w14:textFill>
                  <w14:solidFill>
                    <w14:schemeClr w14:val="tx1"/>
                  </w14:solidFill>
                </w14:textFill>
              </w:rPr>
              <w:t>t/a。</w:t>
            </w:r>
          </w:p>
          <w:p w14:paraId="227784C0">
            <w:pPr>
              <w:ind w:firstLine="482"/>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eastAsia"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噪声</w:t>
            </w:r>
          </w:p>
          <w:p w14:paraId="6599AC82">
            <w:pPr>
              <w:pStyle w:val="4"/>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14:textFill>
                  <w14:solidFill>
                    <w14:schemeClr w14:val="tx1"/>
                  </w14:solidFill>
                </w14:textFill>
              </w:rPr>
              <w:t>现有项目噪声主要为设备运转噪声，</w:t>
            </w:r>
            <w:r>
              <w:rPr>
                <w:rFonts w:hint="eastAsia"/>
                <w:color w:val="000000" w:themeColor="text1"/>
                <w:highlight w:val="none"/>
                <w:lang w:val="en-US" w:eastAsia="zh-CN"/>
                <w14:textFill>
                  <w14:solidFill>
                    <w14:schemeClr w14:val="tx1"/>
                  </w14:solidFill>
                </w14:textFill>
              </w:rPr>
              <w:t>根据2025年1季度</w:t>
            </w:r>
            <w:r>
              <w:rPr>
                <w:rFonts w:hint="eastAsia"/>
                <w:color w:val="000000" w:themeColor="text1"/>
                <w:highlight w:val="none"/>
                <w:lang w:eastAsia="zh-CN"/>
                <w14:textFill>
                  <w14:solidFill>
                    <w14:schemeClr w14:val="tx1"/>
                  </w14:solidFill>
                </w14:textFill>
              </w:rPr>
              <w:t>《广西中马投控分布式能源有限公司第一季度自行检测项目有组织废气、噪声</w:t>
            </w:r>
            <w:r>
              <w:rPr>
                <w:rFonts w:hint="eastAsia"/>
                <w:color w:val="000000" w:themeColor="text1"/>
                <w:highlight w:val="none"/>
                <w:lang w:val="en-US" w:eastAsia="zh-CN"/>
                <w14:textFill>
                  <w14:solidFill>
                    <w14:schemeClr w14:val="tx1"/>
                  </w14:solidFill>
                </w14:textFill>
              </w:rPr>
              <w:t>检测报告</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2025年3月7日</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现有</w:t>
            </w:r>
            <w:r>
              <w:rPr>
                <w:rFonts w:hint="eastAsia"/>
                <w:color w:val="000000" w:themeColor="text1"/>
                <w:highlight w:val="none"/>
                <w:lang w:val="en-US" w:eastAsia="zh-CN"/>
                <w14:textFill>
                  <w14:solidFill>
                    <w14:schemeClr w14:val="tx1"/>
                  </w14:solidFill>
                </w14:textFill>
              </w:rPr>
              <w:t>工程</w:t>
            </w:r>
            <w:r>
              <w:rPr>
                <w:rFonts w:hint="default"/>
                <w:color w:val="000000" w:themeColor="text1"/>
                <w:highlight w:val="none"/>
                <w14:textFill>
                  <w14:solidFill>
                    <w14:schemeClr w14:val="tx1"/>
                  </w14:solidFill>
                </w14:textFill>
              </w:rPr>
              <w:t>噪声排放情况</w:t>
            </w:r>
            <w:r>
              <w:rPr>
                <w:rFonts w:hint="eastAsia"/>
                <w:color w:val="000000" w:themeColor="text1"/>
                <w:highlight w:val="none"/>
                <w:lang w:val="en-US" w:eastAsia="zh-CN"/>
                <w14:textFill>
                  <w14:solidFill>
                    <w14:schemeClr w14:val="tx1"/>
                  </w14:solidFill>
                </w14:textFill>
              </w:rPr>
              <w:t>见表2-16所示</w:t>
            </w:r>
            <w:r>
              <w:rPr>
                <w:rFonts w:hint="default"/>
                <w:color w:val="000000" w:themeColor="text1"/>
                <w:highlight w:val="none"/>
                <w:lang w:eastAsia="zh-CN"/>
                <w14:textFill>
                  <w14:solidFill>
                    <w14:schemeClr w14:val="tx1"/>
                  </w14:solidFill>
                </w14:textFill>
              </w:rPr>
              <w:t>。</w:t>
            </w:r>
          </w:p>
          <w:p w14:paraId="5092DD2C">
            <w:pPr>
              <w:pStyle w:val="34"/>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表2-1</w:t>
            </w:r>
            <w:r>
              <w:rPr>
                <w:rFonts w:hint="eastAsia"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lang w:val="en-US" w:eastAsia="zh-CN"/>
                <w14:textFill>
                  <w14:solidFill>
                    <w14:schemeClr w14:val="tx1"/>
                  </w14:solidFill>
                </w14:textFill>
              </w:rPr>
              <w:t>：现有项目厂界噪声监测表</w:t>
            </w:r>
          </w:p>
          <w:tbl>
            <w:tblPr>
              <w:tblStyle w:val="4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48"/>
              <w:gridCol w:w="2111"/>
              <w:gridCol w:w="901"/>
              <w:gridCol w:w="1051"/>
              <w:gridCol w:w="1270"/>
              <w:gridCol w:w="1282"/>
            </w:tblGrid>
            <w:tr w14:paraId="2F6FE9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93" w:type="pct"/>
                  <w:vMerge w:val="restart"/>
                  <w:tcBorders>
                    <w:tl2br w:val="nil"/>
                    <w:tr2bl w:val="nil"/>
                  </w:tcBorders>
                  <w:vAlign w:val="center"/>
                </w:tcPr>
                <w:p w14:paraId="147AE5FC">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检测日期</w:t>
                  </w:r>
                </w:p>
              </w:tc>
              <w:tc>
                <w:tcPr>
                  <w:tcW w:w="1342" w:type="pct"/>
                  <w:vMerge w:val="restart"/>
                  <w:tcBorders>
                    <w:tl2br w:val="nil"/>
                    <w:tr2bl w:val="nil"/>
                  </w:tcBorders>
                  <w:vAlign w:val="center"/>
                </w:tcPr>
                <w:p w14:paraId="3CD78DFF">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检测点位</w:t>
                  </w:r>
                </w:p>
              </w:tc>
              <w:tc>
                <w:tcPr>
                  <w:tcW w:w="1241" w:type="pct"/>
                  <w:gridSpan w:val="2"/>
                  <w:tcBorders>
                    <w:tl2br w:val="nil"/>
                    <w:tr2bl w:val="nil"/>
                  </w:tcBorders>
                  <w:vAlign w:val="center"/>
                </w:tcPr>
                <w:p w14:paraId="38A13B6D">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测量值Leq[dB(A)]</w:t>
                  </w:r>
                </w:p>
              </w:tc>
              <w:tc>
                <w:tcPr>
                  <w:tcW w:w="1622" w:type="pct"/>
                  <w:gridSpan w:val="2"/>
                  <w:tcBorders>
                    <w:tl2br w:val="nil"/>
                    <w:tr2bl w:val="nil"/>
                  </w:tcBorders>
                  <w:vAlign w:val="center"/>
                </w:tcPr>
                <w:p w14:paraId="09D146EE">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主要声源</w:t>
                  </w:r>
                </w:p>
              </w:tc>
            </w:tr>
            <w:tr w14:paraId="12C08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93" w:type="pct"/>
                  <w:vMerge w:val="continue"/>
                  <w:tcBorders>
                    <w:tl2br w:val="nil"/>
                    <w:tr2bl w:val="nil"/>
                  </w:tcBorders>
                  <w:vAlign w:val="center"/>
                </w:tcPr>
                <w:p w14:paraId="121CEA0B">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p>
              </w:tc>
              <w:tc>
                <w:tcPr>
                  <w:tcW w:w="1342" w:type="pct"/>
                  <w:vMerge w:val="continue"/>
                  <w:tcBorders>
                    <w:tl2br w:val="nil"/>
                    <w:tr2bl w:val="nil"/>
                  </w:tcBorders>
                  <w:vAlign w:val="center"/>
                </w:tcPr>
                <w:p w14:paraId="7616455A">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p>
              </w:tc>
              <w:tc>
                <w:tcPr>
                  <w:tcW w:w="573" w:type="pct"/>
                  <w:tcBorders>
                    <w:tl2br w:val="nil"/>
                    <w:tr2bl w:val="nil"/>
                  </w:tcBorders>
                  <w:vAlign w:val="center"/>
                </w:tcPr>
                <w:p w14:paraId="65CA318A">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昼间</w:t>
                  </w:r>
                </w:p>
              </w:tc>
              <w:tc>
                <w:tcPr>
                  <w:tcW w:w="667" w:type="pct"/>
                  <w:tcBorders>
                    <w:tl2br w:val="nil"/>
                    <w:tr2bl w:val="nil"/>
                  </w:tcBorders>
                  <w:vAlign w:val="center"/>
                </w:tcPr>
                <w:p w14:paraId="76272731">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夜间</w:t>
                  </w:r>
                </w:p>
              </w:tc>
              <w:tc>
                <w:tcPr>
                  <w:tcW w:w="807" w:type="pct"/>
                  <w:tcBorders>
                    <w:tl2br w:val="nil"/>
                    <w:tr2bl w:val="nil"/>
                  </w:tcBorders>
                  <w:vAlign w:val="center"/>
                </w:tcPr>
                <w:p w14:paraId="77134829">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昼间</w:t>
                  </w:r>
                </w:p>
              </w:tc>
              <w:tc>
                <w:tcPr>
                  <w:tcW w:w="815" w:type="pct"/>
                  <w:tcBorders>
                    <w:tl2br w:val="nil"/>
                    <w:tr2bl w:val="nil"/>
                  </w:tcBorders>
                  <w:vAlign w:val="center"/>
                </w:tcPr>
                <w:p w14:paraId="2873AEB8">
                  <w:pPr>
                    <w:pStyle w:val="35"/>
                    <w:widowControl w:val="0"/>
                    <w:autoSpaceDE w:val="0"/>
                    <w:autoSpaceDN w:val="0"/>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夜间</w:t>
                  </w:r>
                </w:p>
              </w:tc>
            </w:tr>
            <w:tr w14:paraId="6F49E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4" w:hRule="atLeast"/>
              </w:trPr>
              <w:tc>
                <w:tcPr>
                  <w:tcW w:w="793" w:type="pct"/>
                  <w:vMerge w:val="restart"/>
                  <w:tcBorders>
                    <w:tl2br w:val="nil"/>
                    <w:tr2bl w:val="nil"/>
                  </w:tcBorders>
                  <w:vAlign w:val="center"/>
                </w:tcPr>
                <w:p w14:paraId="0B790954">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2025.02.28</w:t>
                  </w:r>
                </w:p>
              </w:tc>
              <w:tc>
                <w:tcPr>
                  <w:tcW w:w="1342" w:type="pct"/>
                  <w:tcBorders>
                    <w:tl2br w:val="nil"/>
                    <w:tr2bl w:val="nil"/>
                  </w:tcBorders>
                  <w:vAlign w:val="center"/>
                </w:tcPr>
                <w:p w14:paraId="31C5F98B">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N1厂界东面外1m处</w:t>
                  </w:r>
                </w:p>
              </w:tc>
              <w:tc>
                <w:tcPr>
                  <w:tcW w:w="573" w:type="pct"/>
                  <w:tcBorders>
                    <w:tl2br w:val="nil"/>
                    <w:tr2bl w:val="nil"/>
                  </w:tcBorders>
                  <w:vAlign w:val="center"/>
                </w:tcPr>
                <w:p w14:paraId="14A2C213">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50.8</w:t>
                  </w:r>
                </w:p>
              </w:tc>
              <w:tc>
                <w:tcPr>
                  <w:tcW w:w="667" w:type="pct"/>
                  <w:tcBorders>
                    <w:tl2br w:val="nil"/>
                    <w:tr2bl w:val="nil"/>
                  </w:tcBorders>
                  <w:vAlign w:val="center"/>
                </w:tcPr>
                <w:p w14:paraId="0B7FB426">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41.6</w:t>
                  </w:r>
                </w:p>
              </w:tc>
              <w:tc>
                <w:tcPr>
                  <w:tcW w:w="807" w:type="pct"/>
                  <w:tcBorders>
                    <w:tl2br w:val="nil"/>
                    <w:tr2bl w:val="nil"/>
                  </w:tcBorders>
                  <w:vAlign w:val="center"/>
                </w:tcPr>
                <w:p w14:paraId="00F6CEC6">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生产噪声</w:t>
                  </w:r>
                </w:p>
              </w:tc>
              <w:tc>
                <w:tcPr>
                  <w:tcW w:w="815" w:type="pct"/>
                  <w:tcBorders>
                    <w:tl2br w:val="nil"/>
                    <w:tr2bl w:val="nil"/>
                  </w:tcBorders>
                  <w:vAlign w:val="center"/>
                </w:tcPr>
                <w:p w14:paraId="1AB55E87">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自然噪声</w:t>
                  </w:r>
                </w:p>
              </w:tc>
            </w:tr>
            <w:tr w14:paraId="7CF56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93" w:type="pct"/>
                  <w:vMerge w:val="continue"/>
                  <w:tcBorders>
                    <w:tl2br w:val="nil"/>
                    <w:tr2bl w:val="nil"/>
                  </w:tcBorders>
                  <w:vAlign w:val="center"/>
                </w:tcPr>
                <w:p w14:paraId="4A627FBE">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342" w:type="pct"/>
                  <w:tcBorders>
                    <w:tl2br w:val="nil"/>
                    <w:tr2bl w:val="nil"/>
                  </w:tcBorders>
                  <w:vAlign w:val="center"/>
                </w:tcPr>
                <w:p w14:paraId="630EB38F">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N2厂界南面外1m处</w:t>
                  </w:r>
                </w:p>
              </w:tc>
              <w:tc>
                <w:tcPr>
                  <w:tcW w:w="573" w:type="pct"/>
                  <w:tcBorders>
                    <w:tl2br w:val="nil"/>
                    <w:tr2bl w:val="nil"/>
                  </w:tcBorders>
                  <w:vAlign w:val="center"/>
                </w:tcPr>
                <w:p w14:paraId="34A3AEA6">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50.1</w:t>
                  </w:r>
                </w:p>
              </w:tc>
              <w:tc>
                <w:tcPr>
                  <w:tcW w:w="667" w:type="pct"/>
                  <w:tcBorders>
                    <w:tl2br w:val="nil"/>
                    <w:tr2bl w:val="nil"/>
                  </w:tcBorders>
                  <w:vAlign w:val="center"/>
                </w:tcPr>
                <w:p w14:paraId="226F4F78">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44.5</w:t>
                  </w:r>
                </w:p>
              </w:tc>
              <w:tc>
                <w:tcPr>
                  <w:tcW w:w="807" w:type="pct"/>
                  <w:tcBorders>
                    <w:tl2br w:val="nil"/>
                    <w:tr2bl w:val="nil"/>
                  </w:tcBorders>
                  <w:vAlign w:val="center"/>
                </w:tcPr>
                <w:p w14:paraId="60DFB1FF">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生产噪声</w:t>
                  </w:r>
                </w:p>
              </w:tc>
              <w:tc>
                <w:tcPr>
                  <w:tcW w:w="815" w:type="pct"/>
                  <w:tcBorders>
                    <w:tl2br w:val="nil"/>
                    <w:tr2bl w:val="nil"/>
                  </w:tcBorders>
                  <w:vAlign w:val="center"/>
                </w:tcPr>
                <w:p w14:paraId="44F29E3F">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自然噪声</w:t>
                  </w:r>
                </w:p>
              </w:tc>
            </w:tr>
            <w:tr w14:paraId="12346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93" w:type="pct"/>
                  <w:vMerge w:val="continue"/>
                  <w:tcBorders>
                    <w:tl2br w:val="nil"/>
                    <w:tr2bl w:val="nil"/>
                  </w:tcBorders>
                  <w:vAlign w:val="center"/>
                </w:tcPr>
                <w:p w14:paraId="263B67B2">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342" w:type="pct"/>
                  <w:tcBorders>
                    <w:tl2br w:val="nil"/>
                    <w:tr2bl w:val="nil"/>
                  </w:tcBorders>
                  <w:vAlign w:val="center"/>
                </w:tcPr>
                <w:p w14:paraId="0D0B8F1F">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N3厂界西面外1m处</w:t>
                  </w:r>
                </w:p>
              </w:tc>
              <w:tc>
                <w:tcPr>
                  <w:tcW w:w="573" w:type="pct"/>
                  <w:tcBorders>
                    <w:tl2br w:val="nil"/>
                    <w:tr2bl w:val="nil"/>
                  </w:tcBorders>
                  <w:vAlign w:val="center"/>
                </w:tcPr>
                <w:p w14:paraId="2E91FDF2">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52.8</w:t>
                  </w:r>
                </w:p>
              </w:tc>
              <w:tc>
                <w:tcPr>
                  <w:tcW w:w="667" w:type="pct"/>
                  <w:tcBorders>
                    <w:tl2br w:val="nil"/>
                    <w:tr2bl w:val="nil"/>
                  </w:tcBorders>
                  <w:vAlign w:val="center"/>
                </w:tcPr>
                <w:p w14:paraId="35F7FCE3">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42.9</w:t>
                  </w:r>
                </w:p>
              </w:tc>
              <w:tc>
                <w:tcPr>
                  <w:tcW w:w="807" w:type="pct"/>
                  <w:tcBorders>
                    <w:tl2br w:val="nil"/>
                    <w:tr2bl w:val="nil"/>
                  </w:tcBorders>
                  <w:vAlign w:val="center"/>
                </w:tcPr>
                <w:p w14:paraId="677CD827">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生产噪声</w:t>
                  </w:r>
                </w:p>
              </w:tc>
              <w:tc>
                <w:tcPr>
                  <w:tcW w:w="815" w:type="pct"/>
                  <w:tcBorders>
                    <w:tl2br w:val="nil"/>
                    <w:tr2bl w:val="nil"/>
                  </w:tcBorders>
                  <w:vAlign w:val="center"/>
                </w:tcPr>
                <w:p w14:paraId="2D586E91">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自然噪声</w:t>
                  </w:r>
                </w:p>
              </w:tc>
            </w:tr>
            <w:tr w14:paraId="13A1F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93" w:type="pct"/>
                  <w:vMerge w:val="continue"/>
                  <w:tcBorders>
                    <w:tl2br w:val="nil"/>
                    <w:tr2bl w:val="nil"/>
                  </w:tcBorders>
                  <w:vAlign w:val="center"/>
                </w:tcPr>
                <w:p w14:paraId="423E3D2D">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p>
              </w:tc>
              <w:tc>
                <w:tcPr>
                  <w:tcW w:w="1342" w:type="pct"/>
                  <w:tcBorders>
                    <w:tl2br w:val="nil"/>
                    <w:tr2bl w:val="nil"/>
                  </w:tcBorders>
                  <w:vAlign w:val="center"/>
                </w:tcPr>
                <w:p w14:paraId="68DA5224">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N4厂界北面外1m处</w:t>
                  </w:r>
                </w:p>
              </w:tc>
              <w:tc>
                <w:tcPr>
                  <w:tcW w:w="573" w:type="pct"/>
                  <w:tcBorders>
                    <w:tl2br w:val="nil"/>
                    <w:tr2bl w:val="nil"/>
                  </w:tcBorders>
                  <w:vAlign w:val="center"/>
                </w:tcPr>
                <w:p w14:paraId="18C9335E">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52.9</w:t>
                  </w:r>
                </w:p>
              </w:tc>
              <w:tc>
                <w:tcPr>
                  <w:tcW w:w="667" w:type="pct"/>
                  <w:tcBorders>
                    <w:tl2br w:val="nil"/>
                    <w:tr2bl w:val="nil"/>
                  </w:tcBorders>
                  <w:vAlign w:val="center"/>
                </w:tcPr>
                <w:p w14:paraId="6701827C">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43.0</w:t>
                  </w:r>
                </w:p>
              </w:tc>
              <w:tc>
                <w:tcPr>
                  <w:tcW w:w="807" w:type="pct"/>
                  <w:tcBorders>
                    <w:tl2br w:val="nil"/>
                    <w:tr2bl w:val="nil"/>
                  </w:tcBorders>
                  <w:vAlign w:val="center"/>
                </w:tcPr>
                <w:p w14:paraId="181CEE2B">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生产噪声</w:t>
                  </w:r>
                </w:p>
              </w:tc>
              <w:tc>
                <w:tcPr>
                  <w:tcW w:w="815" w:type="pct"/>
                  <w:tcBorders>
                    <w:tl2br w:val="nil"/>
                    <w:tr2bl w:val="nil"/>
                  </w:tcBorders>
                  <w:vAlign w:val="center"/>
                </w:tcPr>
                <w:p w14:paraId="5DBB2AD4">
                  <w:pPr>
                    <w:pStyle w:val="35"/>
                    <w:widowControl w:val="0"/>
                    <w:autoSpaceDE w:val="0"/>
                    <w:autoSpaceDN w:val="0"/>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自然噪声</w:t>
                  </w:r>
                </w:p>
              </w:tc>
            </w:tr>
          </w:tbl>
          <w:p w14:paraId="6222CF56">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根据以上数据可知，现有项目厂界噪声值均能满足《工业企业厂界环境噪声排放标准》（GB12348-2008）</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类标准。</w:t>
            </w:r>
          </w:p>
          <w:p w14:paraId="03D85CD4">
            <w:pPr>
              <w:keepNext w:val="0"/>
              <w:keepLines w:val="0"/>
              <w:pageBreakBefore w:val="0"/>
              <w:widowControl/>
              <w:kinsoku/>
              <w:wordWrap/>
              <w:overflowPunct/>
              <w:topLinePunct w:val="0"/>
              <w:autoSpaceDE/>
              <w:autoSpaceDN/>
              <w:bidi w:val="0"/>
              <w:adjustRightInd/>
              <w:spacing w:line="360" w:lineRule="auto"/>
              <w:ind w:firstLine="482"/>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eastAsia" w:cs="Times New Roman"/>
                <w:b/>
                <w:bCs/>
                <w:color w:val="000000" w:themeColor="text1"/>
                <w:sz w:val="24"/>
                <w:highlight w:val="none"/>
                <w:lang w:eastAsia="zh-CN"/>
                <w14:textFill>
                  <w14:solidFill>
                    <w14:schemeClr w14:val="tx1"/>
                  </w14:solidFill>
                </w14:textFill>
              </w:rPr>
              <w:t>（</w:t>
            </w:r>
            <w:r>
              <w:rPr>
                <w:rFonts w:hint="eastAsia" w:cs="Times New Roman"/>
                <w:b/>
                <w:bCs/>
                <w:color w:val="000000" w:themeColor="text1"/>
                <w:sz w:val="24"/>
                <w:highlight w:val="none"/>
                <w:lang w:val="en-US" w:eastAsia="zh-CN"/>
                <w14:textFill>
                  <w14:solidFill>
                    <w14:schemeClr w14:val="tx1"/>
                  </w14:solidFill>
                </w14:textFill>
              </w:rPr>
              <w:t>4</w:t>
            </w:r>
            <w:r>
              <w:rPr>
                <w:rFonts w:hint="eastAsia"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固体废物</w:t>
            </w:r>
          </w:p>
          <w:p w14:paraId="66139C67">
            <w:pPr>
              <w:keepNext w:val="0"/>
              <w:keepLines w:val="0"/>
              <w:pageBreakBefore w:val="0"/>
              <w:widowControl/>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现有</w:t>
            </w:r>
            <w:r>
              <w:rPr>
                <w:rFonts w:hint="default" w:ascii="Times New Roman" w:hAnsi="Times New Roman" w:cs="Times New Roman"/>
                <w:color w:val="000000" w:themeColor="text1"/>
                <w:sz w:val="24"/>
                <w:highlight w:val="none"/>
                <w14:textFill>
                  <w14:solidFill>
                    <w14:schemeClr w14:val="tx1"/>
                  </w14:solidFill>
                </w14:textFill>
              </w:rPr>
              <w:t>项目产生的固废包括一般工业固废、危险废物及生活垃圾</w:t>
            </w:r>
            <w:r>
              <w:rPr>
                <w:rFonts w:hint="default" w:ascii="Times New Roman" w:hAnsi="Times New Roman" w:eastAsia="宋体" w:cs="Times New Roman"/>
                <w:color w:val="000000" w:themeColor="text1"/>
                <w:sz w:val="24"/>
                <w:highlight w:val="none"/>
                <w14:textFill>
                  <w14:solidFill>
                    <w14:schemeClr w14:val="tx1"/>
                  </w14:solidFill>
                </w14:textFill>
              </w:rPr>
              <w:t>。现有</w:t>
            </w:r>
            <w:r>
              <w:rPr>
                <w:rFonts w:hint="eastAsia" w:cs="Times New Roman"/>
                <w:color w:val="000000" w:themeColor="text1"/>
                <w:sz w:val="24"/>
                <w:highlight w:val="none"/>
                <w:lang w:val="en-US" w:eastAsia="zh-CN"/>
                <w14:textFill>
                  <w14:solidFill>
                    <w14:schemeClr w14:val="tx1"/>
                  </w14:solidFill>
                </w14:textFill>
              </w:rPr>
              <w:t>工程</w:t>
            </w:r>
            <w:r>
              <w:rPr>
                <w:rFonts w:hint="default" w:ascii="Times New Roman" w:hAnsi="Times New Roman" w:eastAsia="宋体" w:cs="Times New Roman"/>
                <w:color w:val="000000" w:themeColor="text1"/>
                <w:sz w:val="24"/>
                <w:highlight w:val="none"/>
                <w14:textFill>
                  <w14:solidFill>
                    <w14:schemeClr w14:val="tx1"/>
                  </w14:solidFill>
                </w14:textFill>
              </w:rPr>
              <w:t>固体废物产生情况</w:t>
            </w:r>
            <w:r>
              <w:rPr>
                <w:rFonts w:hint="eastAsia" w:cs="Times New Roman"/>
                <w:color w:val="000000" w:themeColor="text1"/>
                <w:sz w:val="24"/>
                <w:highlight w:val="none"/>
                <w:lang w:val="en-US" w:eastAsia="zh-CN"/>
                <w14:textFill>
                  <w14:solidFill>
                    <w14:schemeClr w14:val="tx1"/>
                  </w14:solidFill>
                </w14:textFill>
              </w:rPr>
              <w:t>见表2-17所示。</w:t>
            </w:r>
          </w:p>
          <w:p w14:paraId="1B36C087">
            <w:pPr>
              <w:pStyle w:val="34"/>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表2-1</w:t>
            </w:r>
            <w:r>
              <w:rPr>
                <w:rFonts w:hint="eastAsia"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lang w:val="en-US" w:eastAsia="zh-CN"/>
                <w14:textFill>
                  <w14:solidFill>
                    <w14:schemeClr w14:val="tx1"/>
                  </w14:solidFill>
                </w14:textFill>
              </w:rPr>
              <w:t>：现有项目固体废物一览表</w:t>
            </w:r>
          </w:p>
          <w:tbl>
            <w:tblPr>
              <w:tblStyle w:val="17"/>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1470"/>
              <w:gridCol w:w="1692"/>
              <w:gridCol w:w="3588"/>
            </w:tblGrid>
            <w:tr w14:paraId="34273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708" w:type="pct"/>
                  <w:tcBorders>
                    <w:tl2br w:val="nil"/>
                    <w:tr2bl w:val="nil"/>
                  </w:tcBorders>
                  <w:noWrap w:val="0"/>
                  <w:vAlign w:val="center"/>
                </w:tcPr>
                <w:p w14:paraId="3E0C351B">
                  <w:pPr>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项目</w:t>
                  </w:r>
                </w:p>
              </w:tc>
              <w:tc>
                <w:tcPr>
                  <w:tcW w:w="934" w:type="pct"/>
                  <w:tcBorders>
                    <w:tl2br w:val="nil"/>
                    <w:tr2bl w:val="nil"/>
                  </w:tcBorders>
                  <w:noWrap w:val="0"/>
                  <w:vAlign w:val="center"/>
                </w:tcPr>
                <w:p w14:paraId="0E1C7946">
                  <w:pPr>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废物名称</w:t>
                  </w:r>
                </w:p>
              </w:tc>
              <w:tc>
                <w:tcPr>
                  <w:tcW w:w="1075" w:type="pct"/>
                  <w:tcBorders>
                    <w:tl2br w:val="nil"/>
                    <w:tr2bl w:val="nil"/>
                  </w:tcBorders>
                  <w:noWrap w:val="0"/>
                  <w:vAlign w:val="center"/>
                </w:tcPr>
                <w:p w14:paraId="3AB18E2C">
                  <w:pPr>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产生量</w:t>
                  </w:r>
                  <w:r>
                    <w:rPr>
                      <w:rFonts w:hint="eastAsia" w:cs="Times New Roman"/>
                      <w:b/>
                      <w:bCs/>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Cs w:val="21"/>
                      <w:highlight w:val="none"/>
                      <w14:textFill>
                        <w14:solidFill>
                          <w14:schemeClr w14:val="tx1"/>
                        </w14:solidFill>
                      </w14:textFill>
                    </w:rPr>
                    <w:t>t/a</w:t>
                  </w:r>
                  <w:r>
                    <w:rPr>
                      <w:rFonts w:hint="eastAsia" w:cs="Times New Roman"/>
                      <w:b/>
                      <w:bCs/>
                      <w:color w:val="000000" w:themeColor="text1"/>
                      <w:szCs w:val="21"/>
                      <w:highlight w:val="none"/>
                      <w:lang w:eastAsia="zh-CN"/>
                      <w14:textFill>
                        <w14:solidFill>
                          <w14:schemeClr w14:val="tx1"/>
                        </w14:solidFill>
                      </w14:textFill>
                    </w:rPr>
                    <w:t>）</w:t>
                  </w:r>
                </w:p>
              </w:tc>
              <w:tc>
                <w:tcPr>
                  <w:tcW w:w="2280" w:type="pct"/>
                  <w:tcBorders>
                    <w:tl2br w:val="nil"/>
                    <w:tr2bl w:val="nil"/>
                  </w:tcBorders>
                  <w:noWrap w:val="0"/>
                  <w:vAlign w:val="center"/>
                </w:tcPr>
                <w:p w14:paraId="03FB6FD5">
                  <w:pPr>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备注</w:t>
                  </w:r>
                </w:p>
              </w:tc>
            </w:tr>
            <w:tr w14:paraId="507227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pct"/>
                  <w:vMerge w:val="restart"/>
                  <w:tcBorders>
                    <w:tl2br w:val="nil"/>
                    <w:tr2bl w:val="nil"/>
                  </w:tcBorders>
                  <w:noWrap w:val="0"/>
                  <w:vAlign w:val="center"/>
                </w:tcPr>
                <w:p w14:paraId="38046E9F">
                  <w:pPr>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一般固废</w:t>
                  </w:r>
                </w:p>
              </w:tc>
              <w:tc>
                <w:tcPr>
                  <w:tcW w:w="934" w:type="pct"/>
                  <w:tcBorders>
                    <w:tl2br w:val="nil"/>
                    <w:tr2bl w:val="nil"/>
                  </w:tcBorders>
                  <w:noWrap w:val="0"/>
                  <w:vAlign w:val="center"/>
                </w:tcPr>
                <w:p w14:paraId="60BA3A77">
                  <w:pPr>
                    <w:jc w:val="center"/>
                    <w:rPr>
                      <w:rFonts w:hint="default"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污泥</w:t>
                  </w:r>
                </w:p>
              </w:tc>
              <w:tc>
                <w:tcPr>
                  <w:tcW w:w="1075" w:type="pct"/>
                  <w:tcBorders>
                    <w:tl2br w:val="nil"/>
                    <w:tr2bl w:val="nil"/>
                  </w:tcBorders>
                  <w:noWrap w:val="0"/>
                  <w:vAlign w:val="center"/>
                </w:tcPr>
                <w:p w14:paraId="59A98DF3">
                  <w:pPr>
                    <w:jc w:val="cente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eastAsia" w:eastAsia="宋体" w:cs="Times New Roman"/>
                      <w:color w:val="000000" w:themeColor="text1"/>
                      <w:spacing w:val="-3"/>
                      <w:sz w:val="21"/>
                      <w:szCs w:val="21"/>
                      <w:highlight w:val="none"/>
                      <w:lang w:val="en-US" w:eastAsia="zh-CN"/>
                      <w14:textFill>
                        <w14:solidFill>
                          <w14:schemeClr w14:val="tx1"/>
                        </w14:solidFill>
                      </w14:textFill>
                    </w:rPr>
                    <w:t>6</w:t>
                  </w:r>
                </w:p>
              </w:tc>
              <w:tc>
                <w:tcPr>
                  <w:tcW w:w="2280" w:type="pct"/>
                  <w:tcBorders>
                    <w:tl2br w:val="nil"/>
                    <w:tr2bl w:val="nil"/>
                  </w:tcBorders>
                  <w:noWrap w:val="0"/>
                  <w:vAlign w:val="center"/>
                </w:tcPr>
                <w:p w14:paraId="289E2AB7">
                  <w:pPr>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环卫部门统一清运</w:t>
                  </w:r>
                </w:p>
              </w:tc>
            </w:tr>
            <w:tr w14:paraId="0D701B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pct"/>
                  <w:vMerge w:val="continue"/>
                  <w:tcBorders>
                    <w:tl2br w:val="nil"/>
                    <w:tr2bl w:val="nil"/>
                  </w:tcBorders>
                  <w:noWrap w:val="0"/>
                  <w:vAlign w:val="center"/>
                </w:tcPr>
                <w:p w14:paraId="0179DB90">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34" w:type="pct"/>
                  <w:tcBorders>
                    <w:tl2br w:val="nil"/>
                    <w:tr2bl w:val="nil"/>
                  </w:tcBorders>
                  <w:noWrap w:val="0"/>
                  <w:vAlign w:val="center"/>
                </w:tcPr>
                <w:p w14:paraId="418CF4AA">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废反渗透膜</w:t>
                  </w:r>
                </w:p>
              </w:tc>
              <w:tc>
                <w:tcPr>
                  <w:tcW w:w="1075" w:type="pct"/>
                  <w:tcBorders>
                    <w:tl2br w:val="nil"/>
                    <w:tr2bl w:val="nil"/>
                  </w:tcBorders>
                  <w:noWrap w:val="0"/>
                  <w:vAlign w:val="center"/>
                </w:tcPr>
                <w:p w14:paraId="2DE32881">
                  <w:pPr>
                    <w:jc w:val="center"/>
                    <w:rPr>
                      <w:rFonts w:hint="default" w:eastAsia="宋体" w:cs="Times New Roman"/>
                      <w:color w:val="000000" w:themeColor="text1"/>
                      <w:spacing w:val="-3"/>
                      <w:sz w:val="21"/>
                      <w:szCs w:val="21"/>
                      <w:highlight w:val="none"/>
                      <w:lang w:val="en-US" w:eastAsia="zh-CN"/>
                      <w14:textFill>
                        <w14:solidFill>
                          <w14:schemeClr w14:val="tx1"/>
                        </w14:solidFill>
                      </w14:textFill>
                    </w:rPr>
                  </w:pPr>
                  <w:r>
                    <w:rPr>
                      <w:rFonts w:hint="eastAsia" w:eastAsia="宋体" w:cs="Times New Roman"/>
                      <w:color w:val="000000" w:themeColor="text1"/>
                      <w:spacing w:val="-3"/>
                      <w:sz w:val="21"/>
                      <w:szCs w:val="21"/>
                      <w:highlight w:val="none"/>
                      <w:lang w:val="en-US" w:eastAsia="zh-CN"/>
                      <w14:textFill>
                        <w14:solidFill>
                          <w14:schemeClr w14:val="tx1"/>
                        </w14:solidFill>
                      </w14:textFill>
                    </w:rPr>
                    <w:t>0.8</w:t>
                  </w:r>
                </w:p>
              </w:tc>
              <w:tc>
                <w:tcPr>
                  <w:tcW w:w="2280" w:type="pct"/>
                  <w:vMerge w:val="restart"/>
                  <w:tcBorders>
                    <w:tl2br w:val="nil"/>
                    <w:tr2bl w:val="nil"/>
                  </w:tcBorders>
                  <w:noWrap w:val="0"/>
                  <w:vAlign w:val="center"/>
                </w:tcPr>
                <w:p w14:paraId="4795E829">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外售一般固废处置单位处置</w:t>
                  </w:r>
                </w:p>
              </w:tc>
            </w:tr>
            <w:tr w14:paraId="11DA6D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pct"/>
                  <w:vMerge w:val="continue"/>
                  <w:tcBorders>
                    <w:tl2br w:val="nil"/>
                    <w:tr2bl w:val="nil"/>
                  </w:tcBorders>
                  <w:noWrap w:val="0"/>
                  <w:vAlign w:val="center"/>
                </w:tcPr>
                <w:p w14:paraId="34E464E5">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34" w:type="pct"/>
                  <w:tcBorders>
                    <w:tl2br w:val="nil"/>
                    <w:tr2bl w:val="nil"/>
                  </w:tcBorders>
                  <w:noWrap w:val="0"/>
                  <w:vAlign w:val="center"/>
                </w:tcPr>
                <w:p w14:paraId="5D6C77E1">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eastAsia="zh-CN"/>
                      <w14:textFill>
                        <w14:solidFill>
                          <w14:schemeClr w14:val="tx1"/>
                        </w14:solidFill>
                      </w14:textFill>
                    </w:rPr>
                    <w:t>废超滤膜</w:t>
                  </w:r>
                </w:p>
              </w:tc>
              <w:tc>
                <w:tcPr>
                  <w:tcW w:w="1075" w:type="pct"/>
                  <w:tcBorders>
                    <w:tl2br w:val="nil"/>
                    <w:tr2bl w:val="nil"/>
                  </w:tcBorders>
                  <w:noWrap w:val="0"/>
                  <w:vAlign w:val="center"/>
                </w:tcPr>
                <w:p w14:paraId="10E918AA">
                  <w:pPr>
                    <w:jc w:val="center"/>
                    <w:rPr>
                      <w:rFonts w:hint="default" w:eastAsia="宋体" w:cs="Times New Roman"/>
                      <w:color w:val="000000" w:themeColor="text1"/>
                      <w:spacing w:val="-3"/>
                      <w:sz w:val="21"/>
                      <w:szCs w:val="21"/>
                      <w:highlight w:val="none"/>
                      <w:lang w:val="en-US" w:eastAsia="zh-CN"/>
                      <w14:textFill>
                        <w14:solidFill>
                          <w14:schemeClr w14:val="tx1"/>
                        </w14:solidFill>
                      </w14:textFill>
                    </w:rPr>
                  </w:pPr>
                  <w:r>
                    <w:rPr>
                      <w:rFonts w:hint="eastAsia" w:eastAsia="宋体" w:cs="Times New Roman"/>
                      <w:color w:val="000000" w:themeColor="text1"/>
                      <w:spacing w:val="-3"/>
                      <w:sz w:val="21"/>
                      <w:szCs w:val="21"/>
                      <w:highlight w:val="none"/>
                      <w:lang w:val="en-US" w:eastAsia="zh-CN"/>
                      <w14:textFill>
                        <w14:solidFill>
                          <w14:schemeClr w14:val="tx1"/>
                        </w14:solidFill>
                      </w14:textFill>
                    </w:rPr>
                    <w:t>0.4</w:t>
                  </w:r>
                </w:p>
              </w:tc>
              <w:tc>
                <w:tcPr>
                  <w:tcW w:w="2280" w:type="pct"/>
                  <w:vMerge w:val="continue"/>
                  <w:tcBorders>
                    <w:tl2br w:val="nil"/>
                    <w:tr2bl w:val="nil"/>
                  </w:tcBorders>
                  <w:noWrap w:val="0"/>
                  <w:vAlign w:val="center"/>
                </w:tcPr>
                <w:p w14:paraId="0C95FEE7">
                  <w:pPr>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505C4A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pct"/>
                  <w:vMerge w:val="restart"/>
                  <w:tcBorders>
                    <w:tl2br w:val="nil"/>
                    <w:tr2bl w:val="nil"/>
                  </w:tcBorders>
                  <w:noWrap w:val="0"/>
                  <w:vAlign w:val="center"/>
                </w:tcPr>
                <w:p w14:paraId="3492A2BD">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危险废物</w:t>
                  </w:r>
                </w:p>
              </w:tc>
              <w:tc>
                <w:tcPr>
                  <w:tcW w:w="934" w:type="pct"/>
                  <w:tcBorders>
                    <w:tl2br w:val="nil"/>
                    <w:tr2bl w:val="nil"/>
                  </w:tcBorders>
                  <w:noWrap w:val="0"/>
                  <w:vAlign w:val="center"/>
                </w:tcPr>
                <w:p w14:paraId="2120B404">
                  <w:pPr>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废</w:t>
                  </w:r>
                  <w:r>
                    <w:rPr>
                      <w:rFonts w:hint="eastAsia" w:cs="Times New Roman"/>
                      <w:color w:val="000000" w:themeColor="text1"/>
                      <w:szCs w:val="21"/>
                      <w:highlight w:val="none"/>
                      <w:lang w:val="en-US" w:eastAsia="zh-CN"/>
                      <w14:textFill>
                        <w14:solidFill>
                          <w14:schemeClr w14:val="tx1"/>
                        </w14:solidFill>
                      </w14:textFill>
                    </w:rPr>
                    <w:t>润滑</w:t>
                  </w:r>
                  <w:r>
                    <w:rPr>
                      <w:rFonts w:hint="default" w:ascii="Times New Roman" w:hAnsi="Times New Roman" w:cs="Times New Roman"/>
                      <w:color w:val="000000" w:themeColor="text1"/>
                      <w:szCs w:val="21"/>
                      <w:highlight w:val="none"/>
                      <w:lang w:val="en-US" w:eastAsia="zh-CN"/>
                      <w14:textFill>
                        <w14:solidFill>
                          <w14:schemeClr w14:val="tx1"/>
                        </w14:solidFill>
                      </w14:textFill>
                    </w:rPr>
                    <w:t>油</w:t>
                  </w:r>
                </w:p>
              </w:tc>
              <w:tc>
                <w:tcPr>
                  <w:tcW w:w="1075" w:type="pct"/>
                  <w:tcBorders>
                    <w:tl2br w:val="nil"/>
                    <w:tr2bl w:val="nil"/>
                  </w:tcBorders>
                  <w:noWrap w:val="0"/>
                  <w:vAlign w:val="center"/>
                </w:tcPr>
                <w:p w14:paraId="466D3E22">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0</w:t>
                  </w:r>
                  <w:r>
                    <w:rPr>
                      <w:rFonts w:hint="eastAsia" w:cs="Times New Roman"/>
                      <w:color w:val="000000" w:themeColor="text1"/>
                      <w:szCs w:val="21"/>
                      <w:highlight w:val="none"/>
                      <w:lang w:val="en-US" w:eastAsia="zh-CN"/>
                      <w14:textFill>
                        <w14:solidFill>
                          <w14:schemeClr w14:val="tx1"/>
                        </w14:solidFill>
                      </w14:textFill>
                    </w:rPr>
                    <w:t>.01</w:t>
                  </w:r>
                </w:p>
              </w:tc>
              <w:tc>
                <w:tcPr>
                  <w:tcW w:w="2280" w:type="pct"/>
                  <w:vMerge w:val="restart"/>
                  <w:tcBorders>
                    <w:tl2br w:val="nil"/>
                    <w:tr2bl w:val="nil"/>
                  </w:tcBorders>
                  <w:noWrap w:val="0"/>
                  <w:vAlign w:val="center"/>
                </w:tcPr>
                <w:p w14:paraId="562DE50F">
                  <w:pPr>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经</w:t>
                  </w:r>
                  <w:r>
                    <w:rPr>
                      <w:rFonts w:hint="default" w:ascii="Times New Roman" w:hAnsi="Times New Roman" w:cs="Times New Roman"/>
                      <w:color w:val="000000" w:themeColor="text1"/>
                      <w:szCs w:val="21"/>
                      <w:highlight w:val="none"/>
                      <w:lang w:eastAsia="zh-CN"/>
                      <w14:textFill>
                        <w14:solidFill>
                          <w14:schemeClr w14:val="tx1"/>
                        </w14:solidFill>
                      </w14:textFill>
                    </w:rPr>
                    <w:t>危废暂存间</w:t>
                  </w:r>
                  <w:r>
                    <w:rPr>
                      <w:rFonts w:hint="default" w:ascii="Times New Roman" w:hAnsi="Times New Roman" w:cs="Times New Roman"/>
                      <w:color w:val="000000" w:themeColor="text1"/>
                      <w:szCs w:val="21"/>
                      <w:highlight w:val="none"/>
                      <w14:textFill>
                        <w14:solidFill>
                          <w14:schemeClr w14:val="tx1"/>
                        </w14:solidFill>
                      </w14:textFill>
                    </w:rPr>
                    <w:t>暂存后交</w:t>
                  </w:r>
                </w:p>
                <w:p w14:paraId="63B39B67">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由资质单位处理处置</w:t>
                  </w:r>
                </w:p>
              </w:tc>
            </w:tr>
            <w:tr w14:paraId="5FD5D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pct"/>
                  <w:vMerge w:val="continue"/>
                  <w:tcBorders>
                    <w:tl2br w:val="nil"/>
                    <w:tr2bl w:val="nil"/>
                  </w:tcBorders>
                  <w:noWrap w:val="0"/>
                  <w:vAlign w:val="center"/>
                </w:tcPr>
                <w:p w14:paraId="5ACEF437">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34" w:type="pct"/>
                  <w:tcBorders>
                    <w:tl2br w:val="nil"/>
                    <w:tr2bl w:val="nil"/>
                  </w:tcBorders>
                  <w:noWrap w:val="0"/>
                  <w:vAlign w:val="center"/>
                </w:tcPr>
                <w:p w14:paraId="57FF7CC7">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废润滑油桶</w:t>
                  </w:r>
                </w:p>
              </w:tc>
              <w:tc>
                <w:tcPr>
                  <w:tcW w:w="1075" w:type="pct"/>
                  <w:tcBorders>
                    <w:tl2br w:val="nil"/>
                    <w:tr2bl w:val="nil"/>
                  </w:tcBorders>
                  <w:noWrap w:val="0"/>
                  <w:vAlign w:val="center"/>
                </w:tcPr>
                <w:p w14:paraId="11AE0F20">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0.05</w:t>
                  </w:r>
                </w:p>
              </w:tc>
              <w:tc>
                <w:tcPr>
                  <w:tcW w:w="2280" w:type="pct"/>
                  <w:vMerge w:val="continue"/>
                  <w:tcBorders>
                    <w:tl2br w:val="nil"/>
                    <w:tr2bl w:val="nil"/>
                  </w:tcBorders>
                  <w:noWrap w:val="0"/>
                  <w:vAlign w:val="center"/>
                </w:tcPr>
                <w:p w14:paraId="4B6AD8BE">
                  <w:pPr>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6004B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pct"/>
                  <w:vMerge w:val="continue"/>
                  <w:tcBorders>
                    <w:tl2br w:val="nil"/>
                    <w:tr2bl w:val="nil"/>
                  </w:tcBorders>
                  <w:noWrap w:val="0"/>
                  <w:vAlign w:val="center"/>
                </w:tcPr>
                <w:p w14:paraId="5D496B27">
                  <w:pPr>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34" w:type="pct"/>
                  <w:tcBorders>
                    <w:tl2br w:val="nil"/>
                    <w:tr2bl w:val="nil"/>
                  </w:tcBorders>
                  <w:noWrap w:val="0"/>
                  <w:vAlign w:val="center"/>
                </w:tcPr>
                <w:p w14:paraId="76150F62">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废含油抹布</w:t>
                  </w:r>
                </w:p>
              </w:tc>
              <w:tc>
                <w:tcPr>
                  <w:tcW w:w="1075" w:type="pct"/>
                  <w:tcBorders>
                    <w:tl2br w:val="nil"/>
                    <w:tr2bl w:val="nil"/>
                  </w:tcBorders>
                  <w:noWrap w:val="0"/>
                  <w:vAlign w:val="center"/>
                </w:tcPr>
                <w:p w14:paraId="755A36B9">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0.2</w:t>
                  </w:r>
                </w:p>
              </w:tc>
              <w:tc>
                <w:tcPr>
                  <w:tcW w:w="2280" w:type="pct"/>
                  <w:vMerge w:val="continue"/>
                  <w:tcBorders>
                    <w:tl2br w:val="nil"/>
                    <w:tr2bl w:val="nil"/>
                  </w:tcBorders>
                  <w:noWrap w:val="0"/>
                  <w:vAlign w:val="center"/>
                </w:tcPr>
                <w:p w14:paraId="46E160E9">
                  <w:pPr>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43328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8" w:type="pct"/>
                  <w:tcBorders>
                    <w:tl2br w:val="nil"/>
                    <w:tr2bl w:val="nil"/>
                  </w:tcBorders>
                  <w:noWrap w:val="0"/>
                  <w:vAlign w:val="center"/>
                </w:tcPr>
                <w:p w14:paraId="2C7A5483">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生活垃圾</w:t>
                  </w:r>
                </w:p>
              </w:tc>
              <w:tc>
                <w:tcPr>
                  <w:tcW w:w="934" w:type="pct"/>
                  <w:tcBorders>
                    <w:tl2br w:val="nil"/>
                    <w:tr2bl w:val="nil"/>
                  </w:tcBorders>
                  <w:noWrap w:val="0"/>
                  <w:vAlign w:val="center"/>
                </w:tcPr>
                <w:p w14:paraId="5644EDE5">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生活垃圾</w:t>
                  </w:r>
                </w:p>
              </w:tc>
              <w:tc>
                <w:tcPr>
                  <w:tcW w:w="1075" w:type="pct"/>
                  <w:tcBorders>
                    <w:tl2br w:val="nil"/>
                    <w:tr2bl w:val="nil"/>
                  </w:tcBorders>
                  <w:noWrap w:val="0"/>
                  <w:vAlign w:val="center"/>
                </w:tcPr>
                <w:p w14:paraId="546F6924">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21.9</w:t>
                  </w:r>
                </w:p>
              </w:tc>
              <w:tc>
                <w:tcPr>
                  <w:tcW w:w="2280" w:type="pct"/>
                  <w:tcBorders>
                    <w:tl2br w:val="nil"/>
                    <w:tr2bl w:val="nil"/>
                  </w:tcBorders>
                  <w:noWrap w:val="0"/>
                  <w:vAlign w:val="center"/>
                </w:tcPr>
                <w:p w14:paraId="1BD2A80C">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环卫收集处理</w:t>
                  </w:r>
                </w:p>
              </w:tc>
            </w:tr>
          </w:tbl>
          <w:p w14:paraId="75FDCE0F">
            <w:pPr>
              <w:pStyle w:val="41"/>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 现有工程存在的环境问题及整改措施</w:t>
            </w:r>
          </w:p>
          <w:p w14:paraId="4314F49C">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经现场踏勘</w:t>
            </w:r>
            <w:r>
              <w:rPr>
                <w:rFonts w:hint="eastAsia" w:cs="Times New Roman"/>
                <w:color w:val="000000" w:themeColor="text1"/>
                <w:highlight w:val="none"/>
                <w:lang w:val="en-US" w:eastAsia="zh-CN"/>
                <w14:textFill>
                  <w14:solidFill>
                    <w14:schemeClr w14:val="tx1"/>
                  </w14:solidFill>
                </w14:textFill>
              </w:rPr>
              <w:t>和资料核实</w:t>
            </w:r>
            <w:r>
              <w:rPr>
                <w:rFonts w:hint="default" w:ascii="Times New Roman" w:hAnsi="Times New Roman" w:cs="Times New Roman"/>
                <w:color w:val="000000" w:themeColor="text1"/>
                <w:highlight w:val="none"/>
                <w14:textFill>
                  <w14:solidFill>
                    <w14:schemeClr w14:val="tx1"/>
                  </w14:solidFill>
                </w14:textFill>
              </w:rPr>
              <w:t>，现有</w:t>
            </w:r>
            <w:r>
              <w:rPr>
                <w:rFonts w:hint="eastAsia" w:cs="Times New Roman"/>
                <w:color w:val="000000" w:themeColor="text1"/>
                <w:highlight w:val="none"/>
                <w:lang w:val="en-US" w:eastAsia="zh-CN"/>
                <w14:textFill>
                  <w14:solidFill>
                    <w14:schemeClr w14:val="tx1"/>
                  </w14:solidFill>
                </w14:textFill>
              </w:rPr>
              <w:t>工程</w:t>
            </w:r>
            <w:r>
              <w:rPr>
                <w:rFonts w:hint="default" w:ascii="Times New Roman" w:hAnsi="Times New Roman" w:cs="Times New Roman"/>
                <w:color w:val="000000" w:themeColor="text1"/>
                <w:highlight w:val="none"/>
                <w:lang w:val="en-US" w:eastAsia="zh-CN"/>
                <w14:textFill>
                  <w14:solidFill>
                    <w14:schemeClr w14:val="tx1"/>
                  </w14:solidFill>
                </w14:textFill>
              </w:rPr>
              <w:t>环保</w:t>
            </w:r>
            <w:r>
              <w:rPr>
                <w:rFonts w:hint="eastAsia" w:cs="Times New Roman"/>
                <w:color w:val="000000" w:themeColor="text1"/>
                <w:highlight w:val="none"/>
                <w:lang w:val="en-US" w:eastAsia="zh-CN"/>
                <w14:textFill>
                  <w14:solidFill>
                    <w14:schemeClr w14:val="tx1"/>
                  </w14:solidFill>
                </w14:textFill>
              </w:rPr>
              <w:t>问题及整改措施见表2-18所示</w:t>
            </w:r>
            <w:r>
              <w:rPr>
                <w:rFonts w:hint="default" w:ascii="Times New Roman" w:hAnsi="Times New Roman" w:cs="Times New Roman"/>
                <w:color w:val="000000" w:themeColor="text1"/>
                <w:highlight w:val="none"/>
                <w14:textFill>
                  <w14:solidFill>
                    <w14:schemeClr w14:val="tx1"/>
                  </w14:solidFill>
                </w14:textFill>
              </w:rPr>
              <w:t>。</w:t>
            </w:r>
          </w:p>
          <w:p w14:paraId="659E4E0E">
            <w:pPr>
              <w:pStyle w:val="34"/>
              <w:bidi w:val="0"/>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表2-1</w:t>
            </w:r>
            <w:r>
              <w:rPr>
                <w:rFonts w:hint="eastAsia"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lang w:val="en-US" w:eastAsia="zh-CN"/>
                <w14:textFill>
                  <w14:solidFill>
                    <w14:schemeClr w14:val="tx1"/>
                  </w14:solidFill>
                </w14:textFill>
              </w:rPr>
              <w:t>：现有项目</w:t>
            </w:r>
            <w:r>
              <w:rPr>
                <w:rFonts w:hint="eastAsia" w:ascii="Times New Roman" w:hAnsi="Times New Roman" w:cs="Times New Roman"/>
                <w:color w:val="000000" w:themeColor="text1"/>
                <w:highlight w:val="none"/>
                <w:lang w:val="en-US" w:eastAsia="zh-CN"/>
                <w14:textFill>
                  <w14:solidFill>
                    <w14:schemeClr w14:val="tx1"/>
                  </w14:solidFill>
                </w14:textFill>
              </w:rPr>
              <w:t>环保问题及整改措施</w:t>
            </w:r>
            <w:r>
              <w:rPr>
                <w:rFonts w:hint="default" w:ascii="Times New Roman" w:hAnsi="Times New Roman" w:cs="Times New Roman"/>
                <w:color w:val="000000" w:themeColor="text1"/>
                <w:highlight w:val="none"/>
                <w:lang w:val="en-US" w:eastAsia="zh-CN"/>
                <w14:textFill>
                  <w14:solidFill>
                    <w14:schemeClr w14:val="tx1"/>
                  </w14:solidFill>
                </w14:textFill>
              </w:rPr>
              <w:t>一览表</w:t>
            </w:r>
          </w:p>
          <w:tbl>
            <w:tblPr>
              <w:tblStyle w:val="1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4711"/>
              <w:gridCol w:w="2326"/>
            </w:tblGrid>
            <w:tr w14:paraId="5C5F1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1" w:hRule="atLeast"/>
              </w:trPr>
              <w:tc>
                <w:tcPr>
                  <w:tcW w:w="525" w:type="pct"/>
                  <w:tcBorders>
                    <w:tl2br w:val="nil"/>
                    <w:tr2bl w:val="nil"/>
                  </w:tcBorders>
                  <w:noWrap w:val="0"/>
                  <w:vAlign w:val="center"/>
                </w:tcPr>
                <w:p w14:paraId="61EFB076">
                  <w:pPr>
                    <w:jc w:val="center"/>
                    <w:rPr>
                      <w:rFonts w:hint="eastAsia"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序号</w:t>
                  </w:r>
                </w:p>
              </w:tc>
              <w:tc>
                <w:tcPr>
                  <w:tcW w:w="2995" w:type="pct"/>
                  <w:tcBorders>
                    <w:tl2br w:val="nil"/>
                    <w:tr2bl w:val="nil"/>
                  </w:tcBorders>
                  <w:noWrap w:val="0"/>
                  <w:vAlign w:val="center"/>
                </w:tcPr>
                <w:p w14:paraId="7CDB63C4">
                  <w:pPr>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现有项目环保问题</w:t>
                  </w:r>
                </w:p>
              </w:tc>
              <w:tc>
                <w:tcPr>
                  <w:tcW w:w="1479" w:type="pct"/>
                  <w:tcBorders>
                    <w:tl2br w:val="nil"/>
                    <w:tr2bl w:val="nil"/>
                  </w:tcBorders>
                  <w:noWrap w:val="0"/>
                  <w:vAlign w:val="center"/>
                </w:tcPr>
                <w:p w14:paraId="50F7A071">
                  <w:pPr>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t>整改措施</w:t>
                  </w:r>
                </w:p>
              </w:tc>
            </w:tr>
            <w:tr w14:paraId="01FF9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525" w:type="pct"/>
                  <w:tcBorders>
                    <w:tl2br w:val="nil"/>
                    <w:tr2bl w:val="nil"/>
                  </w:tcBorders>
                  <w:noWrap w:val="0"/>
                  <w:vAlign w:val="center"/>
                </w:tcPr>
                <w:p w14:paraId="643B5BE9">
                  <w:pPr>
                    <w:jc w:val="cente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1</w:t>
                  </w:r>
                </w:p>
              </w:tc>
              <w:tc>
                <w:tcPr>
                  <w:tcW w:w="2995" w:type="pct"/>
                  <w:tcBorders>
                    <w:tl2br w:val="nil"/>
                    <w:tr2bl w:val="nil"/>
                  </w:tcBorders>
                  <w:noWrap w:val="0"/>
                  <w:vAlign w:val="center"/>
                </w:tcPr>
                <w:p w14:paraId="0F946AE5">
                  <w:pPr>
                    <w:jc w:val="both"/>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现有危废合同签署时间为2022年9月，有效期一年，现在已过期</w:t>
                  </w:r>
                </w:p>
              </w:tc>
              <w:tc>
                <w:tcPr>
                  <w:tcW w:w="1479" w:type="pct"/>
                  <w:tcBorders>
                    <w:tl2br w:val="nil"/>
                    <w:tr2bl w:val="nil"/>
                  </w:tcBorders>
                  <w:noWrap w:val="0"/>
                  <w:vAlign w:val="center"/>
                </w:tcPr>
                <w:p w14:paraId="0E11110D">
                  <w:pPr>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Cs w:val="21"/>
                      <w:highlight w:val="none"/>
                      <w:lang w:val="en-US" w:eastAsia="zh-CN"/>
                      <w14:textFill>
                        <w14:solidFill>
                          <w14:schemeClr w14:val="tx1"/>
                        </w14:solidFill>
                      </w14:textFill>
                    </w:rPr>
                    <w:t>及时签署新危废合同</w:t>
                  </w:r>
                </w:p>
              </w:tc>
            </w:tr>
            <w:tr w14:paraId="41B8C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5" w:type="pct"/>
                  <w:tcBorders>
                    <w:tl2br w:val="nil"/>
                    <w:tr2bl w:val="nil"/>
                  </w:tcBorders>
                  <w:noWrap w:val="0"/>
                  <w:vAlign w:val="center"/>
                </w:tcPr>
                <w:p w14:paraId="6404AE52">
                  <w:pPr>
                    <w:jc w:val="center"/>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2</w:t>
                  </w:r>
                </w:p>
              </w:tc>
              <w:tc>
                <w:tcPr>
                  <w:tcW w:w="2995" w:type="pct"/>
                  <w:tcBorders>
                    <w:tl2br w:val="nil"/>
                    <w:tr2bl w:val="nil"/>
                  </w:tcBorders>
                  <w:noWrap w:val="0"/>
                  <w:vAlign w:val="center"/>
                </w:tcPr>
                <w:p w14:paraId="5695630D">
                  <w:pPr>
                    <w:jc w:val="both"/>
                    <w:rPr>
                      <w:rFonts w:hint="default" w:ascii="Times New Roman" w:hAnsi="Times New Roman" w:eastAsia="宋体" w:cs="Times New Roman"/>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Cs w:val="21"/>
                      <w:highlight w:val="none"/>
                      <w:lang w:val="en-US" w:eastAsia="zh-CN"/>
                      <w14:textFill>
                        <w14:solidFill>
                          <w14:schemeClr w14:val="tx1"/>
                        </w14:solidFill>
                      </w14:textFill>
                    </w:rPr>
                    <w:t>应急预案备案时间为2021年，已过期</w:t>
                  </w:r>
                </w:p>
              </w:tc>
              <w:tc>
                <w:tcPr>
                  <w:tcW w:w="1479" w:type="pct"/>
                  <w:tcBorders>
                    <w:tl2br w:val="nil"/>
                    <w:tr2bl w:val="nil"/>
                  </w:tcBorders>
                  <w:noWrap w:val="0"/>
                  <w:vAlign w:val="center"/>
                </w:tcPr>
                <w:p w14:paraId="4613B98A">
                  <w:pPr>
                    <w:jc w:val="left"/>
                    <w:rPr>
                      <w:rFonts w:hint="default" w:eastAsia="宋体" w:cs="Times New Roman"/>
                      <w:color w:val="000000" w:themeColor="text1"/>
                      <w:spacing w:val="-3"/>
                      <w:sz w:val="21"/>
                      <w:szCs w:val="21"/>
                      <w:highlight w:val="none"/>
                      <w:lang w:val="en-US" w:eastAsia="zh-CN"/>
                      <w14:textFill>
                        <w14:solidFill>
                          <w14:schemeClr w14:val="tx1"/>
                        </w14:solidFill>
                      </w14:textFill>
                    </w:rPr>
                  </w:pPr>
                  <w:r>
                    <w:rPr>
                      <w:rFonts w:hint="eastAsia" w:eastAsia="宋体" w:cs="Times New Roman"/>
                      <w:color w:val="000000" w:themeColor="text1"/>
                      <w:spacing w:val="-3"/>
                      <w:sz w:val="21"/>
                      <w:szCs w:val="21"/>
                      <w:highlight w:val="none"/>
                      <w:lang w:val="en-US" w:eastAsia="zh-CN"/>
                      <w14:textFill>
                        <w14:solidFill>
                          <w14:schemeClr w14:val="tx1"/>
                        </w14:solidFill>
                      </w14:textFill>
                    </w:rPr>
                    <w:t>尽早完成应急预案修编</w:t>
                  </w:r>
                </w:p>
              </w:tc>
            </w:tr>
            <w:tr w14:paraId="1A889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5" w:type="pct"/>
                  <w:tcBorders>
                    <w:tl2br w:val="nil"/>
                    <w:tr2bl w:val="nil"/>
                  </w:tcBorders>
                  <w:noWrap w:val="0"/>
                  <w:vAlign w:val="center"/>
                </w:tcPr>
                <w:p w14:paraId="2C31E285">
                  <w:pPr>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3</w:t>
                  </w:r>
                </w:p>
              </w:tc>
              <w:tc>
                <w:tcPr>
                  <w:tcW w:w="2995" w:type="pct"/>
                  <w:tcBorders>
                    <w:tl2br w:val="nil"/>
                    <w:tr2bl w:val="nil"/>
                  </w:tcBorders>
                  <w:noWrap w:val="0"/>
                  <w:vAlign w:val="center"/>
                </w:tcPr>
                <w:p w14:paraId="21276E15">
                  <w:pPr>
                    <w:jc w:val="left"/>
                    <w:rPr>
                      <w:rFonts w:hint="eastAsia" w:cs="Times New Roman"/>
                      <w:color w:val="000000" w:themeColor="text1"/>
                      <w:spacing w:val="-3"/>
                      <w:sz w:val="21"/>
                      <w:szCs w:val="21"/>
                      <w:highlight w:val="none"/>
                      <w:lang w:val="en-US" w:eastAsia="zh-CN"/>
                      <w14:textFill>
                        <w14:solidFill>
                          <w14:schemeClr w14:val="tx1"/>
                        </w14:solidFill>
                      </w14:textFill>
                    </w:rPr>
                  </w:pPr>
                  <w:r>
                    <w:rPr>
                      <w:rFonts w:hint="eastAsia" w:ascii="仿宋" w:hAnsi="仿宋" w:eastAsia="仿宋" w:cs="仿宋"/>
                      <w:color w:val="000000" w:themeColor="text1"/>
                      <w:spacing w:val="-3"/>
                      <w:sz w:val="21"/>
                      <w:szCs w:val="21"/>
                      <w:highlight w:val="none"/>
                      <w:lang w:val="en-US" w:eastAsia="zh-CN"/>
                      <w14:textFill>
                        <w14:solidFill>
                          <w14:schemeClr w14:val="tx1"/>
                        </w14:solidFill>
                      </w14:textFill>
                    </w:rPr>
                    <w:t>①</w:t>
                  </w:r>
                  <w:r>
                    <w:rPr>
                      <w:rFonts w:hint="eastAsia" w:eastAsia="宋体" w:cs="Times New Roman"/>
                      <w:color w:val="000000" w:themeColor="text1"/>
                      <w:spacing w:val="-3"/>
                      <w:sz w:val="21"/>
                      <w:szCs w:val="21"/>
                      <w:highlight w:val="none"/>
                      <w:lang w:val="en-US" w:eastAsia="zh-CN"/>
                      <w14:textFill>
                        <w14:solidFill>
                          <w14:schemeClr w14:val="tx1"/>
                        </w14:solidFill>
                      </w14:textFill>
                    </w:rPr>
                    <w:t>现有项目排污许可中未填报废反渗透膜及废超滤膜及其产生量</w:t>
                  </w:r>
                  <w:r>
                    <w:rPr>
                      <w:rFonts w:hint="eastAsia" w:cs="Times New Roman"/>
                      <w:color w:val="000000" w:themeColor="text1"/>
                      <w:spacing w:val="-3"/>
                      <w:sz w:val="21"/>
                      <w:szCs w:val="21"/>
                      <w:highlight w:val="none"/>
                      <w:lang w:val="en-US" w:eastAsia="zh-CN"/>
                      <w14:textFill>
                        <w14:solidFill>
                          <w14:schemeClr w14:val="tx1"/>
                        </w14:solidFill>
                      </w14:textFill>
                    </w:rPr>
                    <w:t>；</w:t>
                  </w:r>
                </w:p>
                <w:p w14:paraId="13EE1672">
                  <w:pPr>
                    <w:jc w:val="left"/>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pacing w:val="-3"/>
                      <w:sz w:val="21"/>
                      <w:szCs w:val="21"/>
                      <w:highlight w:val="none"/>
                      <w:lang w:val="en-US" w:eastAsia="zh-CN"/>
                      <w14:textFill>
                        <w14:solidFill>
                          <w14:schemeClr w14:val="tx1"/>
                        </w14:solidFill>
                      </w14:textFill>
                    </w:rPr>
                    <w:t>②</w:t>
                  </w:r>
                  <w:r>
                    <w:rPr>
                      <w:rFonts w:hint="eastAsia" w:cs="Times New Roman"/>
                      <w:color w:val="000000" w:themeColor="text1"/>
                      <w:spacing w:val="-3"/>
                      <w:sz w:val="21"/>
                      <w:szCs w:val="21"/>
                      <w:highlight w:val="none"/>
                      <w:lang w:val="en-US" w:eastAsia="zh-CN"/>
                      <w14:textFill>
                        <w14:solidFill>
                          <w14:schemeClr w14:val="tx1"/>
                        </w14:solidFill>
                      </w14:textFill>
                    </w:rPr>
                    <w:t>废水自行监测频次不符合</w:t>
                  </w:r>
                  <w:r>
                    <w:rPr>
                      <w:rFonts w:hint="default" w:ascii="Times New Roman" w:hAnsi="Times New Roman" w:cs="Times New Roman"/>
                      <w:color w:val="000000" w:themeColor="text1"/>
                      <w:highlight w:val="none"/>
                      <w14:textFill>
                        <w14:solidFill>
                          <w14:schemeClr w14:val="tx1"/>
                        </w14:solidFill>
                      </w14:textFill>
                    </w:rPr>
                    <w:t>《排污许可证申请与核发技术规范 锅炉》(HJ 953-2018)、《排污单位自行监测技术指南 火力发电及锅炉》(HJ820-2017)等</w:t>
                  </w:r>
                  <w:r>
                    <w:rPr>
                      <w:rFonts w:hint="eastAsia" w:cs="Times New Roman"/>
                      <w:color w:val="000000" w:themeColor="text1"/>
                      <w:highlight w:val="none"/>
                      <w:lang w:val="en-US" w:eastAsia="zh-CN"/>
                      <w14:textFill>
                        <w14:solidFill>
                          <w14:schemeClr w14:val="tx1"/>
                        </w14:solidFill>
                      </w14:textFill>
                    </w:rPr>
                    <w:t>相关</w:t>
                  </w:r>
                  <w:r>
                    <w:rPr>
                      <w:rFonts w:hint="default" w:ascii="Times New Roman" w:hAnsi="Times New Roman" w:cs="Times New Roman"/>
                      <w:color w:val="000000" w:themeColor="text1"/>
                      <w:highlight w:val="none"/>
                      <w14:textFill>
                        <w14:solidFill>
                          <w14:schemeClr w14:val="tx1"/>
                        </w14:solidFill>
                      </w14:textFill>
                    </w:rPr>
                    <w:t>要求</w:t>
                  </w:r>
                  <w:r>
                    <w:rPr>
                      <w:rFonts w:hint="eastAsia" w:cs="Times New Roman"/>
                      <w:color w:val="000000" w:themeColor="text1"/>
                      <w:highlight w:val="none"/>
                      <w:lang w:eastAsia="zh-CN"/>
                      <w14:textFill>
                        <w14:solidFill>
                          <w14:schemeClr w14:val="tx1"/>
                        </w14:solidFill>
                      </w14:textFill>
                    </w:rPr>
                    <w:t>。</w:t>
                  </w:r>
                </w:p>
              </w:tc>
              <w:tc>
                <w:tcPr>
                  <w:tcW w:w="1479" w:type="pct"/>
                  <w:tcBorders>
                    <w:tl2br w:val="nil"/>
                    <w:tr2bl w:val="nil"/>
                  </w:tcBorders>
                  <w:noWrap w:val="0"/>
                  <w:vAlign w:val="center"/>
                </w:tcPr>
                <w:p w14:paraId="50115A19">
                  <w:pPr>
                    <w:jc w:val="left"/>
                    <w:rPr>
                      <w:rFonts w:hint="default" w:eastAsia="宋体" w:cs="Times New Roman"/>
                      <w:color w:val="000000" w:themeColor="text1"/>
                      <w:spacing w:val="-3"/>
                      <w:sz w:val="21"/>
                      <w:szCs w:val="21"/>
                      <w:highlight w:val="none"/>
                      <w:lang w:val="en-US" w:eastAsia="zh-CN"/>
                      <w14:textFill>
                        <w14:solidFill>
                          <w14:schemeClr w14:val="tx1"/>
                        </w14:solidFill>
                      </w14:textFill>
                    </w:rPr>
                  </w:pPr>
                  <w:r>
                    <w:rPr>
                      <w:rFonts w:hint="eastAsia" w:eastAsia="宋体" w:cs="Times New Roman"/>
                      <w:color w:val="000000" w:themeColor="text1"/>
                      <w:spacing w:val="-3"/>
                      <w:sz w:val="21"/>
                      <w:szCs w:val="21"/>
                      <w:highlight w:val="none"/>
                      <w:lang w:val="en-US" w:eastAsia="zh-CN"/>
                      <w14:textFill>
                        <w14:solidFill>
                          <w14:schemeClr w14:val="tx1"/>
                        </w14:solidFill>
                      </w14:textFill>
                    </w:rPr>
                    <w:t>本次排污许可重新申请过程中一并完善</w:t>
                  </w:r>
                </w:p>
              </w:tc>
            </w:tr>
            <w:tr w14:paraId="43C8B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5" w:type="pct"/>
                  <w:tcBorders>
                    <w:tl2br w:val="nil"/>
                    <w:tr2bl w:val="nil"/>
                  </w:tcBorders>
                  <w:noWrap w:val="0"/>
                  <w:vAlign w:val="center"/>
                </w:tcPr>
                <w:p w14:paraId="5D0F6078">
                  <w:pPr>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4</w:t>
                  </w:r>
                </w:p>
              </w:tc>
              <w:tc>
                <w:tcPr>
                  <w:tcW w:w="2995" w:type="pct"/>
                  <w:tcBorders>
                    <w:tl2br w:val="nil"/>
                    <w:tr2bl w:val="nil"/>
                  </w:tcBorders>
                  <w:noWrap w:val="0"/>
                  <w:vAlign w:val="center"/>
                </w:tcPr>
                <w:p w14:paraId="179FD4E0">
                  <w:pPr>
                    <w:jc w:val="left"/>
                    <w:rPr>
                      <w:rFonts w:hint="eastAsia" w:ascii="宋体" w:hAnsi="宋体" w:eastAsia="宋体" w:cs="宋体"/>
                      <w:color w:val="000000" w:themeColor="text1"/>
                      <w:spacing w:val="-3"/>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pacing w:val="-3"/>
                      <w:sz w:val="21"/>
                      <w:szCs w:val="21"/>
                      <w:highlight w:val="none"/>
                      <w:u w:val="single"/>
                      <w:lang w:val="en-US" w:eastAsia="zh-CN"/>
                      <w14:textFill>
                        <w14:solidFill>
                          <w14:schemeClr w14:val="tx1"/>
                        </w14:solidFill>
                      </w14:textFill>
                    </w:rPr>
                    <w:t>冷却液</w:t>
                  </w:r>
                  <w:r>
                    <w:rPr>
                      <w:rFonts w:hint="eastAsia" w:ascii="宋体" w:hAnsi="宋体" w:cs="宋体"/>
                      <w:color w:val="000000" w:themeColor="text1"/>
                      <w:spacing w:val="-3"/>
                      <w:sz w:val="21"/>
                      <w:szCs w:val="21"/>
                      <w:highlight w:val="none"/>
                      <w:u w:val="single"/>
                      <w:lang w:val="en-US" w:eastAsia="zh-CN"/>
                      <w14:textFill>
                        <w14:solidFill>
                          <w14:schemeClr w14:val="tx1"/>
                        </w14:solidFill>
                      </w14:textFill>
                    </w:rPr>
                    <w:t>、</w:t>
                  </w:r>
                  <w:r>
                    <w:rPr>
                      <w:rFonts w:hint="eastAsia" w:ascii="宋体" w:hAnsi="宋体" w:eastAsia="宋体" w:cs="宋体"/>
                      <w:color w:val="000000" w:themeColor="text1"/>
                      <w:spacing w:val="-3"/>
                      <w:sz w:val="21"/>
                      <w:szCs w:val="21"/>
                      <w:highlight w:val="none"/>
                      <w:u w:val="single"/>
                      <w:lang w:val="en-US" w:eastAsia="zh-CN"/>
                      <w14:textFill>
                        <w14:solidFill>
                          <w14:schemeClr w14:val="tx1"/>
                        </w14:solidFill>
                      </w14:textFill>
                    </w:rPr>
                    <w:t>油漆桶等危废露天堆放</w:t>
                  </w:r>
                </w:p>
              </w:tc>
              <w:tc>
                <w:tcPr>
                  <w:tcW w:w="1479" w:type="pct"/>
                  <w:tcBorders>
                    <w:tl2br w:val="nil"/>
                    <w:tr2bl w:val="nil"/>
                  </w:tcBorders>
                  <w:noWrap w:val="0"/>
                  <w:vAlign w:val="center"/>
                </w:tcPr>
                <w:p w14:paraId="3B087662">
                  <w:pPr>
                    <w:jc w:val="left"/>
                    <w:rPr>
                      <w:rFonts w:hint="default" w:eastAsia="宋体" w:cs="Times New Roman"/>
                      <w:color w:val="000000" w:themeColor="text1"/>
                      <w:spacing w:val="-3"/>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pacing w:val="-3"/>
                      <w:sz w:val="21"/>
                      <w:szCs w:val="21"/>
                      <w:highlight w:val="none"/>
                      <w:u w:val="single"/>
                      <w:lang w:val="en-US" w:eastAsia="zh-CN"/>
                      <w14:textFill>
                        <w14:solidFill>
                          <w14:schemeClr w14:val="tx1"/>
                        </w14:solidFill>
                      </w14:textFill>
                    </w:rPr>
                    <w:t>冷却液</w:t>
                  </w:r>
                  <w:r>
                    <w:rPr>
                      <w:rFonts w:hint="eastAsia" w:ascii="宋体" w:hAnsi="宋体" w:cs="宋体"/>
                      <w:color w:val="000000" w:themeColor="text1"/>
                      <w:spacing w:val="-3"/>
                      <w:sz w:val="21"/>
                      <w:szCs w:val="21"/>
                      <w:highlight w:val="none"/>
                      <w:u w:val="single"/>
                      <w:lang w:val="en-US" w:eastAsia="zh-CN"/>
                      <w14:textFill>
                        <w14:solidFill>
                          <w14:schemeClr w14:val="tx1"/>
                        </w14:solidFill>
                      </w14:textFill>
                    </w:rPr>
                    <w:t>、</w:t>
                  </w:r>
                  <w:r>
                    <w:rPr>
                      <w:rFonts w:hint="eastAsia" w:ascii="宋体" w:hAnsi="宋体" w:eastAsia="宋体" w:cs="宋体"/>
                      <w:color w:val="000000" w:themeColor="text1"/>
                      <w:spacing w:val="-3"/>
                      <w:sz w:val="21"/>
                      <w:szCs w:val="21"/>
                      <w:highlight w:val="none"/>
                      <w:u w:val="single"/>
                      <w:lang w:val="en-US" w:eastAsia="zh-CN"/>
                      <w14:textFill>
                        <w14:solidFill>
                          <w14:schemeClr w14:val="tx1"/>
                        </w14:solidFill>
                      </w14:textFill>
                    </w:rPr>
                    <w:t>油漆桶等危废</w:t>
                  </w:r>
                  <w:r>
                    <w:rPr>
                      <w:rFonts w:hint="eastAsia" w:ascii="宋体" w:hAnsi="宋体" w:cs="宋体"/>
                      <w:color w:val="000000" w:themeColor="text1"/>
                      <w:spacing w:val="-3"/>
                      <w:sz w:val="21"/>
                      <w:szCs w:val="21"/>
                      <w:highlight w:val="none"/>
                      <w:u w:val="single"/>
                      <w:lang w:val="en-US" w:eastAsia="zh-CN"/>
                      <w14:textFill>
                        <w14:solidFill>
                          <w14:schemeClr w14:val="tx1"/>
                        </w14:solidFill>
                      </w14:textFill>
                    </w:rPr>
                    <w:t>入危废库暂存</w:t>
                  </w:r>
                </w:p>
              </w:tc>
            </w:tr>
            <w:tr w14:paraId="2A69ED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25" w:type="pct"/>
                  <w:tcBorders>
                    <w:tl2br w:val="nil"/>
                    <w:tr2bl w:val="nil"/>
                  </w:tcBorders>
                  <w:noWrap w:val="0"/>
                  <w:vAlign w:val="center"/>
                </w:tcPr>
                <w:p w14:paraId="76919C70">
                  <w:pPr>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5</w:t>
                  </w:r>
                </w:p>
              </w:tc>
              <w:tc>
                <w:tcPr>
                  <w:tcW w:w="2995" w:type="pct"/>
                  <w:tcBorders>
                    <w:tl2br w:val="nil"/>
                    <w:tr2bl w:val="nil"/>
                  </w:tcBorders>
                  <w:noWrap w:val="0"/>
                  <w:vAlign w:val="center"/>
                </w:tcPr>
                <w:p w14:paraId="5A35E282">
                  <w:pPr>
                    <w:jc w:val="left"/>
                    <w:rPr>
                      <w:rFonts w:hint="eastAsia" w:ascii="宋体" w:hAnsi="宋体" w:eastAsia="宋体" w:cs="宋体"/>
                      <w:color w:val="000000" w:themeColor="text1"/>
                      <w:spacing w:val="-3"/>
                      <w:sz w:val="21"/>
                      <w:szCs w:val="21"/>
                      <w:highlight w:val="none"/>
                      <w:u w:val="single"/>
                      <w:lang w:val="en-US" w:eastAsia="zh-CN"/>
                      <w14:textFill>
                        <w14:solidFill>
                          <w14:schemeClr w14:val="tx1"/>
                        </w14:solidFill>
                      </w14:textFill>
                    </w:rPr>
                  </w:pPr>
                  <w:r>
                    <w:rPr>
                      <w:rFonts w:hint="eastAsia" w:ascii="宋体" w:hAnsi="宋体" w:eastAsia="宋体" w:cs="宋体"/>
                      <w:color w:val="000000" w:themeColor="text1"/>
                      <w:spacing w:val="-3"/>
                      <w:sz w:val="21"/>
                      <w:szCs w:val="21"/>
                      <w:highlight w:val="none"/>
                      <w:u w:val="single"/>
                      <w:lang w:val="en-US" w:eastAsia="zh-CN"/>
                      <w14:textFill>
                        <w14:solidFill>
                          <w14:schemeClr w14:val="tx1"/>
                        </w14:solidFill>
                      </w14:textFill>
                    </w:rPr>
                    <w:t>危废暂存间存在原料与危废混放的情况</w:t>
                  </w:r>
                </w:p>
              </w:tc>
              <w:tc>
                <w:tcPr>
                  <w:tcW w:w="1479" w:type="pct"/>
                  <w:tcBorders>
                    <w:tl2br w:val="nil"/>
                    <w:tr2bl w:val="nil"/>
                  </w:tcBorders>
                  <w:noWrap w:val="0"/>
                  <w:vAlign w:val="center"/>
                </w:tcPr>
                <w:p w14:paraId="63E1048B">
                  <w:pPr>
                    <w:jc w:val="left"/>
                    <w:rPr>
                      <w:rFonts w:hint="default" w:eastAsia="宋体" w:cs="Times New Roman"/>
                      <w:color w:val="000000" w:themeColor="text1"/>
                      <w:spacing w:val="-3"/>
                      <w:sz w:val="21"/>
                      <w:szCs w:val="21"/>
                      <w:highlight w:val="none"/>
                      <w:u w:val="single"/>
                      <w:lang w:val="en-US" w:eastAsia="zh-CN"/>
                      <w14:textFill>
                        <w14:solidFill>
                          <w14:schemeClr w14:val="tx1"/>
                        </w14:solidFill>
                      </w14:textFill>
                    </w:rPr>
                  </w:pPr>
                  <w:r>
                    <w:rPr>
                      <w:rFonts w:hint="eastAsia" w:cs="Times New Roman"/>
                      <w:color w:val="000000" w:themeColor="text1"/>
                      <w:spacing w:val="-3"/>
                      <w:sz w:val="21"/>
                      <w:szCs w:val="21"/>
                      <w:highlight w:val="none"/>
                      <w:u w:val="single"/>
                      <w:lang w:val="en-US" w:eastAsia="zh-CN"/>
                      <w14:textFill>
                        <w14:solidFill>
                          <w14:schemeClr w14:val="tx1"/>
                        </w14:solidFill>
                      </w14:textFill>
                    </w:rPr>
                    <w:t>危废各类危废分区存放</w:t>
                  </w:r>
                </w:p>
              </w:tc>
            </w:tr>
          </w:tbl>
          <w:p w14:paraId="76E56B4A">
            <w:pPr>
              <w:pStyle w:val="4"/>
              <w:ind w:left="0" w:leftChars="0" w:firstLine="0" w:firstLineChars="0"/>
              <w:rPr>
                <w:rFonts w:hint="default" w:ascii="Times New Roman" w:hAnsi="Times New Roman" w:cs="Times New Roman"/>
                <w:color w:val="000000" w:themeColor="text1"/>
                <w:highlight w:val="cyan"/>
                <w14:textFill>
                  <w14:solidFill>
                    <w14:schemeClr w14:val="tx1"/>
                  </w14:solidFill>
                </w14:textFill>
              </w:rPr>
            </w:pPr>
          </w:p>
          <w:p w14:paraId="6A3EC6FA">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29A960EB">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15FC897A">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499E366B">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6BB2FB44">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410CACA0">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504D933A">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0248F2E5">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59024959">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0CC20EA1">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3E216D0E">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5C5A2983">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742CCE83">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2A703668">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2CF8EB8F">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14CFE5A7">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17971A1E">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4D09B31F">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tc>
      </w:tr>
    </w:tbl>
    <w:p w14:paraId="398F41B3">
      <w:pPr>
        <w:rPr>
          <w:rFonts w:hint="default" w:ascii="Times New Roman" w:hAnsi="Times New Roman" w:cs="Times New Roman"/>
          <w:snapToGrid w:val="0"/>
          <w:color w:val="000000" w:themeColor="text1"/>
          <w:highlight w:val="none"/>
          <w14:textFill>
            <w14:solidFill>
              <w14:schemeClr w14:val="tx1"/>
            </w14:solidFill>
          </w14:textFill>
        </w:rPr>
        <w:sectPr>
          <w:headerReference r:id="rId8" w:type="first"/>
          <w:headerReference r:id="rId6" w:type="default"/>
          <w:headerReference r:id="rId7" w:type="even"/>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14:paraId="6DC6D750">
      <w:pPr>
        <w:pStyle w:val="2"/>
        <w:keepNext/>
        <w:keepLines/>
        <w:pageBreakBefore/>
        <w:widowControl/>
        <w:kinsoku/>
        <w:wordWrap/>
        <w:overflowPunct/>
        <w:topLinePunct w:val="0"/>
        <w:autoSpaceDE/>
        <w:autoSpaceDN/>
        <w:bidi w:val="0"/>
        <w:adjustRightInd/>
        <w:snapToGrid/>
        <w:textAlignment w:val="auto"/>
        <w:rPr>
          <w:rFonts w:hint="default" w:ascii="Times New Roman" w:hAnsi="Times New Roman" w:cs="Times New Roman"/>
          <w:snapToGrid w:val="0"/>
          <w:color w:val="000000" w:themeColor="text1"/>
          <w:highlight w:val="none"/>
          <w14:textFill>
            <w14:solidFill>
              <w14:schemeClr w14:val="tx1"/>
            </w14:solidFill>
          </w14:textFill>
        </w:rPr>
      </w:pPr>
      <w:bookmarkStart w:id="80" w:name="_Toc175609272"/>
      <w:bookmarkStart w:id="81" w:name="_Toc191861461"/>
      <w:bookmarkStart w:id="82" w:name="_Toc26507"/>
      <w:bookmarkStart w:id="83" w:name="_Toc175609274"/>
      <w:r>
        <w:rPr>
          <w:rFonts w:hint="default" w:ascii="Times New Roman" w:hAnsi="Times New Roman" w:cs="Times New Roman"/>
          <w:snapToGrid w:val="0"/>
          <w:color w:val="000000" w:themeColor="text1"/>
          <w:highlight w:val="none"/>
          <w14:textFill>
            <w14:solidFill>
              <w14:schemeClr w14:val="tx1"/>
            </w14:solidFill>
          </w14:textFill>
        </w:rPr>
        <w:t>区域环境质量现状、环境保护目标及评价标准</w:t>
      </w:r>
      <w:bookmarkEnd w:id="80"/>
      <w:bookmarkEnd w:id="81"/>
      <w:bookmarkEnd w:id="82"/>
    </w:p>
    <w:tbl>
      <w:tblPr>
        <w:tblStyle w:val="16"/>
        <w:tblW w:w="88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8154"/>
      </w:tblGrid>
      <w:tr w14:paraId="4716D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440" w:type="pct"/>
            <w:vAlign w:val="center"/>
          </w:tcPr>
          <w:p w14:paraId="78840D41">
            <w:pPr>
              <w:pStyle w:val="35"/>
              <w:rPr>
                <w:rFonts w:hint="default" w:ascii="Times New Roman" w:hAnsi="Times New Roman" w:cs="Times New Roman"/>
                <w:color w:val="000000" w:themeColor="text1"/>
                <w:highlight w:val="none"/>
                <w14:textFill>
                  <w14:solidFill>
                    <w14:schemeClr w14:val="tx1"/>
                  </w14:solidFill>
                </w14:textFill>
              </w:rPr>
            </w:pPr>
            <w:bookmarkStart w:id="84" w:name="_Toc175609273"/>
            <w:r>
              <w:rPr>
                <w:rFonts w:hint="default" w:ascii="Times New Roman" w:hAnsi="Times New Roman" w:cs="Times New Roman"/>
                <w:color w:val="000000" w:themeColor="text1"/>
                <w:highlight w:val="none"/>
                <w14:textFill>
                  <w14:solidFill>
                    <w14:schemeClr w14:val="tx1"/>
                  </w14:solidFill>
                </w14:textFill>
              </w:rPr>
              <w:t>区域环境质量现状</w:t>
            </w:r>
            <w:bookmarkEnd w:id="84"/>
          </w:p>
        </w:tc>
        <w:tc>
          <w:tcPr>
            <w:tcW w:w="4560" w:type="pct"/>
            <w:vAlign w:val="center"/>
          </w:tcPr>
          <w:p w14:paraId="17CB41E5">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1、环境空气质量现状</w:t>
            </w:r>
          </w:p>
          <w:p w14:paraId="21C3152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（1）基本污染物</w:t>
            </w:r>
          </w:p>
          <w:p w14:paraId="1C4B58B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项目所在区域环境空气属于二类功能区，执行《环境空气质量标准》（GB3095-2012）及其2018年修改单中二级标准。</w:t>
            </w:r>
          </w:p>
          <w:p w14:paraId="01B915A7">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广西壮族自治区生态环境厅发布的《《自治区生态环境厅关于通报2023年设区城市及各县（市、区）环境空气质量的函》（桂环函〔2024〕58号）中2023年各县（市、区）环境空气质量数据，得出项目所在区域钦州市空气质量现状评价表，具体见表3-1。</w:t>
            </w:r>
          </w:p>
          <w:p w14:paraId="77D455B4">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表3- 1：空气环境现状达标评价表</w:t>
            </w:r>
          </w:p>
          <w:tbl>
            <w:tblPr>
              <w:tblStyle w:val="4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05"/>
              <w:gridCol w:w="2415"/>
              <w:gridCol w:w="1113"/>
              <w:gridCol w:w="1175"/>
              <w:gridCol w:w="942"/>
              <w:gridCol w:w="1288"/>
            </w:tblGrid>
            <w:tr w14:paraId="2FB50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05" w:type="dxa"/>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0FF2B05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污染物</w:t>
                  </w:r>
                </w:p>
              </w:tc>
              <w:tc>
                <w:tcPr>
                  <w:tcW w:w="2415"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966293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年评价指标</w:t>
                  </w:r>
                </w:p>
              </w:tc>
              <w:tc>
                <w:tcPr>
                  <w:tcW w:w="1113"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4AEBED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现状浓度（μg/m</w:t>
                  </w:r>
                  <w:r>
                    <w:rPr>
                      <w:rFonts w:hint="default" w:ascii="Times New Roman" w:hAnsi="Times New Roman" w:eastAsia="宋体" w:cs="Times New Roman"/>
                      <w:b/>
                      <w:i w:val="0"/>
                      <w:color w:val="000000" w:themeColor="text1"/>
                      <w:sz w:val="21"/>
                      <w:szCs w:val="21"/>
                      <w:highlight w:val="none"/>
                      <w:vertAlign w:val="superscript"/>
                      <w14:textFill>
                        <w14:solidFill>
                          <w14:schemeClr w14:val="tx1"/>
                        </w14:solidFill>
                      </w14:textFill>
                      <w14:ligatures w14:val="standardContextual"/>
                    </w:rPr>
                    <w:t>3</w:t>
                  </w: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w:t>
                  </w:r>
                </w:p>
              </w:tc>
              <w:tc>
                <w:tcPr>
                  <w:tcW w:w="1175"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F0423D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标准值（μg/m</w:t>
                  </w:r>
                  <w:r>
                    <w:rPr>
                      <w:rFonts w:hint="default" w:ascii="Times New Roman" w:hAnsi="Times New Roman" w:eastAsia="宋体" w:cs="Times New Roman"/>
                      <w:b/>
                      <w:i w:val="0"/>
                      <w:color w:val="000000" w:themeColor="text1"/>
                      <w:sz w:val="21"/>
                      <w:szCs w:val="21"/>
                      <w:highlight w:val="none"/>
                      <w:vertAlign w:val="superscript"/>
                      <w14:textFill>
                        <w14:solidFill>
                          <w14:schemeClr w14:val="tx1"/>
                        </w14:solidFill>
                      </w14:textFill>
                      <w14:ligatures w14:val="standardContextual"/>
                    </w:rPr>
                    <w:t>3</w:t>
                  </w: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w:t>
                  </w:r>
                </w:p>
              </w:tc>
              <w:tc>
                <w:tcPr>
                  <w:tcW w:w="942" w:type="dxa"/>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B215F7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占标率</w:t>
                  </w:r>
                </w:p>
                <w:p w14:paraId="110C299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w:t>
                  </w:r>
                </w:p>
              </w:tc>
              <w:tc>
                <w:tcPr>
                  <w:tcW w:w="1288" w:type="dxa"/>
                  <w:tcBorders>
                    <w:top w:val="single" w:color="auto" w:sz="12" w:space="0"/>
                    <w:bottom w:val="single" w:color="auto" w:sz="12" w:space="0"/>
                    <w:right w:val="nil"/>
                    <w:insideH w:val="single" w:sz="12" w:space="0"/>
                    <w:insideV w:val="single" w:sz="4" w:space="0"/>
                    <w:tl2br w:val="nil"/>
                    <w:tr2bl w:val="nil"/>
                  </w:tcBorders>
                  <w:vAlign w:val="center"/>
                </w:tcPr>
                <w:p w14:paraId="74603D4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达标情况</w:t>
                  </w:r>
                </w:p>
              </w:tc>
            </w:tr>
            <w:tr w14:paraId="06C55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05" w:type="dxa"/>
                  <w:vAlign w:val="center"/>
                </w:tcPr>
                <w:p w14:paraId="64BAB99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PM</w:t>
                  </w:r>
                  <w:r>
                    <w:rPr>
                      <w:rFonts w:hint="default" w:ascii="Times New Roman" w:hAnsi="Times New Roman" w:cs="Times New Roman"/>
                      <w:color w:val="000000" w:themeColor="text1"/>
                      <w:highlight w:val="none"/>
                      <w:vertAlign w:val="subscript"/>
                      <w14:textFill>
                        <w14:solidFill>
                          <w14:schemeClr w14:val="tx1"/>
                        </w14:solidFill>
                      </w14:textFill>
                      <w14:ligatures w14:val="standardContextual"/>
                    </w:rPr>
                    <w:t>10</w:t>
                  </w:r>
                </w:p>
              </w:tc>
              <w:tc>
                <w:tcPr>
                  <w:tcW w:w="2415" w:type="dxa"/>
                  <w:vAlign w:val="center"/>
                </w:tcPr>
                <w:p w14:paraId="152B21F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年平均质量浓度</w:t>
                  </w:r>
                </w:p>
              </w:tc>
              <w:tc>
                <w:tcPr>
                  <w:tcW w:w="1113" w:type="dxa"/>
                  <w:vAlign w:val="center"/>
                </w:tcPr>
                <w:p w14:paraId="7A8BF32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44</w:t>
                  </w:r>
                </w:p>
              </w:tc>
              <w:tc>
                <w:tcPr>
                  <w:tcW w:w="1175" w:type="dxa"/>
                  <w:vAlign w:val="center"/>
                </w:tcPr>
                <w:p w14:paraId="1A3458B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70</w:t>
                  </w:r>
                </w:p>
              </w:tc>
              <w:tc>
                <w:tcPr>
                  <w:tcW w:w="942" w:type="dxa"/>
                  <w:vAlign w:val="center"/>
                </w:tcPr>
                <w:p w14:paraId="2534073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62.9</w:t>
                  </w:r>
                </w:p>
              </w:tc>
              <w:tc>
                <w:tcPr>
                  <w:tcW w:w="1288" w:type="dxa"/>
                  <w:vAlign w:val="center"/>
                </w:tcPr>
                <w:p w14:paraId="2D77FA0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达标</w:t>
                  </w:r>
                </w:p>
              </w:tc>
            </w:tr>
            <w:tr w14:paraId="63EE0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05" w:type="dxa"/>
                  <w:vAlign w:val="center"/>
                </w:tcPr>
                <w:p w14:paraId="5CFDBBC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SO</w:t>
                  </w:r>
                  <w:r>
                    <w:rPr>
                      <w:rFonts w:hint="default" w:ascii="Times New Roman" w:hAnsi="Times New Roman" w:cs="Times New Roman"/>
                      <w:color w:val="000000" w:themeColor="text1"/>
                      <w:highlight w:val="none"/>
                      <w:vertAlign w:val="subscript"/>
                      <w14:textFill>
                        <w14:solidFill>
                          <w14:schemeClr w14:val="tx1"/>
                        </w14:solidFill>
                      </w14:textFill>
                      <w14:ligatures w14:val="standardContextual"/>
                    </w:rPr>
                    <w:t>2</w:t>
                  </w:r>
                </w:p>
              </w:tc>
              <w:tc>
                <w:tcPr>
                  <w:tcW w:w="2415" w:type="dxa"/>
                  <w:vAlign w:val="center"/>
                </w:tcPr>
                <w:p w14:paraId="4A20A6F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年</w:t>
                  </w:r>
                  <w:r>
                    <w:rPr>
                      <w:rFonts w:hint="default" w:ascii="Times New Roman" w:hAnsi="Times New Roman" w:cs="Times New Roman"/>
                      <w:color w:val="000000" w:themeColor="text1"/>
                      <w:highlight w:val="none"/>
                      <w14:textFill>
                        <w14:solidFill>
                          <w14:schemeClr w14:val="tx1"/>
                        </w14:solidFill>
                      </w14:textFill>
                      <w14:ligatures w14:val="standardContextual"/>
                    </w:rPr>
                    <w:cr/>
                  </w:r>
                  <w:r>
                    <w:rPr>
                      <w:rFonts w:hint="default" w:ascii="Times New Roman" w:hAnsi="Times New Roman" w:cs="Times New Roman"/>
                      <w:color w:val="000000" w:themeColor="text1"/>
                      <w:highlight w:val="none"/>
                      <w14:textFill>
                        <w14:solidFill>
                          <w14:schemeClr w14:val="tx1"/>
                        </w14:solidFill>
                      </w14:textFill>
                      <w14:ligatures w14:val="standardContextual"/>
                    </w:rPr>
                    <w:t>均质量浓度</w:t>
                  </w:r>
                </w:p>
              </w:tc>
              <w:tc>
                <w:tcPr>
                  <w:tcW w:w="1113" w:type="dxa"/>
                  <w:vAlign w:val="center"/>
                </w:tcPr>
                <w:p w14:paraId="3823020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8</w:t>
                  </w:r>
                </w:p>
              </w:tc>
              <w:tc>
                <w:tcPr>
                  <w:tcW w:w="1175" w:type="dxa"/>
                  <w:vAlign w:val="center"/>
                </w:tcPr>
                <w:p w14:paraId="2685305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60</w:t>
                  </w:r>
                </w:p>
              </w:tc>
              <w:tc>
                <w:tcPr>
                  <w:tcW w:w="942" w:type="dxa"/>
                  <w:vAlign w:val="center"/>
                </w:tcPr>
                <w:p w14:paraId="495C35F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13</w:t>
                  </w:r>
                </w:p>
              </w:tc>
              <w:tc>
                <w:tcPr>
                  <w:tcW w:w="1288" w:type="dxa"/>
                  <w:vAlign w:val="center"/>
                </w:tcPr>
                <w:p w14:paraId="0B965F4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达标</w:t>
                  </w:r>
                </w:p>
              </w:tc>
            </w:tr>
            <w:tr w14:paraId="5D0ACE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05" w:type="dxa"/>
                  <w:vAlign w:val="center"/>
                </w:tcPr>
                <w:p w14:paraId="7CCBAFE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NO</w:t>
                  </w:r>
                  <w:r>
                    <w:rPr>
                      <w:rFonts w:hint="default" w:ascii="Times New Roman" w:hAnsi="Times New Roman" w:cs="Times New Roman"/>
                      <w:color w:val="000000" w:themeColor="text1"/>
                      <w:highlight w:val="none"/>
                      <w:vertAlign w:val="subscript"/>
                      <w14:textFill>
                        <w14:solidFill>
                          <w14:schemeClr w14:val="tx1"/>
                        </w14:solidFill>
                      </w14:textFill>
                      <w14:ligatures w14:val="standardContextual"/>
                    </w:rPr>
                    <w:t>2</w:t>
                  </w:r>
                </w:p>
              </w:tc>
              <w:tc>
                <w:tcPr>
                  <w:tcW w:w="2415" w:type="dxa"/>
                  <w:vAlign w:val="center"/>
                </w:tcPr>
                <w:p w14:paraId="173F9399">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年平均质量浓度</w:t>
                  </w:r>
                </w:p>
              </w:tc>
              <w:tc>
                <w:tcPr>
                  <w:tcW w:w="1113" w:type="dxa"/>
                  <w:vAlign w:val="center"/>
                </w:tcPr>
                <w:p w14:paraId="19430E1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19</w:t>
                  </w:r>
                </w:p>
              </w:tc>
              <w:tc>
                <w:tcPr>
                  <w:tcW w:w="1175" w:type="dxa"/>
                  <w:vAlign w:val="center"/>
                </w:tcPr>
                <w:p w14:paraId="2197EDE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40</w:t>
                  </w:r>
                </w:p>
              </w:tc>
              <w:tc>
                <w:tcPr>
                  <w:tcW w:w="942" w:type="dxa"/>
                  <w:vAlign w:val="center"/>
                </w:tcPr>
                <w:p w14:paraId="126F0C5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47.5</w:t>
                  </w:r>
                </w:p>
              </w:tc>
              <w:tc>
                <w:tcPr>
                  <w:tcW w:w="1288" w:type="dxa"/>
                  <w:vAlign w:val="center"/>
                </w:tcPr>
                <w:p w14:paraId="265E20A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达标</w:t>
                  </w:r>
                </w:p>
              </w:tc>
            </w:tr>
            <w:tr w14:paraId="561C8C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05" w:type="dxa"/>
                  <w:vAlign w:val="center"/>
                </w:tcPr>
                <w:p w14:paraId="5C565A7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PM</w:t>
                  </w:r>
                  <w:r>
                    <w:rPr>
                      <w:rFonts w:hint="default" w:ascii="Times New Roman" w:hAnsi="Times New Roman" w:cs="Times New Roman"/>
                      <w:color w:val="000000" w:themeColor="text1"/>
                      <w:highlight w:val="none"/>
                      <w:vertAlign w:val="subscript"/>
                      <w14:textFill>
                        <w14:solidFill>
                          <w14:schemeClr w14:val="tx1"/>
                        </w14:solidFill>
                      </w14:textFill>
                      <w14:ligatures w14:val="standardContextual"/>
                    </w:rPr>
                    <w:t>2.5</w:t>
                  </w:r>
                </w:p>
              </w:tc>
              <w:tc>
                <w:tcPr>
                  <w:tcW w:w="2415" w:type="dxa"/>
                  <w:vAlign w:val="center"/>
                </w:tcPr>
                <w:p w14:paraId="2DD01DC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年平均质量浓度</w:t>
                  </w:r>
                </w:p>
              </w:tc>
              <w:tc>
                <w:tcPr>
                  <w:tcW w:w="1113" w:type="dxa"/>
                  <w:vAlign w:val="center"/>
                </w:tcPr>
                <w:p w14:paraId="6975828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24.3</w:t>
                  </w:r>
                </w:p>
              </w:tc>
              <w:tc>
                <w:tcPr>
                  <w:tcW w:w="1175" w:type="dxa"/>
                  <w:vAlign w:val="center"/>
                </w:tcPr>
                <w:p w14:paraId="726EFF7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35</w:t>
                  </w:r>
                </w:p>
              </w:tc>
              <w:tc>
                <w:tcPr>
                  <w:tcW w:w="942" w:type="dxa"/>
                  <w:vAlign w:val="center"/>
                </w:tcPr>
                <w:p w14:paraId="0DA9330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69.4</w:t>
                  </w:r>
                </w:p>
              </w:tc>
              <w:tc>
                <w:tcPr>
                  <w:tcW w:w="1288" w:type="dxa"/>
                  <w:vAlign w:val="center"/>
                </w:tcPr>
                <w:p w14:paraId="38A602B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达标</w:t>
                  </w:r>
                </w:p>
              </w:tc>
            </w:tr>
            <w:tr w14:paraId="680CB0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05" w:type="dxa"/>
                  <w:vAlign w:val="center"/>
                </w:tcPr>
                <w:p w14:paraId="75F7CF3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CO</w:t>
                  </w:r>
                </w:p>
              </w:tc>
              <w:tc>
                <w:tcPr>
                  <w:tcW w:w="2415" w:type="dxa"/>
                  <w:vAlign w:val="center"/>
                </w:tcPr>
                <w:p w14:paraId="23978CB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平均第95百分位数浓度</w:t>
                  </w:r>
                </w:p>
              </w:tc>
              <w:tc>
                <w:tcPr>
                  <w:tcW w:w="1113" w:type="dxa"/>
                  <w:vAlign w:val="center"/>
                </w:tcPr>
                <w:p w14:paraId="356E96B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1.1mg/m</w:t>
                  </w:r>
                  <w:r>
                    <w:rPr>
                      <w:rFonts w:hint="default" w:ascii="Times New Roman" w:hAnsi="Times New Roman" w:cs="Times New Roman"/>
                      <w:color w:val="000000" w:themeColor="text1"/>
                      <w:highlight w:val="none"/>
                      <w:vertAlign w:val="superscript"/>
                      <w14:textFill>
                        <w14:solidFill>
                          <w14:schemeClr w14:val="tx1"/>
                        </w14:solidFill>
                      </w14:textFill>
                      <w14:ligatures w14:val="standardContextual"/>
                    </w:rPr>
                    <w:t>3</w:t>
                  </w:r>
                </w:p>
              </w:tc>
              <w:tc>
                <w:tcPr>
                  <w:tcW w:w="1175" w:type="dxa"/>
                  <w:vAlign w:val="center"/>
                </w:tcPr>
                <w:p w14:paraId="693B176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4mg/m</w:t>
                  </w:r>
                  <w:r>
                    <w:rPr>
                      <w:rFonts w:hint="default" w:ascii="Times New Roman" w:hAnsi="Times New Roman" w:cs="Times New Roman"/>
                      <w:color w:val="000000" w:themeColor="text1"/>
                      <w:highlight w:val="none"/>
                      <w:vertAlign w:val="superscript"/>
                      <w14:textFill>
                        <w14:solidFill>
                          <w14:schemeClr w14:val="tx1"/>
                        </w14:solidFill>
                      </w14:textFill>
                      <w14:ligatures w14:val="standardContextual"/>
                    </w:rPr>
                    <w:t>3</w:t>
                  </w:r>
                </w:p>
              </w:tc>
              <w:tc>
                <w:tcPr>
                  <w:tcW w:w="942" w:type="dxa"/>
                  <w:vAlign w:val="center"/>
                </w:tcPr>
                <w:p w14:paraId="4EE470D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27.5</w:t>
                  </w:r>
                </w:p>
              </w:tc>
              <w:tc>
                <w:tcPr>
                  <w:tcW w:w="1288" w:type="dxa"/>
                  <w:vAlign w:val="center"/>
                </w:tcPr>
                <w:p w14:paraId="7AD1F9E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达标</w:t>
                  </w:r>
                </w:p>
              </w:tc>
            </w:tr>
            <w:tr w14:paraId="6ED809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05" w:type="dxa"/>
                  <w:vAlign w:val="center"/>
                </w:tcPr>
                <w:p w14:paraId="4561F21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O</w:t>
                  </w:r>
                  <w:r>
                    <w:rPr>
                      <w:rFonts w:hint="default" w:ascii="Times New Roman" w:hAnsi="Times New Roman" w:cs="Times New Roman"/>
                      <w:color w:val="000000" w:themeColor="text1"/>
                      <w:highlight w:val="none"/>
                      <w:vertAlign w:val="subscript"/>
                      <w14:textFill>
                        <w14:solidFill>
                          <w14:schemeClr w14:val="tx1"/>
                        </w14:solidFill>
                      </w14:textFill>
                      <w14:ligatures w14:val="standardContextual"/>
                    </w:rPr>
                    <w:t>3</w:t>
                  </w:r>
                </w:p>
              </w:tc>
              <w:tc>
                <w:tcPr>
                  <w:tcW w:w="2415" w:type="dxa"/>
                  <w:vAlign w:val="center"/>
                </w:tcPr>
                <w:p w14:paraId="0AE20DF6">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平均第90百分位数浓度</w:t>
                  </w:r>
                </w:p>
              </w:tc>
              <w:tc>
                <w:tcPr>
                  <w:tcW w:w="1113" w:type="dxa"/>
                  <w:vAlign w:val="center"/>
                </w:tcPr>
                <w:p w14:paraId="3D1472F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118</w:t>
                  </w:r>
                </w:p>
              </w:tc>
              <w:tc>
                <w:tcPr>
                  <w:tcW w:w="1175" w:type="dxa"/>
                  <w:vAlign w:val="center"/>
                </w:tcPr>
                <w:p w14:paraId="273331F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160</w:t>
                  </w:r>
                </w:p>
              </w:tc>
              <w:tc>
                <w:tcPr>
                  <w:tcW w:w="942" w:type="dxa"/>
                  <w:vAlign w:val="center"/>
                </w:tcPr>
                <w:p w14:paraId="21C4293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73.75</w:t>
                  </w:r>
                </w:p>
              </w:tc>
              <w:tc>
                <w:tcPr>
                  <w:tcW w:w="1288" w:type="dxa"/>
                  <w:vAlign w:val="center"/>
                </w:tcPr>
                <w:p w14:paraId="2ED91EE6">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达标</w:t>
                  </w:r>
                </w:p>
              </w:tc>
            </w:tr>
          </w:tbl>
          <w:p w14:paraId="346BCDC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可知，二氧化硫、二氧化氮、吸入颗粒物（PM</w:t>
            </w:r>
            <w:r>
              <w:rPr>
                <w:rFonts w:hint="default" w:ascii="Times New Roman" w:hAnsi="Times New Roman" w:cs="Times New Roman"/>
                <w:color w:val="000000" w:themeColor="text1"/>
                <w:highlight w:val="none"/>
                <w:vertAlign w:val="subscript"/>
                <w14:textFill>
                  <w14:solidFill>
                    <w14:schemeClr w14:val="tx1"/>
                  </w14:solidFill>
                </w14:textFill>
              </w:rPr>
              <w:t>10</w:t>
            </w:r>
            <w:r>
              <w:rPr>
                <w:rFonts w:hint="default" w:ascii="Times New Roman" w:hAnsi="Times New Roman" w:cs="Times New Roman"/>
                <w:color w:val="000000" w:themeColor="text1"/>
                <w:highlight w:val="none"/>
                <w14:textFill>
                  <w14:solidFill>
                    <w14:schemeClr w14:val="tx1"/>
                  </w14:solidFill>
                </w14:textFill>
              </w:rPr>
              <w:t>）、细颗粒物（PM</w:t>
            </w:r>
            <w:r>
              <w:rPr>
                <w:rFonts w:hint="default" w:ascii="Times New Roman" w:hAnsi="Times New Roman" w:cs="Times New Roman"/>
                <w:color w:val="000000" w:themeColor="text1"/>
                <w:highlight w:val="none"/>
                <w:vertAlign w:val="subscript"/>
                <w14:textFill>
                  <w14:solidFill>
                    <w14:schemeClr w14:val="tx1"/>
                  </w14:solidFill>
                </w14:textFill>
              </w:rPr>
              <w:t>2.5</w:t>
            </w:r>
            <w:r>
              <w:rPr>
                <w:rFonts w:hint="default" w:ascii="Times New Roman" w:hAnsi="Times New Roman" w:cs="Times New Roman"/>
                <w:color w:val="000000" w:themeColor="text1"/>
                <w:highlight w:val="none"/>
                <w14:textFill>
                  <w14:solidFill>
                    <w14:schemeClr w14:val="tx1"/>
                  </w14:solidFill>
                </w14:textFill>
              </w:rPr>
              <w:t>）一氧化碳、臭氧六项污染物全部达标，即区域环境空气质量满足</w:t>
            </w:r>
            <w:r>
              <w:rPr>
                <w:rFonts w:hint="default" w:ascii="Times New Roman" w:hAnsi="Times New Roman" w:cs="Times New Roman"/>
                <w:color w:val="000000" w:themeColor="text1"/>
                <w:highlight w:val="none"/>
                <w:lang w:eastAsia="zh-CN"/>
                <w14:textFill>
                  <w14:solidFill>
                    <w14:schemeClr w14:val="tx1"/>
                  </w14:solidFill>
                </w14:textFill>
              </w:rPr>
              <w:t>《环境空气质量标准》（GB3095-2012）二级标准</w:t>
            </w:r>
            <w:r>
              <w:rPr>
                <w:rFonts w:hint="default" w:ascii="Times New Roman" w:hAnsi="Times New Roman" w:cs="Times New Roman"/>
                <w:color w:val="000000" w:themeColor="text1"/>
                <w:highlight w:val="none"/>
                <w14:textFill>
                  <w14:solidFill>
                    <w14:schemeClr w14:val="tx1"/>
                  </w14:solidFill>
                </w14:textFill>
              </w:rPr>
              <w:t>，则项目所在评价区域属于达标区。</w:t>
            </w:r>
          </w:p>
          <w:p w14:paraId="688B3C5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（2）特征污染物</w:t>
            </w:r>
          </w:p>
          <w:p w14:paraId="501BDD1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为了解项目所在区域环境空气中特征因子TSP</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氮氧化物</w:t>
            </w:r>
            <w:r>
              <w:rPr>
                <w:rFonts w:hint="default" w:ascii="Times New Roman" w:hAnsi="Times New Roman" w:cs="Times New Roman"/>
                <w:color w:val="000000" w:themeColor="text1"/>
                <w:highlight w:val="none"/>
                <w14:textFill>
                  <w14:solidFill>
                    <w14:schemeClr w14:val="tx1"/>
                  </w14:solidFill>
                </w14:textFill>
              </w:rPr>
              <w:t>的环境质量现状，本次引用《马来西亚中小企业集聚区标准厂房及配套设施建设项目子项工程环境影响报告表》</w:t>
            </w:r>
            <w:r>
              <w:rPr>
                <w:rFonts w:hint="default" w:ascii="Times New Roman" w:hAnsi="Times New Roman" w:cs="Times New Roman"/>
                <w:color w:val="000000" w:themeColor="text1"/>
                <w:highlight w:val="none"/>
                <w:u w:val="single"/>
                <w:lang w:val="en-US" w:eastAsia="zh-CN"/>
                <w14:textFill>
                  <w14:solidFill>
                    <w14:schemeClr w14:val="tx1"/>
                  </w14:solidFill>
                </w14:textFill>
              </w:rPr>
              <w:t>中大鸡屋村</w:t>
            </w:r>
            <w:r>
              <w:rPr>
                <w:rFonts w:hint="default" w:ascii="Times New Roman" w:hAnsi="Times New Roman" w:cs="Times New Roman"/>
                <w:color w:val="000000" w:themeColor="text1"/>
                <w:highlight w:val="none"/>
                <w:u w:val="single"/>
                <w14:textFill>
                  <w14:solidFill>
                    <w14:schemeClr w14:val="tx1"/>
                  </w14:solidFill>
                </w14:textFill>
              </w:rPr>
              <w:t>监测数据，</w:t>
            </w:r>
            <w:r>
              <w:rPr>
                <w:rFonts w:hint="eastAsia" w:cs="Times New Roman"/>
                <w:color w:val="000000" w:themeColor="text1"/>
                <w:highlight w:val="none"/>
                <w:u w:val="single"/>
                <w:lang w:eastAsia="zh-CN"/>
                <w14:textFill>
                  <w14:solidFill>
                    <w14:schemeClr w14:val="tx1"/>
                  </w14:solidFill>
                </w14:textFill>
              </w:rPr>
              <w:t>采样点位</w:t>
            </w:r>
            <w:r>
              <w:rPr>
                <w:rFonts w:hint="default" w:ascii="Times New Roman" w:hAnsi="Times New Roman" w:cs="Times New Roman"/>
                <w:color w:val="000000" w:themeColor="text1"/>
                <w:highlight w:val="none"/>
                <w:u w:val="single"/>
                <w14:textFill>
                  <w14:solidFill>
                    <w14:schemeClr w14:val="tx1"/>
                  </w14:solidFill>
                </w14:textFill>
              </w:rPr>
              <w:t>位于本项目</w:t>
            </w:r>
            <w:r>
              <w:rPr>
                <w:rFonts w:hint="default" w:ascii="Times New Roman" w:hAnsi="Times New Roman" w:cs="Times New Roman"/>
                <w:color w:val="000000" w:themeColor="text1"/>
                <w:highlight w:val="none"/>
                <w:u w:val="single"/>
                <w:lang w:val="en-US" w:eastAsia="zh-CN"/>
                <w14:textFill>
                  <w14:solidFill>
                    <w14:schemeClr w14:val="tx1"/>
                  </w14:solidFill>
                </w14:textFill>
              </w:rPr>
              <w:t>东北侧</w:t>
            </w:r>
            <w:r>
              <w:rPr>
                <w:rFonts w:hint="default" w:ascii="Times New Roman" w:hAnsi="Times New Roman" w:cs="Times New Roman"/>
                <w:color w:val="000000" w:themeColor="text1"/>
                <w:highlight w:val="none"/>
                <w:u w:val="single"/>
                <w14:textFill>
                  <w14:solidFill>
                    <w14:schemeClr w14:val="tx1"/>
                  </w14:solidFill>
                </w14:textFill>
              </w:rPr>
              <w:t>，</w:t>
            </w:r>
            <w:r>
              <w:rPr>
                <w:rFonts w:hint="default" w:ascii="Times New Roman" w:hAnsi="Times New Roman" w:cs="Times New Roman"/>
                <w:color w:val="000000" w:themeColor="text1"/>
                <w:highlight w:val="none"/>
                <w:u w:val="single"/>
                <w:lang w:val="en-US" w:eastAsia="zh-CN"/>
                <w14:textFill>
                  <w14:solidFill>
                    <w14:schemeClr w14:val="tx1"/>
                  </w14:solidFill>
                </w14:textFill>
              </w:rPr>
              <w:t>距本项目约4</w:t>
            </w:r>
            <w:r>
              <w:rPr>
                <w:rFonts w:hint="default" w:ascii="Times New Roman" w:hAnsi="Times New Roman" w:cs="Times New Roman"/>
                <w:color w:val="000000" w:themeColor="text1"/>
                <w:highlight w:val="none"/>
                <w:u w:val="single"/>
                <w14:textFill>
                  <w14:solidFill>
                    <w14:schemeClr w14:val="tx1"/>
                  </w14:solidFill>
                </w14:textFill>
              </w:rPr>
              <w:t>.7公里</w:t>
            </w:r>
            <w:r>
              <w:rPr>
                <w:rFonts w:hint="default" w:ascii="Times New Roman" w:hAnsi="Times New Roman" w:cs="Times New Roman"/>
                <w:color w:val="000000" w:themeColor="text1"/>
                <w:highlight w:val="none"/>
                <w14:textFill>
                  <w14:solidFill>
                    <w14:schemeClr w14:val="tx1"/>
                  </w14:solidFill>
                </w14:textFill>
              </w:rPr>
              <w:t>，满足“排放国家、地方环境空气质量标准中有标准限值要求的特征污染物时，引用建设项目周边5千米范围内近3年的现有监测数据”的要求；根据广西正大天成检测技术有限公司检测报告（</w:t>
            </w:r>
            <w:r>
              <w:rPr>
                <w:rFonts w:hint="default" w:ascii="Times New Roman" w:hAnsi="Times New Roman" w:cs="Times New Roman"/>
                <w:color w:val="000000" w:themeColor="text1"/>
                <w:highlight w:val="none"/>
                <w:lang w:eastAsia="zh-CN"/>
                <w14:textFill>
                  <w14:solidFill>
                    <w14:schemeClr w14:val="tx1"/>
                  </w14:solidFill>
                </w14:textFill>
              </w:rPr>
              <w:t>报告编号：ZDTC/HJ-2025031805</w:t>
            </w:r>
            <w:r>
              <w:rPr>
                <w:rFonts w:hint="default" w:ascii="Times New Roman" w:hAnsi="Times New Roman" w:cs="Times New Roman"/>
                <w:color w:val="000000" w:themeColor="text1"/>
                <w:highlight w:val="none"/>
                <w14:textFill>
                  <w14:solidFill>
                    <w14:schemeClr w14:val="tx1"/>
                  </w14:solidFill>
                </w14:textFill>
              </w:rPr>
              <w:t>），检测结果如下：</w:t>
            </w:r>
          </w:p>
          <w:p w14:paraId="4D55A754">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1FDC0D74">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3D741613">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表3- 2：特征污染物环境质量现状监测结果表</w:t>
            </w:r>
          </w:p>
          <w:tbl>
            <w:tblPr>
              <w:tblStyle w:val="43"/>
              <w:tblpPr w:leftFromText="180" w:rightFromText="180" w:vertAnchor="text" w:tblpXSpec="center" w:tblpY="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89"/>
              <w:gridCol w:w="1137"/>
              <w:gridCol w:w="1049"/>
              <w:gridCol w:w="791"/>
              <w:gridCol w:w="1492"/>
              <w:gridCol w:w="2580"/>
            </w:tblGrid>
            <w:tr w14:paraId="3D6EA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0"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0FDE82D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监测点位</w:t>
                  </w:r>
                </w:p>
              </w:tc>
              <w:tc>
                <w:tcPr>
                  <w:tcW w:w="71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1431A9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监测日期</w:t>
                  </w:r>
                </w:p>
              </w:tc>
              <w:tc>
                <w:tcPr>
                  <w:tcW w:w="661"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D38F29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监测项目</w:t>
                  </w:r>
                </w:p>
              </w:tc>
              <w:tc>
                <w:tcPr>
                  <w:tcW w:w="49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AA64B0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单位</w:t>
                  </w:r>
                </w:p>
              </w:tc>
              <w:tc>
                <w:tcPr>
                  <w:tcW w:w="94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717268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监测结果</w:t>
                  </w:r>
                </w:p>
              </w:tc>
              <w:tc>
                <w:tcPr>
                  <w:tcW w:w="1625" w:type="pct"/>
                  <w:tcBorders>
                    <w:top w:val="single" w:color="auto" w:sz="12" w:space="0"/>
                    <w:bottom w:val="single" w:color="auto" w:sz="12" w:space="0"/>
                    <w:right w:val="nil"/>
                    <w:insideH w:val="single" w:sz="12" w:space="0"/>
                    <w:insideV w:val="single" w:sz="4" w:space="0"/>
                    <w:tl2br w:val="nil"/>
                    <w:tr2bl w:val="nil"/>
                  </w:tcBorders>
                  <w:vAlign w:val="center"/>
                </w:tcPr>
                <w:p w14:paraId="244CFEE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达标情况</w:t>
                  </w:r>
                </w:p>
              </w:tc>
            </w:tr>
            <w:tr w14:paraId="0C95B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0" w:type="pct"/>
                  <w:vMerge w:val="restart"/>
                  <w:vAlign w:val="center"/>
                </w:tcPr>
                <w:p w14:paraId="538B446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bCs/>
                      <w:color w:val="000000" w:themeColor="text1"/>
                      <w:highlight w:val="none"/>
                      <w14:textFill>
                        <w14:solidFill>
                          <w14:schemeClr w14:val="tx1"/>
                        </w14:solidFill>
                      </w14:textFill>
                      <w14:ligatures w14:val="standardContextual"/>
                    </w:rPr>
                    <w:t>G1项目南侧大鸡屋村</w:t>
                  </w:r>
                </w:p>
              </w:tc>
              <w:tc>
                <w:tcPr>
                  <w:tcW w:w="716" w:type="pct"/>
                  <w:vAlign w:val="center"/>
                </w:tcPr>
                <w:p w14:paraId="19CF7F0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2025.03.24</w:t>
                  </w:r>
                </w:p>
              </w:tc>
              <w:tc>
                <w:tcPr>
                  <w:tcW w:w="661" w:type="pct"/>
                  <w:vAlign w:val="center"/>
                </w:tcPr>
                <w:p w14:paraId="13CDA70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氮氧化物</w:t>
                  </w:r>
                </w:p>
              </w:tc>
              <w:tc>
                <w:tcPr>
                  <w:tcW w:w="498" w:type="pct"/>
                  <w:vAlign w:val="center"/>
                </w:tcPr>
                <w:p w14:paraId="7EBCC63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mg/m</w:t>
                  </w:r>
                  <w:r>
                    <w:rPr>
                      <w:rFonts w:hint="default" w:ascii="Times New Roman" w:hAnsi="Times New Roman" w:cs="Times New Roman"/>
                      <w:color w:val="000000" w:themeColor="text1"/>
                      <w:highlight w:val="none"/>
                      <w:vertAlign w:val="superscript"/>
                      <w14:textFill>
                        <w14:solidFill>
                          <w14:schemeClr w14:val="tx1"/>
                        </w14:solidFill>
                      </w14:textFill>
                      <w14:ligatures w14:val="standardContextual"/>
                    </w:rPr>
                    <w:t>3</w:t>
                  </w:r>
                </w:p>
              </w:tc>
              <w:tc>
                <w:tcPr>
                  <w:tcW w:w="940" w:type="pct"/>
                  <w:vAlign w:val="center"/>
                </w:tcPr>
                <w:p w14:paraId="4D13C57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625" w:type="pct"/>
                  <w:vAlign w:val="center"/>
                </w:tcPr>
                <w:p w14:paraId="4AA0112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达标</w:t>
                  </w:r>
                </w:p>
              </w:tc>
            </w:tr>
            <w:tr w14:paraId="46013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0" w:type="pct"/>
                  <w:vMerge w:val="continue"/>
                  <w:vAlign w:val="center"/>
                </w:tcPr>
                <w:p w14:paraId="54FD835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716" w:type="pct"/>
                  <w:vAlign w:val="center"/>
                </w:tcPr>
                <w:p w14:paraId="613F9F0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2025.03.25</w:t>
                  </w:r>
                </w:p>
              </w:tc>
              <w:tc>
                <w:tcPr>
                  <w:tcW w:w="661" w:type="pct"/>
                  <w:vAlign w:val="center"/>
                </w:tcPr>
                <w:p w14:paraId="49DC3C4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氮氧化物</w:t>
                  </w:r>
                </w:p>
              </w:tc>
              <w:tc>
                <w:tcPr>
                  <w:tcW w:w="498" w:type="pct"/>
                  <w:vAlign w:val="center"/>
                </w:tcPr>
                <w:p w14:paraId="62ED59C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mg/m</w:t>
                  </w:r>
                  <w:r>
                    <w:rPr>
                      <w:rFonts w:hint="default" w:ascii="Times New Roman" w:hAnsi="Times New Roman" w:cs="Times New Roman"/>
                      <w:color w:val="000000" w:themeColor="text1"/>
                      <w:highlight w:val="none"/>
                      <w:vertAlign w:val="superscript"/>
                      <w14:textFill>
                        <w14:solidFill>
                          <w14:schemeClr w14:val="tx1"/>
                        </w14:solidFill>
                      </w14:textFill>
                      <w14:ligatures w14:val="standardContextual"/>
                    </w:rPr>
                    <w:t>3</w:t>
                  </w:r>
                </w:p>
              </w:tc>
              <w:tc>
                <w:tcPr>
                  <w:tcW w:w="940" w:type="pct"/>
                  <w:vAlign w:val="center"/>
                </w:tcPr>
                <w:p w14:paraId="59E0BFC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625" w:type="pct"/>
                  <w:vAlign w:val="center"/>
                </w:tcPr>
                <w:p w14:paraId="62ECA7F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达标</w:t>
                  </w:r>
                </w:p>
              </w:tc>
            </w:tr>
            <w:tr w14:paraId="29F13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0" w:type="pct"/>
                  <w:vMerge w:val="continue"/>
                  <w:vAlign w:val="center"/>
                </w:tcPr>
                <w:p w14:paraId="22FF147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716" w:type="pct"/>
                  <w:vAlign w:val="center"/>
                </w:tcPr>
                <w:p w14:paraId="6B1FD44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2025.03.26</w:t>
                  </w:r>
                </w:p>
              </w:tc>
              <w:tc>
                <w:tcPr>
                  <w:tcW w:w="661" w:type="pct"/>
                  <w:vAlign w:val="center"/>
                </w:tcPr>
                <w:p w14:paraId="1C5A9CC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氮氧化物</w:t>
                  </w:r>
                </w:p>
              </w:tc>
              <w:tc>
                <w:tcPr>
                  <w:tcW w:w="498" w:type="pct"/>
                  <w:vAlign w:val="center"/>
                </w:tcPr>
                <w:p w14:paraId="6A694A3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mg/m</w:t>
                  </w:r>
                  <w:r>
                    <w:rPr>
                      <w:rFonts w:hint="default" w:ascii="Times New Roman" w:hAnsi="Times New Roman" w:cs="Times New Roman"/>
                      <w:color w:val="000000" w:themeColor="text1"/>
                      <w:highlight w:val="none"/>
                      <w:vertAlign w:val="superscript"/>
                      <w14:textFill>
                        <w14:solidFill>
                          <w14:schemeClr w14:val="tx1"/>
                        </w14:solidFill>
                      </w14:textFill>
                      <w14:ligatures w14:val="standardContextual"/>
                    </w:rPr>
                    <w:t>3</w:t>
                  </w:r>
                </w:p>
              </w:tc>
              <w:tc>
                <w:tcPr>
                  <w:tcW w:w="940" w:type="pct"/>
                  <w:vAlign w:val="center"/>
                </w:tcPr>
                <w:p w14:paraId="5419DE4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625" w:type="pct"/>
                  <w:vAlign w:val="center"/>
                </w:tcPr>
                <w:p w14:paraId="307F048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达标</w:t>
                  </w:r>
                </w:p>
              </w:tc>
            </w:tr>
            <w:tr w14:paraId="37E0F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0" w:type="pct"/>
                  <w:vMerge w:val="continue"/>
                  <w:vAlign w:val="center"/>
                </w:tcPr>
                <w:p w14:paraId="5C4D76A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716" w:type="pct"/>
                  <w:vAlign w:val="center"/>
                </w:tcPr>
                <w:p w14:paraId="3DCE05F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2025.03.24</w:t>
                  </w:r>
                </w:p>
              </w:tc>
              <w:tc>
                <w:tcPr>
                  <w:tcW w:w="661" w:type="pct"/>
                  <w:vAlign w:val="center"/>
                </w:tcPr>
                <w:p w14:paraId="1A4B141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TSP</w:t>
                  </w:r>
                </w:p>
              </w:tc>
              <w:tc>
                <w:tcPr>
                  <w:tcW w:w="498" w:type="pct"/>
                  <w:vAlign w:val="center"/>
                </w:tcPr>
                <w:p w14:paraId="06A8712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mg/m</w:t>
                  </w:r>
                  <w:r>
                    <w:rPr>
                      <w:rFonts w:hint="default" w:ascii="Times New Roman" w:hAnsi="Times New Roman" w:cs="Times New Roman"/>
                      <w:color w:val="000000" w:themeColor="text1"/>
                      <w:highlight w:val="none"/>
                      <w:vertAlign w:val="superscript"/>
                      <w14:textFill>
                        <w14:solidFill>
                          <w14:schemeClr w14:val="tx1"/>
                        </w14:solidFill>
                      </w14:textFill>
                      <w14:ligatures w14:val="standardContextual"/>
                    </w:rPr>
                    <w:t>3</w:t>
                  </w:r>
                </w:p>
              </w:tc>
              <w:tc>
                <w:tcPr>
                  <w:tcW w:w="940" w:type="pct"/>
                  <w:vAlign w:val="center"/>
                </w:tcPr>
                <w:p w14:paraId="7BEEEA26">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625" w:type="pct"/>
                  <w:vAlign w:val="center"/>
                </w:tcPr>
                <w:p w14:paraId="5783108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达标</w:t>
                  </w:r>
                </w:p>
              </w:tc>
            </w:tr>
            <w:tr w14:paraId="556B6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0" w:type="pct"/>
                  <w:vMerge w:val="continue"/>
                  <w:vAlign w:val="center"/>
                </w:tcPr>
                <w:p w14:paraId="4FC8DDC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716" w:type="pct"/>
                  <w:vAlign w:val="center"/>
                </w:tcPr>
                <w:p w14:paraId="6438EAA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2025.03.25</w:t>
                  </w:r>
                </w:p>
              </w:tc>
              <w:tc>
                <w:tcPr>
                  <w:tcW w:w="661" w:type="pct"/>
                  <w:vAlign w:val="center"/>
                </w:tcPr>
                <w:p w14:paraId="7FD6D84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TSP</w:t>
                  </w:r>
                </w:p>
              </w:tc>
              <w:tc>
                <w:tcPr>
                  <w:tcW w:w="498" w:type="pct"/>
                  <w:vAlign w:val="center"/>
                </w:tcPr>
                <w:p w14:paraId="0D14893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mg/m</w:t>
                  </w:r>
                  <w:r>
                    <w:rPr>
                      <w:rFonts w:hint="default" w:ascii="Times New Roman" w:hAnsi="Times New Roman" w:cs="Times New Roman"/>
                      <w:color w:val="000000" w:themeColor="text1"/>
                      <w:highlight w:val="none"/>
                      <w:vertAlign w:val="superscript"/>
                      <w14:textFill>
                        <w14:solidFill>
                          <w14:schemeClr w14:val="tx1"/>
                        </w14:solidFill>
                      </w14:textFill>
                      <w14:ligatures w14:val="standardContextual"/>
                    </w:rPr>
                    <w:t>3</w:t>
                  </w:r>
                </w:p>
              </w:tc>
              <w:tc>
                <w:tcPr>
                  <w:tcW w:w="940" w:type="pct"/>
                  <w:vAlign w:val="center"/>
                </w:tcPr>
                <w:p w14:paraId="207D13A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625" w:type="pct"/>
                  <w:vAlign w:val="center"/>
                </w:tcPr>
                <w:p w14:paraId="4E90BC7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达标</w:t>
                  </w:r>
                </w:p>
              </w:tc>
            </w:tr>
            <w:tr w14:paraId="34FCC2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0" w:type="pct"/>
                  <w:vMerge w:val="continue"/>
                  <w:vAlign w:val="center"/>
                </w:tcPr>
                <w:p w14:paraId="775BE34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716" w:type="pct"/>
                  <w:vAlign w:val="center"/>
                </w:tcPr>
                <w:p w14:paraId="2E445D0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2025.03.26</w:t>
                  </w:r>
                </w:p>
              </w:tc>
              <w:tc>
                <w:tcPr>
                  <w:tcW w:w="661" w:type="pct"/>
                  <w:vAlign w:val="center"/>
                </w:tcPr>
                <w:p w14:paraId="7ED7107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TSP</w:t>
                  </w:r>
                </w:p>
              </w:tc>
              <w:tc>
                <w:tcPr>
                  <w:tcW w:w="498" w:type="pct"/>
                  <w:vAlign w:val="center"/>
                </w:tcPr>
                <w:p w14:paraId="7E61805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mg/m</w:t>
                  </w:r>
                  <w:r>
                    <w:rPr>
                      <w:rFonts w:hint="default" w:ascii="Times New Roman" w:hAnsi="Times New Roman" w:cs="Times New Roman"/>
                      <w:color w:val="000000" w:themeColor="text1"/>
                      <w:highlight w:val="none"/>
                      <w:vertAlign w:val="superscript"/>
                      <w14:textFill>
                        <w14:solidFill>
                          <w14:schemeClr w14:val="tx1"/>
                        </w14:solidFill>
                      </w14:textFill>
                      <w14:ligatures w14:val="standardContextual"/>
                    </w:rPr>
                    <w:t>3</w:t>
                  </w:r>
                </w:p>
              </w:tc>
              <w:tc>
                <w:tcPr>
                  <w:tcW w:w="940" w:type="pct"/>
                  <w:vAlign w:val="center"/>
                </w:tcPr>
                <w:p w14:paraId="08A6A10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625" w:type="pct"/>
                  <w:vAlign w:val="center"/>
                </w:tcPr>
                <w:p w14:paraId="0F224CA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达标</w:t>
                  </w:r>
                </w:p>
              </w:tc>
            </w:tr>
            <w:tr w14:paraId="24EAB3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000" w:type="pct"/>
                  <w:gridSpan w:val="6"/>
                  <w:vAlign w:val="center"/>
                </w:tcPr>
                <w:p w14:paraId="4BA95629">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注：“ND”表示监测结果低于方法检出限。</w:t>
                  </w:r>
                </w:p>
              </w:tc>
            </w:tr>
          </w:tbl>
          <w:p w14:paraId="59BD7EEE">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由上表可知，监测点位的空气中TSP、氮氧化物均满足</w:t>
            </w:r>
            <w:r>
              <w:rPr>
                <w:rFonts w:hint="default" w:ascii="Times New Roman" w:hAnsi="Times New Roman" w:cs="Times New Roman"/>
                <w:color w:val="000000" w:themeColor="text1"/>
                <w:highlight w:val="none"/>
                <w:lang w:eastAsia="zh-CN"/>
                <w14:textFill>
                  <w14:solidFill>
                    <w14:schemeClr w14:val="tx1"/>
                  </w14:solidFill>
                </w14:textFill>
              </w:rPr>
              <w:t>《环境空气质量标准》（GB3095-2012）二级标准</w:t>
            </w:r>
            <w:r>
              <w:rPr>
                <w:rFonts w:hint="default" w:ascii="Times New Roman" w:hAnsi="Times New Roman" w:cs="Times New Roman"/>
                <w:color w:val="000000" w:themeColor="text1"/>
                <w:highlight w:val="none"/>
                <w14:textFill>
                  <w14:solidFill>
                    <w14:schemeClr w14:val="tx1"/>
                  </w14:solidFill>
                </w14:textFill>
              </w:rPr>
              <w:t>限值。</w:t>
            </w:r>
          </w:p>
          <w:p w14:paraId="0E185317">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2、地表水环境质量现状</w:t>
            </w:r>
          </w:p>
          <w:p w14:paraId="492E6534">
            <w:pPr>
              <w:pStyle w:val="4"/>
              <w:keepNext w:val="0"/>
              <w:keepLines w:val="0"/>
              <w:pageBreakBefore w:val="0"/>
              <w:kinsoku/>
              <w:wordWrap/>
              <w:overflowPunct/>
              <w:autoSpaceDE/>
              <w:autoSpaceDN/>
              <w:bidi w:val="0"/>
              <w:spacing w:line="360" w:lineRule="auto"/>
              <w:ind w:firstLine="480"/>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根据《环境影响评价技术导则－地表水环境》(HJ2.3-2018)，水环境质量现状调查应优先采用国务院生态环境保护主管部门统一发布的水环境状况信息。</w:t>
            </w:r>
          </w:p>
          <w:p w14:paraId="631EBA11">
            <w:pPr>
              <w:keepNext w:val="0"/>
              <w:keepLines w:val="0"/>
              <w:pageBreakBefore w:val="0"/>
              <w:kinsoku/>
              <w:wordWrap/>
              <w:overflowPunct/>
              <w:topLinePunct/>
              <w:autoSpaceDE/>
              <w:autoSpaceDN/>
              <w:bidi w:val="0"/>
              <w:spacing w:line="360" w:lineRule="auto"/>
              <w:ind w:firstLine="480" w:firstLineChars="200"/>
              <w:contextualSpacing/>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lang w:val="en-US" w:eastAsia="zh-CN"/>
                <w14:textFill>
                  <w14:solidFill>
                    <w14:schemeClr w14:val="tx1"/>
                  </w14:solidFill>
                </w14:textFill>
              </w:rPr>
              <w:t>本项目所在区域地表水系最终汇水至南面下游5公里鹿耳环江水域，根据《广西壮族自治区生态环境厅关于印发广西壮族自治区近岸海域环境功能区划调整方案的通知》（桂环发〔2023〕9号），鹿耳环江水域属于钦州港大揽平排污混合区（GX057DⅣ）。执行海水水质标准（GB 3097-1997）第四类标准限值。</w:t>
            </w:r>
          </w:p>
          <w:p w14:paraId="5892F31C">
            <w:pPr>
              <w:keepNext w:val="0"/>
              <w:keepLines w:val="0"/>
              <w:pageBreakBefore w:val="0"/>
              <w:kinsoku/>
              <w:wordWrap/>
              <w:overflowPunct/>
              <w:topLinePunct/>
              <w:autoSpaceDE/>
              <w:autoSpaceDN/>
              <w:bidi w:val="0"/>
              <w:spacing w:line="360" w:lineRule="auto"/>
              <w:ind w:firstLine="480" w:firstLineChars="200"/>
              <w:contextualSpacing/>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lang w:val="en-US" w:eastAsia="zh-CN"/>
                <w14:textFill>
                  <w14:solidFill>
                    <w14:schemeClr w14:val="tx1"/>
                  </w14:solidFill>
                </w14:textFill>
              </w:rPr>
              <w:t>本次引用《2022年度广西钦州市海洋生态保护修复项目（报批稿）》监测数据，引用该项目2022年9月鹿耳环江9号站点监测数据。见表3-3所示。</w:t>
            </w:r>
          </w:p>
          <w:p w14:paraId="6E249E86">
            <w:pPr>
              <w:pStyle w:val="34"/>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表3-3：</w:t>
            </w:r>
            <w:r>
              <w:rPr>
                <w:rFonts w:hint="default" w:ascii="Times New Roman" w:hAnsi="Times New Roman" w:eastAsia="宋体" w:cs="Times New Roman"/>
                <w:color w:val="000000" w:themeColor="text1"/>
                <w:highlight w:val="none"/>
                <w14:textFill>
                  <w14:solidFill>
                    <w14:schemeClr w14:val="tx1"/>
                  </w14:solidFill>
                </w14:textFill>
              </w:rPr>
              <w:t>海水水质调查结果（2022年</w:t>
            </w:r>
            <w:r>
              <w:rPr>
                <w:rFonts w:hint="default" w:ascii="Times New Roman" w:hAnsi="Times New Roman" w:eastAsia="宋体" w:cs="Times New Roman"/>
                <w:color w:val="000000" w:themeColor="text1"/>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highlight w:val="none"/>
                <w14:textFill>
                  <w14:solidFill>
                    <w14:schemeClr w14:val="tx1"/>
                  </w14:solidFill>
                </w14:textFill>
              </w:rPr>
              <w:t>月）</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009"/>
              <w:gridCol w:w="2017"/>
              <w:gridCol w:w="1779"/>
            </w:tblGrid>
            <w:tr w14:paraId="242CD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pct"/>
                  <w:tcBorders>
                    <w:tl2br w:val="nil"/>
                    <w:tr2bl w:val="nil"/>
                  </w:tcBorders>
                  <w:noWrap w:val="0"/>
                  <w:vAlign w:val="center"/>
                </w:tcPr>
                <w:p w14:paraId="1F1F7860">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项目</w:t>
                  </w:r>
                </w:p>
              </w:tc>
              <w:tc>
                <w:tcPr>
                  <w:tcW w:w="1265" w:type="pct"/>
                  <w:tcBorders>
                    <w:tl2br w:val="nil"/>
                    <w:tr2bl w:val="nil"/>
                  </w:tcBorders>
                  <w:noWrap w:val="0"/>
                  <w:vAlign w:val="center"/>
                </w:tcPr>
                <w:p w14:paraId="795781EF">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监测结果</w:t>
                  </w:r>
                </w:p>
              </w:tc>
              <w:tc>
                <w:tcPr>
                  <w:tcW w:w="1270" w:type="pct"/>
                  <w:tcBorders>
                    <w:tl2br w:val="nil"/>
                    <w:tr2bl w:val="nil"/>
                  </w:tcBorders>
                  <w:noWrap w:val="0"/>
                  <w:vAlign w:val="center"/>
                </w:tcPr>
                <w:p w14:paraId="100DCD48">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第</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四</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类</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标准限值</w:t>
                  </w:r>
                </w:p>
              </w:tc>
              <w:tc>
                <w:tcPr>
                  <w:tcW w:w="1120" w:type="pct"/>
                  <w:tcBorders>
                    <w:tl2br w:val="nil"/>
                    <w:tr2bl w:val="nil"/>
                  </w:tcBorders>
                  <w:noWrap w:val="0"/>
                  <w:vAlign w:val="center"/>
                </w:tcPr>
                <w:p w14:paraId="2979AA01">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备注</w:t>
                  </w:r>
                </w:p>
              </w:tc>
            </w:tr>
            <w:tr w14:paraId="15E75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pct"/>
                  <w:tcBorders>
                    <w:tl2br w:val="nil"/>
                    <w:tr2bl w:val="nil"/>
                  </w:tcBorders>
                  <w:noWrap w:val="0"/>
                  <w:vAlign w:val="center"/>
                </w:tcPr>
                <w:p w14:paraId="20A3F109">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pH</w:t>
                  </w:r>
                </w:p>
              </w:tc>
              <w:tc>
                <w:tcPr>
                  <w:tcW w:w="1265" w:type="pct"/>
                  <w:tcBorders>
                    <w:tl2br w:val="nil"/>
                    <w:tr2bl w:val="nil"/>
                  </w:tcBorders>
                  <w:noWrap w:val="0"/>
                  <w:vAlign w:val="center"/>
                </w:tcPr>
                <w:p w14:paraId="1D6A7957">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8.1</w:t>
                  </w:r>
                </w:p>
              </w:tc>
              <w:tc>
                <w:tcPr>
                  <w:tcW w:w="1270" w:type="pct"/>
                  <w:tcBorders>
                    <w:tl2br w:val="nil"/>
                    <w:tr2bl w:val="nil"/>
                  </w:tcBorders>
                  <w:noWrap w:val="0"/>
                  <w:vAlign w:val="center"/>
                </w:tcPr>
                <w:p w14:paraId="1FBEA217">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6.8~8.8</w:t>
                  </w:r>
                </w:p>
              </w:tc>
              <w:tc>
                <w:tcPr>
                  <w:tcW w:w="1120" w:type="pct"/>
                  <w:tcBorders>
                    <w:tl2br w:val="nil"/>
                    <w:tr2bl w:val="nil"/>
                  </w:tcBorders>
                  <w:noWrap w:val="0"/>
                  <w:vAlign w:val="center"/>
                </w:tcPr>
                <w:p w14:paraId="1D75044C">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达标</w:t>
                  </w:r>
                </w:p>
              </w:tc>
            </w:tr>
            <w:tr w14:paraId="77F4C1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pct"/>
                  <w:tcBorders>
                    <w:tl2br w:val="nil"/>
                    <w:tr2bl w:val="nil"/>
                  </w:tcBorders>
                  <w:noWrap w:val="0"/>
                  <w:vAlign w:val="center"/>
                </w:tcPr>
                <w:p w14:paraId="6423C9E0">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SS</w:t>
                  </w:r>
                </w:p>
              </w:tc>
              <w:tc>
                <w:tcPr>
                  <w:tcW w:w="1265" w:type="pct"/>
                  <w:tcBorders>
                    <w:tl2br w:val="nil"/>
                    <w:tr2bl w:val="nil"/>
                  </w:tcBorders>
                  <w:noWrap w:val="0"/>
                  <w:vAlign w:val="center"/>
                </w:tcPr>
                <w:p w14:paraId="499D5E2F">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17.7</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70" w:type="pct"/>
                  <w:tcBorders>
                    <w:tl2br w:val="nil"/>
                    <w:tr2bl w:val="nil"/>
                  </w:tcBorders>
                  <w:noWrap w:val="0"/>
                  <w:vAlign w:val="center"/>
                </w:tcPr>
                <w:p w14:paraId="78E1FD96">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人为增加的量≤100</w:t>
                  </w:r>
                </w:p>
              </w:tc>
              <w:tc>
                <w:tcPr>
                  <w:tcW w:w="1120" w:type="pct"/>
                  <w:tcBorders>
                    <w:tl2br w:val="nil"/>
                    <w:tr2bl w:val="nil"/>
                  </w:tcBorders>
                  <w:noWrap w:val="0"/>
                  <w:vAlign w:val="center"/>
                </w:tcPr>
                <w:p w14:paraId="5EC06DE4">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达标</w:t>
                  </w:r>
                </w:p>
              </w:tc>
            </w:tr>
            <w:tr w14:paraId="214CC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pct"/>
                  <w:tcBorders>
                    <w:tl2br w:val="nil"/>
                    <w:tr2bl w:val="nil"/>
                  </w:tcBorders>
                  <w:noWrap w:val="0"/>
                  <w:vAlign w:val="center"/>
                </w:tcPr>
                <w:p w14:paraId="5A3CCFEB">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DO </w:t>
                  </w:r>
                </w:p>
              </w:tc>
              <w:tc>
                <w:tcPr>
                  <w:tcW w:w="1265" w:type="pct"/>
                  <w:tcBorders>
                    <w:tl2br w:val="nil"/>
                    <w:tr2bl w:val="nil"/>
                  </w:tcBorders>
                  <w:noWrap w:val="0"/>
                  <w:vAlign w:val="center"/>
                </w:tcPr>
                <w:p w14:paraId="6637B46F">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7.69</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70" w:type="pct"/>
                  <w:tcBorders>
                    <w:tl2br w:val="nil"/>
                    <w:tr2bl w:val="nil"/>
                  </w:tcBorders>
                  <w:noWrap w:val="0"/>
                  <w:vAlign w:val="center"/>
                </w:tcPr>
                <w:p w14:paraId="2267C77F">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20" w:type="pct"/>
                  <w:tcBorders>
                    <w:tl2br w:val="nil"/>
                    <w:tr2bl w:val="nil"/>
                  </w:tcBorders>
                  <w:noWrap w:val="0"/>
                  <w:vAlign w:val="center"/>
                </w:tcPr>
                <w:p w14:paraId="72AB75FA">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达标</w:t>
                  </w:r>
                </w:p>
              </w:tc>
            </w:tr>
            <w:tr w14:paraId="1ACB9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pct"/>
                  <w:tcBorders>
                    <w:tl2br w:val="nil"/>
                    <w:tr2bl w:val="nil"/>
                  </w:tcBorders>
                  <w:noWrap w:val="0"/>
                  <w:vAlign w:val="center"/>
                </w:tcPr>
                <w:p w14:paraId="537976B6">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COD </w:t>
                  </w:r>
                </w:p>
              </w:tc>
              <w:tc>
                <w:tcPr>
                  <w:tcW w:w="1265" w:type="pct"/>
                  <w:tcBorders>
                    <w:tl2br w:val="nil"/>
                    <w:tr2bl w:val="nil"/>
                  </w:tcBorders>
                  <w:noWrap w:val="0"/>
                  <w:vAlign w:val="center"/>
                </w:tcPr>
                <w:p w14:paraId="3C96296A">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0.97</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70" w:type="pct"/>
                  <w:tcBorders>
                    <w:tl2br w:val="nil"/>
                    <w:tr2bl w:val="nil"/>
                  </w:tcBorders>
                  <w:noWrap w:val="0"/>
                  <w:vAlign w:val="center"/>
                </w:tcPr>
                <w:p w14:paraId="3A0CDA20">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20" w:type="pct"/>
                  <w:tcBorders>
                    <w:tl2br w:val="nil"/>
                    <w:tr2bl w:val="nil"/>
                  </w:tcBorders>
                  <w:noWrap w:val="0"/>
                  <w:vAlign w:val="center"/>
                </w:tcPr>
                <w:p w14:paraId="373EA32E">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达标</w:t>
                  </w:r>
                </w:p>
              </w:tc>
            </w:tr>
            <w:tr w14:paraId="6B9634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pct"/>
                  <w:tcBorders>
                    <w:tl2br w:val="nil"/>
                    <w:tr2bl w:val="nil"/>
                  </w:tcBorders>
                  <w:noWrap w:val="0"/>
                  <w:vAlign w:val="center"/>
                </w:tcPr>
                <w:p w14:paraId="35F2D8B7">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BOD</w:t>
                  </w:r>
                  <w:r>
                    <w:rPr>
                      <w:rFonts w:hint="default" w:ascii="Times New Roman" w:hAnsi="Times New Roman" w:eastAsia="宋体" w:cs="Times New Roman"/>
                      <w:color w:val="000000" w:themeColor="text1"/>
                      <w:kern w:val="0"/>
                      <w:sz w:val="21"/>
                      <w:szCs w:val="21"/>
                      <w:highlight w:val="none"/>
                      <w:vertAlign w:val="subscript"/>
                      <w:lang w:bidi="ar"/>
                      <w14:textFill>
                        <w14:solidFill>
                          <w14:schemeClr w14:val="tx1"/>
                        </w14:solidFill>
                      </w14:textFill>
                    </w:rPr>
                    <w:t>5</w:t>
                  </w:r>
                </w:p>
              </w:tc>
              <w:tc>
                <w:tcPr>
                  <w:tcW w:w="1265" w:type="pct"/>
                  <w:tcBorders>
                    <w:tl2br w:val="nil"/>
                    <w:tr2bl w:val="nil"/>
                  </w:tcBorders>
                  <w:noWrap w:val="0"/>
                  <w:vAlign w:val="center"/>
                </w:tcPr>
                <w:p w14:paraId="31916708">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1.88</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70" w:type="pct"/>
                  <w:tcBorders>
                    <w:tl2br w:val="nil"/>
                    <w:tr2bl w:val="nil"/>
                  </w:tcBorders>
                  <w:noWrap w:val="0"/>
                  <w:vAlign w:val="center"/>
                </w:tcPr>
                <w:p w14:paraId="6AC30EE1">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20" w:type="pct"/>
                  <w:tcBorders>
                    <w:tl2br w:val="nil"/>
                    <w:tr2bl w:val="nil"/>
                  </w:tcBorders>
                  <w:noWrap w:val="0"/>
                  <w:vAlign w:val="center"/>
                </w:tcPr>
                <w:p w14:paraId="3A586745">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达标</w:t>
                  </w:r>
                </w:p>
              </w:tc>
            </w:tr>
            <w:tr w14:paraId="0C1D3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pct"/>
                  <w:tcBorders>
                    <w:tl2br w:val="nil"/>
                    <w:tr2bl w:val="nil"/>
                  </w:tcBorders>
                  <w:noWrap w:val="0"/>
                  <w:vAlign w:val="center"/>
                </w:tcPr>
                <w:p w14:paraId="078E7258">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无机氮 </w:t>
                  </w:r>
                </w:p>
              </w:tc>
              <w:tc>
                <w:tcPr>
                  <w:tcW w:w="1265" w:type="pct"/>
                  <w:tcBorders>
                    <w:tl2br w:val="nil"/>
                    <w:tr2bl w:val="nil"/>
                  </w:tcBorders>
                  <w:noWrap w:val="0"/>
                  <w:vAlign w:val="center"/>
                </w:tcPr>
                <w:p w14:paraId="5D6972A9">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0.0176</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70" w:type="pct"/>
                  <w:tcBorders>
                    <w:tl2br w:val="nil"/>
                    <w:tr2bl w:val="nil"/>
                  </w:tcBorders>
                  <w:noWrap w:val="0"/>
                  <w:vAlign w:val="center"/>
                </w:tcPr>
                <w:p w14:paraId="6F4F5879">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20" w:type="pct"/>
                  <w:tcBorders>
                    <w:tl2br w:val="nil"/>
                    <w:tr2bl w:val="nil"/>
                  </w:tcBorders>
                  <w:noWrap w:val="0"/>
                  <w:vAlign w:val="center"/>
                </w:tcPr>
                <w:p w14:paraId="3414B788">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达标</w:t>
                  </w:r>
                </w:p>
              </w:tc>
            </w:tr>
            <w:tr w14:paraId="473A8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pct"/>
                  <w:tcBorders>
                    <w:tl2br w:val="nil"/>
                    <w:tr2bl w:val="nil"/>
                  </w:tcBorders>
                  <w:noWrap w:val="0"/>
                  <w:vAlign w:val="center"/>
                </w:tcPr>
                <w:p w14:paraId="08754769">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活性磷酸盐</w:t>
                  </w:r>
                </w:p>
              </w:tc>
              <w:tc>
                <w:tcPr>
                  <w:tcW w:w="1265" w:type="pct"/>
                  <w:tcBorders>
                    <w:tl2br w:val="nil"/>
                    <w:tr2bl w:val="nil"/>
                  </w:tcBorders>
                  <w:noWrap w:val="0"/>
                  <w:vAlign w:val="center"/>
                </w:tcPr>
                <w:p w14:paraId="535BD0DF">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0.0008</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270" w:type="pct"/>
                  <w:tcBorders>
                    <w:tl2br w:val="nil"/>
                    <w:tr2bl w:val="nil"/>
                  </w:tcBorders>
                  <w:noWrap w:val="0"/>
                  <w:vAlign w:val="center"/>
                </w:tcPr>
                <w:p w14:paraId="3F19B39E">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45</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20" w:type="pct"/>
                  <w:tcBorders>
                    <w:tl2br w:val="nil"/>
                    <w:tr2bl w:val="nil"/>
                  </w:tcBorders>
                  <w:noWrap w:val="0"/>
                  <w:vAlign w:val="center"/>
                </w:tcPr>
                <w:p w14:paraId="64B7401A">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达标</w:t>
                  </w:r>
                </w:p>
              </w:tc>
            </w:tr>
            <w:tr w14:paraId="444AD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pct"/>
                  <w:tcBorders>
                    <w:tl2br w:val="nil"/>
                    <w:tr2bl w:val="nil"/>
                  </w:tcBorders>
                  <w:noWrap w:val="0"/>
                  <w:vAlign w:val="center"/>
                </w:tcPr>
                <w:p w14:paraId="161CB4F2">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Pb </w:t>
                  </w:r>
                </w:p>
              </w:tc>
              <w:tc>
                <w:tcPr>
                  <w:tcW w:w="1265" w:type="pct"/>
                  <w:tcBorders>
                    <w:tl2br w:val="nil"/>
                    <w:tr2bl w:val="nil"/>
                  </w:tcBorders>
                  <w:noWrap w:val="0"/>
                  <w:vAlign w:val="center"/>
                </w:tcPr>
                <w:p w14:paraId="4CAB31DF">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0.94</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µg/L</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p>
              </w:tc>
              <w:tc>
                <w:tcPr>
                  <w:tcW w:w="1270" w:type="pct"/>
                  <w:tcBorders>
                    <w:tl2br w:val="nil"/>
                    <w:tr2bl w:val="nil"/>
                  </w:tcBorders>
                  <w:noWrap w:val="0"/>
                  <w:vAlign w:val="center"/>
                </w:tcPr>
                <w:p w14:paraId="794D47C7">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20" w:type="pct"/>
                  <w:tcBorders>
                    <w:tl2br w:val="nil"/>
                    <w:tr2bl w:val="nil"/>
                  </w:tcBorders>
                  <w:noWrap w:val="0"/>
                  <w:vAlign w:val="center"/>
                </w:tcPr>
                <w:p w14:paraId="708CF803">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达标</w:t>
                  </w:r>
                </w:p>
              </w:tc>
            </w:tr>
            <w:tr w14:paraId="22C38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pct"/>
                  <w:tcBorders>
                    <w:tl2br w:val="nil"/>
                    <w:tr2bl w:val="nil"/>
                  </w:tcBorders>
                  <w:noWrap w:val="0"/>
                  <w:vAlign w:val="center"/>
                </w:tcPr>
                <w:p w14:paraId="5773FE45">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Cu </w:t>
                  </w:r>
                </w:p>
              </w:tc>
              <w:tc>
                <w:tcPr>
                  <w:tcW w:w="1265" w:type="pct"/>
                  <w:tcBorders>
                    <w:tl2br w:val="nil"/>
                    <w:tr2bl w:val="nil"/>
                  </w:tcBorders>
                  <w:noWrap w:val="0"/>
                  <w:vAlign w:val="center"/>
                </w:tcPr>
                <w:p w14:paraId="150CC966">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&lt;0.6</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µg/L</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p>
              </w:tc>
              <w:tc>
                <w:tcPr>
                  <w:tcW w:w="1270" w:type="pct"/>
                  <w:tcBorders>
                    <w:tl2br w:val="nil"/>
                    <w:tr2bl w:val="nil"/>
                  </w:tcBorders>
                  <w:noWrap w:val="0"/>
                  <w:vAlign w:val="center"/>
                </w:tcPr>
                <w:p w14:paraId="4C5BFF48">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≤0.050</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20" w:type="pct"/>
                  <w:tcBorders>
                    <w:tl2br w:val="nil"/>
                    <w:tr2bl w:val="nil"/>
                  </w:tcBorders>
                  <w:noWrap w:val="0"/>
                  <w:vAlign w:val="center"/>
                </w:tcPr>
                <w:p w14:paraId="1D5C8972">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达标</w:t>
                  </w:r>
                </w:p>
              </w:tc>
            </w:tr>
            <w:tr w14:paraId="480B6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pct"/>
                  <w:tcBorders>
                    <w:tl2br w:val="nil"/>
                    <w:tr2bl w:val="nil"/>
                  </w:tcBorders>
                  <w:noWrap w:val="0"/>
                  <w:vAlign w:val="center"/>
                </w:tcPr>
                <w:p w14:paraId="0DC6A854">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Zn</w:t>
                  </w:r>
                </w:p>
              </w:tc>
              <w:tc>
                <w:tcPr>
                  <w:tcW w:w="1265" w:type="pct"/>
                  <w:tcBorders>
                    <w:tl2br w:val="nil"/>
                    <w:tr2bl w:val="nil"/>
                  </w:tcBorders>
                  <w:noWrap w:val="0"/>
                  <w:vAlign w:val="center"/>
                </w:tcPr>
                <w:p w14:paraId="140B2D5F">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18.4</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µg/L</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p>
              </w:tc>
              <w:tc>
                <w:tcPr>
                  <w:tcW w:w="1270" w:type="pct"/>
                  <w:tcBorders>
                    <w:tl2br w:val="nil"/>
                    <w:tr2bl w:val="nil"/>
                  </w:tcBorders>
                  <w:noWrap w:val="0"/>
                  <w:vAlign w:val="center"/>
                </w:tcPr>
                <w:p w14:paraId="0BE32615">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 ≤0.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20" w:type="pct"/>
                  <w:tcBorders>
                    <w:tl2br w:val="nil"/>
                    <w:tr2bl w:val="nil"/>
                  </w:tcBorders>
                  <w:noWrap w:val="0"/>
                  <w:vAlign w:val="center"/>
                </w:tcPr>
                <w:p w14:paraId="2CD234E1">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达标</w:t>
                  </w:r>
                </w:p>
              </w:tc>
            </w:tr>
            <w:tr w14:paraId="7409A6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pct"/>
                  <w:tcBorders>
                    <w:tl2br w:val="nil"/>
                    <w:tr2bl w:val="nil"/>
                  </w:tcBorders>
                  <w:noWrap w:val="0"/>
                  <w:vAlign w:val="center"/>
                </w:tcPr>
                <w:p w14:paraId="2AFD3E3B">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Cd </w:t>
                  </w:r>
                </w:p>
              </w:tc>
              <w:tc>
                <w:tcPr>
                  <w:tcW w:w="1265" w:type="pct"/>
                  <w:tcBorders>
                    <w:tl2br w:val="nil"/>
                    <w:tr2bl w:val="nil"/>
                  </w:tcBorders>
                  <w:noWrap w:val="0"/>
                  <w:vAlign w:val="center"/>
                </w:tcPr>
                <w:p w14:paraId="4909205A">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0.16</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µg/L</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p>
              </w:tc>
              <w:tc>
                <w:tcPr>
                  <w:tcW w:w="1270" w:type="pct"/>
                  <w:tcBorders>
                    <w:tl2br w:val="nil"/>
                    <w:tr2bl w:val="nil"/>
                  </w:tcBorders>
                  <w:noWrap w:val="0"/>
                  <w:vAlign w:val="center"/>
                </w:tcPr>
                <w:p w14:paraId="08500D12">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20" w:type="pct"/>
                  <w:tcBorders>
                    <w:tl2br w:val="nil"/>
                    <w:tr2bl w:val="nil"/>
                  </w:tcBorders>
                  <w:noWrap w:val="0"/>
                  <w:vAlign w:val="center"/>
                </w:tcPr>
                <w:p w14:paraId="761645B8">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达标</w:t>
                  </w:r>
                </w:p>
              </w:tc>
            </w:tr>
            <w:tr w14:paraId="2B9D5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pct"/>
                  <w:tcBorders>
                    <w:tl2br w:val="nil"/>
                    <w:tr2bl w:val="nil"/>
                  </w:tcBorders>
                  <w:noWrap w:val="0"/>
                  <w:vAlign w:val="center"/>
                </w:tcPr>
                <w:p w14:paraId="6C423E9D">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石油类</w:t>
                  </w:r>
                </w:p>
              </w:tc>
              <w:tc>
                <w:tcPr>
                  <w:tcW w:w="1265" w:type="pct"/>
                  <w:tcBorders>
                    <w:tl2br w:val="nil"/>
                    <w:tr2bl w:val="nil"/>
                  </w:tcBorders>
                  <w:noWrap w:val="0"/>
                  <w:vAlign w:val="center"/>
                </w:tcPr>
                <w:p w14:paraId="4DC21473">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12.4</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µg/L</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p>
              </w:tc>
              <w:tc>
                <w:tcPr>
                  <w:tcW w:w="1270" w:type="pct"/>
                  <w:tcBorders>
                    <w:tl2br w:val="nil"/>
                    <w:tr2bl w:val="nil"/>
                  </w:tcBorders>
                  <w:noWrap w:val="0"/>
                  <w:vAlign w:val="center"/>
                </w:tcPr>
                <w:p w14:paraId="697498F9">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20" w:type="pct"/>
                  <w:tcBorders>
                    <w:tl2br w:val="nil"/>
                    <w:tr2bl w:val="nil"/>
                  </w:tcBorders>
                  <w:noWrap w:val="0"/>
                  <w:vAlign w:val="center"/>
                </w:tcPr>
                <w:p w14:paraId="70A92C3A">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达标</w:t>
                  </w:r>
                </w:p>
              </w:tc>
            </w:tr>
            <w:tr w14:paraId="5A772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pct"/>
                  <w:tcBorders>
                    <w:tl2br w:val="nil"/>
                    <w:tr2bl w:val="nil"/>
                  </w:tcBorders>
                  <w:noWrap w:val="0"/>
                  <w:vAlign w:val="center"/>
                </w:tcPr>
                <w:p w14:paraId="41BF7FE7">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Hg </w:t>
                  </w:r>
                </w:p>
              </w:tc>
              <w:tc>
                <w:tcPr>
                  <w:tcW w:w="1265" w:type="pct"/>
                  <w:tcBorders>
                    <w:tl2br w:val="nil"/>
                    <w:tr2bl w:val="nil"/>
                  </w:tcBorders>
                  <w:noWrap w:val="0"/>
                  <w:vAlign w:val="center"/>
                </w:tcPr>
                <w:p w14:paraId="65B9C549">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0.04</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µg/L</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p>
              </w:tc>
              <w:tc>
                <w:tcPr>
                  <w:tcW w:w="1270" w:type="pct"/>
                  <w:tcBorders>
                    <w:tl2br w:val="nil"/>
                    <w:tr2bl w:val="nil"/>
                  </w:tcBorders>
                  <w:noWrap w:val="0"/>
                  <w:vAlign w:val="center"/>
                </w:tcPr>
                <w:p w14:paraId="65271BE1">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≤0.000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20" w:type="pct"/>
                  <w:tcBorders>
                    <w:tl2br w:val="nil"/>
                    <w:tr2bl w:val="nil"/>
                  </w:tcBorders>
                  <w:noWrap w:val="0"/>
                  <w:vAlign w:val="center"/>
                </w:tcPr>
                <w:p w14:paraId="2164312A">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达标</w:t>
                  </w:r>
                </w:p>
              </w:tc>
            </w:tr>
            <w:tr w14:paraId="1E0D22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2" w:type="pct"/>
                  <w:tcBorders>
                    <w:tl2br w:val="nil"/>
                    <w:tr2bl w:val="nil"/>
                  </w:tcBorders>
                  <w:noWrap w:val="0"/>
                  <w:vAlign w:val="center"/>
                </w:tcPr>
                <w:p w14:paraId="3CD72720">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 xml:space="preserve">As </w:t>
                  </w:r>
                </w:p>
              </w:tc>
              <w:tc>
                <w:tcPr>
                  <w:tcW w:w="1265" w:type="pct"/>
                  <w:tcBorders>
                    <w:tl2br w:val="nil"/>
                    <w:tr2bl w:val="nil"/>
                  </w:tcBorders>
                  <w:noWrap w:val="0"/>
                  <w:vAlign w:val="center"/>
                </w:tcPr>
                <w:p w14:paraId="45609051">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0.68</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µg/L</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p>
              </w:tc>
              <w:tc>
                <w:tcPr>
                  <w:tcW w:w="1270" w:type="pct"/>
                  <w:tcBorders>
                    <w:tl2br w:val="nil"/>
                    <w:tr2bl w:val="nil"/>
                  </w:tcBorders>
                  <w:noWrap w:val="0"/>
                  <w:vAlign w:val="center"/>
                </w:tcPr>
                <w:p w14:paraId="584CAEF5">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≤0.050</w:t>
                  </w:r>
                  <w:r>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120" w:type="pct"/>
                  <w:tcBorders>
                    <w:tl2br w:val="nil"/>
                    <w:tr2bl w:val="nil"/>
                  </w:tcBorders>
                  <w:noWrap w:val="0"/>
                  <w:vAlign w:val="center"/>
                </w:tcPr>
                <w:p w14:paraId="0CA9DF5D">
                  <w:pPr>
                    <w:widowControl/>
                    <w:spacing w:line="260" w:lineRule="exact"/>
                    <w:jc w:val="center"/>
                    <w:textAlignment w:val="bottom"/>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达标</w:t>
                  </w:r>
                </w:p>
              </w:tc>
            </w:tr>
          </w:tbl>
          <w:p w14:paraId="5A96061A">
            <w:pPr>
              <w:pStyle w:val="4"/>
              <w:bidi w:val="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由上表分析可知，项目区海水满足《海水水质标准》（GB3097-1997）“第四类”标准限值，项目区地表水水质状况总体良好。</w:t>
            </w:r>
          </w:p>
          <w:p w14:paraId="673FD144">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3、声环境</w:t>
            </w:r>
          </w:p>
          <w:p w14:paraId="24CA1BD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项目所在区域执行《声环境质量标准》(GB3096-2008)3类标准，昼间为65dB(A)，夜间为55dB(A)。</w:t>
            </w:r>
          </w:p>
          <w:p w14:paraId="4D24C04A">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本项目厂界外周围50米范围内无声环境保护目标，无需进行监测。</w:t>
            </w:r>
          </w:p>
          <w:p w14:paraId="2FBA9541">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4、地下水、土壤环境质量现状</w:t>
            </w:r>
          </w:p>
          <w:p w14:paraId="5ED5653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建设项目环境影响报告表编制技术指南（污染影响类）（试行）》：地下水、土壤原则上不开展环境质量现状调查。同时根据项目现场调查可知，本项目位于工业园区内，项目厂界范围外500米范围内无集中式饮用水水源和热水、矿泉水、温泉等特殊地下水资源，项目厂房、锅炉房等地面均已做好防腐防渗处理，在生产过程中不存在土壤、地下水污染途径。故不开展地下水、土壤环境现状调查。</w:t>
            </w:r>
          </w:p>
          <w:p w14:paraId="5AD3A27E">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5、生态环境</w:t>
            </w:r>
          </w:p>
          <w:p w14:paraId="1217E602">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位于工业园区内，项目所在地生态环境质量现状一般，生态系统敏感程度一般，根据现场调查，所在区域已经进行了一定程度开发建设，因此生态系统以人工生态系统为主，原有自然生态环境已基本消除；受人为活动长期影响，敏感程度较低。</w:t>
            </w:r>
          </w:p>
          <w:p w14:paraId="59D3CB52">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654C3A4F">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2D9D351B">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680B0E5F">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4F1610ED">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3BD297B7">
            <w:pPr>
              <w:pStyle w:val="4"/>
              <w:ind w:firstLine="480"/>
              <w:rPr>
                <w:rFonts w:hint="default" w:ascii="Times New Roman" w:hAnsi="Times New Roman" w:cs="Times New Roman"/>
                <w:color w:val="000000" w:themeColor="text1"/>
                <w:highlight w:val="none"/>
                <w14:textFill>
                  <w14:solidFill>
                    <w14:schemeClr w14:val="tx1"/>
                  </w14:solidFill>
                </w14:textFill>
              </w:rPr>
            </w:pPr>
          </w:p>
        </w:tc>
      </w:tr>
      <w:tr w14:paraId="7C7E9F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81" w:hRule="atLeast"/>
          <w:jc w:val="center"/>
        </w:trPr>
        <w:tc>
          <w:tcPr>
            <w:tcW w:w="440" w:type="pct"/>
            <w:vAlign w:val="center"/>
          </w:tcPr>
          <w:p w14:paraId="32F77DA5">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环境</w:t>
            </w:r>
          </w:p>
          <w:p w14:paraId="47BF0D53">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保护</w:t>
            </w:r>
          </w:p>
          <w:p w14:paraId="47FCBE92">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目标</w:t>
            </w:r>
          </w:p>
        </w:tc>
        <w:tc>
          <w:tcPr>
            <w:tcW w:w="4560" w:type="pct"/>
            <w:vAlign w:val="center"/>
          </w:tcPr>
          <w:p w14:paraId="03E2104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位于中马工业园区内，根据现场踏勘，项目所在区域不涉及自然保护区、风景名胜区、森林公园、地质公园、湿地公园、重点保护与珍稀水生生物的栖息地、重要水生生物的自然产卵场及索饵场、越冬场和洄游通道，天然渔场等渔业水体，以及水产种质资源保护区等敏感目标。</w:t>
            </w:r>
          </w:p>
          <w:p w14:paraId="3AE31226">
            <w:pPr>
              <w:pStyle w:val="4"/>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项目距离金窝水库饮用水源保护区陆域边界约</w:t>
            </w:r>
            <w:r>
              <w:rPr>
                <w:rFonts w:hint="default" w:ascii="Times New Roman" w:hAnsi="Times New Roman" w:cs="Times New Roman"/>
                <w:color w:val="000000" w:themeColor="text1"/>
                <w:highlight w:val="none"/>
                <w:lang w:val="en-US" w:eastAsia="zh-CN"/>
                <w14:textFill>
                  <w14:solidFill>
                    <w14:schemeClr w14:val="tx1"/>
                  </w14:solidFill>
                </w14:textFill>
              </w:rPr>
              <w:t>2600</w:t>
            </w:r>
            <w:r>
              <w:rPr>
                <w:rFonts w:hint="default" w:ascii="Times New Roman" w:hAnsi="Times New Roman" w:cs="Times New Roman"/>
                <w:color w:val="000000" w:themeColor="text1"/>
                <w:highlight w:val="none"/>
                <w14:textFill>
                  <w14:solidFill>
                    <w14:schemeClr w14:val="tx1"/>
                  </w14:solidFill>
                </w14:textFill>
              </w:rPr>
              <w:t>m，建设项目不在饮用水源地保护范围内；项目50m范围内无声环境保护目标；项目厂界外500m范围内无地下水集中式饮用水水源和热水、矿泉水、温泉等特殊地下水资源。</w:t>
            </w:r>
            <w:r>
              <w:rPr>
                <w:rFonts w:hint="default" w:ascii="Times New Roman" w:hAnsi="Times New Roman" w:cs="Times New Roman"/>
                <w:color w:val="000000" w:themeColor="text1"/>
                <w:highlight w:val="none"/>
                <w:lang w:val="en-US" w:eastAsia="zh-CN"/>
                <w14:textFill>
                  <w14:solidFill>
                    <w14:schemeClr w14:val="tx1"/>
                  </w14:solidFill>
                </w14:textFill>
              </w:rPr>
              <w:t>项目周边500m范围内环境空气敏感目标见下表所示。</w:t>
            </w:r>
          </w:p>
          <w:p w14:paraId="2056E5FD">
            <w:pPr>
              <w:pStyle w:val="34"/>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表3- 4：评价区域环境保护目标一览表</w:t>
            </w:r>
          </w:p>
          <w:tbl>
            <w:tblPr>
              <w:tblStyle w:val="43"/>
              <w:tblW w:w="79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40"/>
              <w:gridCol w:w="688"/>
              <w:gridCol w:w="1483"/>
              <w:gridCol w:w="1237"/>
              <w:gridCol w:w="626"/>
              <w:gridCol w:w="627"/>
              <w:gridCol w:w="464"/>
              <w:gridCol w:w="2273"/>
            </w:tblGrid>
            <w:tr w14:paraId="6AB8A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0" w:type="dxa"/>
                  <w:vMerge w:val="restart"/>
                  <w:tcBorders>
                    <w:top w:val="single" w:color="auto" w:sz="12" w:space="0"/>
                    <w:left w:val="nil"/>
                    <w:bottom w:val="single" w:color="auto" w:sz="4" w:space="0"/>
                    <w:right w:val="single" w:color="auto" w:sz="4" w:space="0"/>
                    <w:insideV w:val="single" w:sz="4" w:space="0"/>
                    <w:tl2br w:val="nil"/>
                    <w:tr2bl w:val="nil"/>
                  </w:tcBorders>
                  <w:vAlign w:val="center"/>
                </w:tcPr>
                <w:p w14:paraId="67A64AD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14:textFill>
                        <w14:solidFill>
                          <w14:schemeClr w14:val="tx1"/>
                        </w14:solidFill>
                      </w14:textFill>
                      <w14:ligatures w14:val="standardContextual"/>
                    </w:rPr>
                    <w:t>环境要素</w:t>
                  </w:r>
                </w:p>
              </w:tc>
              <w:tc>
                <w:tcPr>
                  <w:tcW w:w="688" w:type="dxa"/>
                  <w:vMerge w:val="restart"/>
                  <w:tcBorders>
                    <w:top w:val="single" w:color="auto" w:sz="12" w:space="0"/>
                    <w:bottom w:val="single" w:color="auto" w:sz="4" w:space="0"/>
                    <w:right w:val="single" w:color="auto" w:sz="4" w:space="0"/>
                    <w:insideV w:val="single" w:sz="4" w:space="0"/>
                    <w:tl2br w:val="nil"/>
                    <w:tr2bl w:val="nil"/>
                  </w:tcBorders>
                  <w:vAlign w:val="center"/>
                </w:tcPr>
                <w:p w14:paraId="71287B8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14:textFill>
                        <w14:solidFill>
                          <w14:schemeClr w14:val="tx1"/>
                        </w14:solidFill>
                      </w14:textFill>
                      <w14:ligatures w14:val="standardContextual"/>
                    </w:rPr>
                    <w:t>保护目标</w:t>
                  </w:r>
                </w:p>
              </w:tc>
              <w:tc>
                <w:tcPr>
                  <w:tcW w:w="2720" w:type="dxa"/>
                  <w:gridSpan w:val="2"/>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B1F4AD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14:textFill>
                        <w14:solidFill>
                          <w14:schemeClr w14:val="tx1"/>
                        </w14:solidFill>
                      </w14:textFill>
                      <w14:ligatures w14:val="standardContextual"/>
                    </w:rPr>
                    <w:t>坐标/m</w:t>
                  </w:r>
                </w:p>
              </w:tc>
              <w:tc>
                <w:tcPr>
                  <w:tcW w:w="626" w:type="dxa"/>
                  <w:vMerge w:val="restart"/>
                  <w:tcBorders>
                    <w:top w:val="single" w:color="auto" w:sz="12" w:space="0"/>
                    <w:bottom w:val="single" w:color="auto" w:sz="4" w:space="0"/>
                    <w:right w:val="single" w:color="auto" w:sz="4" w:space="0"/>
                    <w:insideV w:val="single" w:sz="4" w:space="0"/>
                    <w:tl2br w:val="nil"/>
                    <w:tr2bl w:val="nil"/>
                  </w:tcBorders>
                  <w:vAlign w:val="center"/>
                </w:tcPr>
                <w:p w14:paraId="2751680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14:textFill>
                        <w14:solidFill>
                          <w14:schemeClr w14:val="tx1"/>
                        </w14:solidFill>
                      </w14:textFill>
                      <w14:ligatures w14:val="standardContextual"/>
                    </w:rPr>
                    <w:t>相对厂界方位</w:t>
                  </w:r>
                </w:p>
              </w:tc>
              <w:tc>
                <w:tcPr>
                  <w:tcW w:w="627" w:type="dxa"/>
                  <w:vMerge w:val="restart"/>
                  <w:tcBorders>
                    <w:top w:val="single" w:color="auto" w:sz="12" w:space="0"/>
                    <w:bottom w:val="single" w:color="auto" w:sz="4" w:space="0"/>
                    <w:right w:val="single" w:color="auto" w:sz="4" w:space="0"/>
                    <w:insideV w:val="single" w:sz="4" w:space="0"/>
                    <w:tl2br w:val="nil"/>
                    <w:tr2bl w:val="nil"/>
                  </w:tcBorders>
                  <w:vAlign w:val="center"/>
                </w:tcPr>
                <w:p w14:paraId="7A341CF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14:textFill>
                        <w14:solidFill>
                          <w14:schemeClr w14:val="tx1"/>
                        </w14:solidFill>
                      </w14:textFill>
                      <w14:ligatures w14:val="standardContextual"/>
                    </w:rPr>
                    <w:t>相对厂界距离/m</w:t>
                  </w:r>
                </w:p>
              </w:tc>
              <w:tc>
                <w:tcPr>
                  <w:tcW w:w="464" w:type="dxa"/>
                  <w:vMerge w:val="restart"/>
                  <w:tcBorders>
                    <w:top w:val="single" w:color="auto" w:sz="12" w:space="0"/>
                    <w:bottom w:val="single" w:color="auto" w:sz="4" w:space="0"/>
                    <w:right w:val="single" w:color="auto" w:sz="4" w:space="0"/>
                    <w:insideV w:val="single" w:sz="4" w:space="0"/>
                    <w:tl2br w:val="nil"/>
                    <w:tr2bl w:val="nil"/>
                  </w:tcBorders>
                  <w:vAlign w:val="center"/>
                </w:tcPr>
                <w:p w14:paraId="46F2004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14:textFill>
                        <w14:solidFill>
                          <w14:schemeClr w14:val="tx1"/>
                        </w14:solidFill>
                      </w14:textFill>
                      <w14:ligatures w14:val="standardContextual"/>
                    </w:rPr>
                    <w:t>保护对象</w:t>
                  </w:r>
                </w:p>
              </w:tc>
              <w:tc>
                <w:tcPr>
                  <w:tcW w:w="2273" w:type="dxa"/>
                  <w:vMerge w:val="restart"/>
                  <w:tcBorders>
                    <w:top w:val="single" w:color="auto" w:sz="12" w:space="0"/>
                    <w:bottom w:val="single" w:color="auto" w:sz="4" w:space="0"/>
                    <w:right w:val="nil"/>
                    <w:insideV w:val="single" w:sz="4" w:space="0"/>
                    <w:tl2br w:val="nil"/>
                    <w:tr2bl w:val="nil"/>
                  </w:tcBorders>
                  <w:noWrap/>
                  <w:vAlign w:val="center"/>
                </w:tcPr>
                <w:p w14:paraId="1FAA655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14:textFill>
                        <w14:solidFill>
                          <w14:schemeClr w14:val="tx1"/>
                        </w14:solidFill>
                      </w14:textFill>
                      <w14:ligatures w14:val="standardContextual"/>
                    </w:rPr>
                    <w:t>保护级别</w:t>
                  </w:r>
                </w:p>
              </w:tc>
            </w:tr>
            <w:tr w14:paraId="6266F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0" w:type="dxa"/>
                  <w:vMerge w:val="continue"/>
                  <w:tcBorders>
                    <w:top w:val="single" w:color="auto" w:sz="12" w:space="0"/>
                    <w:left w:val="nil"/>
                    <w:bottom w:val="single" w:color="auto" w:sz="4" w:space="0"/>
                    <w:right w:val="single" w:color="auto" w:sz="4" w:space="0"/>
                  </w:tcBorders>
                  <w:vAlign w:val="center"/>
                </w:tcPr>
                <w:p w14:paraId="1607ECFE">
                  <w:pPr>
                    <w:widowControl w:val="0"/>
                    <w:overflowPunct w:val="0"/>
                    <w:autoSpaceDE w:val="0"/>
                    <w:autoSpaceDN w:val="0"/>
                    <w:snapToGrid w:val="0"/>
                    <w:jc w:val="center"/>
                    <w:rPr>
                      <w:rFonts w:hint="default" w:ascii="Times New Roman" w:hAnsi="Times New Roman" w:cs="Times New Roman"/>
                      <w:color w:val="000000" w:themeColor="text1"/>
                      <w14:textFill>
                        <w14:solidFill>
                          <w14:schemeClr w14:val="tx1"/>
                        </w14:solidFill>
                      </w14:textFill>
                      <w14:ligatures w14:val="standardContextual"/>
                    </w:rPr>
                  </w:pPr>
                </w:p>
              </w:tc>
              <w:tc>
                <w:tcPr>
                  <w:tcW w:w="688" w:type="dxa"/>
                  <w:vMerge w:val="continue"/>
                  <w:tcBorders>
                    <w:top w:val="single" w:color="auto" w:sz="12" w:space="0"/>
                    <w:left w:val="single" w:color="auto" w:sz="4" w:space="0"/>
                    <w:bottom w:val="single" w:color="auto" w:sz="4" w:space="0"/>
                    <w:right w:val="single" w:color="auto" w:sz="4" w:space="0"/>
                  </w:tcBorders>
                  <w:vAlign w:val="center"/>
                </w:tcPr>
                <w:p w14:paraId="211F639C">
                  <w:pPr>
                    <w:widowControl w:val="0"/>
                    <w:overflowPunct w:val="0"/>
                    <w:autoSpaceDE w:val="0"/>
                    <w:autoSpaceDN w:val="0"/>
                    <w:snapToGrid w:val="0"/>
                    <w:jc w:val="center"/>
                    <w:rPr>
                      <w:rFonts w:hint="default" w:ascii="Times New Roman" w:hAnsi="Times New Roman" w:cs="Times New Roman"/>
                      <w:color w:val="000000" w:themeColor="text1"/>
                      <w14:textFill>
                        <w14:solidFill>
                          <w14:schemeClr w14:val="tx1"/>
                        </w14:solidFill>
                      </w14:textFill>
                      <w14:ligatures w14:val="standardContextual"/>
                    </w:rPr>
                  </w:pPr>
                </w:p>
              </w:tc>
              <w:tc>
                <w:tcPr>
                  <w:tcW w:w="1483" w:type="dxa"/>
                  <w:tcBorders>
                    <w:top w:val="single" w:color="auto" w:sz="4" w:space="0"/>
                    <w:left w:val="single" w:color="auto" w:sz="4" w:space="0"/>
                    <w:bottom w:val="single" w:color="auto" w:sz="4" w:space="0"/>
                    <w:right w:val="single" w:color="auto" w:sz="4" w:space="0"/>
                  </w:tcBorders>
                  <w:vAlign w:val="center"/>
                </w:tcPr>
                <w:p w14:paraId="42F48A8A">
                  <w:pPr>
                    <w:widowControl w:val="0"/>
                    <w:overflowPunct w:val="0"/>
                    <w:autoSpaceDE w:val="0"/>
                    <w:autoSpaceDN w:val="0"/>
                    <w:snapToGrid w:val="0"/>
                    <w:jc w:val="center"/>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x</w:t>
                  </w:r>
                </w:p>
              </w:tc>
              <w:tc>
                <w:tcPr>
                  <w:tcW w:w="1237" w:type="dxa"/>
                  <w:tcBorders>
                    <w:top w:val="single" w:color="auto" w:sz="4" w:space="0"/>
                    <w:left w:val="single" w:color="auto" w:sz="4" w:space="0"/>
                    <w:bottom w:val="single" w:color="auto" w:sz="4" w:space="0"/>
                    <w:right w:val="single" w:color="auto" w:sz="4" w:space="0"/>
                  </w:tcBorders>
                  <w:vAlign w:val="center"/>
                </w:tcPr>
                <w:p w14:paraId="20B67CF2">
                  <w:pPr>
                    <w:widowControl w:val="0"/>
                    <w:overflowPunct w:val="0"/>
                    <w:autoSpaceDE w:val="0"/>
                    <w:autoSpaceDN w:val="0"/>
                    <w:snapToGrid w:val="0"/>
                    <w:jc w:val="center"/>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y</w:t>
                  </w:r>
                </w:p>
              </w:tc>
              <w:tc>
                <w:tcPr>
                  <w:tcW w:w="626" w:type="dxa"/>
                  <w:vMerge w:val="continue"/>
                  <w:tcBorders>
                    <w:top w:val="single" w:color="auto" w:sz="12" w:space="0"/>
                    <w:left w:val="single" w:color="auto" w:sz="4" w:space="0"/>
                    <w:bottom w:val="single" w:color="auto" w:sz="4" w:space="0"/>
                    <w:right w:val="single" w:color="auto" w:sz="4" w:space="0"/>
                  </w:tcBorders>
                  <w:vAlign w:val="center"/>
                </w:tcPr>
                <w:p w14:paraId="2892053F">
                  <w:pPr>
                    <w:widowControl w:val="0"/>
                    <w:overflowPunct w:val="0"/>
                    <w:autoSpaceDE w:val="0"/>
                    <w:autoSpaceDN w:val="0"/>
                    <w:snapToGrid w:val="0"/>
                    <w:jc w:val="center"/>
                    <w:rPr>
                      <w:rFonts w:hint="default" w:ascii="Times New Roman" w:hAnsi="Times New Roman" w:cs="Times New Roman"/>
                      <w:color w:val="000000" w:themeColor="text1"/>
                      <w14:textFill>
                        <w14:solidFill>
                          <w14:schemeClr w14:val="tx1"/>
                        </w14:solidFill>
                      </w14:textFill>
                      <w14:ligatures w14:val="standardContextual"/>
                    </w:rPr>
                  </w:pPr>
                </w:p>
              </w:tc>
              <w:tc>
                <w:tcPr>
                  <w:tcW w:w="627" w:type="dxa"/>
                  <w:vMerge w:val="continue"/>
                  <w:tcBorders>
                    <w:top w:val="single" w:color="auto" w:sz="12" w:space="0"/>
                    <w:left w:val="single" w:color="auto" w:sz="4" w:space="0"/>
                    <w:bottom w:val="single" w:color="auto" w:sz="4" w:space="0"/>
                    <w:right w:val="single" w:color="auto" w:sz="4" w:space="0"/>
                  </w:tcBorders>
                  <w:vAlign w:val="center"/>
                </w:tcPr>
                <w:p w14:paraId="1B36B621">
                  <w:pPr>
                    <w:widowControl w:val="0"/>
                    <w:overflowPunct w:val="0"/>
                    <w:autoSpaceDE w:val="0"/>
                    <w:autoSpaceDN w:val="0"/>
                    <w:snapToGrid w:val="0"/>
                    <w:jc w:val="center"/>
                    <w:rPr>
                      <w:rFonts w:hint="default" w:ascii="Times New Roman" w:hAnsi="Times New Roman" w:cs="Times New Roman"/>
                      <w:color w:val="000000" w:themeColor="text1"/>
                      <w14:textFill>
                        <w14:solidFill>
                          <w14:schemeClr w14:val="tx1"/>
                        </w14:solidFill>
                      </w14:textFill>
                      <w14:ligatures w14:val="standardContextual"/>
                    </w:rPr>
                  </w:pPr>
                </w:p>
              </w:tc>
              <w:tc>
                <w:tcPr>
                  <w:tcW w:w="464" w:type="dxa"/>
                  <w:vMerge w:val="continue"/>
                  <w:tcBorders>
                    <w:top w:val="single" w:color="auto" w:sz="12" w:space="0"/>
                    <w:left w:val="single" w:color="auto" w:sz="4" w:space="0"/>
                    <w:bottom w:val="single" w:color="auto" w:sz="4" w:space="0"/>
                    <w:right w:val="single" w:color="auto" w:sz="4" w:space="0"/>
                  </w:tcBorders>
                  <w:vAlign w:val="center"/>
                </w:tcPr>
                <w:p w14:paraId="43E6903E">
                  <w:pPr>
                    <w:widowControl w:val="0"/>
                    <w:overflowPunct w:val="0"/>
                    <w:autoSpaceDE w:val="0"/>
                    <w:autoSpaceDN w:val="0"/>
                    <w:snapToGrid w:val="0"/>
                    <w:jc w:val="center"/>
                    <w:rPr>
                      <w:rFonts w:hint="default" w:ascii="Times New Roman" w:hAnsi="Times New Roman" w:cs="Times New Roman"/>
                      <w:color w:val="000000" w:themeColor="text1"/>
                      <w14:textFill>
                        <w14:solidFill>
                          <w14:schemeClr w14:val="tx1"/>
                        </w14:solidFill>
                      </w14:textFill>
                      <w14:ligatures w14:val="standardContextual"/>
                    </w:rPr>
                  </w:pPr>
                </w:p>
              </w:tc>
              <w:tc>
                <w:tcPr>
                  <w:tcW w:w="2273" w:type="dxa"/>
                  <w:vMerge w:val="continue"/>
                  <w:tcBorders>
                    <w:top w:val="single" w:color="auto" w:sz="12" w:space="0"/>
                    <w:left w:val="single" w:color="auto" w:sz="4" w:space="0"/>
                    <w:bottom w:val="single" w:color="auto" w:sz="4" w:space="0"/>
                    <w:right w:val="nil"/>
                  </w:tcBorders>
                  <w:vAlign w:val="center"/>
                </w:tcPr>
                <w:p w14:paraId="2D33E14C">
                  <w:pPr>
                    <w:widowControl w:val="0"/>
                    <w:overflowPunct w:val="0"/>
                    <w:autoSpaceDE w:val="0"/>
                    <w:autoSpaceDN w:val="0"/>
                    <w:snapToGrid w:val="0"/>
                    <w:jc w:val="center"/>
                    <w:rPr>
                      <w:rFonts w:hint="default" w:ascii="Times New Roman" w:hAnsi="Times New Roman" w:cs="Times New Roman"/>
                      <w:color w:val="000000" w:themeColor="text1"/>
                      <w14:textFill>
                        <w14:solidFill>
                          <w14:schemeClr w14:val="tx1"/>
                        </w14:solidFill>
                      </w14:textFill>
                      <w14:ligatures w14:val="standardContextual"/>
                    </w:rPr>
                  </w:pPr>
                </w:p>
              </w:tc>
            </w:tr>
            <w:tr w14:paraId="55A69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40" w:type="dxa"/>
                  <w:tcBorders>
                    <w:top w:val="single" w:color="auto" w:sz="4" w:space="0"/>
                    <w:left w:val="nil"/>
                    <w:bottom w:val="single" w:color="auto" w:sz="12" w:space="0"/>
                    <w:right w:val="single" w:color="auto" w:sz="4" w:space="0"/>
                  </w:tcBorders>
                  <w:vAlign w:val="center"/>
                </w:tcPr>
                <w:p w14:paraId="2C617335">
                  <w:pPr>
                    <w:widowControl w:val="0"/>
                    <w:overflowPunct w:val="0"/>
                    <w:autoSpaceDE w:val="0"/>
                    <w:autoSpaceDN w:val="0"/>
                    <w:snapToGrid w:val="0"/>
                    <w:jc w:val="center"/>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环境空气</w:t>
                  </w:r>
                </w:p>
              </w:tc>
              <w:tc>
                <w:tcPr>
                  <w:tcW w:w="688" w:type="dxa"/>
                  <w:tcBorders>
                    <w:top w:val="single" w:color="auto" w:sz="4" w:space="0"/>
                    <w:left w:val="single" w:color="auto" w:sz="4" w:space="0"/>
                    <w:bottom w:val="single" w:color="auto" w:sz="12" w:space="0"/>
                    <w:right w:val="single" w:color="auto" w:sz="4" w:space="0"/>
                  </w:tcBorders>
                  <w:vAlign w:val="center"/>
                </w:tcPr>
                <w:p w14:paraId="6A71B13E">
                  <w:pPr>
                    <w:widowControl w:val="0"/>
                    <w:overflowPunct w:val="0"/>
                    <w:autoSpaceDE w:val="0"/>
                    <w:autoSpaceDN w:val="0"/>
                    <w:snapToGrid w:val="0"/>
                    <w:jc w:val="center"/>
                    <w:rPr>
                      <w:rFonts w:hint="default" w:ascii="Times New Roman" w:hAnsi="Times New Roman" w:eastAsia="宋体" w:cs="Times New Roman"/>
                      <w:color w:val="000000" w:themeColor="text1"/>
                      <w:lang w:eastAsia="zh-CN"/>
                      <w14:textFill>
                        <w14:solidFill>
                          <w14:schemeClr w14:val="tx1"/>
                        </w14:solidFill>
                      </w14:textFill>
                      <w14:ligatures w14:val="standardContextual"/>
                    </w:rPr>
                  </w:pPr>
                  <w:r>
                    <w:rPr>
                      <w:rFonts w:hint="default" w:ascii="Times New Roman" w:hAnsi="Times New Roman" w:cs="Times New Roman"/>
                      <w:color w:val="000000" w:themeColor="text1"/>
                      <w:lang w:val="en-US" w:eastAsia="zh-CN"/>
                      <w14:textFill>
                        <w14:solidFill>
                          <w14:schemeClr w14:val="tx1"/>
                        </w14:solidFill>
                      </w14:textFill>
                      <w14:ligatures w14:val="standardContextual"/>
                    </w:rPr>
                    <w:t>独连车村</w:t>
                  </w:r>
                </w:p>
              </w:tc>
              <w:tc>
                <w:tcPr>
                  <w:tcW w:w="1483" w:type="dxa"/>
                  <w:tcBorders>
                    <w:top w:val="single" w:color="auto" w:sz="4" w:space="0"/>
                    <w:left w:val="single" w:color="auto" w:sz="4" w:space="0"/>
                    <w:bottom w:val="single" w:color="auto" w:sz="12" w:space="0"/>
                    <w:right w:val="single" w:color="auto" w:sz="4" w:space="0"/>
                  </w:tcBorders>
                  <w:vAlign w:val="center"/>
                </w:tcPr>
                <w:p w14:paraId="18476DA4">
                  <w:pPr>
                    <w:widowControl w:val="0"/>
                    <w:overflowPunct w:val="0"/>
                    <w:autoSpaceDE w:val="0"/>
                    <w:autoSpaceDN w:val="0"/>
                    <w:snapToGrid w:val="0"/>
                    <w:jc w:val="center"/>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108°40'31.94"</w:t>
                  </w:r>
                </w:p>
              </w:tc>
              <w:tc>
                <w:tcPr>
                  <w:tcW w:w="1237" w:type="dxa"/>
                  <w:tcBorders>
                    <w:top w:val="single" w:color="auto" w:sz="4" w:space="0"/>
                    <w:left w:val="single" w:color="auto" w:sz="4" w:space="0"/>
                    <w:bottom w:val="single" w:color="auto" w:sz="12" w:space="0"/>
                    <w:right w:val="single" w:color="auto" w:sz="4" w:space="0"/>
                  </w:tcBorders>
                  <w:vAlign w:val="center"/>
                </w:tcPr>
                <w:p w14:paraId="1843216F">
                  <w:pPr>
                    <w:widowControl w:val="0"/>
                    <w:overflowPunct w:val="0"/>
                    <w:autoSpaceDE w:val="0"/>
                    <w:autoSpaceDN w:val="0"/>
                    <w:snapToGrid w:val="0"/>
                    <w:jc w:val="center"/>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21°45'11.15"</w:t>
                  </w:r>
                </w:p>
              </w:tc>
              <w:tc>
                <w:tcPr>
                  <w:tcW w:w="626" w:type="dxa"/>
                  <w:tcBorders>
                    <w:top w:val="single" w:color="auto" w:sz="4" w:space="0"/>
                    <w:left w:val="single" w:color="auto" w:sz="4" w:space="0"/>
                    <w:bottom w:val="single" w:color="auto" w:sz="12" w:space="0"/>
                    <w:right w:val="single" w:color="auto" w:sz="4" w:space="0"/>
                  </w:tcBorders>
                  <w:vAlign w:val="center"/>
                </w:tcPr>
                <w:p w14:paraId="33231897">
                  <w:pPr>
                    <w:widowControl w:val="0"/>
                    <w:overflowPunct w:val="0"/>
                    <w:autoSpaceDE w:val="0"/>
                    <w:autoSpaceDN w:val="0"/>
                    <w:snapToGrid w:val="0"/>
                    <w:jc w:val="center"/>
                    <w:rPr>
                      <w:rFonts w:hint="default" w:ascii="Times New Roman" w:hAnsi="Times New Roman" w:eastAsia="宋体" w:cs="Times New Roman"/>
                      <w:color w:val="000000" w:themeColor="text1"/>
                      <w:lang w:eastAsia="zh-CN"/>
                      <w14:textFill>
                        <w14:solidFill>
                          <w14:schemeClr w14:val="tx1"/>
                        </w14:solidFill>
                      </w14:textFill>
                      <w14:ligatures w14:val="standardContextual"/>
                    </w:rPr>
                  </w:pPr>
                  <w:r>
                    <w:rPr>
                      <w:rFonts w:hint="default" w:ascii="Times New Roman" w:hAnsi="Times New Roman" w:cs="Times New Roman"/>
                      <w:color w:val="000000" w:themeColor="text1"/>
                      <w:lang w:val="en-US" w:eastAsia="zh-CN"/>
                      <w14:textFill>
                        <w14:solidFill>
                          <w14:schemeClr w14:val="tx1"/>
                        </w14:solidFill>
                      </w14:textFill>
                      <w14:ligatures w14:val="standardContextual"/>
                    </w:rPr>
                    <w:t>E</w:t>
                  </w:r>
                </w:p>
              </w:tc>
              <w:tc>
                <w:tcPr>
                  <w:tcW w:w="627" w:type="dxa"/>
                  <w:tcBorders>
                    <w:top w:val="single" w:color="auto" w:sz="4" w:space="0"/>
                    <w:left w:val="single" w:color="auto" w:sz="4" w:space="0"/>
                    <w:bottom w:val="single" w:color="auto" w:sz="12" w:space="0"/>
                    <w:right w:val="single" w:color="auto" w:sz="4" w:space="0"/>
                  </w:tcBorders>
                  <w:vAlign w:val="center"/>
                </w:tcPr>
                <w:p w14:paraId="56B9651A">
                  <w:pPr>
                    <w:widowControl w:val="0"/>
                    <w:overflowPunct w:val="0"/>
                    <w:autoSpaceDE w:val="0"/>
                    <w:autoSpaceDN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14:ligatures w14:val="standardContextual"/>
                    </w:rPr>
                  </w:pPr>
                  <w:r>
                    <w:rPr>
                      <w:rFonts w:hint="default" w:ascii="Times New Roman" w:hAnsi="Times New Roman" w:cs="Times New Roman"/>
                      <w:color w:val="000000" w:themeColor="text1"/>
                      <w:lang w:val="en-US" w:eastAsia="zh-CN"/>
                      <w14:textFill>
                        <w14:solidFill>
                          <w14:schemeClr w14:val="tx1"/>
                        </w14:solidFill>
                      </w14:textFill>
                      <w14:ligatures w14:val="standardContextual"/>
                    </w:rPr>
                    <w:t>240</w:t>
                  </w:r>
                </w:p>
              </w:tc>
              <w:tc>
                <w:tcPr>
                  <w:tcW w:w="464" w:type="dxa"/>
                  <w:tcBorders>
                    <w:top w:val="single" w:color="auto" w:sz="4" w:space="0"/>
                    <w:left w:val="single" w:color="auto" w:sz="4" w:space="0"/>
                    <w:bottom w:val="single" w:color="auto" w:sz="12" w:space="0"/>
                    <w:right w:val="single" w:color="auto" w:sz="4" w:space="0"/>
                  </w:tcBorders>
                  <w:vAlign w:val="center"/>
                </w:tcPr>
                <w:p w14:paraId="18C693DA">
                  <w:pPr>
                    <w:widowControl w:val="0"/>
                    <w:overflowPunct w:val="0"/>
                    <w:autoSpaceDE w:val="0"/>
                    <w:autoSpaceDN w:val="0"/>
                    <w:snapToGrid w:val="0"/>
                    <w:jc w:val="center"/>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村庄</w:t>
                  </w:r>
                </w:p>
              </w:tc>
              <w:tc>
                <w:tcPr>
                  <w:tcW w:w="2273" w:type="dxa"/>
                  <w:tcBorders>
                    <w:top w:val="single" w:color="auto" w:sz="4" w:space="0"/>
                    <w:left w:val="single" w:color="auto" w:sz="4" w:space="0"/>
                    <w:bottom w:val="single" w:color="auto" w:sz="12" w:space="0"/>
                    <w:right w:val="nil"/>
                  </w:tcBorders>
                  <w:vAlign w:val="center"/>
                </w:tcPr>
                <w:p w14:paraId="3378C6FE">
                  <w:pPr>
                    <w:widowControl w:val="0"/>
                    <w:overflowPunct w:val="0"/>
                    <w:autoSpaceDE w:val="0"/>
                    <w:autoSpaceDN w:val="0"/>
                    <w:snapToGrid w:val="0"/>
                    <w:jc w:val="center"/>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《环境空气质量标准》(GB3095-2012)</w:t>
                  </w:r>
                </w:p>
                <w:p w14:paraId="21BE32B2">
                  <w:pPr>
                    <w:widowControl w:val="0"/>
                    <w:overflowPunct w:val="0"/>
                    <w:autoSpaceDE w:val="0"/>
                    <w:autoSpaceDN w:val="0"/>
                    <w:snapToGrid w:val="0"/>
                    <w:jc w:val="center"/>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lang w:val="en-US" w:eastAsia="zh-CN"/>
                      <w14:textFill>
                        <w14:solidFill>
                          <w14:schemeClr w14:val="tx1"/>
                        </w14:solidFill>
                      </w14:textFill>
                      <w14:ligatures w14:val="standardContextual"/>
                    </w:rPr>
                    <w:t>及修改单</w:t>
                  </w:r>
                  <w:r>
                    <w:rPr>
                      <w:rFonts w:hint="default" w:ascii="Times New Roman" w:hAnsi="Times New Roman" w:cs="Times New Roman"/>
                      <w:color w:val="000000" w:themeColor="text1"/>
                      <w14:textFill>
                        <w14:solidFill>
                          <w14:schemeClr w14:val="tx1"/>
                        </w14:solidFill>
                      </w14:textFill>
                      <w14:ligatures w14:val="standardContextual"/>
                    </w:rPr>
                    <w:t>中二级标准</w:t>
                  </w:r>
                </w:p>
              </w:tc>
            </w:tr>
          </w:tbl>
          <w:p w14:paraId="06A2E3FD">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122F9F2B">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tc>
      </w:tr>
      <w:tr w14:paraId="43CF30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40" w:type="pct"/>
            <w:tcMar>
              <w:left w:w="28" w:type="dxa"/>
              <w:right w:w="28" w:type="dxa"/>
            </w:tcMar>
            <w:vAlign w:val="center"/>
          </w:tcPr>
          <w:p w14:paraId="4AA5B42F">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污染</w:t>
            </w:r>
          </w:p>
          <w:p w14:paraId="2C455A0E">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物排</w:t>
            </w:r>
          </w:p>
          <w:p w14:paraId="505FEEEF">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放控</w:t>
            </w:r>
          </w:p>
          <w:p w14:paraId="7DEE43D9">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制标</w:t>
            </w:r>
          </w:p>
          <w:p w14:paraId="2F3636D9">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准</w:t>
            </w:r>
          </w:p>
        </w:tc>
        <w:tc>
          <w:tcPr>
            <w:tcW w:w="4560" w:type="pct"/>
            <w:vAlign w:val="center"/>
          </w:tcPr>
          <w:p w14:paraId="4C7910D5">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1、大气污染物排放标准</w:t>
            </w:r>
          </w:p>
          <w:p w14:paraId="7914A135">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（1）施工期</w:t>
            </w:r>
          </w:p>
          <w:p w14:paraId="192E937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施工期项目厂界无组织排放颗粒物执行《大气污染物综合排放标准》（GB16297-1996）表2中颗粒物≤1.0mg/m³。</w:t>
            </w:r>
          </w:p>
          <w:p w14:paraId="453750B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（2）运营期</w:t>
            </w:r>
          </w:p>
          <w:p w14:paraId="5509472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根据</w:t>
            </w:r>
            <w:r>
              <w:rPr>
                <w:rFonts w:hint="default" w:ascii="Times New Roman" w:hAnsi="Times New Roman" w:cs="Times New Roman"/>
                <w:color w:val="000000" w:themeColor="text1"/>
                <w:highlight w:val="none"/>
                <w14:textFill>
                  <w14:solidFill>
                    <w14:schemeClr w14:val="tx1"/>
                  </w14:solidFill>
                </w14:textFill>
              </w:rPr>
              <w:t>《锅炉大气污染物排放标准》(GB13271-2014）</w:t>
            </w:r>
            <w:r>
              <w:rPr>
                <w:rFonts w:hint="default" w:ascii="Times New Roman" w:hAnsi="Times New Roman" w:cs="Times New Roman"/>
                <w:color w:val="000000" w:themeColor="text1"/>
                <w:highlight w:val="none"/>
                <w:lang w:val="en-US" w:eastAsia="zh-CN"/>
                <w14:textFill>
                  <w14:solidFill>
                    <w14:schemeClr w14:val="tx1"/>
                  </w14:solidFill>
                </w14:textFill>
              </w:rPr>
              <w:t>适用范围要求“使用型煤、水煤浆、煤矸石、石油焦、油页岩、生物质成型燃料等的锅炉，参照本标准中燃煤锅炉排放控制要求执行。因此，本项目</w:t>
            </w:r>
            <w:r>
              <w:rPr>
                <w:rFonts w:hint="default" w:ascii="Times New Roman" w:hAnsi="Times New Roman" w:cs="Times New Roman"/>
                <w:color w:val="000000" w:themeColor="text1"/>
                <w:highlight w:val="none"/>
                <w14:textFill>
                  <w14:solidFill>
                    <w14:schemeClr w14:val="tx1"/>
                  </w14:solidFill>
                </w14:textFill>
              </w:rPr>
              <w:t>生物质锅炉燃烧废气</w:t>
            </w:r>
            <w:r>
              <w:rPr>
                <w:rFonts w:hint="default" w:ascii="Times New Roman" w:hAnsi="Times New Roman" w:cs="Times New Roman"/>
                <w:color w:val="000000" w:themeColor="text1"/>
                <w:highlight w:val="none"/>
                <w:lang w:val="en-US" w:eastAsia="zh-CN"/>
                <w14:textFill>
                  <w14:solidFill>
                    <w14:schemeClr w14:val="tx1"/>
                  </w14:solidFill>
                </w14:textFill>
              </w:rPr>
              <w:t>参照</w:t>
            </w:r>
            <w:r>
              <w:rPr>
                <w:rFonts w:hint="default" w:ascii="Times New Roman" w:hAnsi="Times New Roman" w:cs="Times New Roman"/>
                <w:color w:val="000000" w:themeColor="text1"/>
                <w:highlight w:val="none"/>
                <w14:textFill>
                  <w14:solidFill>
                    <w14:schemeClr w14:val="tx1"/>
                  </w14:solidFill>
                </w14:textFill>
              </w:rPr>
              <w:t>执行《锅炉大气污染物排放标准》(GB13271-2014）表2新建锅炉大气污染物排放浓度限值中燃煤标准。</w:t>
            </w:r>
          </w:p>
          <w:p w14:paraId="7DCF728C">
            <w:pPr>
              <w:pStyle w:val="34"/>
              <w:rPr>
                <w:rFonts w:hint="default" w:ascii="Times New Roman" w:hAnsi="Times New Roman" w:cs="Times New Roman"/>
                <w:color w:val="000000" w:themeColor="text1"/>
                <w:highlight w:val="none"/>
                <w14:textFill>
                  <w14:solidFill>
                    <w14:schemeClr w14:val="tx1"/>
                  </w14:solidFill>
                </w14:textFill>
              </w:rPr>
            </w:pPr>
            <w:bookmarkStart w:id="85" w:name="_Ref192717532"/>
            <w:r>
              <w:rPr>
                <w:rFonts w:hint="default" w:ascii="Times New Roman" w:hAnsi="Times New Roman" w:cs="Times New Roman"/>
                <w:color w:val="000000" w:themeColor="text1"/>
                <w:highlight w:val="none"/>
                <w14:textFill>
                  <w14:solidFill>
                    <w14:schemeClr w14:val="tx1"/>
                  </w14:solidFill>
                </w14:textFill>
              </w:rPr>
              <w:t>表3-</w:t>
            </w:r>
            <w:r>
              <w:rPr>
                <w:rFonts w:hint="eastAsia"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：锅炉大气污染物排放标准</w:t>
            </w:r>
            <w:bookmarkEnd w:id="85"/>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210"/>
              <w:gridCol w:w="2243"/>
              <w:gridCol w:w="2485"/>
            </w:tblGrid>
            <w:tr w14:paraId="66CAB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22" w:type="pct"/>
                  <w:vMerge w:val="restar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4BF5FFB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污染物项目</w:t>
                  </w:r>
                </w:p>
              </w:tc>
              <w:tc>
                <w:tcPr>
                  <w:tcW w:w="141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E70C17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限值（mg/m</w:t>
                  </w:r>
                  <w:r>
                    <w:rPr>
                      <w:rFonts w:hint="default" w:ascii="Times New Roman" w:hAnsi="Times New Roman" w:eastAsia="宋体" w:cs="Times New Roman"/>
                      <w:b/>
                      <w:i w:val="0"/>
                      <w:color w:val="000000" w:themeColor="text1"/>
                      <w:sz w:val="21"/>
                      <w:szCs w:val="21"/>
                      <w:highlight w:val="none"/>
                      <w:vertAlign w:val="superscript"/>
                      <w14:textFill>
                        <w14:solidFill>
                          <w14:schemeClr w14:val="tx1"/>
                        </w14:solidFill>
                      </w14:textFill>
                      <w14:ligatures w14:val="standardContextual"/>
                    </w:rPr>
                    <w:t>3</w:t>
                  </w: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w:t>
                  </w:r>
                </w:p>
              </w:tc>
              <w:tc>
                <w:tcPr>
                  <w:tcW w:w="1565" w:type="pct"/>
                  <w:vMerge w:val="restart"/>
                  <w:tcBorders>
                    <w:top w:val="single" w:color="auto" w:sz="12" w:space="0"/>
                    <w:bottom w:val="single" w:color="auto" w:sz="12" w:space="0"/>
                    <w:right w:val="nil"/>
                    <w:insideH w:val="single" w:sz="12" w:space="0"/>
                    <w:insideV w:val="single" w:sz="4" w:space="0"/>
                    <w:tl2br w:val="nil"/>
                    <w:tr2bl w:val="nil"/>
                  </w:tcBorders>
                  <w:vAlign w:val="center"/>
                </w:tcPr>
                <w:p w14:paraId="048FB02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污染物排放监控位置</w:t>
                  </w:r>
                </w:p>
              </w:tc>
            </w:tr>
            <w:tr w14:paraId="2F17C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22" w:type="pct"/>
                  <w:vMerge w:val="continue"/>
                  <w:vAlign w:val="center"/>
                </w:tcPr>
                <w:p w14:paraId="018C84E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1413" w:type="pct"/>
                  <w:vAlign w:val="center"/>
                </w:tcPr>
                <w:p w14:paraId="714D2C72">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燃煤锅炉</w:t>
                  </w:r>
                </w:p>
              </w:tc>
              <w:tc>
                <w:tcPr>
                  <w:tcW w:w="1565" w:type="pct"/>
                  <w:vMerge w:val="continue"/>
                  <w:vAlign w:val="center"/>
                </w:tcPr>
                <w:p w14:paraId="0EF25A09">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r>
            <w:tr w14:paraId="51F3C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22" w:type="pct"/>
                  <w:vAlign w:val="center"/>
                </w:tcPr>
                <w:p w14:paraId="44D6BCC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颗粒物</w:t>
                  </w:r>
                </w:p>
              </w:tc>
              <w:tc>
                <w:tcPr>
                  <w:tcW w:w="1413" w:type="pct"/>
                  <w:vAlign w:val="center"/>
                </w:tcPr>
                <w:p w14:paraId="5CE8D669">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50</w:t>
                  </w:r>
                </w:p>
              </w:tc>
              <w:tc>
                <w:tcPr>
                  <w:tcW w:w="1565" w:type="pct"/>
                  <w:vMerge w:val="restart"/>
                  <w:vAlign w:val="center"/>
                </w:tcPr>
                <w:p w14:paraId="055161D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烟囱或烟道</w:t>
                  </w:r>
                </w:p>
              </w:tc>
            </w:tr>
            <w:tr w14:paraId="27D6A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22" w:type="pct"/>
                  <w:vAlign w:val="center"/>
                </w:tcPr>
                <w:p w14:paraId="4D4D1C6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SO</w:t>
                  </w:r>
                  <w:r>
                    <w:rPr>
                      <w:rFonts w:hint="default" w:ascii="Times New Roman" w:hAnsi="Times New Roman" w:cs="Times New Roman"/>
                      <w:color w:val="000000" w:themeColor="text1"/>
                      <w:highlight w:val="none"/>
                      <w:vertAlign w:val="subscript"/>
                      <w14:textFill>
                        <w14:solidFill>
                          <w14:schemeClr w14:val="tx1"/>
                        </w14:solidFill>
                      </w14:textFill>
                      <w14:ligatures w14:val="standardContextual"/>
                    </w:rPr>
                    <w:t>2</w:t>
                  </w:r>
                </w:p>
              </w:tc>
              <w:tc>
                <w:tcPr>
                  <w:tcW w:w="1413" w:type="pct"/>
                  <w:vAlign w:val="center"/>
                </w:tcPr>
                <w:p w14:paraId="128259C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300</w:t>
                  </w:r>
                </w:p>
              </w:tc>
              <w:tc>
                <w:tcPr>
                  <w:tcW w:w="1565" w:type="pct"/>
                  <w:vMerge w:val="continue"/>
                  <w:vAlign w:val="center"/>
                </w:tcPr>
                <w:p w14:paraId="56F2A2C6">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r>
            <w:tr w14:paraId="276E02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22" w:type="pct"/>
                  <w:vAlign w:val="center"/>
                </w:tcPr>
                <w:p w14:paraId="22761D7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NO</w:t>
                  </w:r>
                  <w:r>
                    <w:rPr>
                      <w:rFonts w:hint="default" w:ascii="Times New Roman" w:hAnsi="Times New Roman" w:cs="Times New Roman"/>
                      <w:color w:val="000000" w:themeColor="text1"/>
                      <w:highlight w:val="none"/>
                      <w:vertAlign w:val="subscript"/>
                      <w14:textFill>
                        <w14:solidFill>
                          <w14:schemeClr w14:val="tx1"/>
                        </w14:solidFill>
                      </w14:textFill>
                      <w14:ligatures w14:val="standardContextual"/>
                    </w:rPr>
                    <w:t>x</w:t>
                  </w:r>
                </w:p>
              </w:tc>
              <w:tc>
                <w:tcPr>
                  <w:tcW w:w="1413" w:type="pct"/>
                  <w:vAlign w:val="center"/>
                </w:tcPr>
                <w:p w14:paraId="5C3854C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300</w:t>
                  </w:r>
                </w:p>
              </w:tc>
              <w:tc>
                <w:tcPr>
                  <w:tcW w:w="1565" w:type="pct"/>
                  <w:vMerge w:val="continue"/>
                  <w:vAlign w:val="center"/>
                </w:tcPr>
                <w:p w14:paraId="2309FB6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r>
            <w:tr w14:paraId="59DD2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022" w:type="pct"/>
                  <w:vAlign w:val="center"/>
                </w:tcPr>
                <w:p w14:paraId="43A1B14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烟气黑度（林格曼黑度，级）</w:t>
                  </w:r>
                </w:p>
              </w:tc>
              <w:tc>
                <w:tcPr>
                  <w:tcW w:w="1413" w:type="pct"/>
                  <w:vAlign w:val="center"/>
                </w:tcPr>
                <w:p w14:paraId="25659FD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w:t>
                  </w:r>
                </w:p>
              </w:tc>
              <w:tc>
                <w:tcPr>
                  <w:tcW w:w="1565" w:type="pct"/>
                  <w:vAlign w:val="center"/>
                </w:tcPr>
                <w:p w14:paraId="267C54D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烟囱排放口</w:t>
                  </w:r>
                </w:p>
              </w:tc>
            </w:tr>
          </w:tbl>
          <w:p w14:paraId="40EBE63C">
            <w:pPr>
              <w:pStyle w:val="4"/>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bookmarkStart w:id="86" w:name="OLE_LINK226"/>
            <w:r>
              <w:rPr>
                <w:rFonts w:hint="default" w:ascii="Times New Roman" w:hAnsi="Times New Roman" w:cs="Times New Roman"/>
                <w:color w:val="000000" w:themeColor="text1"/>
                <w:highlight w:val="none"/>
                <w14:textFill>
                  <w14:solidFill>
                    <w14:schemeClr w14:val="tx1"/>
                  </w14:solidFill>
                </w14:textFill>
              </w:rPr>
              <w:t>生物质</w:t>
            </w:r>
            <w:bookmarkEnd w:id="86"/>
            <w:r>
              <w:rPr>
                <w:rFonts w:hint="default" w:ascii="Times New Roman" w:hAnsi="Times New Roman" w:cs="Times New Roman"/>
                <w:color w:val="000000" w:themeColor="text1"/>
                <w:highlight w:val="none"/>
                <w14:textFill>
                  <w14:solidFill>
                    <w14:schemeClr w14:val="tx1"/>
                  </w14:solidFill>
                </w14:textFill>
              </w:rPr>
              <w:t>锅炉燃烧废气执行</w:t>
            </w:r>
            <w:bookmarkStart w:id="87" w:name="OLE_LINK238"/>
            <w:r>
              <w:rPr>
                <w:rFonts w:hint="default" w:ascii="Times New Roman" w:hAnsi="Times New Roman" w:cs="Times New Roman"/>
                <w:color w:val="000000" w:themeColor="text1"/>
                <w:highlight w:val="none"/>
                <w14:textFill>
                  <w14:solidFill>
                    <w14:schemeClr w14:val="tx1"/>
                  </w14:solidFill>
                </w14:textFill>
              </w:rPr>
              <w:t>《锅炉大气污染物排放标准》(GB13271-2014）</w:t>
            </w:r>
            <w:bookmarkEnd w:id="87"/>
            <w:r>
              <w:rPr>
                <w:rFonts w:hint="default" w:ascii="Times New Roman" w:hAnsi="Times New Roman" w:cs="Times New Roman"/>
                <w:color w:val="000000" w:themeColor="text1"/>
                <w:highlight w:val="none"/>
                <w:lang w:val="en-US" w:eastAsia="zh-CN"/>
                <w14:textFill>
                  <w14:solidFill>
                    <w14:schemeClr w14:val="tx1"/>
                  </w14:solidFill>
                </w14:textFill>
              </w:rPr>
              <w:t>中</w:t>
            </w:r>
            <w:r>
              <w:rPr>
                <w:rFonts w:hint="default" w:ascii="Times New Roman" w:hAnsi="Times New Roman" w:cs="Times New Roman"/>
                <w:color w:val="000000" w:themeColor="text1"/>
                <w:highlight w:val="none"/>
                <w14:textFill>
                  <w14:solidFill>
                    <w14:schemeClr w14:val="tx1"/>
                  </w14:solidFill>
                </w14:textFill>
              </w:rPr>
              <w:t>表2</w:t>
            </w:r>
            <w:r>
              <w:rPr>
                <w:rFonts w:hint="default" w:ascii="Times New Roman" w:hAnsi="Times New Roman" w:cs="Times New Roman"/>
                <w:color w:val="000000" w:themeColor="text1"/>
                <w:highlight w:val="none"/>
                <w:lang w:val="en-US" w:eastAsia="zh-CN"/>
                <w14:textFill>
                  <w14:solidFill>
                    <w14:schemeClr w14:val="tx1"/>
                  </w14:solidFill>
                </w14:textFill>
              </w:rPr>
              <w:t>中</w:t>
            </w:r>
            <w:r>
              <w:rPr>
                <w:rFonts w:hint="default" w:ascii="Times New Roman" w:hAnsi="Times New Roman" w:cs="Times New Roman"/>
                <w:color w:val="000000" w:themeColor="text1"/>
                <w:highlight w:val="none"/>
                <w14:textFill>
                  <w14:solidFill>
                    <w14:schemeClr w14:val="tx1"/>
                  </w14:solidFill>
                </w14:textFill>
              </w:rPr>
              <w:t>4.5</w:t>
            </w:r>
            <w:r>
              <w:rPr>
                <w:rFonts w:hint="default" w:ascii="Times New Roman" w:hAnsi="Times New Roman" w:cs="Times New Roman"/>
                <w:color w:val="000000" w:themeColor="text1"/>
                <w:highlight w:val="none"/>
                <w:lang w:val="en-US" w:eastAsia="zh-CN"/>
                <w14:textFill>
                  <w14:solidFill>
                    <w14:schemeClr w14:val="tx1"/>
                  </w14:solidFill>
                </w14:textFill>
              </w:rPr>
              <w:t>条要求“</w:t>
            </w:r>
            <w:r>
              <w:rPr>
                <w:rFonts w:hint="default" w:ascii="Times New Roman" w:hAnsi="Times New Roman" w:cs="Times New Roman"/>
                <w:color w:val="000000" w:themeColor="text1"/>
                <w:highlight w:val="none"/>
                <w14:textFill>
                  <w14:solidFill>
                    <w14:schemeClr w14:val="tx1"/>
                  </w14:solidFill>
                </w14:textFill>
              </w:rPr>
              <w:t>每个新建燃煤锅炉房只能设一根</w:t>
            </w:r>
            <w:r>
              <w:rPr>
                <w:rFonts w:hint="default" w:ascii="Times New Roman" w:hAnsi="Times New Roman" w:cs="Times New Roman"/>
                <w:color w:val="000000" w:themeColor="text1"/>
                <w:highlight w:val="none"/>
                <w:lang w:val="en-US" w:eastAsia="zh-CN"/>
                <w14:textFill>
                  <w14:solidFill>
                    <w14:schemeClr w14:val="tx1"/>
                  </w14:solidFill>
                </w14:textFill>
              </w:rPr>
              <w:t>烟囱</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烟囱</w:t>
            </w:r>
            <w:r>
              <w:rPr>
                <w:rFonts w:hint="default" w:ascii="Times New Roman" w:hAnsi="Times New Roman" w:cs="Times New Roman"/>
                <w:color w:val="000000" w:themeColor="text1"/>
                <w:highlight w:val="none"/>
                <w14:textFill>
                  <w14:solidFill>
                    <w14:schemeClr w14:val="tx1"/>
                  </w14:solidFill>
                </w14:textFill>
              </w:rPr>
              <w:t>高度应根据锅炉房装机总容量，按表4规定执行，燃油、燃气锅炉</w:t>
            </w:r>
            <w:r>
              <w:rPr>
                <w:rFonts w:hint="default" w:ascii="Times New Roman" w:hAnsi="Times New Roman" w:cs="Times New Roman"/>
                <w:color w:val="000000" w:themeColor="text1"/>
                <w:highlight w:val="none"/>
                <w:lang w:val="en-US" w:eastAsia="zh-CN"/>
                <w14:textFill>
                  <w14:solidFill>
                    <w14:schemeClr w14:val="tx1"/>
                  </w14:solidFill>
                </w14:textFill>
              </w:rPr>
              <w:t>烟囱</w:t>
            </w:r>
            <w:r>
              <w:rPr>
                <w:rFonts w:hint="default" w:ascii="Times New Roman" w:hAnsi="Times New Roman" w:cs="Times New Roman"/>
                <w:color w:val="000000" w:themeColor="text1"/>
                <w:highlight w:val="none"/>
                <w14:textFill>
                  <w14:solidFill>
                    <w14:schemeClr w14:val="tx1"/>
                  </w14:solidFill>
                </w14:textFill>
              </w:rPr>
              <w:t>不低于8米，锅炉</w:t>
            </w:r>
            <w:r>
              <w:rPr>
                <w:rFonts w:hint="default" w:ascii="Times New Roman" w:hAnsi="Times New Roman" w:cs="Times New Roman"/>
                <w:color w:val="000000" w:themeColor="text1"/>
                <w:highlight w:val="none"/>
                <w:lang w:val="en-US" w:eastAsia="zh-CN"/>
                <w14:textFill>
                  <w14:solidFill>
                    <w14:schemeClr w14:val="tx1"/>
                  </w14:solidFill>
                </w14:textFill>
              </w:rPr>
              <w:t>烟囱</w:t>
            </w:r>
            <w:r>
              <w:rPr>
                <w:rFonts w:hint="default" w:ascii="Times New Roman" w:hAnsi="Times New Roman" w:cs="Times New Roman"/>
                <w:color w:val="000000" w:themeColor="text1"/>
                <w:highlight w:val="none"/>
                <w14:textFill>
                  <w14:solidFill>
                    <w14:schemeClr w14:val="tx1"/>
                  </w14:solidFill>
                </w14:textFill>
              </w:rPr>
              <w:t>的具体高度按批复的环境影响评价文件确定。新建锅炉房的烟囱周围半径200m距离内有建筑物时，其</w:t>
            </w:r>
            <w:r>
              <w:rPr>
                <w:rFonts w:hint="default" w:ascii="Times New Roman" w:hAnsi="Times New Roman" w:cs="Times New Roman"/>
                <w:color w:val="000000" w:themeColor="text1"/>
                <w:highlight w:val="none"/>
                <w:lang w:val="en-US" w:eastAsia="zh-CN"/>
                <w14:textFill>
                  <w14:solidFill>
                    <w14:schemeClr w14:val="tx1"/>
                  </w14:solidFill>
                </w14:textFill>
              </w:rPr>
              <w:t>烟囱</w:t>
            </w:r>
            <w:r>
              <w:rPr>
                <w:rFonts w:hint="default" w:ascii="Times New Roman" w:hAnsi="Times New Roman" w:cs="Times New Roman"/>
                <w:color w:val="000000" w:themeColor="text1"/>
                <w:highlight w:val="none"/>
                <w14:textFill>
                  <w14:solidFill>
                    <w14:schemeClr w14:val="tx1"/>
                  </w14:solidFill>
                </w14:textFill>
              </w:rPr>
              <w:t>应高出最高建筑物3m以上。</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本项目锅炉总容量为</w:t>
            </w:r>
            <w:r>
              <w:rPr>
                <w:rFonts w:hint="default"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14:textFill>
                  <w14:solidFill>
                    <w14:schemeClr w14:val="tx1"/>
                  </w14:solidFill>
                </w14:textFill>
              </w:rPr>
              <w:t>t/h，锅炉</w:t>
            </w:r>
            <w:r>
              <w:rPr>
                <w:rFonts w:hint="default" w:ascii="Times New Roman" w:hAnsi="Times New Roman" w:cs="Times New Roman"/>
                <w:color w:val="000000" w:themeColor="text1"/>
                <w:highlight w:val="none"/>
                <w:lang w:val="en-US" w:eastAsia="zh-CN"/>
                <w14:textFill>
                  <w14:solidFill>
                    <w14:schemeClr w14:val="tx1"/>
                  </w14:solidFill>
                </w14:textFill>
              </w:rPr>
              <w:t>烟囱</w:t>
            </w:r>
            <w:r>
              <w:rPr>
                <w:rFonts w:hint="default" w:ascii="Times New Roman" w:hAnsi="Times New Roman" w:cs="Times New Roman"/>
                <w:color w:val="000000" w:themeColor="text1"/>
                <w:highlight w:val="none"/>
                <w14:textFill>
                  <w14:solidFill>
                    <w14:schemeClr w14:val="tx1"/>
                  </w14:solidFill>
                </w14:textFill>
              </w:rPr>
              <w:t>高度设置</w:t>
            </w:r>
            <w:r>
              <w:rPr>
                <w:rFonts w:hint="default" w:ascii="Times New Roman" w:hAnsi="Times New Roman" w:cs="Times New Roman"/>
                <w:color w:val="000000" w:themeColor="text1"/>
                <w:highlight w:val="none"/>
                <w:lang w:val="en-US" w:eastAsia="zh-CN"/>
                <w14:textFill>
                  <w14:solidFill>
                    <w14:schemeClr w14:val="tx1"/>
                  </w14:solidFill>
                </w14:textFill>
              </w:rPr>
              <w:t>为35</w:t>
            </w:r>
            <w:r>
              <w:rPr>
                <w:rFonts w:hint="default" w:ascii="Times New Roman" w:hAnsi="Times New Roman" w:cs="Times New Roman"/>
                <w:color w:val="000000" w:themeColor="text1"/>
                <w:highlight w:val="none"/>
                <w14:textFill>
                  <w14:solidFill>
                    <w14:schemeClr w14:val="tx1"/>
                  </w14:solidFill>
                </w14:textFill>
              </w:rPr>
              <w:t>米</w:t>
            </w:r>
            <w:r>
              <w:rPr>
                <w:rFonts w:hint="default" w:ascii="Times New Roman" w:hAnsi="Times New Roman" w:cs="Times New Roman"/>
                <w:color w:val="000000" w:themeColor="text1"/>
                <w:highlight w:val="none"/>
                <w:lang w:eastAsia="zh-CN"/>
                <w14:textFill>
                  <w14:solidFill>
                    <w14:schemeClr w14:val="tx1"/>
                  </w14:solidFill>
                </w14:textFill>
              </w:rPr>
              <w:t>。</w:t>
            </w:r>
          </w:p>
          <w:p w14:paraId="2DAE358E">
            <w:pPr>
              <w:pStyle w:val="34"/>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w:t>
            </w:r>
            <w:r>
              <w:rPr>
                <w:rFonts w:hint="eastAsia"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：燃煤锅炉房烟囱最低允许高度</w:t>
            </w:r>
            <w:r>
              <w:rPr>
                <w:rFonts w:hint="default" w:ascii="Times New Roman" w:hAnsi="Times New Roman" w:cs="Times New Roman"/>
                <w:color w:val="000000" w:themeColor="text1"/>
                <w:highlight w:val="none"/>
                <w:lang w:val="en-US" w:eastAsia="zh-CN"/>
                <w14:textFill>
                  <w14:solidFill>
                    <w14:schemeClr w14:val="tx1"/>
                  </w14:solidFill>
                </w14:textFill>
              </w:rPr>
              <w:t>表</w:t>
            </w:r>
            <w:bookmarkStart w:id="88" w:name="OLE_LINK54"/>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072"/>
              <w:gridCol w:w="656"/>
              <w:gridCol w:w="652"/>
              <w:gridCol w:w="1063"/>
              <w:gridCol w:w="1063"/>
              <w:gridCol w:w="892"/>
              <w:gridCol w:w="949"/>
              <w:gridCol w:w="591"/>
            </w:tblGrid>
            <w:tr w14:paraId="520F1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304" w:type="pct"/>
                  <w:vMerge w:val="restart"/>
                  <w:tcBorders>
                    <w:tl2br w:val="nil"/>
                    <w:tr2bl w:val="nil"/>
                  </w:tcBorders>
                  <w:shd w:val="clear" w:color="auto" w:fill="auto"/>
                  <w:vAlign w:val="center"/>
                </w:tcPr>
                <w:p w14:paraId="5E6A27BA">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锅炉房装机总容量</w:t>
                  </w:r>
                </w:p>
              </w:tc>
              <w:tc>
                <w:tcPr>
                  <w:tcW w:w="413" w:type="pct"/>
                  <w:tcBorders>
                    <w:tl2br w:val="nil"/>
                    <w:tr2bl w:val="nil"/>
                  </w:tcBorders>
                  <w:shd w:val="clear" w:color="auto" w:fill="auto"/>
                  <w:vAlign w:val="center"/>
                </w:tcPr>
                <w:p w14:paraId="5836AA0C">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MW</w:t>
                  </w:r>
                </w:p>
              </w:tc>
              <w:tc>
                <w:tcPr>
                  <w:tcW w:w="410" w:type="pct"/>
                  <w:tcBorders>
                    <w:tl2br w:val="nil"/>
                    <w:tr2bl w:val="nil"/>
                  </w:tcBorders>
                  <w:shd w:val="clear" w:color="auto" w:fill="auto"/>
                  <w:vAlign w:val="center"/>
                </w:tcPr>
                <w:p w14:paraId="3B505D3E">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&lt;0.7</w:t>
                  </w:r>
                </w:p>
              </w:tc>
              <w:tc>
                <w:tcPr>
                  <w:tcW w:w="669" w:type="pct"/>
                  <w:tcBorders>
                    <w:tl2br w:val="nil"/>
                    <w:tr2bl w:val="nil"/>
                  </w:tcBorders>
                  <w:shd w:val="clear" w:color="auto" w:fill="auto"/>
                  <w:vAlign w:val="center"/>
                </w:tcPr>
                <w:p w14:paraId="7F642138">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0.7~&lt;1.4</w:t>
                  </w:r>
                </w:p>
              </w:tc>
              <w:tc>
                <w:tcPr>
                  <w:tcW w:w="669" w:type="pct"/>
                  <w:tcBorders>
                    <w:tl2br w:val="nil"/>
                    <w:tr2bl w:val="nil"/>
                  </w:tcBorders>
                  <w:shd w:val="clear" w:color="auto" w:fill="auto"/>
                  <w:vAlign w:val="center"/>
                </w:tcPr>
                <w:p w14:paraId="2A4A1213">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1.4~&lt;2.8</w:t>
                  </w:r>
                </w:p>
              </w:tc>
              <w:tc>
                <w:tcPr>
                  <w:tcW w:w="561" w:type="pct"/>
                  <w:tcBorders>
                    <w:tl2br w:val="nil"/>
                    <w:tr2bl w:val="nil"/>
                  </w:tcBorders>
                  <w:shd w:val="clear" w:color="auto" w:fill="auto"/>
                  <w:vAlign w:val="center"/>
                </w:tcPr>
                <w:p w14:paraId="20B6B028">
                  <w:pPr>
                    <w:pStyle w:val="35"/>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2.8~&lt;7</w:t>
                  </w:r>
                </w:p>
              </w:tc>
              <w:tc>
                <w:tcPr>
                  <w:tcW w:w="597" w:type="pct"/>
                  <w:tcBorders>
                    <w:tl2br w:val="nil"/>
                    <w:tr2bl w:val="nil"/>
                  </w:tcBorders>
                  <w:shd w:val="clear" w:color="auto" w:fill="auto"/>
                  <w:vAlign w:val="center"/>
                </w:tcPr>
                <w:p w14:paraId="1F4DB09B">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7~&lt;14</w:t>
                  </w:r>
                </w:p>
              </w:tc>
              <w:tc>
                <w:tcPr>
                  <w:tcW w:w="372" w:type="pct"/>
                  <w:tcBorders>
                    <w:tl2br w:val="nil"/>
                    <w:tr2bl w:val="nil"/>
                  </w:tcBorders>
                  <w:shd w:val="clear" w:color="auto" w:fill="auto"/>
                  <w:vAlign w:val="center"/>
                </w:tcPr>
                <w:p w14:paraId="32B25A52">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≥14</w:t>
                  </w:r>
                </w:p>
              </w:tc>
            </w:tr>
            <w:tr w14:paraId="278DD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304" w:type="pct"/>
                  <w:vMerge w:val="continue"/>
                  <w:tcBorders>
                    <w:tl2br w:val="nil"/>
                    <w:tr2bl w:val="nil"/>
                  </w:tcBorders>
                  <w:shd w:val="clear" w:color="auto" w:fill="auto"/>
                  <w:vAlign w:val="center"/>
                </w:tcPr>
                <w:p w14:paraId="57A96875">
                  <w:pPr>
                    <w:pStyle w:val="35"/>
                    <w:bidi w:val="0"/>
                    <w:jc w:val="center"/>
                    <w:rPr>
                      <w:rFonts w:hint="default" w:ascii="Times New Roman" w:hAnsi="Times New Roman" w:cs="Times New Roman"/>
                      <w:color w:val="000000" w:themeColor="text1"/>
                      <w14:textFill>
                        <w14:solidFill>
                          <w14:schemeClr w14:val="tx1"/>
                        </w14:solidFill>
                      </w14:textFill>
                    </w:rPr>
                  </w:pPr>
                </w:p>
              </w:tc>
              <w:tc>
                <w:tcPr>
                  <w:tcW w:w="413" w:type="pct"/>
                  <w:tcBorders>
                    <w:tl2br w:val="nil"/>
                    <w:tr2bl w:val="nil"/>
                  </w:tcBorders>
                  <w:shd w:val="clear" w:color="auto" w:fill="auto"/>
                  <w:vAlign w:val="center"/>
                </w:tcPr>
                <w:p w14:paraId="4F6813AE">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t/h</w:t>
                  </w:r>
                </w:p>
              </w:tc>
              <w:tc>
                <w:tcPr>
                  <w:tcW w:w="410" w:type="pct"/>
                  <w:tcBorders>
                    <w:tl2br w:val="nil"/>
                    <w:tr2bl w:val="nil"/>
                  </w:tcBorders>
                  <w:shd w:val="clear" w:color="auto" w:fill="auto"/>
                  <w:vAlign w:val="center"/>
                </w:tcPr>
                <w:p w14:paraId="1BB4CEF0">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&lt;1</w:t>
                  </w:r>
                </w:p>
              </w:tc>
              <w:tc>
                <w:tcPr>
                  <w:tcW w:w="669" w:type="pct"/>
                  <w:tcBorders>
                    <w:tl2br w:val="nil"/>
                    <w:tr2bl w:val="nil"/>
                  </w:tcBorders>
                  <w:shd w:val="clear" w:color="auto" w:fill="auto"/>
                  <w:vAlign w:val="center"/>
                </w:tcPr>
                <w:p w14:paraId="642035F2">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1~&lt;2</w:t>
                  </w:r>
                </w:p>
              </w:tc>
              <w:tc>
                <w:tcPr>
                  <w:tcW w:w="669" w:type="pct"/>
                  <w:tcBorders>
                    <w:tl2br w:val="nil"/>
                    <w:tr2bl w:val="nil"/>
                  </w:tcBorders>
                  <w:shd w:val="clear" w:color="auto" w:fill="auto"/>
                  <w:vAlign w:val="center"/>
                </w:tcPr>
                <w:p w14:paraId="15BDEAA7">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2~&lt;4</w:t>
                  </w:r>
                </w:p>
              </w:tc>
              <w:tc>
                <w:tcPr>
                  <w:tcW w:w="561" w:type="pct"/>
                  <w:tcBorders>
                    <w:tl2br w:val="nil"/>
                    <w:tr2bl w:val="nil"/>
                  </w:tcBorders>
                  <w:shd w:val="clear" w:color="auto" w:fill="auto"/>
                  <w:vAlign w:val="center"/>
                </w:tcPr>
                <w:p w14:paraId="70A445D1">
                  <w:pPr>
                    <w:pStyle w:val="35"/>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4~&lt;10</w:t>
                  </w:r>
                </w:p>
              </w:tc>
              <w:tc>
                <w:tcPr>
                  <w:tcW w:w="597" w:type="pct"/>
                  <w:tcBorders>
                    <w:tl2br w:val="nil"/>
                    <w:tr2bl w:val="nil"/>
                  </w:tcBorders>
                  <w:shd w:val="clear" w:color="auto" w:fill="auto"/>
                  <w:vAlign w:val="center"/>
                </w:tcPr>
                <w:p w14:paraId="0E0F74EE">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10~&lt;20</w:t>
                  </w:r>
                </w:p>
              </w:tc>
              <w:tc>
                <w:tcPr>
                  <w:tcW w:w="372" w:type="pct"/>
                  <w:tcBorders>
                    <w:tl2br w:val="nil"/>
                    <w:tr2bl w:val="nil"/>
                  </w:tcBorders>
                  <w:shd w:val="clear" w:color="auto" w:fill="auto"/>
                  <w:vAlign w:val="center"/>
                </w:tcPr>
                <w:p w14:paraId="7655C16A">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r>
            <w:tr w14:paraId="07464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1304" w:type="pct"/>
                  <w:tcBorders>
                    <w:tl2br w:val="nil"/>
                    <w:tr2bl w:val="nil"/>
                  </w:tcBorders>
                  <w:shd w:val="clear" w:color="auto" w:fill="auto"/>
                  <w:vAlign w:val="center"/>
                </w:tcPr>
                <w:p w14:paraId="0892E160">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烟囱最低允许高度</w:t>
                  </w:r>
                </w:p>
              </w:tc>
              <w:tc>
                <w:tcPr>
                  <w:tcW w:w="413" w:type="pct"/>
                  <w:tcBorders>
                    <w:tl2br w:val="nil"/>
                    <w:tr2bl w:val="nil"/>
                  </w:tcBorders>
                  <w:shd w:val="clear" w:color="auto" w:fill="auto"/>
                  <w:vAlign w:val="center"/>
                </w:tcPr>
                <w:p w14:paraId="2A8C1549">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m</w:t>
                  </w:r>
                </w:p>
              </w:tc>
              <w:tc>
                <w:tcPr>
                  <w:tcW w:w="410" w:type="pct"/>
                  <w:tcBorders>
                    <w:tl2br w:val="nil"/>
                    <w:tr2bl w:val="nil"/>
                  </w:tcBorders>
                  <w:shd w:val="clear" w:color="auto" w:fill="auto"/>
                  <w:vAlign w:val="center"/>
                </w:tcPr>
                <w:p w14:paraId="34840FE0">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w:t>
                  </w:r>
                </w:p>
              </w:tc>
              <w:tc>
                <w:tcPr>
                  <w:tcW w:w="669" w:type="pct"/>
                  <w:tcBorders>
                    <w:tl2br w:val="nil"/>
                    <w:tr2bl w:val="nil"/>
                  </w:tcBorders>
                  <w:shd w:val="clear" w:color="auto" w:fill="auto"/>
                  <w:vAlign w:val="center"/>
                </w:tcPr>
                <w:p w14:paraId="7D4A916E">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25</w:t>
                  </w:r>
                </w:p>
              </w:tc>
              <w:tc>
                <w:tcPr>
                  <w:tcW w:w="669" w:type="pct"/>
                  <w:tcBorders>
                    <w:tl2br w:val="nil"/>
                    <w:tr2bl w:val="nil"/>
                  </w:tcBorders>
                  <w:shd w:val="clear" w:color="auto" w:fill="auto"/>
                  <w:vAlign w:val="center"/>
                </w:tcPr>
                <w:p w14:paraId="71B06604">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30</w:t>
                  </w:r>
                </w:p>
              </w:tc>
              <w:tc>
                <w:tcPr>
                  <w:tcW w:w="561" w:type="pct"/>
                  <w:tcBorders>
                    <w:tl2br w:val="nil"/>
                    <w:tr2bl w:val="nil"/>
                  </w:tcBorders>
                  <w:shd w:val="clear" w:color="auto" w:fill="auto"/>
                  <w:vAlign w:val="center"/>
                </w:tcPr>
                <w:p w14:paraId="55329FCE">
                  <w:pPr>
                    <w:pStyle w:val="35"/>
                    <w:bidi w:val="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35</w:t>
                  </w:r>
                </w:p>
              </w:tc>
              <w:tc>
                <w:tcPr>
                  <w:tcW w:w="597" w:type="pct"/>
                  <w:tcBorders>
                    <w:tl2br w:val="nil"/>
                    <w:tr2bl w:val="nil"/>
                  </w:tcBorders>
                  <w:shd w:val="clear" w:color="auto" w:fill="auto"/>
                  <w:vAlign w:val="center"/>
                </w:tcPr>
                <w:p w14:paraId="455CC358">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40</w:t>
                  </w:r>
                </w:p>
              </w:tc>
              <w:tc>
                <w:tcPr>
                  <w:tcW w:w="372" w:type="pct"/>
                  <w:tcBorders>
                    <w:tl2br w:val="nil"/>
                    <w:tr2bl w:val="nil"/>
                  </w:tcBorders>
                  <w:shd w:val="clear" w:color="auto" w:fill="auto"/>
                  <w:vAlign w:val="center"/>
                </w:tcPr>
                <w:p w14:paraId="19607334">
                  <w:pPr>
                    <w:pStyle w:val="35"/>
                    <w:bidi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w:t>
                  </w:r>
                </w:p>
              </w:tc>
            </w:tr>
            <w:bookmarkEnd w:id="88"/>
          </w:tbl>
          <w:p w14:paraId="715FFB1C">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2、水污染物排放标准</w:t>
            </w:r>
          </w:p>
          <w:p w14:paraId="13D5BC16">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（1）施工期</w:t>
            </w:r>
          </w:p>
          <w:p w14:paraId="1F4C6669">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施工废水主要包括场地及机械设备冲洗水，经沉淀池处理后回用于施工场地洒水降尘及机械清洗。</w:t>
            </w:r>
          </w:p>
          <w:p w14:paraId="1FBD2C8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（2）运营期</w:t>
            </w:r>
          </w:p>
          <w:p w14:paraId="4D51AC62">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项目废水主要为W1</w:t>
            </w:r>
            <w:bookmarkStart w:id="89" w:name="OLE_LINK74"/>
            <w:r>
              <w:rPr>
                <w:rFonts w:hint="default" w:ascii="Times New Roman" w:hAnsi="Times New Roman" w:cs="Times New Roman"/>
                <w:color w:val="000000" w:themeColor="text1"/>
                <w:highlight w:val="none"/>
                <w14:textFill>
                  <w14:solidFill>
                    <w14:schemeClr w14:val="tx1"/>
                  </w14:solidFill>
                </w14:textFill>
              </w:rPr>
              <w:t>软水制备废水</w:t>
            </w:r>
            <w:bookmarkEnd w:id="89"/>
            <w:r>
              <w:rPr>
                <w:rFonts w:hint="default" w:ascii="Times New Roman" w:hAnsi="Times New Roman" w:cs="Times New Roman"/>
                <w:color w:val="000000" w:themeColor="text1"/>
                <w:highlight w:val="none"/>
                <w14:textFill>
                  <w14:solidFill>
                    <w14:schemeClr w14:val="tx1"/>
                  </w14:solidFill>
                </w14:textFill>
              </w:rPr>
              <w:t>、W2锅炉排污水。</w:t>
            </w:r>
            <w:bookmarkStart w:id="90" w:name="OLE_LINK73"/>
            <w:r>
              <w:rPr>
                <w:rFonts w:hint="default" w:ascii="Times New Roman" w:hAnsi="Times New Roman" w:cs="Times New Roman"/>
                <w:color w:val="000000" w:themeColor="text1"/>
                <w:highlight w:val="none"/>
                <w14:textFill>
                  <w14:solidFill>
                    <w14:schemeClr w14:val="tx1"/>
                  </w14:solidFill>
                </w14:textFill>
              </w:rPr>
              <w:t>生产废水</w:t>
            </w:r>
            <w:r>
              <w:rPr>
                <w:rFonts w:hint="default" w:ascii="Times New Roman" w:hAnsi="Times New Roman" w:cs="Times New Roman"/>
                <w:color w:val="000000" w:themeColor="text1"/>
                <w:szCs w:val="24"/>
                <w:highlight w:val="none"/>
                <w14:textFill>
                  <w14:solidFill>
                    <w14:schemeClr w14:val="tx1"/>
                  </w14:solidFill>
                </w14:textFill>
              </w:rPr>
              <w:t>直接经园区污水管网进入大榄坪污水处理厂处理，废水排放执行大榄坪污水处理厂纳管标准</w:t>
            </w:r>
            <w:r>
              <w:rPr>
                <w:rFonts w:hint="eastAsia" w:cs="Times New Roman"/>
                <w:color w:val="000000" w:themeColor="text1"/>
                <w:szCs w:val="24"/>
                <w:highlight w:val="none"/>
                <w:lang w:val="en-US" w:eastAsia="zh-CN"/>
                <w14:textFill>
                  <w14:solidFill>
                    <w14:schemeClr w14:val="tx1"/>
                  </w14:solidFill>
                </w14:textFill>
              </w:rPr>
              <w:t>即《污水综合排放标准》(GB8978-1996)三级标准</w:t>
            </w:r>
            <w:r>
              <w:rPr>
                <w:rFonts w:hint="default" w:ascii="Times New Roman" w:hAnsi="Times New Roman" w:cs="Times New Roman"/>
                <w:color w:val="000000" w:themeColor="text1"/>
                <w:szCs w:val="24"/>
                <w:highlight w:val="none"/>
                <w14:textFill>
                  <w14:solidFill>
                    <w14:schemeClr w14:val="tx1"/>
                  </w14:solidFill>
                </w14:textFill>
              </w:rPr>
              <w:t>。</w:t>
            </w:r>
            <w:bookmarkEnd w:id="90"/>
          </w:p>
          <w:p w14:paraId="43EB1266">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大榄坪污水处理厂尾水达到《城镇污水处理厂污染物排放标准》（GB18918-2002）一级A标准限值要求后排入海域。</w:t>
            </w:r>
          </w:p>
          <w:p w14:paraId="4F93B775">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表3-</w:t>
            </w:r>
            <w:r>
              <w:rPr>
                <w:rFonts w:hint="eastAsia"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：项目废水排放标准    单位：mg/L（除pH外）</w:t>
            </w:r>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58"/>
              <w:gridCol w:w="575"/>
              <w:gridCol w:w="762"/>
              <w:gridCol w:w="840"/>
              <w:gridCol w:w="564"/>
              <w:gridCol w:w="703"/>
              <w:gridCol w:w="533"/>
              <w:gridCol w:w="503"/>
            </w:tblGrid>
            <w:tr w14:paraId="3FE4C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78" w:type="pct"/>
                  <w:tcBorders>
                    <w:insideH w:val="single" w:sz="12" w:space="0"/>
                    <w:insideV w:val="single" w:sz="4" w:space="0"/>
                    <w:tl2br w:val="nil"/>
                    <w:tr2bl w:val="nil"/>
                  </w:tcBorders>
                  <w:vAlign w:val="center"/>
                </w:tcPr>
                <w:p w14:paraId="6B7A5FC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项目</w:t>
                  </w:r>
                </w:p>
              </w:tc>
              <w:tc>
                <w:tcPr>
                  <w:tcW w:w="362" w:type="pct"/>
                  <w:tcBorders>
                    <w:insideH w:val="single" w:sz="12" w:space="0"/>
                    <w:insideV w:val="single" w:sz="4" w:space="0"/>
                    <w:tl2br w:val="nil"/>
                    <w:tr2bl w:val="nil"/>
                  </w:tcBorders>
                  <w:vAlign w:val="center"/>
                </w:tcPr>
                <w:p w14:paraId="64EFF2E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pH</w:t>
                  </w:r>
                </w:p>
              </w:tc>
              <w:tc>
                <w:tcPr>
                  <w:tcW w:w="480" w:type="pct"/>
                  <w:tcBorders>
                    <w:insideH w:val="single" w:sz="12" w:space="0"/>
                    <w:insideV w:val="single" w:sz="4" w:space="0"/>
                    <w:tl2br w:val="nil"/>
                    <w:tr2bl w:val="nil"/>
                  </w:tcBorders>
                  <w:vAlign w:val="center"/>
                </w:tcPr>
                <w:p w14:paraId="5128EA7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vertAlign w:val="subscript"/>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COD</w:t>
                  </w:r>
                </w:p>
              </w:tc>
              <w:tc>
                <w:tcPr>
                  <w:tcW w:w="529" w:type="pct"/>
                  <w:tcBorders>
                    <w:insideH w:val="single" w:sz="12" w:space="0"/>
                    <w:insideV w:val="single" w:sz="4" w:space="0"/>
                    <w:tl2br w:val="nil"/>
                    <w:tr2bl w:val="nil"/>
                  </w:tcBorders>
                  <w:vAlign w:val="center"/>
                </w:tcPr>
                <w:p w14:paraId="5AC6CC6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vertAlign w:val="subscript"/>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BOD</w:t>
                  </w:r>
                  <w:r>
                    <w:rPr>
                      <w:rFonts w:hint="default" w:ascii="Times New Roman" w:hAnsi="Times New Roman" w:eastAsia="宋体" w:cs="Times New Roman"/>
                      <w:b/>
                      <w:i w:val="0"/>
                      <w:color w:val="000000" w:themeColor="text1"/>
                      <w:sz w:val="21"/>
                      <w:szCs w:val="21"/>
                      <w:highlight w:val="none"/>
                      <w:vertAlign w:val="subscript"/>
                      <w14:textFill>
                        <w14:solidFill>
                          <w14:schemeClr w14:val="tx1"/>
                        </w14:solidFill>
                      </w14:textFill>
                      <w14:ligatures w14:val="standardContextual"/>
                    </w:rPr>
                    <w:t>5</w:t>
                  </w:r>
                </w:p>
              </w:tc>
              <w:tc>
                <w:tcPr>
                  <w:tcW w:w="355" w:type="pct"/>
                  <w:tcBorders>
                    <w:insideH w:val="single" w:sz="12" w:space="0"/>
                    <w:insideV w:val="single" w:sz="4" w:space="0"/>
                    <w:tl2br w:val="nil"/>
                    <w:tr2bl w:val="nil"/>
                  </w:tcBorders>
                  <w:vAlign w:val="center"/>
                </w:tcPr>
                <w:p w14:paraId="36444B1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SS</w:t>
                  </w:r>
                </w:p>
              </w:tc>
              <w:tc>
                <w:tcPr>
                  <w:tcW w:w="443" w:type="pct"/>
                  <w:tcBorders>
                    <w:insideH w:val="single" w:sz="12" w:space="0"/>
                    <w:insideV w:val="single" w:sz="4" w:space="0"/>
                    <w:tl2br w:val="nil"/>
                    <w:tr2bl w:val="nil"/>
                  </w:tcBorders>
                  <w:vAlign w:val="center"/>
                </w:tcPr>
                <w:p w14:paraId="57A0F54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氨氮</w:t>
                  </w:r>
                </w:p>
              </w:tc>
              <w:tc>
                <w:tcPr>
                  <w:tcW w:w="336" w:type="pct"/>
                  <w:tcBorders>
                    <w:insideH w:val="single" w:sz="12" w:space="0"/>
                    <w:insideV w:val="single" w:sz="4" w:space="0"/>
                    <w:tl2br w:val="nil"/>
                    <w:tr2bl w:val="nil"/>
                  </w:tcBorders>
                  <w:vAlign w:val="center"/>
                </w:tcPr>
                <w:p w14:paraId="200E798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TN</w:t>
                  </w:r>
                </w:p>
              </w:tc>
              <w:tc>
                <w:tcPr>
                  <w:tcW w:w="317" w:type="pct"/>
                  <w:tcBorders>
                    <w:insideH w:val="single" w:sz="12" w:space="0"/>
                    <w:insideV w:val="single" w:sz="4" w:space="0"/>
                    <w:tl2br w:val="nil"/>
                    <w:tr2bl w:val="nil"/>
                  </w:tcBorders>
                  <w:vAlign w:val="center"/>
                </w:tcPr>
                <w:p w14:paraId="0428CBA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TP</w:t>
                  </w:r>
                </w:p>
              </w:tc>
            </w:tr>
            <w:tr w14:paraId="43D924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178" w:type="pct"/>
                  <w:tcBorders>
                    <w:tl2br w:val="nil"/>
                    <w:tr2bl w:val="nil"/>
                  </w:tcBorders>
                  <w:vAlign w:val="center"/>
                </w:tcPr>
                <w:p w14:paraId="0E49B89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大榄坪污水处理厂纳管标准</w:t>
                  </w:r>
                </w:p>
              </w:tc>
              <w:tc>
                <w:tcPr>
                  <w:tcW w:w="362" w:type="pct"/>
                  <w:tcBorders>
                    <w:tl2br w:val="nil"/>
                    <w:tr2bl w:val="nil"/>
                  </w:tcBorders>
                  <w:vAlign w:val="center"/>
                </w:tcPr>
                <w:p w14:paraId="6CD9E82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6~9</w:t>
                  </w:r>
                </w:p>
              </w:tc>
              <w:tc>
                <w:tcPr>
                  <w:tcW w:w="480" w:type="pct"/>
                  <w:tcBorders>
                    <w:tl2br w:val="nil"/>
                    <w:tr2bl w:val="nil"/>
                  </w:tcBorders>
                  <w:vAlign w:val="center"/>
                </w:tcPr>
                <w:p w14:paraId="2DB2C89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500</w:t>
                  </w:r>
                </w:p>
              </w:tc>
              <w:tc>
                <w:tcPr>
                  <w:tcW w:w="529" w:type="pct"/>
                  <w:tcBorders>
                    <w:tl2br w:val="nil"/>
                    <w:tr2bl w:val="nil"/>
                  </w:tcBorders>
                  <w:vAlign w:val="center"/>
                </w:tcPr>
                <w:p w14:paraId="240EAAC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200</w:t>
                  </w:r>
                </w:p>
              </w:tc>
              <w:tc>
                <w:tcPr>
                  <w:tcW w:w="355" w:type="pct"/>
                  <w:tcBorders>
                    <w:tl2br w:val="nil"/>
                    <w:tr2bl w:val="nil"/>
                  </w:tcBorders>
                  <w:vAlign w:val="center"/>
                </w:tcPr>
                <w:p w14:paraId="13BAA24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300</w:t>
                  </w:r>
                </w:p>
              </w:tc>
              <w:tc>
                <w:tcPr>
                  <w:tcW w:w="443" w:type="pct"/>
                  <w:tcBorders>
                    <w:tl2br w:val="nil"/>
                    <w:tr2bl w:val="nil"/>
                  </w:tcBorders>
                  <w:vAlign w:val="center"/>
                </w:tcPr>
                <w:p w14:paraId="7658F98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35</w:t>
                  </w:r>
                </w:p>
              </w:tc>
              <w:tc>
                <w:tcPr>
                  <w:tcW w:w="336" w:type="pct"/>
                  <w:tcBorders>
                    <w:tl2br w:val="nil"/>
                    <w:tr2bl w:val="nil"/>
                  </w:tcBorders>
                  <w:vAlign w:val="center"/>
                </w:tcPr>
                <w:p w14:paraId="02F89C0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45</w:t>
                  </w:r>
                </w:p>
              </w:tc>
              <w:tc>
                <w:tcPr>
                  <w:tcW w:w="317" w:type="pct"/>
                  <w:tcBorders>
                    <w:tl2br w:val="nil"/>
                    <w:tr2bl w:val="nil"/>
                  </w:tcBorders>
                  <w:vAlign w:val="center"/>
                </w:tcPr>
                <w:p w14:paraId="562BE7C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4.5</w:t>
                  </w:r>
                </w:p>
              </w:tc>
            </w:tr>
          </w:tbl>
          <w:p w14:paraId="73A97CD2">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3、噪声排放标准</w:t>
            </w:r>
          </w:p>
          <w:p w14:paraId="5355A15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项目施工期场界噪声排放执行《建筑施工场界环境噪声排放标准》（GB12523-2011）中表1标准；</w:t>
            </w:r>
          </w:p>
          <w:p w14:paraId="5E238AD2">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项目运营期厂界噪声执行</w:t>
            </w:r>
            <w:r>
              <w:rPr>
                <w:rFonts w:hint="default" w:ascii="Times New Roman" w:hAnsi="Times New Roman" w:cs="Times New Roman"/>
                <w:color w:val="000000" w:themeColor="text1"/>
                <w:highlight w:val="none"/>
                <w:u w:val="single"/>
                <w14:textFill>
                  <w14:solidFill>
                    <w14:schemeClr w14:val="tx1"/>
                  </w14:solidFill>
                </w14:textFill>
              </w:rPr>
              <w:t>《工业企业厂界环境噪声排放标准》（GB12348-2008）中的3</w:t>
            </w:r>
            <w:r>
              <w:rPr>
                <w:rFonts w:hint="eastAsia" w:cs="Times New Roman"/>
                <w:color w:val="000000" w:themeColor="text1"/>
                <w:highlight w:val="none"/>
                <w:u w:val="single"/>
                <w:lang w:eastAsia="zh-CN"/>
                <w14:textFill>
                  <w14:solidFill>
                    <w14:schemeClr w14:val="tx1"/>
                  </w14:solidFill>
                </w14:textFill>
              </w:rPr>
              <w:t>、</w:t>
            </w:r>
            <w:r>
              <w:rPr>
                <w:rFonts w:hint="eastAsia" w:cs="Times New Roman"/>
                <w:color w:val="000000" w:themeColor="text1"/>
                <w:highlight w:val="none"/>
                <w:u w:val="single"/>
                <w:lang w:val="en-US" w:eastAsia="zh-CN"/>
                <w14:textFill>
                  <w14:solidFill>
                    <w14:schemeClr w14:val="tx1"/>
                  </w14:solidFill>
                </w14:textFill>
              </w:rPr>
              <w:t>4</w:t>
            </w:r>
            <w:r>
              <w:rPr>
                <w:rFonts w:hint="default" w:ascii="Times New Roman" w:hAnsi="Times New Roman" w:cs="Times New Roman"/>
                <w:color w:val="000000" w:themeColor="text1"/>
                <w:highlight w:val="none"/>
                <w:u w:val="single"/>
                <w14:textFill>
                  <w14:solidFill>
                    <w14:schemeClr w14:val="tx1"/>
                  </w14:solidFill>
                </w14:textFill>
              </w:rPr>
              <w:t>类标准值。</w:t>
            </w:r>
          </w:p>
          <w:p w14:paraId="27529BE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具体标准值见下表。</w:t>
            </w:r>
          </w:p>
          <w:p w14:paraId="733BFB6C">
            <w:pPr>
              <w:pStyle w:val="34"/>
              <w:rPr>
                <w:rFonts w:hint="default" w:ascii="Times New Roman" w:hAnsi="Times New Roman" w:cs="Times New Roman"/>
                <w:color w:val="000000" w:themeColor="text1"/>
                <w:highlight w:val="none"/>
                <w14:textFill>
                  <w14:solidFill>
                    <w14:schemeClr w14:val="tx1"/>
                  </w14:solidFill>
                </w14:textFill>
              </w:rPr>
            </w:pPr>
            <w:bookmarkStart w:id="91" w:name="OLE_LINK218"/>
            <w:r>
              <w:rPr>
                <w:rFonts w:hint="default" w:ascii="Times New Roman" w:hAnsi="Times New Roman" w:cs="Times New Roman"/>
                <w:color w:val="000000" w:themeColor="text1"/>
                <w:highlight w:val="none"/>
                <w14:textFill>
                  <w14:solidFill>
                    <w14:schemeClr w14:val="tx1"/>
                  </w14:solidFill>
                </w14:textFill>
              </w:rPr>
              <w:t>表3-</w:t>
            </w:r>
            <w:r>
              <w:rPr>
                <w:rFonts w:hint="default" w:ascii="Times New Roman" w:hAnsi="Times New Roman" w:cs="Times New Roman"/>
                <w:color w:val="000000" w:themeColor="text1"/>
                <w:highlight w:val="none"/>
                <w:lang w:val="en-US" w:eastAsia="zh-CN"/>
                <w14:textFill>
                  <w14:solidFill>
                    <w14:schemeClr w14:val="tx1"/>
                  </w14:solidFill>
                </w14:textFill>
              </w:rPr>
              <w:t>9</w:t>
            </w:r>
            <w:r>
              <w:rPr>
                <w:rFonts w:hint="default" w:ascii="Times New Roman" w:hAnsi="Times New Roman" w:cs="Times New Roman"/>
                <w:color w:val="000000" w:themeColor="text1"/>
                <w:highlight w:val="none"/>
                <w14:textFill>
                  <w14:solidFill>
                    <w14:schemeClr w14:val="tx1"/>
                  </w14:solidFill>
                </w14:textFill>
              </w:rPr>
              <w:t>：</w:t>
            </w:r>
            <w:bookmarkEnd w:id="91"/>
            <w:r>
              <w:rPr>
                <w:rFonts w:hint="default" w:ascii="Times New Roman" w:hAnsi="Times New Roman" w:cs="Times New Roman"/>
                <w:color w:val="000000" w:themeColor="text1"/>
                <w:highlight w:val="none"/>
                <w14:textFill>
                  <w14:solidFill>
                    <w14:schemeClr w14:val="tx1"/>
                  </w14:solidFill>
                </w14:textFill>
              </w:rPr>
              <w:t>项目厂界噪声标准值  单位dB（A）</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714"/>
              <w:gridCol w:w="705"/>
              <w:gridCol w:w="707"/>
              <w:gridCol w:w="1272"/>
              <w:gridCol w:w="3540"/>
            </w:tblGrid>
            <w:tr w14:paraId="11EC6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79" w:type="pct"/>
                  <w:tcBorders>
                    <w:tl2br w:val="nil"/>
                    <w:tr2bl w:val="nil"/>
                  </w:tcBorders>
                  <w:shd w:val="clear" w:color="auto" w:fill="auto"/>
                  <w:vAlign w:val="center"/>
                </w:tcPr>
                <w:p w14:paraId="0624025A">
                  <w:pPr>
                    <w:widowControl w:val="0"/>
                    <w:overflowPunct w:val="0"/>
                    <w:autoSpaceDE w:val="0"/>
                    <w:autoSpaceDN w:val="0"/>
                    <w:snapToGrid w:val="0"/>
                    <w:jc w:val="center"/>
                    <w:rPr>
                      <w:rFonts w:hint="default" w:ascii="Times New Roman" w:hAnsi="Times New Roman" w:cs="Times New Roman"/>
                      <w:b/>
                      <w:snapToGrid w:val="0"/>
                      <w:color w:val="000000" w:themeColor="text1"/>
                      <w:highlight w:val="none"/>
                      <w14:textFill>
                        <w14:solidFill>
                          <w14:schemeClr w14:val="tx1"/>
                        </w14:solidFill>
                      </w14:textFill>
                    </w:rPr>
                  </w:pPr>
                  <w:r>
                    <w:rPr>
                      <w:rFonts w:hint="default" w:ascii="Times New Roman" w:hAnsi="Times New Roman" w:cs="Times New Roman"/>
                      <w:b/>
                      <w:snapToGrid w:val="0"/>
                      <w:color w:val="000000" w:themeColor="text1"/>
                      <w:highlight w:val="none"/>
                      <w14:textFill>
                        <w14:solidFill>
                          <w14:schemeClr w14:val="tx1"/>
                        </w14:solidFill>
                      </w14:textFill>
                    </w:rPr>
                    <w:t>类别</w:t>
                  </w:r>
                </w:p>
              </w:tc>
              <w:tc>
                <w:tcPr>
                  <w:tcW w:w="889" w:type="pct"/>
                  <w:gridSpan w:val="2"/>
                  <w:tcBorders>
                    <w:tl2br w:val="nil"/>
                    <w:tr2bl w:val="nil"/>
                  </w:tcBorders>
                  <w:shd w:val="clear" w:color="auto" w:fill="auto"/>
                  <w:vAlign w:val="center"/>
                </w:tcPr>
                <w:p w14:paraId="536356AE">
                  <w:pPr>
                    <w:widowControl w:val="0"/>
                    <w:overflowPunct w:val="0"/>
                    <w:autoSpaceDE w:val="0"/>
                    <w:autoSpaceDN w:val="0"/>
                    <w:snapToGrid w:val="0"/>
                    <w:jc w:val="center"/>
                    <w:rPr>
                      <w:rFonts w:hint="default" w:ascii="Times New Roman" w:hAnsi="Times New Roman" w:cs="Times New Roman"/>
                      <w:b/>
                      <w:snapToGrid w:val="0"/>
                      <w:color w:val="000000" w:themeColor="text1"/>
                      <w:highlight w:val="none"/>
                      <w14:textFill>
                        <w14:solidFill>
                          <w14:schemeClr w14:val="tx1"/>
                        </w14:solidFill>
                      </w14:textFill>
                    </w:rPr>
                  </w:pPr>
                  <w:r>
                    <w:rPr>
                      <w:rFonts w:hint="default" w:ascii="Times New Roman" w:hAnsi="Times New Roman" w:cs="Times New Roman"/>
                      <w:b/>
                      <w:snapToGrid w:val="0"/>
                      <w:color w:val="000000" w:themeColor="text1"/>
                      <w:highlight w:val="none"/>
                      <w14:textFill>
                        <w14:solidFill>
                          <w14:schemeClr w14:val="tx1"/>
                        </w14:solidFill>
                      </w14:textFill>
                    </w:rPr>
                    <w:t>污染物名称</w:t>
                  </w:r>
                </w:p>
              </w:tc>
              <w:tc>
                <w:tcPr>
                  <w:tcW w:w="801" w:type="pct"/>
                  <w:tcBorders>
                    <w:tl2br w:val="nil"/>
                    <w:tr2bl w:val="nil"/>
                  </w:tcBorders>
                  <w:shd w:val="clear" w:color="auto" w:fill="auto"/>
                  <w:vAlign w:val="center"/>
                </w:tcPr>
                <w:p w14:paraId="00861E94">
                  <w:pPr>
                    <w:widowControl w:val="0"/>
                    <w:overflowPunct w:val="0"/>
                    <w:autoSpaceDE w:val="0"/>
                    <w:autoSpaceDN w:val="0"/>
                    <w:snapToGrid w:val="0"/>
                    <w:jc w:val="center"/>
                    <w:rPr>
                      <w:rFonts w:hint="default" w:ascii="Times New Roman" w:hAnsi="Times New Roman" w:cs="Times New Roman"/>
                      <w:b/>
                      <w:snapToGrid w:val="0"/>
                      <w:color w:val="000000" w:themeColor="text1"/>
                      <w:highlight w:val="none"/>
                      <w14:textFill>
                        <w14:solidFill>
                          <w14:schemeClr w14:val="tx1"/>
                        </w14:solidFill>
                      </w14:textFill>
                    </w:rPr>
                  </w:pPr>
                  <w:r>
                    <w:rPr>
                      <w:rFonts w:hint="default" w:ascii="Times New Roman" w:hAnsi="Times New Roman" w:cs="Times New Roman"/>
                      <w:b/>
                      <w:snapToGrid w:val="0"/>
                      <w:color w:val="000000" w:themeColor="text1"/>
                      <w:highlight w:val="none"/>
                      <w14:textFill>
                        <w14:solidFill>
                          <w14:schemeClr w14:val="tx1"/>
                        </w14:solidFill>
                      </w14:textFill>
                    </w:rPr>
                    <w:t>标准限值</w:t>
                  </w:r>
                </w:p>
              </w:tc>
              <w:tc>
                <w:tcPr>
                  <w:tcW w:w="2229" w:type="pct"/>
                  <w:tcBorders>
                    <w:tl2br w:val="nil"/>
                    <w:tr2bl w:val="nil"/>
                  </w:tcBorders>
                  <w:shd w:val="clear" w:color="auto" w:fill="auto"/>
                  <w:vAlign w:val="center"/>
                </w:tcPr>
                <w:p w14:paraId="5CD4C2E7">
                  <w:pPr>
                    <w:widowControl w:val="0"/>
                    <w:overflowPunct w:val="0"/>
                    <w:autoSpaceDE w:val="0"/>
                    <w:autoSpaceDN w:val="0"/>
                    <w:snapToGrid w:val="0"/>
                    <w:jc w:val="center"/>
                    <w:rPr>
                      <w:rFonts w:hint="default" w:ascii="Times New Roman" w:hAnsi="Times New Roman" w:cs="Times New Roman"/>
                      <w:b/>
                      <w:snapToGrid w:val="0"/>
                      <w:color w:val="000000" w:themeColor="text1"/>
                      <w:highlight w:val="none"/>
                      <w14:textFill>
                        <w14:solidFill>
                          <w14:schemeClr w14:val="tx1"/>
                        </w14:solidFill>
                      </w14:textFill>
                    </w:rPr>
                  </w:pPr>
                  <w:r>
                    <w:rPr>
                      <w:rFonts w:hint="default" w:ascii="Times New Roman" w:hAnsi="Times New Roman" w:cs="Times New Roman"/>
                      <w:b/>
                      <w:snapToGrid w:val="0"/>
                      <w:color w:val="000000" w:themeColor="text1"/>
                      <w:highlight w:val="none"/>
                      <w14:textFill>
                        <w14:solidFill>
                          <w14:schemeClr w14:val="tx1"/>
                        </w14:solidFill>
                      </w14:textFill>
                    </w:rPr>
                    <w:t>来源</w:t>
                  </w:r>
                </w:p>
              </w:tc>
            </w:tr>
            <w:tr w14:paraId="4781E5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79" w:type="pct"/>
                  <w:vMerge w:val="restart"/>
                  <w:tcBorders>
                    <w:tl2br w:val="nil"/>
                    <w:tr2bl w:val="nil"/>
                  </w:tcBorders>
                  <w:shd w:val="clear" w:color="auto" w:fill="auto"/>
                  <w:vAlign w:val="center"/>
                </w:tcPr>
                <w:p w14:paraId="35434E65">
                  <w:pPr>
                    <w:widowControl w:val="0"/>
                    <w:overflowPunct w:val="0"/>
                    <w:autoSpaceDE w:val="0"/>
                    <w:autoSpaceDN w:val="0"/>
                    <w:snapToGrid w:val="0"/>
                    <w:jc w:val="center"/>
                    <w:rPr>
                      <w:rFonts w:hint="default" w:ascii="Times New Roman" w:hAnsi="Times New Roman" w:cs="Times New Roman"/>
                      <w:snapToGrid w:val="0"/>
                      <w:color w:val="000000" w:themeColor="text1"/>
                      <w:highlight w:val="none"/>
                      <w14:textFill>
                        <w14:solidFill>
                          <w14:schemeClr w14:val="tx1"/>
                        </w14:solidFill>
                      </w14:textFill>
                    </w:rPr>
                  </w:pPr>
                  <w:r>
                    <w:rPr>
                      <w:rFonts w:hint="default" w:ascii="Times New Roman" w:hAnsi="Times New Roman" w:cs="Times New Roman"/>
                      <w:snapToGrid w:val="0"/>
                      <w:color w:val="000000" w:themeColor="text1"/>
                      <w:highlight w:val="none"/>
                      <w14:textFill>
                        <w14:solidFill>
                          <w14:schemeClr w14:val="tx1"/>
                        </w14:solidFill>
                      </w14:textFill>
                    </w:rPr>
                    <w:t>施工期厂界噪声</w:t>
                  </w:r>
                </w:p>
              </w:tc>
              <w:tc>
                <w:tcPr>
                  <w:tcW w:w="444" w:type="pct"/>
                  <w:vMerge w:val="restart"/>
                  <w:tcBorders>
                    <w:tl2br w:val="nil"/>
                    <w:tr2bl w:val="nil"/>
                  </w:tcBorders>
                  <w:shd w:val="clear" w:color="auto" w:fill="auto"/>
                  <w:vAlign w:val="center"/>
                </w:tcPr>
                <w:p w14:paraId="7336046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等效A声级</w:t>
                  </w:r>
                </w:p>
              </w:tc>
              <w:tc>
                <w:tcPr>
                  <w:tcW w:w="445" w:type="pct"/>
                  <w:tcBorders>
                    <w:tl2br w:val="nil"/>
                    <w:tr2bl w:val="nil"/>
                  </w:tcBorders>
                  <w:shd w:val="clear" w:color="auto" w:fill="auto"/>
                  <w:vAlign w:val="center"/>
                </w:tcPr>
                <w:p w14:paraId="051B1BB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昼间</w:t>
                  </w:r>
                </w:p>
              </w:tc>
              <w:tc>
                <w:tcPr>
                  <w:tcW w:w="801" w:type="pct"/>
                  <w:tcBorders>
                    <w:tl2br w:val="nil"/>
                    <w:tr2bl w:val="nil"/>
                  </w:tcBorders>
                  <w:shd w:val="clear" w:color="auto" w:fill="auto"/>
                  <w:vAlign w:val="center"/>
                </w:tcPr>
                <w:p w14:paraId="7BDC256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70</w:t>
                  </w:r>
                </w:p>
              </w:tc>
              <w:tc>
                <w:tcPr>
                  <w:tcW w:w="2229" w:type="pct"/>
                  <w:vMerge w:val="restart"/>
                  <w:tcBorders>
                    <w:tl2br w:val="nil"/>
                    <w:tr2bl w:val="nil"/>
                  </w:tcBorders>
                  <w:shd w:val="clear" w:color="auto" w:fill="auto"/>
                  <w:vAlign w:val="center"/>
                </w:tcPr>
                <w:p w14:paraId="629308C1">
                  <w:pPr>
                    <w:widowControl w:val="0"/>
                    <w:overflowPunct w:val="0"/>
                    <w:autoSpaceDE w:val="0"/>
                    <w:autoSpaceDN w:val="0"/>
                    <w:snapToGrid w:val="0"/>
                    <w:jc w:val="center"/>
                    <w:rPr>
                      <w:rFonts w:hint="default" w:ascii="Times New Roman" w:hAnsi="Times New Roman" w:cs="Times New Roman"/>
                      <w:snapToGrid w:val="0"/>
                      <w:color w:val="000000" w:themeColor="text1"/>
                      <w:highlight w:val="none"/>
                      <w14:textFill>
                        <w14:solidFill>
                          <w14:schemeClr w14:val="tx1"/>
                        </w14:solidFill>
                      </w14:textFill>
                    </w:rPr>
                  </w:pPr>
                  <w:r>
                    <w:rPr>
                      <w:rFonts w:hint="default" w:ascii="Times New Roman" w:hAnsi="Times New Roman" w:cs="Times New Roman"/>
                      <w:snapToGrid w:val="0"/>
                      <w:color w:val="000000" w:themeColor="text1"/>
                      <w:highlight w:val="none"/>
                      <w14:textFill>
                        <w14:solidFill>
                          <w14:schemeClr w14:val="tx1"/>
                        </w14:solidFill>
                      </w14:textFill>
                    </w:rPr>
                    <w:t>《建筑施工场界环境噪声排放标准》（GB12523-2011）中表1</w:t>
                  </w:r>
                </w:p>
              </w:tc>
            </w:tr>
            <w:tr w14:paraId="15268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79" w:type="pct"/>
                  <w:vMerge w:val="continue"/>
                  <w:tcBorders>
                    <w:tl2br w:val="nil"/>
                    <w:tr2bl w:val="nil"/>
                  </w:tcBorders>
                  <w:shd w:val="clear" w:color="auto" w:fill="auto"/>
                  <w:vAlign w:val="center"/>
                </w:tcPr>
                <w:p w14:paraId="7F548963">
                  <w:pPr>
                    <w:widowControl w:val="0"/>
                    <w:overflowPunct w:val="0"/>
                    <w:autoSpaceDE w:val="0"/>
                    <w:autoSpaceDN w:val="0"/>
                    <w:snapToGrid w:val="0"/>
                    <w:jc w:val="center"/>
                    <w:rPr>
                      <w:rFonts w:hint="default" w:ascii="Times New Roman" w:hAnsi="Times New Roman" w:cs="Times New Roman"/>
                      <w:snapToGrid w:val="0"/>
                      <w:color w:val="000000" w:themeColor="text1"/>
                      <w:highlight w:val="none"/>
                      <w14:textFill>
                        <w14:solidFill>
                          <w14:schemeClr w14:val="tx1"/>
                        </w14:solidFill>
                      </w14:textFill>
                    </w:rPr>
                  </w:pPr>
                </w:p>
              </w:tc>
              <w:tc>
                <w:tcPr>
                  <w:tcW w:w="444" w:type="pct"/>
                  <w:vMerge w:val="continue"/>
                  <w:tcBorders>
                    <w:tl2br w:val="nil"/>
                    <w:tr2bl w:val="nil"/>
                  </w:tcBorders>
                  <w:shd w:val="clear" w:color="auto" w:fill="auto"/>
                  <w:vAlign w:val="center"/>
                </w:tcPr>
                <w:p w14:paraId="0BC1BC8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rPr>
                  </w:pPr>
                </w:p>
              </w:tc>
              <w:tc>
                <w:tcPr>
                  <w:tcW w:w="445" w:type="pct"/>
                  <w:tcBorders>
                    <w:tl2br w:val="nil"/>
                    <w:tr2bl w:val="nil"/>
                  </w:tcBorders>
                  <w:shd w:val="clear" w:color="auto" w:fill="auto"/>
                  <w:vAlign w:val="center"/>
                </w:tcPr>
                <w:p w14:paraId="30406EF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夜间</w:t>
                  </w:r>
                </w:p>
              </w:tc>
              <w:tc>
                <w:tcPr>
                  <w:tcW w:w="801" w:type="pct"/>
                  <w:tcBorders>
                    <w:tl2br w:val="nil"/>
                    <w:tr2bl w:val="nil"/>
                  </w:tcBorders>
                  <w:shd w:val="clear" w:color="auto" w:fill="auto"/>
                  <w:vAlign w:val="center"/>
                </w:tcPr>
                <w:p w14:paraId="2BC8C22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55</w:t>
                  </w:r>
                </w:p>
              </w:tc>
              <w:tc>
                <w:tcPr>
                  <w:tcW w:w="2229" w:type="pct"/>
                  <w:vMerge w:val="continue"/>
                  <w:tcBorders>
                    <w:tl2br w:val="nil"/>
                    <w:tr2bl w:val="nil"/>
                  </w:tcBorders>
                  <w:shd w:val="clear" w:color="auto" w:fill="auto"/>
                  <w:vAlign w:val="center"/>
                </w:tcPr>
                <w:p w14:paraId="2D3C7315">
                  <w:pPr>
                    <w:widowControl w:val="0"/>
                    <w:overflowPunct w:val="0"/>
                    <w:autoSpaceDE w:val="0"/>
                    <w:autoSpaceDN w:val="0"/>
                    <w:snapToGrid w:val="0"/>
                    <w:jc w:val="center"/>
                    <w:rPr>
                      <w:rFonts w:hint="default" w:ascii="Times New Roman" w:hAnsi="Times New Roman" w:cs="Times New Roman"/>
                      <w:snapToGrid w:val="0"/>
                      <w:color w:val="000000" w:themeColor="text1"/>
                      <w:highlight w:val="none"/>
                      <w14:textFill>
                        <w14:solidFill>
                          <w14:schemeClr w14:val="tx1"/>
                        </w14:solidFill>
                      </w14:textFill>
                    </w:rPr>
                  </w:pPr>
                </w:p>
              </w:tc>
            </w:tr>
            <w:tr w14:paraId="185A42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79" w:type="pct"/>
                  <w:vMerge w:val="restart"/>
                  <w:tcBorders>
                    <w:tl2br w:val="nil"/>
                    <w:tr2bl w:val="nil"/>
                  </w:tcBorders>
                  <w:shd w:val="clear" w:color="auto" w:fill="auto"/>
                  <w:vAlign w:val="center"/>
                </w:tcPr>
                <w:p w14:paraId="0FB959A5">
                  <w:pPr>
                    <w:pStyle w:val="54"/>
                    <w:spacing w:before="129" w:line="219" w:lineRule="auto"/>
                    <w:jc w:val="left"/>
                    <w:rPr>
                      <w:rFonts w:hint="default" w:ascii="Times New Roman" w:hAnsi="Times New Roman" w:cs="Times New Roman"/>
                      <w:snapToGrid w:val="0"/>
                      <w:color w:val="000000" w:themeColor="text1"/>
                      <w:highlight w:val="none"/>
                      <w:u w:val="single"/>
                      <w14:textFill>
                        <w14:solidFill>
                          <w14:schemeClr w14:val="tx1"/>
                        </w14:solidFill>
                      </w14:textFill>
                    </w:rPr>
                  </w:pPr>
                  <w:r>
                    <w:rPr>
                      <w:rFonts w:hint="eastAsia"/>
                      <w:color w:val="000000" w:themeColor="text1"/>
                      <w:spacing w:val="-1"/>
                      <w:sz w:val="21"/>
                      <w:szCs w:val="21"/>
                      <w:u w:val="single"/>
                      <w:lang w:val="en-US" w:eastAsia="zh-CN"/>
                      <w14:textFill>
                        <w14:solidFill>
                          <w14:schemeClr w14:val="tx1"/>
                        </w14:solidFill>
                      </w14:textFill>
                    </w:rPr>
                    <w:t>运营期</w:t>
                  </w:r>
                  <w:r>
                    <w:rPr>
                      <w:color w:val="000000" w:themeColor="text1"/>
                      <w:spacing w:val="-1"/>
                      <w:sz w:val="21"/>
                      <w:szCs w:val="21"/>
                      <w:u w:val="single"/>
                      <w14:textFill>
                        <w14:solidFill>
                          <w14:schemeClr w14:val="tx1"/>
                        </w14:solidFill>
                      </w14:textFill>
                    </w:rPr>
                    <w:t>项目西侧厂界</w:t>
                  </w:r>
                </w:p>
              </w:tc>
              <w:tc>
                <w:tcPr>
                  <w:tcW w:w="444" w:type="pct"/>
                  <w:vMerge w:val="restart"/>
                  <w:tcBorders>
                    <w:tl2br w:val="nil"/>
                    <w:tr2bl w:val="nil"/>
                  </w:tcBorders>
                  <w:shd w:val="clear" w:color="auto" w:fill="auto"/>
                  <w:vAlign w:val="center"/>
                </w:tcPr>
                <w:p w14:paraId="7FBFC5AE">
                  <w:pPr>
                    <w:widowControl w:val="0"/>
                    <w:overflowPunct w:val="0"/>
                    <w:autoSpaceDE w:val="0"/>
                    <w:autoSpaceDN w:val="0"/>
                    <w:snapToGrid w:val="0"/>
                    <w:jc w:val="center"/>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等效A声级</w:t>
                  </w:r>
                </w:p>
              </w:tc>
              <w:tc>
                <w:tcPr>
                  <w:tcW w:w="445" w:type="pct"/>
                  <w:tcBorders>
                    <w:tl2br w:val="nil"/>
                    <w:tr2bl w:val="nil"/>
                  </w:tcBorders>
                  <w:shd w:val="clear" w:color="auto" w:fill="auto"/>
                  <w:vAlign w:val="center"/>
                </w:tcPr>
                <w:p w14:paraId="212C417C">
                  <w:pPr>
                    <w:widowControl w:val="0"/>
                    <w:overflowPunct w:val="0"/>
                    <w:autoSpaceDE w:val="0"/>
                    <w:autoSpaceDN w:val="0"/>
                    <w:snapToGrid w:val="0"/>
                    <w:jc w:val="center"/>
                    <w:rPr>
                      <w:rFonts w:hint="default" w:ascii="Times New Roman" w:hAnsi="Times New Roman" w:cs="Times New Roman"/>
                      <w:snapToGrid w:val="0"/>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昼间</w:t>
                  </w:r>
                </w:p>
              </w:tc>
              <w:tc>
                <w:tcPr>
                  <w:tcW w:w="801" w:type="pct"/>
                  <w:tcBorders>
                    <w:tl2br w:val="nil"/>
                    <w:tr2bl w:val="nil"/>
                  </w:tcBorders>
                  <w:shd w:val="clear" w:color="auto" w:fill="auto"/>
                  <w:vAlign w:val="center"/>
                </w:tcPr>
                <w:p w14:paraId="361A54D5">
                  <w:pPr>
                    <w:widowControl w:val="0"/>
                    <w:overflowPunct w:val="0"/>
                    <w:autoSpaceDE w:val="0"/>
                    <w:autoSpaceDN w:val="0"/>
                    <w:snapToGrid w:val="0"/>
                    <w:jc w:val="center"/>
                    <w:rPr>
                      <w:rFonts w:hint="default" w:ascii="Times New Roman" w:hAnsi="Times New Roman" w:cs="Times New Roman"/>
                      <w:snapToGrid w:val="0"/>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65</w:t>
                  </w:r>
                </w:p>
              </w:tc>
              <w:tc>
                <w:tcPr>
                  <w:tcW w:w="2229" w:type="pct"/>
                  <w:vMerge w:val="restart"/>
                  <w:tcBorders>
                    <w:tl2br w:val="nil"/>
                    <w:tr2bl w:val="nil"/>
                  </w:tcBorders>
                  <w:shd w:val="clear" w:color="auto" w:fill="auto"/>
                  <w:vAlign w:val="center"/>
                </w:tcPr>
                <w:p w14:paraId="71312C7D">
                  <w:pPr>
                    <w:widowControl w:val="0"/>
                    <w:overflowPunct w:val="0"/>
                    <w:autoSpaceDE w:val="0"/>
                    <w:autoSpaceDN w:val="0"/>
                    <w:snapToGrid w:val="0"/>
                    <w:jc w:val="center"/>
                    <w:rPr>
                      <w:rFonts w:hint="default" w:ascii="Times New Roman" w:hAnsi="Times New Roman" w:cs="Times New Roman"/>
                      <w:snapToGrid w:val="0"/>
                      <w:color w:val="000000" w:themeColor="text1"/>
                      <w:highlight w:val="none"/>
                      <w:u w:val="single"/>
                      <w14:textFill>
                        <w14:solidFill>
                          <w14:schemeClr w14:val="tx1"/>
                        </w14:solidFill>
                      </w14:textFill>
                    </w:rPr>
                  </w:pPr>
                  <w:r>
                    <w:rPr>
                      <w:rFonts w:hint="default" w:ascii="Times New Roman" w:hAnsi="Times New Roman" w:cs="Times New Roman"/>
                      <w:snapToGrid w:val="0"/>
                      <w:color w:val="000000" w:themeColor="text1"/>
                      <w:highlight w:val="none"/>
                      <w:u w:val="single"/>
                      <w14:textFill>
                        <w14:solidFill>
                          <w14:schemeClr w14:val="tx1"/>
                        </w14:solidFill>
                      </w14:textFill>
                    </w:rPr>
                    <w:t>《工业企业厂界环境噪声排放标准》（GB12348-2008）3类标准</w:t>
                  </w:r>
                </w:p>
              </w:tc>
            </w:tr>
            <w:tr w14:paraId="37988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79" w:type="pct"/>
                  <w:vMerge w:val="continue"/>
                  <w:tcBorders>
                    <w:tl2br w:val="nil"/>
                    <w:tr2bl w:val="nil"/>
                  </w:tcBorders>
                  <w:shd w:val="clear" w:color="auto" w:fill="auto"/>
                  <w:vAlign w:val="center"/>
                </w:tcPr>
                <w:p w14:paraId="23033162">
                  <w:pPr>
                    <w:widowControl w:val="0"/>
                    <w:overflowPunct w:val="0"/>
                    <w:autoSpaceDE w:val="0"/>
                    <w:autoSpaceDN w:val="0"/>
                    <w:snapToGrid w:val="0"/>
                    <w:jc w:val="left"/>
                    <w:rPr>
                      <w:rFonts w:hint="default" w:ascii="Times New Roman" w:hAnsi="Times New Roman" w:cs="Times New Roman"/>
                      <w:snapToGrid w:val="0"/>
                      <w:color w:val="000000" w:themeColor="text1"/>
                      <w:highlight w:val="none"/>
                      <w:u w:val="single"/>
                      <w14:textFill>
                        <w14:solidFill>
                          <w14:schemeClr w14:val="tx1"/>
                        </w14:solidFill>
                      </w14:textFill>
                    </w:rPr>
                  </w:pPr>
                </w:p>
              </w:tc>
              <w:tc>
                <w:tcPr>
                  <w:tcW w:w="444" w:type="pct"/>
                  <w:vMerge w:val="continue"/>
                  <w:tcBorders>
                    <w:tl2br w:val="nil"/>
                    <w:tr2bl w:val="nil"/>
                  </w:tcBorders>
                  <w:shd w:val="clear" w:color="auto" w:fill="auto"/>
                  <w:vAlign w:val="center"/>
                </w:tcPr>
                <w:p w14:paraId="7B98DCAF">
                  <w:pPr>
                    <w:widowControl w:val="0"/>
                    <w:overflowPunct w:val="0"/>
                    <w:autoSpaceDE w:val="0"/>
                    <w:autoSpaceDN w:val="0"/>
                    <w:snapToGrid w:val="0"/>
                    <w:jc w:val="center"/>
                    <w:rPr>
                      <w:rFonts w:hint="default" w:ascii="Times New Roman" w:hAnsi="Times New Roman" w:cs="Times New Roman"/>
                      <w:color w:val="000000" w:themeColor="text1"/>
                      <w:highlight w:val="none"/>
                      <w:u w:val="single"/>
                      <w14:textFill>
                        <w14:solidFill>
                          <w14:schemeClr w14:val="tx1"/>
                        </w14:solidFill>
                      </w14:textFill>
                    </w:rPr>
                  </w:pPr>
                </w:p>
              </w:tc>
              <w:tc>
                <w:tcPr>
                  <w:tcW w:w="445" w:type="pct"/>
                  <w:tcBorders>
                    <w:tl2br w:val="nil"/>
                    <w:tr2bl w:val="nil"/>
                  </w:tcBorders>
                  <w:shd w:val="clear" w:color="auto" w:fill="auto"/>
                  <w:vAlign w:val="center"/>
                </w:tcPr>
                <w:p w14:paraId="307A5128">
                  <w:pPr>
                    <w:widowControl w:val="0"/>
                    <w:overflowPunct w:val="0"/>
                    <w:autoSpaceDE w:val="0"/>
                    <w:autoSpaceDN w:val="0"/>
                    <w:snapToGrid w:val="0"/>
                    <w:jc w:val="center"/>
                    <w:rPr>
                      <w:rFonts w:hint="default" w:ascii="Times New Roman" w:hAnsi="Times New Roman" w:cs="Times New Roman"/>
                      <w:snapToGrid w:val="0"/>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夜间</w:t>
                  </w:r>
                </w:p>
              </w:tc>
              <w:tc>
                <w:tcPr>
                  <w:tcW w:w="801" w:type="pct"/>
                  <w:tcBorders>
                    <w:tl2br w:val="nil"/>
                    <w:tr2bl w:val="nil"/>
                  </w:tcBorders>
                  <w:shd w:val="clear" w:color="auto" w:fill="auto"/>
                  <w:vAlign w:val="center"/>
                </w:tcPr>
                <w:p w14:paraId="2593D0D1">
                  <w:pPr>
                    <w:widowControl w:val="0"/>
                    <w:overflowPunct w:val="0"/>
                    <w:autoSpaceDE w:val="0"/>
                    <w:autoSpaceDN w:val="0"/>
                    <w:snapToGrid w:val="0"/>
                    <w:jc w:val="center"/>
                    <w:rPr>
                      <w:rFonts w:hint="default" w:ascii="Times New Roman" w:hAnsi="Times New Roman" w:cs="Times New Roman"/>
                      <w:snapToGrid w:val="0"/>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55</w:t>
                  </w:r>
                </w:p>
              </w:tc>
              <w:tc>
                <w:tcPr>
                  <w:tcW w:w="2229" w:type="pct"/>
                  <w:vMerge w:val="continue"/>
                  <w:tcBorders>
                    <w:tl2br w:val="nil"/>
                    <w:tr2bl w:val="nil"/>
                  </w:tcBorders>
                  <w:shd w:val="clear" w:color="auto" w:fill="auto"/>
                  <w:vAlign w:val="center"/>
                </w:tcPr>
                <w:p w14:paraId="4AF62AC7">
                  <w:pPr>
                    <w:widowControl w:val="0"/>
                    <w:overflowPunct w:val="0"/>
                    <w:autoSpaceDE w:val="0"/>
                    <w:autoSpaceDN w:val="0"/>
                    <w:snapToGrid w:val="0"/>
                    <w:jc w:val="center"/>
                    <w:rPr>
                      <w:rFonts w:hint="default" w:ascii="Times New Roman" w:hAnsi="Times New Roman" w:cs="Times New Roman"/>
                      <w:snapToGrid w:val="0"/>
                      <w:color w:val="000000" w:themeColor="text1"/>
                      <w:highlight w:val="none"/>
                      <w:u w:val="single"/>
                      <w14:textFill>
                        <w14:solidFill>
                          <w14:schemeClr w14:val="tx1"/>
                        </w14:solidFill>
                      </w14:textFill>
                    </w:rPr>
                  </w:pPr>
                </w:p>
              </w:tc>
            </w:tr>
            <w:tr w14:paraId="17CC8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79" w:type="pct"/>
                  <w:vMerge w:val="restart"/>
                  <w:tcBorders>
                    <w:tl2br w:val="nil"/>
                    <w:tr2bl w:val="nil"/>
                  </w:tcBorders>
                  <w:shd w:val="clear" w:color="auto" w:fill="auto"/>
                  <w:vAlign w:val="center"/>
                </w:tcPr>
                <w:p w14:paraId="4DD767B6">
                  <w:pPr>
                    <w:pStyle w:val="54"/>
                    <w:spacing w:before="128" w:line="219" w:lineRule="auto"/>
                    <w:jc w:val="left"/>
                    <w:rPr>
                      <w:rFonts w:hint="default" w:ascii="Times New Roman" w:hAnsi="Times New Roman" w:cs="Times New Roman"/>
                      <w:snapToGrid w:val="0"/>
                      <w:color w:val="000000" w:themeColor="text1"/>
                      <w:highlight w:val="none"/>
                      <w:u w:val="single"/>
                      <w14:textFill>
                        <w14:solidFill>
                          <w14:schemeClr w14:val="tx1"/>
                        </w14:solidFill>
                      </w14:textFill>
                    </w:rPr>
                  </w:pPr>
                  <w:r>
                    <w:rPr>
                      <w:rFonts w:hint="eastAsia"/>
                      <w:color w:val="000000" w:themeColor="text1"/>
                      <w:spacing w:val="-1"/>
                      <w:sz w:val="21"/>
                      <w:szCs w:val="21"/>
                      <w:u w:val="single"/>
                      <w:lang w:val="en-US" w:eastAsia="zh-CN"/>
                      <w14:textFill>
                        <w14:solidFill>
                          <w14:schemeClr w14:val="tx1"/>
                        </w14:solidFill>
                      </w14:textFill>
                    </w:rPr>
                    <w:t>运营期</w:t>
                  </w:r>
                  <w:r>
                    <w:rPr>
                      <w:color w:val="000000" w:themeColor="text1"/>
                      <w:spacing w:val="-1"/>
                      <w:sz w:val="21"/>
                      <w:szCs w:val="21"/>
                      <w:u w:val="single"/>
                      <w14:textFill>
                        <w14:solidFill>
                          <w14:schemeClr w14:val="tx1"/>
                        </w14:solidFill>
                      </w14:textFill>
                    </w:rPr>
                    <w:t>项目</w:t>
                  </w:r>
                  <w:r>
                    <w:rPr>
                      <w:rFonts w:hint="eastAsia"/>
                      <w:color w:val="000000" w:themeColor="text1"/>
                      <w:spacing w:val="-1"/>
                      <w:sz w:val="21"/>
                      <w:szCs w:val="21"/>
                      <w:u w:val="single"/>
                      <w:lang w:val="en-US" w:eastAsia="zh-CN"/>
                      <w14:textFill>
                        <w14:solidFill>
                          <w14:schemeClr w14:val="tx1"/>
                        </w14:solidFill>
                      </w14:textFill>
                    </w:rPr>
                    <w:t>南侧厂界、</w:t>
                  </w:r>
                  <w:r>
                    <w:rPr>
                      <w:color w:val="000000" w:themeColor="text1"/>
                      <w:spacing w:val="-1"/>
                      <w:sz w:val="21"/>
                      <w:szCs w:val="21"/>
                      <w:u w:val="single"/>
                      <w14:textFill>
                        <w14:solidFill>
                          <w14:schemeClr w14:val="tx1"/>
                        </w14:solidFill>
                      </w14:textFill>
                    </w:rPr>
                    <w:t>东侧厂界、北侧厂界</w:t>
                  </w:r>
                </w:p>
              </w:tc>
              <w:tc>
                <w:tcPr>
                  <w:tcW w:w="444" w:type="pct"/>
                  <w:vMerge w:val="restart"/>
                  <w:tcBorders>
                    <w:tl2br w:val="nil"/>
                    <w:tr2bl w:val="nil"/>
                  </w:tcBorders>
                  <w:shd w:val="clear" w:color="auto" w:fill="auto"/>
                  <w:vAlign w:val="center"/>
                </w:tcPr>
                <w:p w14:paraId="621C5A2F">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u w:val="single"/>
                      <w:lang w:val="en-US" w:eastAsia="zh-CN" w:bidi="ar-SA"/>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等效A声级</w:t>
                  </w:r>
                </w:p>
              </w:tc>
              <w:tc>
                <w:tcPr>
                  <w:tcW w:w="445" w:type="pct"/>
                  <w:tcBorders>
                    <w:tl2br w:val="nil"/>
                    <w:tr2bl w:val="nil"/>
                  </w:tcBorders>
                  <w:shd w:val="clear" w:color="auto" w:fill="auto"/>
                  <w:vAlign w:val="center"/>
                </w:tcPr>
                <w:p w14:paraId="121AE7D5">
                  <w:pPr>
                    <w:widowControl w:val="0"/>
                    <w:overflowPunct w:val="0"/>
                    <w:autoSpaceDE w:val="0"/>
                    <w:autoSpaceDN w:val="0"/>
                    <w:snapToGrid w:val="0"/>
                    <w:jc w:val="center"/>
                    <w:rPr>
                      <w:rFonts w:hint="default" w:ascii="Times New Roman" w:hAnsi="Times New Roman" w:eastAsia="宋体" w:cs="Times New Roman"/>
                      <w:snapToGrid w:val="0"/>
                      <w:color w:val="000000" w:themeColor="text1"/>
                      <w:sz w:val="21"/>
                      <w:szCs w:val="21"/>
                      <w:highlight w:val="none"/>
                      <w:u w:val="single"/>
                      <w:lang w:val="en-US" w:eastAsia="zh-CN" w:bidi="ar-SA"/>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昼间</w:t>
                  </w:r>
                </w:p>
              </w:tc>
              <w:tc>
                <w:tcPr>
                  <w:tcW w:w="801" w:type="pct"/>
                  <w:tcBorders>
                    <w:tl2br w:val="nil"/>
                    <w:tr2bl w:val="nil"/>
                  </w:tcBorders>
                  <w:shd w:val="clear" w:color="auto" w:fill="auto"/>
                  <w:vAlign w:val="center"/>
                </w:tcPr>
                <w:p w14:paraId="289450D5">
                  <w:pPr>
                    <w:widowControl w:val="0"/>
                    <w:overflowPunct w:val="0"/>
                    <w:autoSpaceDE w:val="0"/>
                    <w:autoSpaceDN w:val="0"/>
                    <w:snapToGrid w:val="0"/>
                    <w:jc w:val="center"/>
                    <w:rPr>
                      <w:rFonts w:hint="default" w:ascii="Times New Roman" w:hAnsi="Times New Roman" w:eastAsia="宋体" w:cs="Times New Roman"/>
                      <w:snapToGrid w:val="0"/>
                      <w:color w:val="000000" w:themeColor="text1"/>
                      <w:sz w:val="21"/>
                      <w:szCs w:val="21"/>
                      <w:highlight w:val="none"/>
                      <w:u w:val="single"/>
                      <w:lang w:val="en-US" w:eastAsia="zh-CN" w:bidi="ar-SA"/>
                      <w14:textFill>
                        <w14:solidFill>
                          <w14:schemeClr w14:val="tx1"/>
                        </w14:solidFill>
                      </w14:textFill>
                    </w:rPr>
                  </w:pPr>
                  <w:r>
                    <w:rPr>
                      <w:rFonts w:hint="eastAsia" w:cs="Times New Roman"/>
                      <w:color w:val="000000" w:themeColor="text1"/>
                      <w:highlight w:val="none"/>
                      <w:u w:val="single"/>
                      <w:lang w:val="en-US" w:eastAsia="zh-CN"/>
                      <w14:textFill>
                        <w14:solidFill>
                          <w14:schemeClr w14:val="tx1"/>
                        </w14:solidFill>
                      </w14:textFill>
                    </w:rPr>
                    <w:t>70</w:t>
                  </w:r>
                </w:p>
              </w:tc>
              <w:tc>
                <w:tcPr>
                  <w:tcW w:w="2229" w:type="pct"/>
                  <w:vMerge w:val="restart"/>
                  <w:tcBorders>
                    <w:tl2br w:val="nil"/>
                    <w:tr2bl w:val="nil"/>
                  </w:tcBorders>
                  <w:shd w:val="clear" w:color="auto" w:fill="auto"/>
                  <w:vAlign w:val="center"/>
                </w:tcPr>
                <w:p w14:paraId="664010A6">
                  <w:pPr>
                    <w:widowControl w:val="0"/>
                    <w:overflowPunct w:val="0"/>
                    <w:autoSpaceDE w:val="0"/>
                    <w:autoSpaceDN w:val="0"/>
                    <w:snapToGrid w:val="0"/>
                    <w:jc w:val="center"/>
                    <w:rPr>
                      <w:rFonts w:hint="default" w:ascii="Times New Roman" w:hAnsi="Times New Roman" w:cs="Times New Roman"/>
                      <w:snapToGrid w:val="0"/>
                      <w:color w:val="000000" w:themeColor="text1"/>
                      <w:highlight w:val="none"/>
                      <w:u w:val="single"/>
                      <w14:textFill>
                        <w14:solidFill>
                          <w14:schemeClr w14:val="tx1"/>
                        </w14:solidFill>
                      </w14:textFill>
                    </w:rPr>
                  </w:pPr>
                  <w:r>
                    <w:rPr>
                      <w:rFonts w:hint="default" w:ascii="Times New Roman" w:hAnsi="Times New Roman" w:cs="Times New Roman"/>
                      <w:snapToGrid w:val="0"/>
                      <w:color w:val="000000" w:themeColor="text1"/>
                      <w:highlight w:val="none"/>
                      <w:u w:val="single"/>
                      <w14:textFill>
                        <w14:solidFill>
                          <w14:schemeClr w14:val="tx1"/>
                        </w14:solidFill>
                      </w14:textFill>
                    </w:rPr>
                    <w:t>《工业企业厂界环境噪声排放标准》（GB12348-2008）</w:t>
                  </w:r>
                  <w:r>
                    <w:rPr>
                      <w:rFonts w:hint="eastAsia" w:cs="Times New Roman"/>
                      <w:snapToGrid w:val="0"/>
                      <w:color w:val="000000" w:themeColor="text1"/>
                      <w:highlight w:val="none"/>
                      <w:u w:val="single"/>
                      <w:lang w:val="en-US" w:eastAsia="zh-CN"/>
                      <w14:textFill>
                        <w14:solidFill>
                          <w14:schemeClr w14:val="tx1"/>
                        </w14:solidFill>
                      </w14:textFill>
                    </w:rPr>
                    <w:t>4</w:t>
                  </w:r>
                  <w:r>
                    <w:rPr>
                      <w:rFonts w:hint="default" w:ascii="Times New Roman" w:hAnsi="Times New Roman" w:cs="Times New Roman"/>
                      <w:snapToGrid w:val="0"/>
                      <w:color w:val="000000" w:themeColor="text1"/>
                      <w:highlight w:val="none"/>
                      <w:u w:val="single"/>
                      <w14:textFill>
                        <w14:solidFill>
                          <w14:schemeClr w14:val="tx1"/>
                        </w14:solidFill>
                      </w14:textFill>
                    </w:rPr>
                    <w:t>类标准</w:t>
                  </w:r>
                </w:p>
              </w:tc>
            </w:tr>
            <w:tr w14:paraId="676AC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79" w:type="pct"/>
                  <w:vMerge w:val="continue"/>
                  <w:tcBorders>
                    <w:tl2br w:val="nil"/>
                    <w:tr2bl w:val="nil"/>
                  </w:tcBorders>
                  <w:shd w:val="clear" w:color="auto" w:fill="auto"/>
                  <w:vAlign w:val="center"/>
                </w:tcPr>
                <w:p w14:paraId="0FF83C3C">
                  <w:pPr>
                    <w:widowControl w:val="0"/>
                    <w:overflowPunct w:val="0"/>
                    <w:autoSpaceDE w:val="0"/>
                    <w:autoSpaceDN w:val="0"/>
                    <w:snapToGrid w:val="0"/>
                    <w:jc w:val="center"/>
                    <w:rPr>
                      <w:rFonts w:hint="default" w:ascii="Times New Roman" w:hAnsi="Times New Roman" w:cs="Times New Roman"/>
                      <w:snapToGrid w:val="0"/>
                      <w:color w:val="000000" w:themeColor="text1"/>
                      <w:highlight w:val="none"/>
                      <w14:textFill>
                        <w14:solidFill>
                          <w14:schemeClr w14:val="tx1"/>
                        </w14:solidFill>
                      </w14:textFill>
                    </w:rPr>
                  </w:pPr>
                </w:p>
              </w:tc>
              <w:tc>
                <w:tcPr>
                  <w:tcW w:w="444" w:type="pct"/>
                  <w:vMerge w:val="continue"/>
                  <w:tcBorders>
                    <w:tl2br w:val="nil"/>
                    <w:tr2bl w:val="nil"/>
                  </w:tcBorders>
                  <w:shd w:val="clear" w:color="auto" w:fill="auto"/>
                  <w:vAlign w:val="center"/>
                </w:tcPr>
                <w:p w14:paraId="3C5FFE9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rPr>
                  </w:pPr>
                </w:p>
              </w:tc>
              <w:tc>
                <w:tcPr>
                  <w:tcW w:w="445" w:type="pct"/>
                  <w:tcBorders>
                    <w:tl2br w:val="nil"/>
                    <w:tr2bl w:val="nil"/>
                  </w:tcBorders>
                  <w:shd w:val="clear" w:color="auto" w:fill="auto"/>
                  <w:vAlign w:val="center"/>
                </w:tcPr>
                <w:p w14:paraId="78B47386">
                  <w:pPr>
                    <w:widowControl w:val="0"/>
                    <w:overflowPunct w:val="0"/>
                    <w:autoSpaceDE w:val="0"/>
                    <w:autoSpaceDN w:val="0"/>
                    <w:snapToGrid w:val="0"/>
                    <w:jc w:val="center"/>
                    <w:rPr>
                      <w:rFonts w:hint="default" w:ascii="Times New Roman" w:hAnsi="Times New Roman" w:eastAsia="宋体" w:cs="Times New Roman"/>
                      <w:snapToGrid w:val="0"/>
                      <w:color w:val="000000" w:themeColor="text1"/>
                      <w:sz w:val="21"/>
                      <w:szCs w:val="21"/>
                      <w:highlight w:val="none"/>
                      <w:u w:val="single"/>
                      <w:lang w:val="en-US" w:eastAsia="zh-CN" w:bidi="ar-SA"/>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夜间</w:t>
                  </w:r>
                </w:p>
              </w:tc>
              <w:tc>
                <w:tcPr>
                  <w:tcW w:w="801" w:type="pct"/>
                  <w:tcBorders>
                    <w:tl2br w:val="nil"/>
                    <w:tr2bl w:val="nil"/>
                  </w:tcBorders>
                  <w:shd w:val="clear" w:color="auto" w:fill="auto"/>
                  <w:vAlign w:val="center"/>
                </w:tcPr>
                <w:p w14:paraId="65A5E056">
                  <w:pPr>
                    <w:widowControl w:val="0"/>
                    <w:overflowPunct w:val="0"/>
                    <w:autoSpaceDE w:val="0"/>
                    <w:autoSpaceDN w:val="0"/>
                    <w:snapToGrid w:val="0"/>
                    <w:jc w:val="center"/>
                    <w:rPr>
                      <w:rFonts w:hint="default" w:ascii="Times New Roman" w:hAnsi="Times New Roman" w:eastAsia="宋体" w:cs="Times New Roman"/>
                      <w:snapToGrid w:val="0"/>
                      <w:color w:val="000000" w:themeColor="text1"/>
                      <w:sz w:val="21"/>
                      <w:szCs w:val="21"/>
                      <w:highlight w:val="none"/>
                      <w:u w:val="single"/>
                      <w:lang w:val="en-US" w:eastAsia="zh-CN" w:bidi="ar-SA"/>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55</w:t>
                  </w:r>
                </w:p>
              </w:tc>
              <w:tc>
                <w:tcPr>
                  <w:tcW w:w="2229" w:type="pct"/>
                  <w:vMerge w:val="continue"/>
                  <w:tcBorders>
                    <w:tl2br w:val="nil"/>
                    <w:tr2bl w:val="nil"/>
                  </w:tcBorders>
                  <w:shd w:val="clear" w:color="auto" w:fill="auto"/>
                  <w:vAlign w:val="center"/>
                </w:tcPr>
                <w:p w14:paraId="24ED928A">
                  <w:pPr>
                    <w:widowControl w:val="0"/>
                    <w:overflowPunct w:val="0"/>
                    <w:autoSpaceDE w:val="0"/>
                    <w:autoSpaceDN w:val="0"/>
                    <w:snapToGrid w:val="0"/>
                    <w:jc w:val="center"/>
                    <w:rPr>
                      <w:rFonts w:hint="default" w:ascii="Times New Roman" w:hAnsi="Times New Roman" w:cs="Times New Roman"/>
                      <w:snapToGrid w:val="0"/>
                      <w:color w:val="000000" w:themeColor="text1"/>
                      <w:highlight w:val="none"/>
                      <w14:textFill>
                        <w14:solidFill>
                          <w14:schemeClr w14:val="tx1"/>
                        </w14:solidFill>
                      </w14:textFill>
                    </w:rPr>
                  </w:pPr>
                </w:p>
              </w:tc>
            </w:tr>
          </w:tbl>
          <w:p w14:paraId="293BC83C">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4、固体废物污染控制标准</w:t>
            </w:r>
          </w:p>
          <w:p w14:paraId="04A0E36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项目产生的固体废物的收集、暂存、运输、处置等环节均应满足《中华人民共和国固体废物污染环境防治法（2020年修订）》有关规定要求；</w:t>
            </w:r>
            <w:bookmarkStart w:id="92" w:name="OLE_LINK37"/>
            <w:bookmarkStart w:id="93" w:name="OLE_LINK30"/>
            <w:r>
              <w:rPr>
                <w:rFonts w:hint="default" w:ascii="Times New Roman" w:hAnsi="Times New Roman" w:cs="Times New Roman"/>
                <w:color w:val="000000" w:themeColor="text1"/>
                <w:highlight w:val="none"/>
                <w14:textFill>
                  <w14:solidFill>
                    <w14:schemeClr w14:val="tx1"/>
                  </w14:solidFill>
                </w14:textFill>
              </w:rPr>
              <w:t>一般固体废物执行《一般工业固体废物贮存和填埋污染控制标准》（GB15899-2020）</w:t>
            </w:r>
            <w:bookmarkEnd w:id="92"/>
            <w:r>
              <w:rPr>
                <w:rFonts w:hint="default" w:ascii="Times New Roman" w:hAnsi="Times New Roman" w:cs="Times New Roman"/>
                <w:color w:val="000000" w:themeColor="text1"/>
                <w:highlight w:val="none"/>
                <w14:textFill>
                  <w14:solidFill>
                    <w14:schemeClr w14:val="tx1"/>
                  </w14:solidFill>
                </w14:textFill>
              </w:rPr>
              <w:t>标准；</w:t>
            </w:r>
            <w:bookmarkEnd w:id="93"/>
            <w:bookmarkStart w:id="94" w:name="OLE_LINK28"/>
            <w:r>
              <w:rPr>
                <w:rFonts w:hint="default" w:ascii="Times New Roman" w:hAnsi="Times New Roman" w:cs="Times New Roman"/>
                <w:color w:val="000000" w:themeColor="text1"/>
                <w:highlight w:val="none"/>
                <w14:textFill>
                  <w14:solidFill>
                    <w14:schemeClr w14:val="tx1"/>
                  </w14:solidFill>
                </w14:textFill>
              </w:rPr>
              <w:t>危险</w:t>
            </w:r>
            <w:bookmarkEnd w:id="94"/>
            <w:r>
              <w:rPr>
                <w:rFonts w:hint="default" w:ascii="Times New Roman" w:hAnsi="Times New Roman" w:cs="Times New Roman"/>
                <w:color w:val="000000" w:themeColor="text1"/>
                <w:highlight w:val="none"/>
                <w14:textFill>
                  <w14:solidFill>
                    <w14:schemeClr w14:val="tx1"/>
                  </w14:solidFill>
                </w14:textFill>
              </w:rPr>
              <w:t>废物执行《危险废物贮存污染控制标准》(GB18597-2023)；生活垃圾应实施分类收集管理，执行《中华人民共和国固体废物污染环境防治法（2020年修订）》。</w:t>
            </w:r>
          </w:p>
          <w:p w14:paraId="2393B43F">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244DC705">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tc>
      </w:tr>
      <w:tr w14:paraId="78FBC2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40" w:type="pct"/>
            <w:vAlign w:val="center"/>
          </w:tcPr>
          <w:p w14:paraId="31D1AE60">
            <w:pPr>
              <w:snapToGrid w:val="0"/>
              <w:jc w:val="center"/>
              <w:rPr>
                <w:rFonts w:hint="default" w:ascii="Times New Roman" w:hAnsi="Times New Roman" w:cs="Times New Roman"/>
                <w:color w:val="000000" w:themeColor="text1"/>
                <w:sz w:val="24"/>
                <w:highlight w:val="none"/>
                <w14:textFill>
                  <w14:solidFill>
                    <w14:schemeClr w14:val="tx1"/>
                  </w14:solidFill>
                </w14:textFill>
              </w:rPr>
            </w:pPr>
            <w:bookmarkStart w:id="95" w:name="OLE_LINK62"/>
            <w:r>
              <w:rPr>
                <w:rFonts w:hint="default" w:ascii="Times New Roman" w:hAnsi="Times New Roman" w:cs="Times New Roman"/>
                <w:color w:val="000000" w:themeColor="text1"/>
                <w:sz w:val="24"/>
                <w:highlight w:val="none"/>
                <w14:textFill>
                  <w14:solidFill>
                    <w14:schemeClr w14:val="tx1"/>
                  </w14:solidFill>
                </w14:textFill>
              </w:rPr>
              <w:t>总量</w:t>
            </w:r>
          </w:p>
          <w:p w14:paraId="03E44C76">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控制</w:t>
            </w:r>
          </w:p>
          <w:p w14:paraId="061433FC">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指标</w:t>
            </w:r>
            <w:bookmarkEnd w:id="95"/>
          </w:p>
        </w:tc>
        <w:tc>
          <w:tcPr>
            <w:tcW w:w="4560" w:type="pct"/>
            <w:vAlign w:val="center"/>
          </w:tcPr>
          <w:p w14:paraId="5DA2F2EB">
            <w:pPr>
              <w:pStyle w:val="4"/>
              <w:ind w:firstLine="480"/>
              <w:rPr>
                <w:rFonts w:hint="default" w:ascii="Times New Roman" w:hAnsi="Times New Roman" w:cs="Times New Roman"/>
                <w:color w:val="000000" w:themeColor="text1"/>
                <w:highlight w:val="none"/>
                <w14:textFill>
                  <w14:solidFill>
                    <w14:schemeClr w14:val="tx1"/>
                  </w14:solidFill>
                </w14:textFill>
              </w:rPr>
            </w:pPr>
            <w:bookmarkStart w:id="96" w:name="OLE_LINK296"/>
          </w:p>
          <w:p w14:paraId="33194235">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741527CB">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根据国家总量控制指标体系要求，污染物的排放应满足区域总量控制指标要求。本项目废气污染物为颗粒物</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二氧化硫、氮氧化物</w:t>
            </w:r>
            <w:r>
              <w:rPr>
                <w:rFonts w:hint="default" w:ascii="Times New Roman" w:hAnsi="Times New Roman" w:cs="Times New Roman"/>
                <w:color w:val="000000" w:themeColor="text1"/>
                <w:highlight w:val="none"/>
                <w14:textFill>
                  <w14:solidFill>
                    <w14:schemeClr w14:val="tx1"/>
                  </w14:solidFill>
                </w14:textFill>
              </w:rPr>
              <w:t>，属于“十四五”建议总量控制污染物氮氧化物、挥发性有机物，</w:t>
            </w:r>
            <w:r>
              <w:rPr>
                <w:rFonts w:hint="default" w:ascii="Times New Roman" w:hAnsi="Times New Roman" w:cs="Times New Roman"/>
                <w:color w:val="000000" w:themeColor="text1"/>
                <w:highlight w:val="none"/>
                <w:lang w:val="en-US" w:eastAsia="zh-CN"/>
                <w14:textFill>
                  <w14:solidFill>
                    <w14:schemeClr w14:val="tx1"/>
                  </w14:solidFill>
                </w14:textFill>
              </w:rPr>
              <w:t>需要</w:t>
            </w:r>
            <w:r>
              <w:rPr>
                <w:rFonts w:hint="default" w:ascii="Times New Roman" w:hAnsi="Times New Roman" w:cs="Times New Roman"/>
                <w:color w:val="000000" w:themeColor="text1"/>
                <w:highlight w:val="none"/>
                <w14:textFill>
                  <w14:solidFill>
                    <w14:schemeClr w14:val="tx1"/>
                  </w14:solidFill>
                </w14:textFill>
              </w:rPr>
              <w:t>申请废气污染物总量控制指标。</w:t>
            </w:r>
          </w:p>
          <w:p w14:paraId="6D12A589">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本项目废水排入大榄坪污水处理厂处理，不直接外排，建议项目废水污染物COD、NH</w:t>
            </w:r>
            <w:r>
              <w:rPr>
                <w:rFonts w:hint="default" w:ascii="Times New Roman" w:hAnsi="Times New Roman" w:cs="Times New Roman"/>
                <w:color w:val="000000" w:themeColor="text1"/>
                <w:highlight w:val="none"/>
                <w:vertAlign w:val="sub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-N总量控制指标纳入大榄坪污水处理厂内，不单独申请。</w:t>
            </w:r>
            <w:bookmarkEnd w:id="96"/>
          </w:p>
          <w:p w14:paraId="05AD80EA">
            <w:pPr>
              <w:pStyle w:val="4"/>
              <w:ind w:firstLine="480"/>
              <w:rPr>
                <w:rFonts w:hint="default" w:ascii="Times New Roman" w:hAnsi="Times New Roman" w:cs="Times New Roman"/>
                <w:color w:val="000000" w:themeColor="text1"/>
                <w:highlight w:val="none"/>
                <w:u w:val="single"/>
                <w14:textFill>
                  <w14:solidFill>
                    <w14:schemeClr w14:val="tx1"/>
                  </w14:solidFill>
                </w14:textFill>
              </w:rPr>
            </w:pPr>
            <w:bookmarkStart w:id="97" w:name="_Hlk188370513"/>
            <w:r>
              <w:rPr>
                <w:rFonts w:hint="default" w:ascii="Times New Roman" w:hAnsi="Times New Roman" w:cs="Times New Roman"/>
                <w:color w:val="000000" w:themeColor="text1"/>
                <w:highlight w:val="none"/>
                <w14:textFill>
                  <w14:solidFill>
                    <w14:schemeClr w14:val="tx1"/>
                  </w14:solidFill>
                </w14:textFill>
              </w:rPr>
              <w:t>项目涉及污染物总量控制为生物质锅炉燃烧废气中的</w:t>
            </w:r>
            <w:r>
              <w:rPr>
                <w:rFonts w:hint="default" w:ascii="Times New Roman" w:hAnsi="Times New Roman" w:cs="Times New Roman"/>
                <w:color w:val="000000" w:themeColor="text1"/>
                <w:highlight w:val="none"/>
                <w:u w:val="single"/>
                <w14:textFill>
                  <w14:solidFill>
                    <w14:schemeClr w14:val="tx1"/>
                  </w14:solidFill>
                </w14:textFill>
              </w:rPr>
              <w:t>NOx排放量为</w:t>
            </w:r>
            <w:r>
              <w:rPr>
                <w:rFonts w:hint="default" w:ascii="Times New Roman" w:hAnsi="Times New Roman" w:cs="Times New Roman"/>
                <w:color w:val="000000" w:themeColor="text1"/>
                <w:highlight w:val="none"/>
                <w:u w:val="single"/>
                <w:lang w:val="en-US" w:eastAsia="zh-CN"/>
                <w14:textFill>
                  <w14:solidFill>
                    <w14:schemeClr w14:val="tx1"/>
                  </w14:solidFill>
                </w14:textFill>
              </w:rPr>
              <w:t>4.670</w:t>
            </w:r>
            <w:r>
              <w:rPr>
                <w:rFonts w:hint="default" w:ascii="Times New Roman" w:hAnsi="Times New Roman" w:cs="Times New Roman"/>
                <w:color w:val="000000" w:themeColor="text1"/>
                <w:highlight w:val="none"/>
                <w:u w:val="single"/>
                <w14:textFill>
                  <w14:solidFill>
                    <w14:schemeClr w14:val="tx1"/>
                  </w14:solidFill>
                </w14:textFill>
              </w:rPr>
              <w:t>t/a。</w:t>
            </w:r>
            <w:bookmarkEnd w:id="97"/>
            <w:bookmarkStart w:id="98" w:name="OLE_LINK118"/>
          </w:p>
          <w:bookmarkEnd w:id="98"/>
          <w:p w14:paraId="762400AC">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本项目总量控制指标具体以环保审批部门的批复为准。</w:t>
            </w:r>
          </w:p>
          <w:p w14:paraId="2EFABF63">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2732F97C">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tc>
      </w:tr>
    </w:tbl>
    <w:p w14:paraId="1D13A006">
      <w:pPr>
        <w:pStyle w:val="2"/>
        <w:keepNext/>
        <w:keepLines/>
        <w:pageBreakBefore/>
        <w:widowControl/>
        <w:kinsoku/>
        <w:wordWrap/>
        <w:overflowPunct/>
        <w:topLinePunct w:val="0"/>
        <w:autoSpaceDE/>
        <w:autoSpaceDN/>
        <w:bidi w:val="0"/>
        <w:adjustRightInd/>
        <w:snapToGrid/>
        <w:textAlignment w:val="auto"/>
        <w:rPr>
          <w:rFonts w:hint="default" w:ascii="Times New Roman" w:hAnsi="Times New Roman" w:cs="Times New Roman"/>
          <w:snapToGrid w:val="0"/>
          <w:color w:val="000000" w:themeColor="text1"/>
          <w:highlight w:val="none"/>
          <w14:textFill>
            <w14:solidFill>
              <w14:schemeClr w14:val="tx1"/>
            </w14:solidFill>
          </w14:textFill>
        </w:rPr>
      </w:pPr>
      <w:bookmarkStart w:id="99" w:name="_Toc8967"/>
      <w:bookmarkStart w:id="100" w:name="_Toc191861462"/>
      <w:r>
        <w:rPr>
          <w:rFonts w:hint="default" w:ascii="Times New Roman" w:hAnsi="Times New Roman" w:cs="Times New Roman"/>
          <w:snapToGrid w:val="0"/>
          <w:color w:val="000000" w:themeColor="text1"/>
          <w:highlight w:val="none"/>
          <w14:textFill>
            <w14:solidFill>
              <w14:schemeClr w14:val="tx1"/>
            </w14:solidFill>
          </w14:textFill>
        </w:rPr>
        <w:t>主要环境影响和保护措施</w:t>
      </w:r>
      <w:bookmarkEnd w:id="83"/>
      <w:bookmarkEnd w:id="99"/>
      <w:bookmarkEnd w:id="100"/>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99"/>
        <w:gridCol w:w="8126"/>
      </w:tblGrid>
      <w:tr w14:paraId="3E1CC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749" w:hRule="atLeast"/>
          <w:jc w:val="center"/>
        </w:trPr>
        <w:tc>
          <w:tcPr>
            <w:tcW w:w="699" w:type="dxa"/>
            <w:tcMar>
              <w:left w:w="28" w:type="dxa"/>
              <w:right w:w="28" w:type="dxa"/>
            </w:tcMar>
            <w:vAlign w:val="center"/>
          </w:tcPr>
          <w:p w14:paraId="3C816195">
            <w:pPr>
              <w:rPr>
                <w:rFonts w:hint="default" w:ascii="Times New Roman" w:hAnsi="Times New Roman" w:cs="Times New Roman"/>
                <w:color w:val="000000" w:themeColor="text1"/>
                <w:highlight w:val="none"/>
                <w14:textFill>
                  <w14:solidFill>
                    <w14:schemeClr w14:val="tx1"/>
                  </w14:solidFill>
                </w14:textFill>
              </w:rPr>
            </w:pPr>
            <w:bookmarkStart w:id="101" w:name="_Toc175609275"/>
            <w:r>
              <w:rPr>
                <w:rFonts w:hint="default" w:ascii="Times New Roman" w:hAnsi="Times New Roman" w:cs="Times New Roman"/>
                <w:color w:val="000000" w:themeColor="text1"/>
                <w:highlight w:val="none"/>
                <w14:textFill>
                  <w14:solidFill>
                    <w14:schemeClr w14:val="tx1"/>
                  </w14:solidFill>
                </w14:textFill>
              </w:rPr>
              <w:t>施工期环境保护措施</w:t>
            </w:r>
            <w:bookmarkEnd w:id="101"/>
          </w:p>
        </w:tc>
        <w:tc>
          <w:tcPr>
            <w:tcW w:w="8126" w:type="dxa"/>
            <w:vAlign w:val="center"/>
          </w:tcPr>
          <w:p w14:paraId="6934FE8E">
            <w:pPr>
              <w:pStyle w:val="7"/>
              <w:rPr>
                <w:rFonts w:hint="default" w:ascii="Times New Roman" w:hAnsi="Times New Roman" w:cs="Times New Roman"/>
                <w:color w:val="000000" w:themeColor="text1"/>
                <w:highlight w:val="none"/>
                <w14:textFill>
                  <w14:solidFill>
                    <w14:schemeClr w14:val="tx1"/>
                  </w14:solidFill>
                </w14:textFill>
              </w:rPr>
            </w:pPr>
            <w:bookmarkStart w:id="102" w:name="_Ref184685278"/>
            <w:r>
              <w:rPr>
                <w:rFonts w:hint="default" w:ascii="Times New Roman" w:hAnsi="Times New Roman" w:cs="Times New Roman"/>
                <w:color w:val="000000" w:themeColor="text1"/>
                <w:highlight w:val="none"/>
                <w14:textFill>
                  <w14:solidFill>
                    <w14:schemeClr w14:val="tx1"/>
                  </w14:solidFill>
                </w14:textFill>
              </w:rPr>
              <w:t>一、施工期废气污染防治措施</w:t>
            </w:r>
            <w:bookmarkEnd w:id="102"/>
          </w:p>
          <w:p w14:paraId="7866293F">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w:t>
            </w:r>
            <w:r>
              <w:rPr>
                <w:rFonts w:hint="default" w:ascii="Times New Roman" w:hAnsi="Times New Roman" w:cs="Times New Roman"/>
                <w:color w:val="000000" w:themeColor="text1"/>
                <w:highlight w:val="none"/>
                <w:lang w:val="en-US" w:eastAsia="zh-CN"/>
                <w14:textFill>
                  <w14:solidFill>
                    <w14:schemeClr w14:val="tx1"/>
                  </w14:solidFill>
                </w14:textFill>
              </w:rPr>
              <w:t>施工期废气污染</w:t>
            </w:r>
            <w:r>
              <w:rPr>
                <w:rFonts w:hint="default" w:ascii="Times New Roman" w:hAnsi="Times New Roman" w:cs="Times New Roman"/>
                <w:color w:val="000000" w:themeColor="text1"/>
                <w:highlight w:val="none"/>
                <w14:textFill>
                  <w14:solidFill>
                    <w14:schemeClr w14:val="tx1"/>
                  </w14:solidFill>
                </w14:textFill>
              </w:rPr>
              <w:t>主要为施工扬尘。</w:t>
            </w:r>
          </w:p>
          <w:p w14:paraId="22003131">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（1）扬尘环境影响分析</w:t>
            </w:r>
          </w:p>
          <w:p w14:paraId="30C95A53">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w:t>
            </w:r>
            <w:r>
              <w:rPr>
                <w:rFonts w:hint="default" w:ascii="Times New Roman" w:hAnsi="Times New Roman" w:cs="Times New Roman"/>
                <w:color w:val="000000" w:themeColor="text1"/>
                <w:highlight w:val="none"/>
                <w:lang w:val="en-US" w:eastAsia="zh-CN"/>
                <w14:textFill>
                  <w14:solidFill>
                    <w14:schemeClr w14:val="tx1"/>
                  </w14:solidFill>
                </w14:textFill>
              </w:rPr>
              <w:t>项目区现状为空地，需要进行厂房设备施工，同时</w:t>
            </w:r>
            <w:r>
              <w:rPr>
                <w:rFonts w:hint="default" w:ascii="Times New Roman" w:hAnsi="Times New Roman" w:cs="Times New Roman"/>
                <w:color w:val="000000" w:themeColor="text1"/>
                <w:highlight w:val="none"/>
                <w14:textFill>
                  <w14:solidFill>
                    <w14:schemeClr w14:val="tx1"/>
                  </w14:solidFill>
                </w14:textFill>
              </w:rPr>
              <w:t>对设备进行安装，因施工量较小，且施工部分</w:t>
            </w:r>
            <w:r>
              <w:rPr>
                <w:rFonts w:hint="default" w:ascii="Times New Roman" w:hAnsi="Times New Roman" w:cs="Times New Roman"/>
                <w:color w:val="000000" w:themeColor="text1"/>
                <w:highlight w:val="none"/>
                <w:lang w:val="en-US" w:eastAsia="zh-CN"/>
                <w14:textFill>
                  <w14:solidFill>
                    <w14:schemeClr w14:val="tx1"/>
                  </w14:solidFill>
                </w14:textFill>
              </w:rPr>
              <w:t>均在现有厂区内施工</w:t>
            </w:r>
            <w:r>
              <w:rPr>
                <w:rFonts w:hint="default" w:ascii="Times New Roman" w:hAnsi="Times New Roman" w:cs="Times New Roman"/>
                <w:color w:val="000000" w:themeColor="text1"/>
                <w:highlight w:val="none"/>
                <w14:textFill>
                  <w14:solidFill>
                    <w14:schemeClr w14:val="tx1"/>
                  </w14:solidFill>
                </w14:textFill>
              </w:rPr>
              <w:t>，因此施工过程产生的扬尘对周边的环境的影响较小。</w:t>
            </w:r>
          </w:p>
          <w:p w14:paraId="3E9E4572">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②施工方在施工过程中，应采取严格的</w:t>
            </w:r>
            <w:r>
              <w:rPr>
                <w:rFonts w:hint="eastAsia" w:cs="Times New Roman"/>
                <w:color w:val="000000" w:themeColor="text1"/>
                <w:highlight w:val="none"/>
                <w:lang w:val="en-US" w:eastAsia="zh-CN"/>
                <w14:textFill>
                  <w14:solidFill>
                    <w14:schemeClr w14:val="tx1"/>
                  </w14:solidFill>
                </w14:textFill>
              </w:rPr>
              <w:t>洒水抑尘等</w:t>
            </w:r>
            <w:r>
              <w:rPr>
                <w:rFonts w:hint="default" w:ascii="Times New Roman" w:hAnsi="Times New Roman" w:cs="Times New Roman"/>
                <w:color w:val="000000" w:themeColor="text1"/>
                <w:highlight w:val="none"/>
                <w14:textFill>
                  <w14:solidFill>
                    <w14:schemeClr w14:val="tx1"/>
                  </w14:solidFill>
                </w14:textFill>
              </w:rPr>
              <w:t>扬尘控制措施，以减小对周边环境的影响。</w:t>
            </w:r>
          </w:p>
          <w:p w14:paraId="6323A7FE">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③</w:t>
            </w:r>
            <w:r>
              <w:rPr>
                <w:rFonts w:hint="default" w:ascii="Times New Roman" w:hAnsi="Times New Roman" w:cs="Times New Roman"/>
                <w:color w:val="000000" w:themeColor="text1"/>
                <w:highlight w:val="none"/>
                <w14:textFill>
                  <w14:solidFill>
                    <w14:schemeClr w14:val="tx1"/>
                  </w14:solidFill>
                </w14:textFill>
              </w:rPr>
              <w:t>装饰装修工程</w:t>
            </w:r>
          </w:p>
          <w:p w14:paraId="649B3F02">
            <w:pPr>
              <w:pStyle w:val="4"/>
              <w:bidi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本工程主要装修内容由装修设计范围内的室内地面、墙面、顶棚三大部分构成（公共区域除外）。</w:t>
            </w:r>
            <w:r>
              <w:rPr>
                <w:rFonts w:hint="default" w:ascii="Times New Roman" w:hAnsi="Times New Roman" w:cs="Times New Roman"/>
                <w:color w:val="000000" w:themeColor="text1"/>
                <w:highlight w:val="none"/>
                <w:lang w:val="en-US" w:eastAsia="zh-CN"/>
                <w14:textFill>
                  <w14:solidFill>
                    <w14:schemeClr w14:val="tx1"/>
                  </w14:solidFill>
                </w14:textFill>
              </w:rPr>
              <w:t>装修过程中产生的废气主要为</w:t>
            </w:r>
            <w:r>
              <w:rPr>
                <w:rFonts w:hint="default" w:ascii="Times New Roman" w:hAnsi="Times New Roman" w:cs="Times New Roman"/>
                <w:color w:val="000000" w:themeColor="text1"/>
                <w:highlight w:val="none"/>
                <w14:textFill>
                  <w14:solidFill>
                    <w14:schemeClr w14:val="tx1"/>
                  </w14:solidFill>
                </w14:textFill>
                <w14:ligatures w14:val="standardContextual"/>
              </w:rPr>
              <w:t>腻子</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及防水涂料产生的</w:t>
            </w:r>
            <w:r>
              <w:rPr>
                <w:rFonts w:hint="default" w:ascii="Times New Roman" w:hAnsi="Times New Roman" w:cs="Times New Roman"/>
                <w:color w:val="000000" w:themeColor="text1"/>
                <w:highlight w:val="none"/>
                <w14:textFill>
                  <w14:solidFill>
                    <w14:schemeClr w14:val="tx1"/>
                  </w14:solidFill>
                </w14:textFill>
              </w:rPr>
              <w:t>VOC</w:t>
            </w:r>
            <w:r>
              <w:rPr>
                <w:rFonts w:hint="default" w:ascii="Times New Roman" w:hAnsi="Times New Roman" w:cs="Times New Roman"/>
                <w:color w:val="000000" w:themeColor="text1"/>
                <w:highlight w:val="none"/>
                <w:lang w:val="en-US" w:eastAsia="zh-CN"/>
                <w14:textFill>
                  <w14:solidFill>
                    <w14:schemeClr w14:val="tx1"/>
                  </w14:solidFill>
                </w14:textFill>
              </w:rPr>
              <w:t>s，施工期时间较短，废气对周边影响较小。</w:t>
            </w:r>
          </w:p>
          <w:p w14:paraId="7A4690AC">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（2）扬尘治理措施</w:t>
            </w:r>
          </w:p>
          <w:p w14:paraId="1855523F">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①在施工场地安排员工定期对施工场地洒水以减少扬尘量，洒水次数根据天气状况而定，一般每天洒水1～2次。场地洒水后，扬尘量将减低28%～75%，大大减少了其对环境的影响。</w:t>
            </w:r>
          </w:p>
          <w:p w14:paraId="2A0E7734">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②规范建筑垃圾管理，做好规范化、标准化管理。</w:t>
            </w:r>
          </w:p>
          <w:p w14:paraId="105FF7A6">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③</w:t>
            </w:r>
            <w:r>
              <w:rPr>
                <w:rFonts w:hint="default" w:ascii="Times New Roman" w:hAnsi="Times New Roman" w:cs="Times New Roman"/>
                <w:color w:val="000000" w:themeColor="text1"/>
                <w:highlight w:val="none"/>
                <w14:textFill>
                  <w14:solidFill>
                    <w14:schemeClr w14:val="tx1"/>
                  </w14:solidFill>
                </w14:textFill>
              </w:rPr>
              <w:t>装饰装修有机废气</w:t>
            </w:r>
          </w:p>
          <w:p w14:paraId="3F5328E2">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装修期间使用绿色环保装修材料和水性涂料，尽量避免色彩鲜艳的涂料，关注涂料中铅的指标；装修完成后及时清除建渣、装饰垃圾，清扫施工场地。</w:t>
            </w:r>
          </w:p>
          <w:p w14:paraId="34334406">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（3）机械燃料废气</w:t>
            </w:r>
          </w:p>
          <w:p w14:paraId="06A8A0C2">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①加强对施工机械管理，科学安排其运行时间，严格按照施工时间作业，不允许任意扩大施工路线；</w:t>
            </w:r>
          </w:p>
          <w:p w14:paraId="6E914ECD">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②禁止使用“无标车”、“黄标车”运输建筑材料、弃土、建筑垃圾物料等措施。</w:t>
            </w:r>
          </w:p>
          <w:p w14:paraId="05F6ACAB">
            <w:pPr>
              <w:pStyle w:val="4"/>
              <w:bidi w:val="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在采取上述措施后，施工期产生的扬尘、施工机械车辆尾气及装修废气对周围环境的影响可以得到有效控制，且施工作业产生的粉尘和尾气污染也会随施工期的结束而消除。</w:t>
            </w:r>
          </w:p>
          <w:p w14:paraId="783AF5D1">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二、施工期废水污染防治措施</w:t>
            </w:r>
          </w:p>
          <w:p w14:paraId="4040AF99">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项目在地块设置活动板房作为生活区，施工人员按高峰期施工人数30人考虑，根据《建筑给水排水设计规范》(GB50015-2003)，施工人员生活用水量按150L/人d计，施工期为</w:t>
            </w:r>
            <w:r>
              <w:rPr>
                <w:rFonts w:hint="default" w:ascii="Times New Roman" w:hAnsi="Times New Roman" w:cs="Times New Roman"/>
                <w:color w:val="000000" w:themeColor="text1"/>
                <w:highlight w:val="none"/>
                <w:lang w:val="en-US" w:eastAsia="zh-CN"/>
                <w14:textFill>
                  <w14:solidFill>
                    <w14:schemeClr w14:val="tx1"/>
                  </w14:solidFill>
                </w14:textFill>
              </w:rPr>
              <w:t>30天</w:t>
            </w:r>
            <w:r>
              <w:rPr>
                <w:rFonts w:hint="default" w:ascii="Times New Roman" w:hAnsi="Times New Roman" w:cs="Times New Roman"/>
                <w:color w:val="000000" w:themeColor="text1"/>
                <w:highlight w:val="none"/>
                <w14:textFill>
                  <w14:solidFill>
                    <w14:schemeClr w14:val="tx1"/>
                  </w14:solidFill>
                </w14:textFill>
              </w:rPr>
              <w:t>，生活用水量约为4.5m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/d，生活污水量按生活用水量的80%计，则生活污水量约3.6m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/d，总施工生活污水量约</w:t>
            </w:r>
            <w:r>
              <w:rPr>
                <w:rFonts w:hint="default" w:ascii="Times New Roman" w:hAnsi="Times New Roman" w:cs="Times New Roman"/>
                <w:color w:val="000000" w:themeColor="text1"/>
                <w:highlight w:val="none"/>
                <w:lang w:val="en-US" w:eastAsia="zh-CN"/>
                <w14:textFill>
                  <w14:solidFill>
                    <w14:schemeClr w14:val="tx1"/>
                  </w14:solidFill>
                </w14:textFill>
              </w:rPr>
              <w:t>108</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。项目周边市政污水管网已建成，施工期生活污水依托周边厂房已建厕所和化粪池处理后排入市政污水管网，最后进入大榄坪污水处理厂处理，对水环境质量影响较小。</w:t>
            </w:r>
          </w:p>
          <w:p w14:paraId="42372B0D">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三、施工期噪声污染防治措施</w:t>
            </w:r>
          </w:p>
          <w:p w14:paraId="6565C6D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施工期噪声污染源由施工机械设备作业、施工车辆行驶等过程产生。项目施工噪声对周围环境的影响虽然是暂时的，随着施工期的结束而自动消除。建设单位拟采取以下污染防治措施：</w:t>
            </w:r>
          </w:p>
          <w:p w14:paraId="02950A99">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（1）施工单位严格执行《建筑施工场界环境噪声排放标准》（GB12523-2011）中的规定，合理安排施工计划，禁止高噪声设备在夜间（22</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00～06</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00）作业。</w:t>
            </w:r>
          </w:p>
          <w:p w14:paraId="4EF219FC">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（2）加强声源的噪声控制，尽可能选用噪声较小的施工设备，同时经常保养设备，使设备维持在最低声级状态下工作。</w:t>
            </w:r>
          </w:p>
          <w:p w14:paraId="554DFD1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（3）动力机械设备都应适时维修，特别对因松动部件的震动或降低噪声部件的损坏而产生很强噪声的设备，更应经常检查维护。</w:t>
            </w:r>
          </w:p>
          <w:p w14:paraId="0134FB2E">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（4）注意做好接触高噪声人员的劳动保护，采取轮岗、缩短接触高噪声时间、配带防声耳塞、耳罩等措施减轻噪声的影响程度。</w:t>
            </w:r>
          </w:p>
          <w:p w14:paraId="3D2BB12F">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四、固体废物环保措施</w:t>
            </w:r>
          </w:p>
          <w:p w14:paraId="3D223FB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项目施工期间产生的固体废物主要有：施工建筑垃圾、设备安装产生的包装材料以及施工人员产生的生活垃圾。</w:t>
            </w:r>
          </w:p>
          <w:p w14:paraId="4637B596">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（1）施工建筑垃圾</w:t>
            </w:r>
          </w:p>
          <w:p w14:paraId="2E3ED0DE">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施工产生的建筑垃圾应进行分拣，对废木材、金属、玻璃、塑料等可以回收利用的部分应积极进行综合利用，对不能利用的建筑垃圾和生活垃圾可委托市政部门进行处理，严禁随意运输，随意倾倒。</w:t>
            </w:r>
          </w:p>
          <w:p w14:paraId="14ED2B15">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（2）包装材料</w:t>
            </w:r>
          </w:p>
          <w:p w14:paraId="1CFEEC9E">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本项目主要进行设备的安装以及调试，产生的垃圾为设备包装材料等，包装材料外售给物资回收部门回收利用。</w:t>
            </w:r>
          </w:p>
          <w:p w14:paraId="2A92BD00">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（3）生活垃圾</w:t>
            </w:r>
          </w:p>
          <w:p w14:paraId="6BC1A8E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施工人员产生的生活垃圾由环卫部门统一清运，不可就地填埋，以避免影响项目周边环境。</w:t>
            </w:r>
          </w:p>
          <w:p w14:paraId="0AC75002">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6C998197">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01919C8B">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5553CBEF">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42361C19">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0C869651">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59E6CFD9">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0EF428C8">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706E84FC">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019A3CF5">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3DF1D474">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2127914E">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63FAF862">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1445A197">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56E65FA3">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6225FE8E">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797DDC8D">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41FF98DA">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696DF792">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5CB043FD">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16337393">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14DDF6AC">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4FFC4BA8">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4341842D">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1467F265">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21804FC4">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tc>
      </w:tr>
    </w:tbl>
    <w:p w14:paraId="4BB66856">
      <w:pPr>
        <w:rPr>
          <w:rFonts w:hint="default" w:ascii="Times New Roman" w:hAnsi="Times New Roman" w:cs="Times New Roman"/>
          <w:color w:val="000000" w:themeColor="text1"/>
          <w:highlight w:val="none"/>
          <w14:textFill>
            <w14:solidFill>
              <w14:schemeClr w14:val="tx1"/>
            </w14:solidFill>
          </w14:textFill>
        </w:rPr>
        <w:sectPr>
          <w:pgSz w:w="11907" w:h="16840"/>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2555"/>
      </w:tblGrid>
      <w:tr w14:paraId="4A2A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7" w:type="dxa"/>
            <w:vAlign w:val="center"/>
          </w:tcPr>
          <w:p w14:paraId="0A8FA5B0">
            <w:pPr>
              <w:snapToGrid w:val="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14:textFill>
                  <w14:solidFill>
                    <w14:schemeClr w14:val="tx1"/>
                  </w14:solidFill>
                </w14:textFill>
              </w:rPr>
              <w:t>运营期环境影响和保护措施</w:t>
            </w:r>
          </w:p>
        </w:tc>
        <w:tc>
          <w:tcPr>
            <w:tcW w:w="12555" w:type="dxa"/>
            <w:vAlign w:val="center"/>
          </w:tcPr>
          <w:p w14:paraId="4337BCDB">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一、废气</w:t>
            </w:r>
          </w:p>
          <w:p w14:paraId="768B50AE">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1、废气污染物产排情况</w:t>
            </w:r>
          </w:p>
          <w:p w14:paraId="27218DE3">
            <w:pPr>
              <w:pStyle w:val="34"/>
              <w:rPr>
                <w:rFonts w:hint="default" w:ascii="Times New Roman" w:hAnsi="Times New Roman" w:cs="Times New Roman"/>
                <w:color w:val="000000" w:themeColor="text1"/>
                <w:highlight w:val="none"/>
                <w14:textFill>
                  <w14:solidFill>
                    <w14:schemeClr w14:val="tx1"/>
                  </w14:solidFill>
                </w14:textFill>
              </w:rPr>
            </w:pPr>
            <w:bookmarkStart w:id="103" w:name="_Ref175518954"/>
            <w:bookmarkStart w:id="104" w:name="_Ref176880438"/>
            <w:r>
              <w:rPr>
                <w:rFonts w:hint="default" w:ascii="Times New Roman" w:hAnsi="Times New Roman" w:cs="Times New Roman"/>
                <w:color w:val="000000" w:themeColor="text1"/>
                <w:highlight w:val="none"/>
                <w14:textFill>
                  <w14:solidFill>
                    <w14:schemeClr w14:val="tx1"/>
                  </w14:solidFill>
                </w14:textFill>
              </w:rPr>
              <w:t>表4- 1</w:t>
            </w:r>
            <w:bookmarkEnd w:id="103"/>
            <w:r>
              <w:rPr>
                <w:rFonts w:hint="default" w:ascii="Times New Roman" w:hAnsi="Times New Roman" w:cs="Times New Roman"/>
                <w:color w:val="000000" w:themeColor="text1"/>
                <w:highlight w:val="none"/>
                <w14:textFill>
                  <w14:solidFill>
                    <w14:schemeClr w14:val="tx1"/>
                  </w14:solidFill>
                </w14:textFill>
              </w:rPr>
              <w:t>：废气产生治理排放情况一览表</w:t>
            </w:r>
            <w:bookmarkEnd w:id="104"/>
          </w:p>
          <w:tbl>
            <w:tblPr>
              <w:tblStyle w:val="43"/>
              <w:tblW w:w="123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38"/>
              <w:gridCol w:w="659"/>
              <w:gridCol w:w="759"/>
              <w:gridCol w:w="890"/>
              <w:gridCol w:w="1038"/>
              <w:gridCol w:w="445"/>
              <w:gridCol w:w="857"/>
              <w:gridCol w:w="792"/>
              <w:gridCol w:w="628"/>
              <w:gridCol w:w="1029"/>
              <w:gridCol w:w="838"/>
              <w:gridCol w:w="720"/>
              <w:gridCol w:w="1117"/>
              <w:gridCol w:w="1117"/>
              <w:gridCol w:w="933"/>
            </w:tblGrid>
            <w:tr w14:paraId="3D385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38" w:type="dxa"/>
                  <w:vMerge w:val="restar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5E73244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产污</w:t>
                  </w:r>
                </w:p>
                <w:p w14:paraId="003C7A4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环节</w:t>
                  </w:r>
                </w:p>
              </w:tc>
              <w:tc>
                <w:tcPr>
                  <w:tcW w:w="659"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58544A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污染物</w:t>
                  </w:r>
                </w:p>
                <w:p w14:paraId="6AB26C1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lang w:val="en-US" w:eastAsia="zh-CN"/>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种</w:t>
                  </w:r>
                  <w:r>
                    <w:rPr>
                      <w:rFonts w:hint="default" w:ascii="Times New Roman" w:hAnsi="Times New Roman" w:cs="Times New Roman"/>
                      <w:b/>
                      <w:i w:val="0"/>
                      <w:color w:val="000000" w:themeColor="text1"/>
                      <w:sz w:val="21"/>
                      <w:szCs w:val="21"/>
                      <w:highlight w:val="none"/>
                      <w:lang w:val="en-US" w:eastAsia="zh-CN"/>
                      <w14:textFill>
                        <w14:solidFill>
                          <w14:schemeClr w14:val="tx1"/>
                        </w14:solidFill>
                      </w14:textFill>
                      <w14:ligatures w14:val="standardContextual"/>
                    </w:rPr>
                    <w:t>类</w:t>
                  </w:r>
                </w:p>
              </w:tc>
              <w:tc>
                <w:tcPr>
                  <w:tcW w:w="2687" w:type="dxa"/>
                  <w:gridSpan w:val="3"/>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AEA4F0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产生情况</w:t>
                  </w:r>
                </w:p>
              </w:tc>
              <w:tc>
                <w:tcPr>
                  <w:tcW w:w="445" w:type="dxa"/>
                  <w:vMerge w:val="restar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96B114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排放</w:t>
                  </w:r>
                </w:p>
                <w:p w14:paraId="04F8FC7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形式</w:t>
                  </w:r>
                </w:p>
              </w:tc>
              <w:tc>
                <w:tcPr>
                  <w:tcW w:w="3306" w:type="dxa"/>
                  <w:gridSpan w:val="4"/>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0F45355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污染治理设施</w:t>
                  </w:r>
                </w:p>
              </w:tc>
              <w:tc>
                <w:tcPr>
                  <w:tcW w:w="2675" w:type="dxa"/>
                  <w:gridSpan w:val="3"/>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C1F820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排放情况</w:t>
                  </w:r>
                </w:p>
              </w:tc>
              <w:tc>
                <w:tcPr>
                  <w:tcW w:w="2050" w:type="dxa"/>
                  <w:gridSpan w:val="2"/>
                  <w:tcBorders>
                    <w:top w:val="single" w:color="auto" w:sz="12" w:space="0"/>
                    <w:bottom w:val="single" w:color="auto" w:sz="12" w:space="0"/>
                    <w:right w:val="nil"/>
                    <w:insideH w:val="single" w:sz="12" w:space="0"/>
                    <w:insideV w:val="single" w:sz="4" w:space="0"/>
                    <w:tl2br w:val="nil"/>
                    <w:tr2bl w:val="nil"/>
                  </w:tcBorders>
                  <w:vAlign w:val="center"/>
                </w:tcPr>
                <w:p w14:paraId="7083385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排放</w:t>
                  </w:r>
                </w:p>
                <w:p w14:paraId="27CA8C1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标准</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14:ligatures w14:val="standardContextual"/>
                    </w:rPr>
                    <w:t>限值</w:t>
                  </w:r>
                </w:p>
              </w:tc>
            </w:tr>
            <w:tr w14:paraId="1E965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38" w:type="dxa"/>
                  <w:vMerge w:val="continue"/>
                  <w:vAlign w:val="center"/>
                </w:tcPr>
                <w:p w14:paraId="0098FDBC">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c>
                <w:tcPr>
                  <w:tcW w:w="659" w:type="dxa"/>
                  <w:vMerge w:val="continue"/>
                  <w:vAlign w:val="center"/>
                </w:tcPr>
                <w:p w14:paraId="42E9A9E4">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c>
                <w:tcPr>
                  <w:tcW w:w="759" w:type="dxa"/>
                  <w:vAlign w:val="center"/>
                </w:tcPr>
                <w:p w14:paraId="6253949A">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产生量</w:t>
                  </w:r>
                </w:p>
                <w:p w14:paraId="1E10A10F">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14:ligatures w14:val="standardContextual"/>
                    </w:rPr>
                    <w:t>（</w:t>
                  </w: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t/a</w:t>
                  </w:r>
                  <w:r>
                    <w:rPr>
                      <w:rFonts w:hint="default" w:ascii="Times New Roman" w:hAnsi="Times New Roman" w:cs="Times New Roman"/>
                      <w:b/>
                      <w:bCs/>
                      <w:color w:val="000000" w:themeColor="text1"/>
                      <w:sz w:val="21"/>
                      <w:szCs w:val="21"/>
                      <w:highlight w:val="none"/>
                      <w:lang w:eastAsia="zh-CN"/>
                      <w14:textFill>
                        <w14:solidFill>
                          <w14:schemeClr w14:val="tx1"/>
                        </w14:solidFill>
                      </w14:textFill>
                      <w14:ligatures w14:val="standardContextual"/>
                    </w:rPr>
                    <w:t>）</w:t>
                  </w:r>
                </w:p>
              </w:tc>
              <w:tc>
                <w:tcPr>
                  <w:tcW w:w="890" w:type="dxa"/>
                  <w:vAlign w:val="center"/>
                </w:tcPr>
                <w:p w14:paraId="63DC60E4">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14:ligatures w14:val="standardContextual"/>
                    </w:rPr>
                    <w:t>产生</w:t>
                  </w:r>
                </w:p>
                <w:p w14:paraId="5AFE49C4">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速率</w:t>
                  </w:r>
                </w:p>
                <w:p w14:paraId="0384385F">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14:ligatures w14:val="standardContextual"/>
                    </w:rPr>
                    <w:t>（</w:t>
                  </w: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kg/h</w:t>
                  </w:r>
                  <w:r>
                    <w:rPr>
                      <w:rFonts w:hint="default" w:ascii="Times New Roman" w:hAnsi="Times New Roman" w:cs="Times New Roman"/>
                      <w:b/>
                      <w:bCs/>
                      <w:color w:val="000000" w:themeColor="text1"/>
                      <w:sz w:val="21"/>
                      <w:szCs w:val="21"/>
                      <w:highlight w:val="none"/>
                      <w:lang w:eastAsia="zh-CN"/>
                      <w14:textFill>
                        <w14:solidFill>
                          <w14:schemeClr w14:val="tx1"/>
                        </w14:solidFill>
                      </w14:textFill>
                      <w14:ligatures w14:val="standardContextual"/>
                    </w:rPr>
                    <w:t>）</w:t>
                  </w:r>
                </w:p>
              </w:tc>
              <w:tc>
                <w:tcPr>
                  <w:tcW w:w="1038" w:type="dxa"/>
                  <w:vAlign w:val="center"/>
                </w:tcPr>
                <w:p w14:paraId="1385B933">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产生</w:t>
                  </w:r>
                </w:p>
                <w:p w14:paraId="24C0C955">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浓度</w:t>
                  </w:r>
                  <w:r>
                    <w:rPr>
                      <w:rFonts w:hint="default" w:ascii="Times New Roman" w:hAnsi="Times New Roman" w:cs="Times New Roman"/>
                      <w:b/>
                      <w:bCs/>
                      <w:color w:val="000000" w:themeColor="text1"/>
                      <w:sz w:val="21"/>
                      <w:szCs w:val="21"/>
                      <w:highlight w:val="none"/>
                      <w:lang w:eastAsia="zh-CN"/>
                      <w14:textFill>
                        <w14:solidFill>
                          <w14:schemeClr w14:val="tx1"/>
                        </w14:solidFill>
                      </w14:textFill>
                      <w14:ligatures w14:val="standardContextual"/>
                    </w:rPr>
                    <w:t>（</w:t>
                  </w: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mg/m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14:ligatures w14:val="standardContextual"/>
                    </w:rPr>
                    <w:t>3</w:t>
                  </w:r>
                  <w:r>
                    <w:rPr>
                      <w:rFonts w:hint="default" w:ascii="Times New Roman" w:hAnsi="Times New Roman" w:cs="Times New Roman"/>
                      <w:b/>
                      <w:bCs/>
                      <w:color w:val="000000" w:themeColor="text1"/>
                      <w:sz w:val="21"/>
                      <w:szCs w:val="21"/>
                      <w:highlight w:val="none"/>
                      <w:lang w:eastAsia="zh-CN"/>
                      <w14:textFill>
                        <w14:solidFill>
                          <w14:schemeClr w14:val="tx1"/>
                        </w14:solidFill>
                      </w14:textFill>
                      <w14:ligatures w14:val="standardContextual"/>
                    </w:rPr>
                    <w:t>）</w:t>
                  </w:r>
                </w:p>
              </w:tc>
              <w:tc>
                <w:tcPr>
                  <w:tcW w:w="445" w:type="dxa"/>
                  <w:vMerge w:val="continue"/>
                  <w:vAlign w:val="center"/>
                </w:tcPr>
                <w:p w14:paraId="1B689AA1">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p>
              </w:tc>
              <w:tc>
                <w:tcPr>
                  <w:tcW w:w="857" w:type="dxa"/>
                  <w:vAlign w:val="center"/>
                </w:tcPr>
                <w:p w14:paraId="67703570">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废气量m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14:ligatures w14:val="standardContextual"/>
                    </w:rPr>
                    <w:t>3</w:t>
                  </w: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/h</w:t>
                  </w:r>
                </w:p>
              </w:tc>
              <w:tc>
                <w:tcPr>
                  <w:tcW w:w="792" w:type="dxa"/>
                  <w:vAlign w:val="center"/>
                </w:tcPr>
                <w:p w14:paraId="263DF422">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去除</w:t>
                  </w:r>
                </w:p>
                <w:p w14:paraId="40899CBA">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效率</w:t>
                  </w:r>
                </w:p>
              </w:tc>
              <w:tc>
                <w:tcPr>
                  <w:tcW w:w="628" w:type="dxa"/>
                  <w:vAlign w:val="center"/>
                </w:tcPr>
                <w:p w14:paraId="1216A1FF">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是否可行技术</w:t>
                  </w:r>
                </w:p>
              </w:tc>
              <w:tc>
                <w:tcPr>
                  <w:tcW w:w="1029" w:type="dxa"/>
                  <w:vAlign w:val="center"/>
                </w:tcPr>
                <w:p w14:paraId="250D7929">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处理</w:t>
                  </w:r>
                </w:p>
                <w:p w14:paraId="7ED9EA11">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工艺</w:t>
                  </w:r>
                </w:p>
              </w:tc>
              <w:tc>
                <w:tcPr>
                  <w:tcW w:w="838" w:type="dxa"/>
                  <w:vAlign w:val="center"/>
                </w:tcPr>
                <w:p w14:paraId="530B2C16">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排放量</w:t>
                  </w:r>
                </w:p>
                <w:p w14:paraId="712BE770">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lang w:eastAsia="zh-CN"/>
                      <w14:textFill>
                        <w14:solidFill>
                          <w14:schemeClr w14:val="tx1"/>
                        </w14:solidFill>
                      </w14:textFill>
                      <w14:ligatures w14:val="standardContextual"/>
                    </w:rPr>
                    <w:t>（</w:t>
                  </w: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t/a</w:t>
                  </w:r>
                  <w:r>
                    <w:rPr>
                      <w:rFonts w:hint="default" w:ascii="Times New Roman" w:hAnsi="Times New Roman" w:cs="Times New Roman"/>
                      <w:b/>
                      <w:bCs/>
                      <w:color w:val="000000" w:themeColor="text1"/>
                      <w:sz w:val="21"/>
                      <w:szCs w:val="21"/>
                      <w:highlight w:val="none"/>
                      <w:lang w:eastAsia="zh-CN"/>
                      <w14:textFill>
                        <w14:solidFill>
                          <w14:schemeClr w14:val="tx1"/>
                        </w14:solidFill>
                      </w14:textFill>
                      <w14:ligatures w14:val="standardContextual"/>
                    </w:rPr>
                    <w:t>）</w:t>
                  </w:r>
                </w:p>
              </w:tc>
              <w:tc>
                <w:tcPr>
                  <w:tcW w:w="720" w:type="dxa"/>
                  <w:vAlign w:val="center"/>
                </w:tcPr>
                <w:p w14:paraId="282A8DC2">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排放</w:t>
                  </w:r>
                </w:p>
                <w:p w14:paraId="34CE721B">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速率</w:t>
                  </w:r>
                  <w:r>
                    <w:rPr>
                      <w:rFonts w:hint="default" w:ascii="Times New Roman" w:hAnsi="Times New Roman" w:cs="Times New Roman"/>
                      <w:b/>
                      <w:bCs/>
                      <w:color w:val="000000" w:themeColor="text1"/>
                      <w:sz w:val="21"/>
                      <w:szCs w:val="21"/>
                      <w:highlight w:val="none"/>
                      <w:lang w:eastAsia="zh-CN"/>
                      <w14:textFill>
                        <w14:solidFill>
                          <w14:schemeClr w14:val="tx1"/>
                        </w14:solidFill>
                      </w14:textFill>
                      <w14:ligatures w14:val="standardContextual"/>
                    </w:rPr>
                    <w:t>（</w:t>
                  </w: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kg/h</w:t>
                  </w:r>
                  <w:r>
                    <w:rPr>
                      <w:rFonts w:hint="default" w:ascii="Times New Roman" w:hAnsi="Times New Roman" w:cs="Times New Roman"/>
                      <w:b/>
                      <w:bCs/>
                      <w:color w:val="000000" w:themeColor="text1"/>
                      <w:sz w:val="21"/>
                      <w:szCs w:val="21"/>
                      <w:highlight w:val="none"/>
                      <w:lang w:eastAsia="zh-CN"/>
                      <w14:textFill>
                        <w14:solidFill>
                          <w14:schemeClr w14:val="tx1"/>
                        </w14:solidFill>
                      </w14:textFill>
                      <w14:ligatures w14:val="standardContextual"/>
                    </w:rPr>
                    <w:t>）</w:t>
                  </w:r>
                </w:p>
              </w:tc>
              <w:tc>
                <w:tcPr>
                  <w:tcW w:w="1117" w:type="dxa"/>
                  <w:vAlign w:val="center"/>
                </w:tcPr>
                <w:p w14:paraId="752EAA72">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排放</w:t>
                  </w:r>
                </w:p>
                <w:p w14:paraId="7B9B5116">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浓度</w:t>
                  </w:r>
                  <w:r>
                    <w:rPr>
                      <w:rFonts w:hint="default" w:ascii="Times New Roman" w:hAnsi="Times New Roman" w:cs="Times New Roman"/>
                      <w:b/>
                      <w:bCs/>
                      <w:color w:val="000000" w:themeColor="text1"/>
                      <w:sz w:val="21"/>
                      <w:szCs w:val="21"/>
                      <w:highlight w:val="none"/>
                      <w:lang w:eastAsia="zh-CN"/>
                      <w14:textFill>
                        <w14:solidFill>
                          <w14:schemeClr w14:val="tx1"/>
                        </w14:solidFill>
                      </w14:textFill>
                      <w14:ligatures w14:val="standardContextual"/>
                    </w:rPr>
                    <w:t>（</w:t>
                  </w: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mg/m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14:ligatures w14:val="standardContextual"/>
                    </w:rPr>
                    <w:t>3</w:t>
                  </w:r>
                  <w:r>
                    <w:rPr>
                      <w:rFonts w:hint="default" w:ascii="Times New Roman" w:hAnsi="Times New Roman" w:cs="Times New Roman"/>
                      <w:b/>
                      <w:bCs/>
                      <w:color w:val="000000" w:themeColor="text1"/>
                      <w:sz w:val="21"/>
                      <w:szCs w:val="21"/>
                      <w:highlight w:val="none"/>
                      <w:lang w:eastAsia="zh-CN"/>
                      <w14:textFill>
                        <w14:solidFill>
                          <w14:schemeClr w14:val="tx1"/>
                        </w14:solidFill>
                      </w14:textFill>
                      <w14:ligatures w14:val="standardContextual"/>
                    </w:rPr>
                    <w:t>）</w:t>
                  </w:r>
                </w:p>
              </w:tc>
              <w:tc>
                <w:tcPr>
                  <w:tcW w:w="1117" w:type="dxa"/>
                  <w:vAlign w:val="center"/>
                </w:tcPr>
                <w:p w14:paraId="145E49F6">
                  <w:pPr>
                    <w:widowControl w:val="0"/>
                    <w:overflowPunct w:val="0"/>
                    <w:autoSpaceDE w:val="0"/>
                    <w:autoSpaceDN w:val="0"/>
                    <w:snapToGrid w:val="0"/>
                    <w:jc w:val="cente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浓度</w:t>
                  </w:r>
                  <w:r>
                    <w:rPr>
                      <w:rFonts w:hint="default" w:ascii="Times New Roman" w:hAnsi="Times New Roman" w:cs="Times New Roman"/>
                      <w:b/>
                      <w:bCs/>
                      <w:color w:val="000000" w:themeColor="text1"/>
                      <w:sz w:val="21"/>
                      <w:szCs w:val="21"/>
                      <w:highlight w:val="none"/>
                      <w:lang w:eastAsia="zh-CN"/>
                      <w14:textFill>
                        <w14:solidFill>
                          <w14:schemeClr w14:val="tx1"/>
                        </w14:solidFill>
                      </w14:textFill>
                      <w14:ligatures w14:val="standardContextual"/>
                    </w:rPr>
                    <w:t>（</w:t>
                  </w: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mg/m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14:ligatures w14:val="standardContextual"/>
                    </w:rPr>
                    <w:t>3</w:t>
                  </w:r>
                  <w:r>
                    <w:rPr>
                      <w:rFonts w:hint="default" w:ascii="Times New Roman" w:hAnsi="Times New Roman" w:cs="Times New Roman"/>
                      <w:b/>
                      <w:bCs/>
                      <w:color w:val="000000" w:themeColor="text1"/>
                      <w:sz w:val="21"/>
                      <w:szCs w:val="21"/>
                      <w:highlight w:val="none"/>
                      <w:lang w:eastAsia="zh-CN"/>
                      <w14:textFill>
                        <w14:solidFill>
                          <w14:schemeClr w14:val="tx1"/>
                        </w14:solidFill>
                      </w14:textFill>
                      <w14:ligatures w14:val="standardContextual"/>
                    </w:rPr>
                    <w:t>）</w:t>
                  </w:r>
                </w:p>
              </w:tc>
              <w:tc>
                <w:tcPr>
                  <w:tcW w:w="933" w:type="dxa"/>
                  <w:vAlign w:val="center"/>
                </w:tcPr>
                <w:p w14:paraId="0EEB5E6B">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速率</w:t>
                  </w:r>
                  <w:r>
                    <w:rPr>
                      <w:rFonts w:hint="default" w:ascii="Times New Roman" w:hAnsi="Times New Roman" w:cs="Times New Roman"/>
                      <w:b/>
                      <w:bCs/>
                      <w:color w:val="000000" w:themeColor="text1"/>
                      <w:sz w:val="21"/>
                      <w:szCs w:val="21"/>
                      <w:highlight w:val="none"/>
                      <w:lang w:eastAsia="zh-CN"/>
                      <w14:textFill>
                        <w14:solidFill>
                          <w14:schemeClr w14:val="tx1"/>
                        </w14:solidFill>
                      </w14:textFill>
                      <w14:ligatures w14:val="standardContextual"/>
                    </w:rPr>
                    <w:t>（</w:t>
                  </w:r>
                  <w:r>
                    <w:rPr>
                      <w:rFonts w:hint="default" w:ascii="Times New Roman" w:hAnsi="Times New Roman" w:cs="Times New Roman"/>
                      <w:b/>
                      <w:bCs/>
                      <w:color w:val="000000" w:themeColor="text1"/>
                      <w:sz w:val="21"/>
                      <w:szCs w:val="21"/>
                      <w:highlight w:val="none"/>
                      <w14:textFill>
                        <w14:solidFill>
                          <w14:schemeClr w14:val="tx1"/>
                        </w14:solidFill>
                      </w14:textFill>
                      <w14:ligatures w14:val="standardContextual"/>
                    </w:rPr>
                    <w:t>kg/h</w:t>
                  </w:r>
                  <w:r>
                    <w:rPr>
                      <w:rFonts w:hint="default" w:ascii="Times New Roman" w:hAnsi="Times New Roman" w:cs="Times New Roman"/>
                      <w:b/>
                      <w:bCs/>
                      <w:color w:val="000000" w:themeColor="text1"/>
                      <w:sz w:val="21"/>
                      <w:szCs w:val="21"/>
                      <w:highlight w:val="none"/>
                      <w:lang w:eastAsia="zh-CN"/>
                      <w14:textFill>
                        <w14:solidFill>
                          <w14:schemeClr w14:val="tx1"/>
                        </w14:solidFill>
                      </w14:textFill>
                      <w14:ligatures w14:val="standardContextual"/>
                    </w:rPr>
                    <w:t>）</w:t>
                  </w:r>
                </w:p>
              </w:tc>
            </w:tr>
            <w:tr w14:paraId="20AE5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38" w:type="dxa"/>
                  <w:vMerge w:val="restart"/>
                  <w:vAlign w:val="center"/>
                </w:tcPr>
                <w:p w14:paraId="30B0987D">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bookmarkStart w:id="105" w:name="OLE_LINK129"/>
                  <w:bookmarkStart w:id="106" w:name="_Hlk191837376"/>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DA00</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14:ligatures w14:val="standardContextual"/>
                    </w:rPr>
                    <w:t>4</w:t>
                  </w: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生物质锅炉燃烧废气</w:t>
                  </w:r>
                  <w:bookmarkEnd w:id="105"/>
                </w:p>
              </w:tc>
              <w:tc>
                <w:tcPr>
                  <w:tcW w:w="659" w:type="dxa"/>
                  <w:vAlign w:val="center"/>
                </w:tcPr>
                <w:p w14:paraId="4FEAD2D8">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颗粒物</w:t>
                  </w:r>
                </w:p>
              </w:tc>
              <w:tc>
                <w:tcPr>
                  <w:tcW w:w="759" w:type="dxa"/>
                  <w:vAlign w:val="center"/>
                </w:tcPr>
                <w:p w14:paraId="3EE9B7C6">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 xml:space="preserve">4.471 </w:t>
                  </w:r>
                </w:p>
              </w:tc>
              <w:tc>
                <w:tcPr>
                  <w:tcW w:w="890" w:type="dxa"/>
                  <w:vAlign w:val="center"/>
                </w:tcPr>
                <w:p w14:paraId="17AA9C1A">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 xml:space="preserve">0.621 </w:t>
                  </w:r>
                </w:p>
              </w:tc>
              <w:tc>
                <w:tcPr>
                  <w:tcW w:w="1038" w:type="dxa"/>
                  <w:vAlign w:val="center"/>
                </w:tcPr>
                <w:p w14:paraId="466F9787">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14:ligatures w14:val="standardContextual"/>
                    </w:rPr>
                  </w:pPr>
                  <w:r>
                    <w:rPr>
                      <w:rFonts w:hint="eastAsia" w:cs="Times New Roman"/>
                      <w:color w:val="000000" w:themeColor="text1"/>
                      <w:sz w:val="21"/>
                      <w:szCs w:val="21"/>
                      <w:highlight w:val="none"/>
                      <w:lang w:eastAsia="zh-CN"/>
                      <w14:textFill>
                        <w14:solidFill>
                          <w14:schemeClr w14:val="tx1"/>
                        </w14:solidFill>
                      </w14:textFill>
                      <w14:ligatures w14:val="standardContextual"/>
                    </w:rPr>
                    <w:t>80.123</w:t>
                  </w:r>
                </w:p>
              </w:tc>
              <w:tc>
                <w:tcPr>
                  <w:tcW w:w="445" w:type="dxa"/>
                  <w:vMerge w:val="restart"/>
                  <w:vAlign w:val="center"/>
                </w:tcPr>
                <w:p w14:paraId="5CF040EB">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有组织</w:t>
                  </w:r>
                </w:p>
              </w:tc>
              <w:tc>
                <w:tcPr>
                  <w:tcW w:w="857" w:type="dxa"/>
                  <w:vMerge w:val="restart"/>
                  <w:vAlign w:val="center"/>
                </w:tcPr>
                <w:p w14:paraId="10E70490">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14:ligatures w14:val="standardContextual"/>
                    </w:rPr>
                  </w:pPr>
                  <w:r>
                    <w:rPr>
                      <w:rFonts w:hint="eastAsia" w:cs="Times New Roman"/>
                      <w:color w:val="000000" w:themeColor="text1"/>
                      <w:sz w:val="21"/>
                      <w:szCs w:val="21"/>
                      <w:highlight w:val="none"/>
                      <w:lang w:eastAsia="zh-CN"/>
                      <w14:textFill>
                        <w14:solidFill>
                          <w14:schemeClr w14:val="tx1"/>
                        </w14:solidFill>
                      </w14:textFill>
                      <w14:ligatures w14:val="standardContextual"/>
                    </w:rPr>
                    <w:t>7750.6</w:t>
                  </w:r>
                </w:p>
              </w:tc>
              <w:tc>
                <w:tcPr>
                  <w:tcW w:w="792" w:type="dxa"/>
                  <w:vAlign w:val="center"/>
                </w:tcPr>
                <w:p w14:paraId="28307D67">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99.0%</w:t>
                  </w:r>
                </w:p>
              </w:tc>
              <w:tc>
                <w:tcPr>
                  <w:tcW w:w="628" w:type="dxa"/>
                  <w:vAlign w:val="center"/>
                </w:tcPr>
                <w:p w14:paraId="73EFD632">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是</w:t>
                  </w:r>
                </w:p>
              </w:tc>
              <w:tc>
                <w:tcPr>
                  <w:tcW w:w="1029" w:type="dxa"/>
                  <w:vMerge w:val="restart"/>
                  <w:vAlign w:val="center"/>
                </w:tcPr>
                <w:p w14:paraId="4BFE1066">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“低氮燃烧</w:t>
                  </w:r>
                  <w:r>
                    <w:rPr>
                      <w:rFonts w:hint="default" w:ascii="Times New Roman" w:hAnsi="Times New Roman" w:cs="Times New Roman"/>
                      <w:color w:val="000000" w:themeColor="text1"/>
                      <w:sz w:val="21"/>
                      <w:szCs w:val="21"/>
                      <w:highlight w:val="none"/>
                      <w:lang w:eastAsia="zh-CN"/>
                      <w14:textFill>
                        <w14:solidFill>
                          <w14:schemeClr w14:val="tx1"/>
                        </w14:solidFill>
                      </w14:textFill>
                      <w14:ligatures w14:val="standardContextual"/>
                    </w:rPr>
                    <w:t>+含陶瓷多管除尘器+布袋除尘器</w:t>
                  </w: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”处理达标后，</w:t>
                  </w:r>
                  <w:r>
                    <w:rPr>
                      <w:rFonts w:hint="default" w:ascii="Times New Roman" w:hAnsi="Times New Roman" w:cs="Times New Roman"/>
                      <w:color w:val="000000" w:themeColor="text1"/>
                      <w:sz w:val="21"/>
                      <w:szCs w:val="21"/>
                      <w:highlight w:val="none"/>
                      <w:lang w:eastAsia="zh-CN"/>
                      <w14:textFill>
                        <w14:solidFill>
                          <w14:schemeClr w14:val="tx1"/>
                        </w14:solidFill>
                      </w14:textFill>
                      <w14:ligatures w14:val="standardContextual"/>
                    </w:rPr>
                    <w:t>由1根35m高</w:t>
                  </w: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的</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14:ligatures w14:val="standardContextual"/>
                    </w:rPr>
                    <w:t>烟囱</w:t>
                  </w: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排放</w:t>
                  </w:r>
                </w:p>
              </w:tc>
              <w:tc>
                <w:tcPr>
                  <w:tcW w:w="838" w:type="dxa"/>
                  <w:vAlign w:val="center"/>
                </w:tcPr>
                <w:p w14:paraId="40C1D6CD">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b w:val="0"/>
                      <w:bCs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 xml:space="preserve">0.0447 </w:t>
                  </w:r>
                </w:p>
              </w:tc>
              <w:tc>
                <w:tcPr>
                  <w:tcW w:w="720" w:type="dxa"/>
                  <w:vAlign w:val="center"/>
                </w:tcPr>
                <w:p w14:paraId="36410117">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sz w:val="21"/>
                      <w:szCs w:val="21"/>
                      <w:highlight w:val="none"/>
                      <w:lang w:val="en-US" w:eastAsia="zh-CN"/>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 xml:space="preserve">0.006 </w:t>
                  </w:r>
                </w:p>
              </w:tc>
              <w:tc>
                <w:tcPr>
                  <w:tcW w:w="1117" w:type="dxa"/>
                  <w:vAlign w:val="center"/>
                </w:tcPr>
                <w:p w14:paraId="74EBF156">
                  <w:pPr>
                    <w:keepNext w:val="0"/>
                    <w:keepLines w:val="0"/>
                    <w:widowControl/>
                    <w:suppressLineNumbers w:val="0"/>
                    <w:overflowPunct w:val="0"/>
                    <w:autoSpaceDE w:val="0"/>
                    <w:autoSpaceDN w:val="0"/>
                    <w:snapToGrid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0.801</w:t>
                  </w:r>
                </w:p>
              </w:tc>
              <w:tc>
                <w:tcPr>
                  <w:tcW w:w="1117" w:type="dxa"/>
                  <w:vAlign w:val="center"/>
                </w:tcPr>
                <w:p w14:paraId="2B4DB8C7">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50</w:t>
                  </w:r>
                </w:p>
              </w:tc>
              <w:tc>
                <w:tcPr>
                  <w:tcW w:w="933" w:type="dxa"/>
                  <w:vAlign w:val="center"/>
                </w:tcPr>
                <w:p w14:paraId="6019382C">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w:t>
                  </w:r>
                </w:p>
              </w:tc>
            </w:tr>
            <w:tr w14:paraId="1412E1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38" w:type="dxa"/>
                  <w:vMerge w:val="continue"/>
                  <w:vAlign w:val="center"/>
                </w:tcPr>
                <w:p w14:paraId="77AF7BF5">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c>
                <w:tcPr>
                  <w:tcW w:w="659" w:type="dxa"/>
                  <w:vAlign w:val="center"/>
                </w:tcPr>
                <w:p w14:paraId="34AD04F6">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二氧</w:t>
                  </w:r>
                </w:p>
                <w:p w14:paraId="5E41394F">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化硫</w:t>
                  </w:r>
                </w:p>
              </w:tc>
              <w:tc>
                <w:tcPr>
                  <w:tcW w:w="759" w:type="dxa"/>
                  <w:vAlign w:val="center"/>
                </w:tcPr>
                <w:p w14:paraId="097DD43E">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 xml:space="preserve">4.561 </w:t>
                  </w:r>
                </w:p>
              </w:tc>
              <w:tc>
                <w:tcPr>
                  <w:tcW w:w="890" w:type="dxa"/>
                  <w:vAlign w:val="center"/>
                </w:tcPr>
                <w:p w14:paraId="3FEDEB41">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sz w:val="21"/>
                      <w:szCs w:val="21"/>
                      <w:highlight w:val="none"/>
                      <w:lang w:eastAsia="zh-CN"/>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 xml:space="preserve">0.633 </w:t>
                  </w:r>
                </w:p>
              </w:tc>
              <w:tc>
                <w:tcPr>
                  <w:tcW w:w="1038" w:type="dxa"/>
                  <w:vAlign w:val="center"/>
                </w:tcPr>
                <w:p w14:paraId="2BBAE535">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14:ligatures w14:val="standardContextual"/>
                    </w:rPr>
                  </w:pPr>
                  <w:r>
                    <w:rPr>
                      <w:rFonts w:hint="eastAsia" w:cs="Times New Roman"/>
                      <w:color w:val="000000" w:themeColor="text1"/>
                      <w:sz w:val="21"/>
                      <w:szCs w:val="21"/>
                      <w:highlight w:val="none"/>
                      <w:lang w:eastAsia="zh-CN"/>
                      <w14:textFill>
                        <w14:solidFill>
                          <w14:schemeClr w14:val="tx1"/>
                        </w14:solidFill>
                      </w14:textFill>
                      <w14:ligatures w14:val="standardContextual"/>
                    </w:rPr>
                    <w:t>81.671</w:t>
                  </w:r>
                </w:p>
              </w:tc>
              <w:tc>
                <w:tcPr>
                  <w:tcW w:w="445" w:type="dxa"/>
                  <w:vMerge w:val="continue"/>
                  <w:vAlign w:val="center"/>
                </w:tcPr>
                <w:p w14:paraId="4E4AEB9B">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c>
                <w:tcPr>
                  <w:tcW w:w="857" w:type="dxa"/>
                  <w:vMerge w:val="continue"/>
                  <w:vAlign w:val="center"/>
                </w:tcPr>
                <w:p w14:paraId="5A969078">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c>
                <w:tcPr>
                  <w:tcW w:w="792" w:type="dxa"/>
                  <w:vAlign w:val="center"/>
                </w:tcPr>
                <w:p w14:paraId="22F5A089">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0%</w:t>
                  </w:r>
                </w:p>
              </w:tc>
              <w:tc>
                <w:tcPr>
                  <w:tcW w:w="628" w:type="dxa"/>
                  <w:vAlign w:val="center"/>
                </w:tcPr>
                <w:p w14:paraId="0E259308">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是</w:t>
                  </w:r>
                </w:p>
              </w:tc>
              <w:tc>
                <w:tcPr>
                  <w:tcW w:w="1029" w:type="dxa"/>
                  <w:vMerge w:val="continue"/>
                  <w:vAlign w:val="center"/>
                </w:tcPr>
                <w:p w14:paraId="76C66174">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c>
                <w:tcPr>
                  <w:tcW w:w="838" w:type="dxa"/>
                  <w:vAlign w:val="center"/>
                </w:tcPr>
                <w:p w14:paraId="350BED5E">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b w:val="0"/>
                      <w:bCs w:val="0"/>
                      <w:color w:val="000000" w:themeColor="text1"/>
                      <w:sz w:val="21"/>
                      <w:szCs w:val="21"/>
                      <w:highlight w:val="none"/>
                      <w:lang w:eastAsia="zh-CN"/>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 xml:space="preserve">4.561 </w:t>
                  </w:r>
                </w:p>
              </w:tc>
              <w:tc>
                <w:tcPr>
                  <w:tcW w:w="720" w:type="dxa"/>
                  <w:vAlign w:val="center"/>
                </w:tcPr>
                <w:p w14:paraId="628F01FB">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sz w:val="21"/>
                      <w:szCs w:val="21"/>
                      <w:highlight w:val="none"/>
                      <w:lang w:eastAsia="zh-CN"/>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 xml:space="preserve">0.633 </w:t>
                  </w:r>
                </w:p>
              </w:tc>
              <w:tc>
                <w:tcPr>
                  <w:tcW w:w="1117" w:type="dxa"/>
                  <w:vAlign w:val="center"/>
                </w:tcPr>
                <w:p w14:paraId="469F2F30">
                  <w:pPr>
                    <w:keepNext w:val="0"/>
                    <w:keepLines w:val="0"/>
                    <w:widowControl/>
                    <w:suppressLineNumbers w:val="0"/>
                    <w:overflowPunct w:val="0"/>
                    <w:autoSpaceDE w:val="0"/>
                    <w:autoSpaceDN w:val="0"/>
                    <w:snapToGrid w:val="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14:ligatures w14:val="standardContextual"/>
                    </w:rPr>
                  </w:pPr>
                  <w:r>
                    <w:rPr>
                      <w:rFonts w:hint="eastAsia"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81.671</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 xml:space="preserve"> </w:t>
                  </w:r>
                </w:p>
              </w:tc>
              <w:tc>
                <w:tcPr>
                  <w:tcW w:w="1117" w:type="dxa"/>
                  <w:vAlign w:val="center"/>
                </w:tcPr>
                <w:p w14:paraId="4E366338">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300</w:t>
                  </w:r>
                </w:p>
              </w:tc>
              <w:tc>
                <w:tcPr>
                  <w:tcW w:w="933" w:type="dxa"/>
                  <w:vAlign w:val="center"/>
                </w:tcPr>
                <w:p w14:paraId="2F64E19E">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w:t>
                  </w:r>
                </w:p>
              </w:tc>
            </w:tr>
            <w:tr w14:paraId="26690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38" w:type="dxa"/>
                  <w:vMerge w:val="continue"/>
                  <w:vAlign w:val="center"/>
                </w:tcPr>
                <w:p w14:paraId="54F254DF">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bookmarkStart w:id="107" w:name="_Hlk192784239"/>
                </w:p>
              </w:tc>
              <w:tc>
                <w:tcPr>
                  <w:tcW w:w="659" w:type="dxa"/>
                  <w:vAlign w:val="center"/>
                </w:tcPr>
                <w:p w14:paraId="6E0B9ED8">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氮氧</w:t>
                  </w:r>
                </w:p>
                <w:p w14:paraId="034B7E52">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化物</w:t>
                  </w:r>
                </w:p>
              </w:tc>
              <w:tc>
                <w:tcPr>
                  <w:tcW w:w="759" w:type="dxa"/>
                  <w:vAlign w:val="center"/>
                </w:tcPr>
                <w:p w14:paraId="6DCF5A0A">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 xml:space="preserve">9.121 </w:t>
                  </w:r>
                </w:p>
              </w:tc>
              <w:tc>
                <w:tcPr>
                  <w:tcW w:w="890" w:type="dxa"/>
                  <w:vAlign w:val="center"/>
                </w:tcPr>
                <w:p w14:paraId="5BE7A72F">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sz w:val="21"/>
                      <w:szCs w:val="21"/>
                      <w:highlight w:val="none"/>
                      <w:lang w:eastAsia="zh-CN"/>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 xml:space="preserve">1.267 </w:t>
                  </w:r>
                </w:p>
              </w:tc>
              <w:tc>
                <w:tcPr>
                  <w:tcW w:w="1038" w:type="dxa"/>
                  <w:vAlign w:val="center"/>
                </w:tcPr>
                <w:p w14:paraId="602D6B9C">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14:ligatures w14:val="standardContextual"/>
                    </w:rPr>
                  </w:pPr>
                  <w:r>
                    <w:rPr>
                      <w:rFonts w:hint="eastAsia" w:cs="Times New Roman"/>
                      <w:color w:val="000000" w:themeColor="text1"/>
                      <w:sz w:val="21"/>
                      <w:szCs w:val="21"/>
                      <w:highlight w:val="none"/>
                      <w:lang w:eastAsia="zh-CN"/>
                      <w14:textFill>
                        <w14:solidFill>
                          <w14:schemeClr w14:val="tx1"/>
                        </w14:solidFill>
                      </w14:textFill>
                      <w14:ligatures w14:val="standardContextual"/>
                    </w:rPr>
                    <w:t>163.471</w:t>
                  </w:r>
                </w:p>
              </w:tc>
              <w:tc>
                <w:tcPr>
                  <w:tcW w:w="445" w:type="dxa"/>
                  <w:vMerge w:val="continue"/>
                  <w:vAlign w:val="center"/>
                </w:tcPr>
                <w:p w14:paraId="77B876E1">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c>
                <w:tcPr>
                  <w:tcW w:w="857" w:type="dxa"/>
                  <w:vMerge w:val="continue"/>
                  <w:vAlign w:val="center"/>
                </w:tcPr>
                <w:p w14:paraId="0DA0B441">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c>
                <w:tcPr>
                  <w:tcW w:w="792" w:type="dxa"/>
                  <w:vAlign w:val="center"/>
                </w:tcPr>
                <w:p w14:paraId="0D58997A">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30%</w:t>
                  </w:r>
                </w:p>
              </w:tc>
              <w:tc>
                <w:tcPr>
                  <w:tcW w:w="628" w:type="dxa"/>
                  <w:vAlign w:val="center"/>
                </w:tcPr>
                <w:p w14:paraId="29D8806B">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是</w:t>
                  </w:r>
                </w:p>
              </w:tc>
              <w:tc>
                <w:tcPr>
                  <w:tcW w:w="1029" w:type="dxa"/>
                  <w:vMerge w:val="continue"/>
                  <w:vAlign w:val="center"/>
                </w:tcPr>
                <w:p w14:paraId="46BF85CE">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c>
                <w:tcPr>
                  <w:tcW w:w="838" w:type="dxa"/>
                  <w:vAlign w:val="center"/>
                </w:tcPr>
                <w:p w14:paraId="25318988">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b w:val="0"/>
                      <w:bCs w:val="0"/>
                      <w:color w:val="000000" w:themeColor="text1"/>
                      <w:sz w:val="21"/>
                      <w:szCs w:val="21"/>
                      <w:highlight w:val="none"/>
                      <w14:textFill>
                        <w14:solidFill>
                          <w14:schemeClr w14:val="tx1"/>
                        </w14:solidFill>
                      </w14:textFill>
                      <w14:ligatures w14:val="standardContextual"/>
                    </w:rPr>
                  </w:pPr>
                  <w:r>
                    <w:rPr>
                      <w:rFonts w:hint="eastAsia"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6.385</w:t>
                  </w:r>
                </w:p>
              </w:tc>
              <w:tc>
                <w:tcPr>
                  <w:tcW w:w="720" w:type="dxa"/>
                  <w:vAlign w:val="center"/>
                </w:tcPr>
                <w:p w14:paraId="1410B093">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sz w:val="21"/>
                      <w:szCs w:val="21"/>
                      <w:highlight w:val="none"/>
                      <w:lang w:eastAsia="zh-CN"/>
                      <w14:textFill>
                        <w14:solidFill>
                          <w14:schemeClr w14:val="tx1"/>
                        </w14:solidFill>
                      </w14:textFill>
                      <w14:ligatures w14:val="standardContextual"/>
                    </w:rPr>
                  </w:pPr>
                  <w:r>
                    <w:rPr>
                      <w:rFonts w:hint="eastAsia"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0.887</w:t>
                  </w: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 xml:space="preserve"> </w:t>
                  </w:r>
                </w:p>
              </w:tc>
              <w:tc>
                <w:tcPr>
                  <w:tcW w:w="1117" w:type="dxa"/>
                  <w:vAlign w:val="center"/>
                </w:tcPr>
                <w:p w14:paraId="7EAD46DE">
                  <w:pPr>
                    <w:keepNext w:val="0"/>
                    <w:keepLines w:val="0"/>
                    <w:widowControl/>
                    <w:suppressLineNumbers w:val="0"/>
                    <w:overflowPunct w:val="0"/>
                    <w:autoSpaceDE w:val="0"/>
                    <w:autoSpaceDN w:val="0"/>
                    <w:snapToGrid w:val="0"/>
                    <w:jc w:val="center"/>
                    <w:textAlignment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14:ligatures w14:val="standardContextual"/>
                    </w:rPr>
                  </w:pPr>
                  <w:r>
                    <w:rPr>
                      <w:rFonts w:hint="eastAsia"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114.43</w:t>
                  </w:r>
                </w:p>
              </w:tc>
              <w:tc>
                <w:tcPr>
                  <w:tcW w:w="1117" w:type="dxa"/>
                  <w:vAlign w:val="center"/>
                </w:tcPr>
                <w:p w14:paraId="75ABFA73">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300</w:t>
                  </w:r>
                </w:p>
              </w:tc>
              <w:tc>
                <w:tcPr>
                  <w:tcW w:w="933" w:type="dxa"/>
                  <w:vAlign w:val="center"/>
                </w:tcPr>
                <w:p w14:paraId="04A650CD">
                  <w:pPr>
                    <w:widowControl w:val="0"/>
                    <w:overflowPunct w:val="0"/>
                    <w:autoSpaceDE w:val="0"/>
                    <w:autoSpaceDN w:val="0"/>
                    <w:snapToGrid w:val="0"/>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w:t>
                  </w:r>
                </w:p>
              </w:tc>
            </w:tr>
            <w:bookmarkEnd w:id="106"/>
            <w:bookmarkEnd w:id="107"/>
          </w:tbl>
          <w:p w14:paraId="7B6A67DD">
            <w:pPr>
              <w:pStyle w:val="34"/>
              <w:rPr>
                <w:rFonts w:hint="default" w:ascii="Times New Roman" w:hAnsi="Times New Roman" w:cs="Times New Roman"/>
                <w:color w:val="000000" w:themeColor="text1"/>
                <w:highlight w:val="none"/>
                <w14:textFill>
                  <w14:solidFill>
                    <w14:schemeClr w14:val="tx1"/>
                  </w14:solidFill>
                </w14:textFill>
              </w:rPr>
            </w:pPr>
            <w:bookmarkStart w:id="108" w:name="_Ref176949030"/>
            <w:r>
              <w:rPr>
                <w:rFonts w:hint="default" w:ascii="Times New Roman" w:hAnsi="Times New Roman" w:cs="Times New Roman"/>
                <w:color w:val="000000" w:themeColor="text1"/>
                <w:highlight w:val="none"/>
                <w14:textFill>
                  <w14:solidFill>
                    <w14:schemeClr w14:val="tx1"/>
                  </w14:solidFill>
                </w14:textFill>
              </w:rPr>
              <w:t>表4- 2：本项目废气排放口基本情况表</w:t>
            </w:r>
            <w:bookmarkEnd w:id="108"/>
          </w:p>
          <w:tbl>
            <w:tblPr>
              <w:tblStyle w:val="4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96"/>
              <w:gridCol w:w="2365"/>
              <w:gridCol w:w="2231"/>
              <w:gridCol w:w="686"/>
              <w:gridCol w:w="691"/>
              <w:gridCol w:w="802"/>
              <w:gridCol w:w="686"/>
              <w:gridCol w:w="1491"/>
              <w:gridCol w:w="1886"/>
            </w:tblGrid>
            <w:tr w14:paraId="6B483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06" w:type="pct"/>
                  <w:vMerge w:val="restart"/>
                  <w:tcBorders>
                    <w:insideH w:val="single" w:sz="12" w:space="0"/>
                    <w:insideV w:val="single" w:sz="4" w:space="0"/>
                    <w:tl2br w:val="nil"/>
                    <w:tr2bl w:val="nil"/>
                  </w:tcBorders>
                  <w:vAlign w:val="center"/>
                </w:tcPr>
                <w:p w14:paraId="0E3F7EB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i w:val="0"/>
                      <w:color w:val="000000" w:themeColor="text1"/>
                      <w:sz w:val="21"/>
                      <w:szCs w:val="21"/>
                      <w:highlight w:val="none"/>
                      <w:lang w:val="en-US" w:eastAsia="zh-CN"/>
                      <w14:textFill>
                        <w14:solidFill>
                          <w14:schemeClr w14:val="tx1"/>
                        </w14:solidFill>
                      </w14:textFill>
                      <w14:ligatures w14:val="standardContextual"/>
                    </w:rPr>
                    <w:t>排气筒</w:t>
                  </w: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编号</w:t>
                  </w:r>
                </w:p>
              </w:tc>
              <w:tc>
                <w:tcPr>
                  <w:tcW w:w="1863" w:type="pct"/>
                  <w:gridSpan w:val="2"/>
                  <w:tcBorders>
                    <w:insideH w:val="single" w:sz="12" w:space="0"/>
                    <w:insideV w:val="single" w:sz="4" w:space="0"/>
                    <w:tl2br w:val="nil"/>
                    <w:tr2bl w:val="nil"/>
                  </w:tcBorders>
                  <w:vAlign w:val="center"/>
                </w:tcPr>
                <w:p w14:paraId="7F8C29F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坐标</w:t>
                  </w:r>
                </w:p>
              </w:tc>
              <w:tc>
                <w:tcPr>
                  <w:tcW w:w="278" w:type="pct"/>
                  <w:vMerge w:val="restart"/>
                  <w:tcBorders>
                    <w:insideH w:val="single" w:sz="12" w:space="0"/>
                    <w:insideV w:val="single" w:sz="4" w:space="0"/>
                    <w:tl2br w:val="nil"/>
                    <w:tr2bl w:val="nil"/>
                  </w:tcBorders>
                  <w:vAlign w:val="center"/>
                </w:tcPr>
                <w:p w14:paraId="2492C97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高度</w:t>
                  </w:r>
                </w:p>
              </w:tc>
              <w:tc>
                <w:tcPr>
                  <w:tcW w:w="280" w:type="pct"/>
                  <w:vMerge w:val="restart"/>
                  <w:tcBorders>
                    <w:insideH w:val="single" w:sz="12" w:space="0"/>
                    <w:insideV w:val="single" w:sz="4" w:space="0"/>
                    <w:tl2br w:val="nil"/>
                    <w:tr2bl w:val="nil"/>
                  </w:tcBorders>
                  <w:vAlign w:val="center"/>
                </w:tcPr>
                <w:p w14:paraId="3118B9D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内径</w:t>
                  </w:r>
                </w:p>
              </w:tc>
              <w:tc>
                <w:tcPr>
                  <w:tcW w:w="325" w:type="pct"/>
                  <w:vMerge w:val="restart"/>
                  <w:tcBorders>
                    <w:insideH w:val="single" w:sz="12" w:space="0"/>
                    <w:insideV w:val="single" w:sz="4" w:space="0"/>
                    <w:tl2br w:val="nil"/>
                    <w:tr2bl w:val="nil"/>
                  </w:tcBorders>
                  <w:vAlign w:val="center"/>
                </w:tcPr>
                <w:p w14:paraId="28026EB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流速</w:t>
                  </w:r>
                </w:p>
              </w:tc>
              <w:tc>
                <w:tcPr>
                  <w:tcW w:w="278" w:type="pct"/>
                  <w:vMerge w:val="restart"/>
                  <w:tcBorders>
                    <w:insideH w:val="single" w:sz="12" w:space="0"/>
                    <w:insideV w:val="single" w:sz="4" w:space="0"/>
                    <w:tl2br w:val="nil"/>
                    <w:tr2bl w:val="nil"/>
                  </w:tcBorders>
                  <w:vAlign w:val="center"/>
                </w:tcPr>
                <w:p w14:paraId="3FAEEC3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温度</w:t>
                  </w:r>
                </w:p>
              </w:tc>
              <w:tc>
                <w:tcPr>
                  <w:tcW w:w="604" w:type="pct"/>
                  <w:vMerge w:val="restart"/>
                  <w:tcBorders>
                    <w:insideH w:val="single" w:sz="12" w:space="0"/>
                    <w:insideV w:val="single" w:sz="4" w:space="0"/>
                    <w:tl2br w:val="nil"/>
                    <w:tr2bl w:val="nil"/>
                  </w:tcBorders>
                  <w:vAlign w:val="center"/>
                </w:tcPr>
                <w:p w14:paraId="6FD1547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类型</w:t>
                  </w:r>
                </w:p>
              </w:tc>
              <w:tc>
                <w:tcPr>
                  <w:tcW w:w="764" w:type="pct"/>
                  <w:vMerge w:val="restart"/>
                  <w:tcBorders>
                    <w:insideH w:val="single" w:sz="12" w:space="0"/>
                    <w:insideV w:val="single" w:sz="4" w:space="0"/>
                    <w:tl2br w:val="nil"/>
                    <w:tr2bl w:val="nil"/>
                  </w:tcBorders>
                  <w:vAlign w:val="center"/>
                </w:tcPr>
                <w:p w14:paraId="4095BD7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排放标准</w:t>
                  </w:r>
                </w:p>
              </w:tc>
            </w:tr>
            <w:tr w14:paraId="1C7809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06" w:type="pct"/>
                  <w:vMerge w:val="continue"/>
                  <w:tcBorders>
                    <w:insideH w:val="single" w:sz="12" w:space="0"/>
                    <w:insideV w:val="single" w:sz="4" w:space="0"/>
                    <w:tl2br w:val="nil"/>
                    <w:tr2bl w:val="nil"/>
                  </w:tcBorders>
                  <w:vAlign w:val="center"/>
                </w:tcPr>
                <w:p w14:paraId="57A87E8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cs="Times New Roman"/>
                      <w:b/>
                      <w:i w:val="0"/>
                      <w:color w:val="000000" w:themeColor="text1"/>
                      <w:sz w:val="21"/>
                      <w:szCs w:val="21"/>
                      <w:highlight w:val="none"/>
                      <w:lang w:val="en-US" w:eastAsia="zh-CN"/>
                      <w14:textFill>
                        <w14:solidFill>
                          <w14:schemeClr w14:val="tx1"/>
                        </w14:solidFill>
                      </w14:textFill>
                      <w14:ligatures w14:val="standardContextual"/>
                    </w:rPr>
                  </w:pPr>
                </w:p>
              </w:tc>
              <w:tc>
                <w:tcPr>
                  <w:tcW w:w="958" w:type="pct"/>
                  <w:tcBorders>
                    <w:insideH w:val="single" w:sz="12" w:space="0"/>
                    <w:insideV w:val="single" w:sz="4" w:space="0"/>
                    <w:tl2br w:val="nil"/>
                    <w:tr2bl w:val="nil"/>
                  </w:tcBorders>
                  <w:vAlign w:val="center"/>
                </w:tcPr>
                <w:p w14:paraId="77EA709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bCs/>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highlight w:val="none"/>
                      <w14:textFill>
                        <w14:solidFill>
                          <w14:schemeClr w14:val="tx1"/>
                        </w14:solidFill>
                      </w14:textFill>
                      <w14:ligatures w14:val="standardContextual"/>
                    </w:rPr>
                    <w:t>E</w:t>
                  </w:r>
                </w:p>
              </w:tc>
              <w:tc>
                <w:tcPr>
                  <w:tcW w:w="904" w:type="pct"/>
                  <w:tcBorders>
                    <w:insideH w:val="single" w:sz="12" w:space="0"/>
                    <w:insideV w:val="single" w:sz="4" w:space="0"/>
                    <w:tl2br w:val="nil"/>
                    <w:tr2bl w:val="nil"/>
                  </w:tcBorders>
                  <w:vAlign w:val="center"/>
                </w:tcPr>
                <w:p w14:paraId="26E0D6B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bCs/>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b/>
                      <w:bCs/>
                      <w:color w:val="000000" w:themeColor="text1"/>
                      <w:highlight w:val="none"/>
                      <w14:textFill>
                        <w14:solidFill>
                          <w14:schemeClr w14:val="tx1"/>
                        </w14:solidFill>
                      </w14:textFill>
                      <w14:ligatures w14:val="standardContextual"/>
                    </w:rPr>
                    <w:t>N</w:t>
                  </w:r>
                </w:p>
              </w:tc>
              <w:tc>
                <w:tcPr>
                  <w:tcW w:w="278" w:type="pct"/>
                  <w:vMerge w:val="continue"/>
                  <w:tcBorders>
                    <w:insideH w:val="single" w:sz="12" w:space="0"/>
                    <w:insideV w:val="single" w:sz="4" w:space="0"/>
                    <w:tl2br w:val="nil"/>
                    <w:tr2bl w:val="nil"/>
                  </w:tcBorders>
                  <w:vAlign w:val="center"/>
                </w:tcPr>
                <w:p w14:paraId="65DA104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p>
              </w:tc>
              <w:tc>
                <w:tcPr>
                  <w:tcW w:w="280" w:type="pct"/>
                  <w:vMerge w:val="continue"/>
                  <w:tcBorders>
                    <w:insideH w:val="single" w:sz="12" w:space="0"/>
                    <w:insideV w:val="single" w:sz="4" w:space="0"/>
                    <w:tl2br w:val="nil"/>
                    <w:tr2bl w:val="nil"/>
                  </w:tcBorders>
                  <w:vAlign w:val="center"/>
                </w:tcPr>
                <w:p w14:paraId="5565598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p>
              </w:tc>
              <w:tc>
                <w:tcPr>
                  <w:tcW w:w="325" w:type="pct"/>
                  <w:vMerge w:val="continue"/>
                  <w:tcBorders>
                    <w:insideH w:val="single" w:sz="12" w:space="0"/>
                    <w:insideV w:val="single" w:sz="4" w:space="0"/>
                    <w:tl2br w:val="nil"/>
                    <w:tr2bl w:val="nil"/>
                  </w:tcBorders>
                  <w:vAlign w:val="center"/>
                </w:tcPr>
                <w:p w14:paraId="0B0FEE9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p>
              </w:tc>
              <w:tc>
                <w:tcPr>
                  <w:tcW w:w="278" w:type="pct"/>
                  <w:vMerge w:val="continue"/>
                  <w:tcBorders>
                    <w:insideH w:val="single" w:sz="12" w:space="0"/>
                    <w:insideV w:val="single" w:sz="4" w:space="0"/>
                    <w:tl2br w:val="nil"/>
                    <w:tr2bl w:val="nil"/>
                  </w:tcBorders>
                  <w:vAlign w:val="center"/>
                </w:tcPr>
                <w:p w14:paraId="1D7AE04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p>
              </w:tc>
              <w:tc>
                <w:tcPr>
                  <w:tcW w:w="604" w:type="pct"/>
                  <w:vMerge w:val="continue"/>
                  <w:tcBorders>
                    <w:insideH w:val="single" w:sz="12" w:space="0"/>
                    <w:insideV w:val="single" w:sz="4" w:space="0"/>
                    <w:tl2br w:val="nil"/>
                    <w:tr2bl w:val="nil"/>
                  </w:tcBorders>
                  <w:vAlign w:val="center"/>
                </w:tcPr>
                <w:p w14:paraId="471EDAE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p>
              </w:tc>
              <w:tc>
                <w:tcPr>
                  <w:tcW w:w="764" w:type="pct"/>
                  <w:vMerge w:val="continue"/>
                  <w:tcBorders>
                    <w:insideH w:val="single" w:sz="12" w:space="0"/>
                    <w:insideV w:val="single" w:sz="4" w:space="0"/>
                    <w:tl2br w:val="nil"/>
                    <w:tr2bl w:val="nil"/>
                  </w:tcBorders>
                  <w:vAlign w:val="center"/>
                </w:tcPr>
                <w:p w14:paraId="5BAADB7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p>
              </w:tc>
            </w:tr>
            <w:tr w14:paraId="5C6AC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06" w:type="pct"/>
                  <w:tcBorders>
                    <w:tl2br w:val="nil"/>
                    <w:tr2bl w:val="nil"/>
                  </w:tcBorders>
                  <w:vAlign w:val="center"/>
                </w:tcPr>
                <w:p w14:paraId="6E028EFF">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DA00</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4</w:t>
                  </w:r>
                </w:p>
              </w:tc>
              <w:tc>
                <w:tcPr>
                  <w:tcW w:w="958" w:type="pct"/>
                  <w:tcBorders>
                    <w:tl2br w:val="nil"/>
                    <w:tr2bl w:val="nil"/>
                  </w:tcBorders>
                  <w:vAlign w:val="center"/>
                </w:tcPr>
                <w:p w14:paraId="2A8507C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108°40′22.410</w:t>
                  </w:r>
                  <w:r>
                    <w:rPr>
                      <w:rFonts w:hint="default" w:ascii="Times New Roman" w:hAnsi="Times New Roman" w:cs="Times New Roman"/>
                      <w:color w:val="000000" w:themeColor="text1"/>
                      <w:highlight w:val="none"/>
                      <w14:textFill>
                        <w14:solidFill>
                          <w14:schemeClr w14:val="tx1"/>
                        </w14:solidFill>
                      </w14:textFill>
                      <w14:ligatures w14:val="standardContextual"/>
                    </w:rPr>
                    <w:t>″</w:t>
                  </w:r>
                </w:p>
              </w:tc>
              <w:tc>
                <w:tcPr>
                  <w:tcW w:w="904" w:type="pct"/>
                  <w:tcBorders>
                    <w:tl2br w:val="nil"/>
                    <w:tr2bl w:val="nil"/>
                  </w:tcBorders>
                  <w:vAlign w:val="center"/>
                </w:tcPr>
                <w:p w14:paraId="529ED8B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21°45′11.790</w:t>
                  </w:r>
                  <w:r>
                    <w:rPr>
                      <w:rFonts w:hint="default" w:ascii="Times New Roman" w:hAnsi="Times New Roman" w:cs="Times New Roman"/>
                      <w:color w:val="000000" w:themeColor="text1"/>
                      <w:highlight w:val="none"/>
                      <w14:textFill>
                        <w14:solidFill>
                          <w14:schemeClr w14:val="tx1"/>
                        </w14:solidFill>
                      </w14:textFill>
                      <w14:ligatures w14:val="standardContextual"/>
                    </w:rPr>
                    <w:t>″</w:t>
                  </w:r>
                </w:p>
              </w:tc>
              <w:tc>
                <w:tcPr>
                  <w:tcW w:w="278" w:type="pct"/>
                  <w:tcBorders>
                    <w:tl2br w:val="nil"/>
                    <w:tr2bl w:val="nil"/>
                  </w:tcBorders>
                  <w:vAlign w:val="center"/>
                </w:tcPr>
                <w:p w14:paraId="5685A38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35</w:t>
                  </w:r>
                  <w:r>
                    <w:rPr>
                      <w:rFonts w:hint="default" w:ascii="Times New Roman" w:hAnsi="Times New Roman" w:cs="Times New Roman"/>
                      <w:color w:val="000000" w:themeColor="text1"/>
                      <w:highlight w:val="none"/>
                      <w14:textFill>
                        <w14:solidFill>
                          <w14:schemeClr w14:val="tx1"/>
                        </w14:solidFill>
                      </w14:textFill>
                      <w14:ligatures w14:val="standardContextual"/>
                    </w:rPr>
                    <w:t>m</w:t>
                  </w:r>
                </w:p>
              </w:tc>
              <w:tc>
                <w:tcPr>
                  <w:tcW w:w="280" w:type="pct"/>
                  <w:tcBorders>
                    <w:tl2br w:val="nil"/>
                    <w:tr2bl w:val="nil"/>
                  </w:tcBorders>
                  <w:vAlign w:val="center"/>
                </w:tcPr>
                <w:p w14:paraId="1CD08A9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0.8m</w:t>
                  </w:r>
                </w:p>
              </w:tc>
              <w:tc>
                <w:tcPr>
                  <w:tcW w:w="325" w:type="pct"/>
                  <w:tcBorders>
                    <w:tl2br w:val="nil"/>
                    <w:tr2bl w:val="nil"/>
                  </w:tcBorders>
                  <w:vAlign w:val="center"/>
                </w:tcPr>
                <w:p w14:paraId="401FF0E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20m/s</w:t>
                  </w:r>
                </w:p>
              </w:tc>
              <w:tc>
                <w:tcPr>
                  <w:tcW w:w="278" w:type="pct"/>
                  <w:tcBorders>
                    <w:tl2br w:val="nil"/>
                    <w:tr2bl w:val="nil"/>
                  </w:tcBorders>
                  <w:vAlign w:val="center"/>
                </w:tcPr>
                <w:p w14:paraId="4248815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60℃</w:t>
                  </w:r>
                </w:p>
              </w:tc>
              <w:tc>
                <w:tcPr>
                  <w:tcW w:w="604" w:type="pct"/>
                  <w:tcBorders>
                    <w:tl2br w:val="nil"/>
                    <w:tr2bl w:val="nil"/>
                  </w:tcBorders>
                  <w:vAlign w:val="center"/>
                </w:tcPr>
                <w:p w14:paraId="2883706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一般</w:t>
                  </w:r>
                  <w:r>
                    <w:rPr>
                      <w:rFonts w:hint="default" w:ascii="Times New Roman" w:hAnsi="Times New Roman" w:cs="Times New Roman"/>
                      <w:color w:val="000000" w:themeColor="text1"/>
                      <w:highlight w:val="none"/>
                      <w14:textFill>
                        <w14:solidFill>
                          <w14:schemeClr w14:val="tx1"/>
                        </w14:solidFill>
                      </w14:textFill>
                      <w14:ligatures w14:val="standardContextual"/>
                    </w:rPr>
                    <w:t>排放口</w:t>
                  </w:r>
                </w:p>
              </w:tc>
              <w:tc>
                <w:tcPr>
                  <w:tcW w:w="764" w:type="pct"/>
                  <w:tcBorders>
                    <w:tl2br w:val="nil"/>
                    <w:tr2bl w:val="nil"/>
                  </w:tcBorders>
                  <w:vAlign w:val="center"/>
                </w:tcPr>
                <w:p w14:paraId="563E215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GB 13271-2014</w:t>
                  </w:r>
                </w:p>
              </w:tc>
            </w:tr>
          </w:tbl>
          <w:p w14:paraId="011B7F9E">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283D9F12">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p w14:paraId="1CC584BF">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tc>
      </w:tr>
    </w:tbl>
    <w:p w14:paraId="0E68DA73">
      <w:pPr>
        <w:rPr>
          <w:rFonts w:hint="default" w:ascii="Times New Roman" w:hAnsi="Times New Roman" w:cs="Times New Roman"/>
          <w:color w:val="000000" w:themeColor="text1"/>
          <w:highlight w:val="none"/>
          <w14:textFill>
            <w14:solidFill>
              <w14:schemeClr w14:val="tx1"/>
            </w14:solidFill>
          </w14:textFill>
        </w:rPr>
        <w:sectPr>
          <w:pgSz w:w="16840" w:h="11907" w:orient="landscape"/>
          <w:pgMar w:top="1531" w:right="2127"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
        <w:gridCol w:w="8657"/>
      </w:tblGrid>
      <w:tr w14:paraId="302B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7" w:hRule="atLeast"/>
        </w:trPr>
        <w:tc>
          <w:tcPr>
            <w:tcW w:w="404" w:type="dxa"/>
            <w:vAlign w:val="center"/>
          </w:tcPr>
          <w:p w14:paraId="7B999537">
            <w:pPr>
              <w:pStyle w:val="35"/>
              <w:rPr>
                <w:rFonts w:hint="default" w:ascii="Times New Roman" w:hAnsi="Times New Roman" w:cs="Times New Roman"/>
                <w:color w:val="000000" w:themeColor="text1"/>
                <w:highlight w:val="none"/>
                <w14:textFill>
                  <w14:solidFill>
                    <w14:schemeClr w14:val="tx1"/>
                  </w14:solidFill>
                </w14:textFill>
              </w:rPr>
            </w:pPr>
            <w:bookmarkStart w:id="109" w:name="_Toc175609276"/>
            <w:r>
              <w:rPr>
                <w:rFonts w:hint="default" w:ascii="Times New Roman" w:hAnsi="Times New Roman" w:cs="Times New Roman"/>
                <w:color w:val="000000" w:themeColor="text1"/>
                <w:highlight w:val="none"/>
                <w14:textFill>
                  <w14:solidFill>
                    <w14:schemeClr w14:val="tx1"/>
                  </w14:solidFill>
                </w14:textFill>
              </w:rPr>
              <w:t>运营期环境影响和保护措施</w:t>
            </w:r>
            <w:bookmarkEnd w:id="109"/>
          </w:p>
        </w:tc>
        <w:tc>
          <w:tcPr>
            <w:tcW w:w="8657" w:type="dxa"/>
            <w:vAlign w:val="center"/>
          </w:tcPr>
          <w:p w14:paraId="5A17C69A">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2、污染源强核算过程</w:t>
            </w:r>
          </w:p>
          <w:p w14:paraId="00205F00">
            <w:pPr>
              <w:pStyle w:val="4"/>
              <w:ind w:firstLine="482"/>
              <w:rPr>
                <w:rFonts w:hint="default" w:ascii="Times New Roman" w:hAnsi="Times New Roman" w:cs="Times New Roman"/>
                <w:b/>
                <w:bCs/>
                <w:color w:val="000000" w:themeColor="text1"/>
                <w:highlight w:val="none"/>
                <w14:textFill>
                  <w14:solidFill>
                    <w14:schemeClr w14:val="tx1"/>
                  </w14:solidFill>
                </w14:textFill>
              </w:rPr>
            </w:pPr>
            <w:bookmarkStart w:id="110" w:name="OLE_LINK91"/>
            <w:r>
              <w:rPr>
                <w:rFonts w:hint="default" w:ascii="Times New Roman" w:hAnsi="Times New Roman" w:cs="Times New Roman"/>
                <w:b/>
                <w:bCs/>
                <w:color w:val="000000" w:themeColor="text1"/>
                <w:highlight w:val="none"/>
                <w14:textFill>
                  <w14:solidFill>
                    <w14:schemeClr w14:val="tx1"/>
                  </w14:solidFill>
                </w14:textFill>
              </w:rPr>
              <w:t>1）有组织废气</w:t>
            </w:r>
            <w:bookmarkEnd w:id="110"/>
          </w:p>
          <w:p w14:paraId="636A0049">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本项目有组织废气为</w:t>
            </w:r>
            <w:bookmarkStart w:id="111" w:name="OLE_LINK229"/>
            <w:bookmarkStart w:id="112" w:name="OLE_LINK230"/>
            <w:r>
              <w:rPr>
                <w:rFonts w:hint="default" w:ascii="Times New Roman" w:hAnsi="Times New Roman" w:cs="Times New Roman"/>
                <w:color w:val="000000" w:themeColor="text1"/>
                <w:highlight w:val="none"/>
                <w14:textFill>
                  <w14:solidFill>
                    <w14:schemeClr w14:val="tx1"/>
                  </w14:solidFill>
                </w14:textFill>
              </w:rPr>
              <w:t>生物质锅炉燃烧废气</w:t>
            </w:r>
            <w:bookmarkEnd w:id="111"/>
            <w:r>
              <w:rPr>
                <w:rFonts w:hint="default" w:ascii="Times New Roman" w:hAnsi="Times New Roman" w:cs="Times New Roman"/>
                <w:color w:val="000000" w:themeColor="text1"/>
                <w:highlight w:val="none"/>
                <w14:textFill>
                  <w14:solidFill>
                    <w14:schemeClr w14:val="tx1"/>
                  </w14:solidFill>
                </w14:textFill>
              </w:rPr>
              <w:t>（G1）</w:t>
            </w:r>
            <w:bookmarkEnd w:id="112"/>
            <w:r>
              <w:rPr>
                <w:rFonts w:hint="default" w:ascii="Times New Roman" w:hAnsi="Times New Roman" w:cs="Times New Roman"/>
                <w:color w:val="000000" w:themeColor="text1"/>
                <w:highlight w:val="none"/>
                <w14:textFill>
                  <w14:solidFill>
                    <w14:schemeClr w14:val="tx1"/>
                  </w14:solidFill>
                </w14:textFill>
              </w:rPr>
              <w:t>，污染因子为颗粒物、二氧化硫、氮氧化物。</w:t>
            </w:r>
            <w:bookmarkStart w:id="113" w:name="OLE_LINK67"/>
            <w:r>
              <w:rPr>
                <w:rFonts w:hint="default" w:ascii="Times New Roman" w:hAnsi="Times New Roman" w:cs="Times New Roman"/>
                <w:color w:val="000000" w:themeColor="text1"/>
                <w:highlight w:val="none"/>
                <w14:textFill>
                  <w14:solidFill>
                    <w14:schemeClr w14:val="tx1"/>
                  </w14:solidFill>
                </w14:textFill>
              </w:rPr>
              <w:t>燃烧废气采用</w:t>
            </w:r>
            <w:bookmarkStart w:id="114" w:name="OLE_LINK227"/>
            <w:r>
              <w:rPr>
                <w:rFonts w:hint="default" w:ascii="Times New Roman" w:hAnsi="Times New Roman" w:cs="Times New Roman"/>
                <w:color w:val="000000" w:themeColor="text1"/>
                <w:highlight w:val="none"/>
                <w14:textFill>
                  <w14:solidFill>
                    <w14:schemeClr w14:val="tx1"/>
                  </w14:solidFill>
                </w14:textFill>
              </w:rPr>
              <w:t>“低氮燃烧</w:t>
            </w:r>
            <w:r>
              <w:rPr>
                <w:rFonts w:hint="default" w:ascii="Times New Roman" w:hAnsi="Times New Roman" w:cs="Times New Roman"/>
                <w:color w:val="000000" w:themeColor="text1"/>
                <w:highlight w:val="none"/>
                <w:lang w:eastAsia="zh-CN"/>
                <w14:textFill>
                  <w14:solidFill>
                    <w14:schemeClr w14:val="tx1"/>
                  </w14:solidFill>
                </w14:textFill>
              </w:rPr>
              <w:t>+含陶瓷多管除尘器+布袋除尘器</w:t>
            </w:r>
            <w:r>
              <w:rPr>
                <w:rFonts w:hint="default" w:ascii="Times New Roman" w:hAnsi="Times New Roman" w:cs="Times New Roman"/>
                <w:color w:val="000000" w:themeColor="text1"/>
                <w:highlight w:val="none"/>
                <w14:textFill>
                  <w14:solidFill>
                    <w14:schemeClr w14:val="tx1"/>
                  </w14:solidFill>
                </w14:textFill>
              </w:rPr>
              <w:t>”处理达标后，</w:t>
            </w:r>
            <w:r>
              <w:rPr>
                <w:rFonts w:hint="default" w:ascii="Times New Roman" w:hAnsi="Times New Roman" w:cs="Times New Roman"/>
                <w:color w:val="000000" w:themeColor="text1"/>
                <w:highlight w:val="none"/>
                <w:lang w:eastAsia="zh-CN"/>
                <w14:textFill>
                  <w14:solidFill>
                    <w14:schemeClr w14:val="tx1"/>
                  </w14:solidFill>
                </w14:textFill>
              </w:rPr>
              <w:t>由1根35m高</w:t>
            </w:r>
            <w:r>
              <w:rPr>
                <w:rFonts w:hint="default" w:ascii="Times New Roman" w:hAnsi="Times New Roman" w:cs="Times New Roman"/>
                <w:color w:val="000000" w:themeColor="text1"/>
                <w:highlight w:val="none"/>
                <w14:textFill>
                  <w14:solidFill>
                    <w14:schemeClr w14:val="tx1"/>
                  </w14:solidFill>
                </w14:textFill>
              </w:rPr>
              <w:t>的排气筒排放</w:t>
            </w:r>
            <w:bookmarkEnd w:id="114"/>
            <w:r>
              <w:rPr>
                <w:rFonts w:hint="default" w:ascii="Times New Roman" w:hAnsi="Times New Roman" w:cs="Times New Roman"/>
                <w:color w:val="000000" w:themeColor="text1"/>
                <w:highlight w:val="none"/>
                <w14:textFill>
                  <w14:solidFill>
                    <w14:schemeClr w14:val="tx1"/>
                  </w14:solidFill>
                </w14:textFill>
              </w:rPr>
              <w:t>。</w:t>
            </w:r>
            <w:bookmarkEnd w:id="113"/>
          </w:p>
          <w:p w14:paraId="56B5E694">
            <w:pPr>
              <w:pStyle w:val="4"/>
              <w:ind w:firstLine="480"/>
              <w:rPr>
                <w:rFonts w:hint="default" w:ascii="Times New Roman" w:hAnsi="Times New Roman" w:cs="Times New Roman"/>
                <w:color w:val="000000" w:themeColor="text1"/>
                <w:highlight w:val="none"/>
                <w14:textFill>
                  <w14:solidFill>
                    <w14:schemeClr w14:val="tx1"/>
                  </w14:solidFill>
                </w14:textFill>
              </w:rPr>
            </w:pPr>
            <w:bookmarkStart w:id="115" w:name="OLE_LINK130"/>
            <w:r>
              <w:rPr>
                <w:rFonts w:hint="default" w:ascii="Times New Roman" w:hAnsi="Times New Roman" w:cs="Times New Roman"/>
                <w:color w:val="000000" w:themeColor="text1"/>
                <w:highlight w:val="none"/>
                <w14:textFill>
                  <w14:solidFill>
                    <w14:schemeClr w14:val="tx1"/>
                  </w14:solidFill>
                </w14:textFill>
              </w:rPr>
              <w:t>根据《排放源统计调查产排污核算方法和系数手册》（2021.6.9）中第4430工业锅炉（热力生产和供应行业）产排污系数如下表所示：</w:t>
            </w:r>
          </w:p>
          <w:p w14:paraId="1117118E">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表4- 3：排放源统计调查产排污核算方法和系数手册（节选）</w:t>
            </w:r>
          </w:p>
          <w:p w14:paraId="39456C72">
            <w:pPr>
              <w:pStyle w:val="3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14:ligatures w14:val="none"/>
              </w:rPr>
              <mc:AlternateContent>
                <mc:Choice Requires="wps">
                  <w:drawing>
                    <wp:anchor distT="0" distB="0" distL="114300" distR="114300" simplePos="0" relativeHeight="251665408" behindDoc="0" locked="0" layoutInCell="1" allowOverlap="1">
                      <wp:simplePos x="0" y="0"/>
                      <wp:positionH relativeFrom="column">
                        <wp:posOffset>2887345</wp:posOffset>
                      </wp:positionH>
                      <wp:positionV relativeFrom="paragraph">
                        <wp:posOffset>2218690</wp:posOffset>
                      </wp:positionV>
                      <wp:extent cx="1168400" cy="0"/>
                      <wp:effectExtent l="0" t="0" r="0" b="0"/>
                      <wp:wrapNone/>
                      <wp:docPr id="779988296" name="直接连接符 6"/>
                      <wp:cNvGraphicFramePr/>
                      <a:graphic xmlns:a="http://schemas.openxmlformats.org/drawingml/2006/main">
                        <a:graphicData uri="http://schemas.microsoft.com/office/word/2010/wordprocessingShape">
                          <wps:wsp>
                            <wps:cNvCnPr/>
                            <wps:spPr>
                              <a:xfrm>
                                <a:off x="0" y="0"/>
                                <a:ext cx="11684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6" o:spid="_x0000_s1026" o:spt="20" style="position:absolute;left:0pt;margin-left:227.35pt;margin-top:174.7pt;height:0pt;width:92pt;z-index:251665408;mso-width-relative:page;mso-height-relative:page;" filled="f" stroked="t" coordsize="21600,21600" o:gfxdata="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8Rq&#10;89UAAAALAQAADwAAAAAAAAABACAAAAAiAAAAZHJzL2Rvd25yZXYueG1sUEsBAhQAFAAAAAgAh07i&#10;QHuQYWHsAQAAuQMAAA4AAAAAAAAAAQAgAAAAJAEAAGRycy9lMm9Eb2MueG1sUEsFBgAAAAAGAAYA&#10;WQEAAIIFAAAAAA==&#10;">
                      <v:fill on="f" focussize="0,0"/>
                      <v:stroke weight="0.5pt" color="#FF0000 [3204]" miterlimit="8" joinstyle="miter"/>
                      <v:imagedata o:title=""/>
                      <o:lock v:ext="edit" aspectratio="f"/>
                    </v:line>
                  </w:pict>
                </mc:Fallback>
              </mc:AlternateContent>
            </w:r>
            <w:r>
              <w:rPr>
                <w:rFonts w:hint="default" w:ascii="Times New Roman" w:hAnsi="Times New Roman" w:cs="Times New Roman"/>
                <w:color w:val="000000" w:themeColor="text1"/>
                <w:highlight w:val="none"/>
                <w14:textFill>
                  <w14:solidFill>
                    <w14:schemeClr w14:val="tx1"/>
                  </w14:solidFill>
                </w14:textFill>
                <w14:ligatures w14:val="none"/>
              </w:rPr>
              <mc:AlternateContent>
                <mc:Choice Requires="wps">
                  <w:drawing>
                    <wp:anchor distT="0" distB="0" distL="114300" distR="114300" simplePos="0" relativeHeight="251664384" behindDoc="0" locked="0" layoutInCell="1" allowOverlap="1">
                      <wp:simplePos x="0" y="0"/>
                      <wp:positionH relativeFrom="column">
                        <wp:posOffset>1661795</wp:posOffset>
                      </wp:positionH>
                      <wp:positionV relativeFrom="paragraph">
                        <wp:posOffset>2485390</wp:posOffset>
                      </wp:positionV>
                      <wp:extent cx="1136650" cy="0"/>
                      <wp:effectExtent l="0" t="0" r="0" b="0"/>
                      <wp:wrapNone/>
                      <wp:docPr id="2043789286" name="直接连接符 5"/>
                      <wp:cNvGraphicFramePr/>
                      <a:graphic xmlns:a="http://schemas.openxmlformats.org/drawingml/2006/main">
                        <a:graphicData uri="http://schemas.microsoft.com/office/word/2010/wordprocessingShape">
                          <wps:wsp>
                            <wps:cNvCnPr/>
                            <wps:spPr>
                              <a:xfrm>
                                <a:off x="0" y="0"/>
                                <a:ext cx="11366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 o:spid="_x0000_s1026" o:spt="20" style="position:absolute;left:0pt;margin-left:130.85pt;margin-top:195.7pt;height:0pt;width:89.5pt;z-index:251664384;mso-width-relative:page;mso-height-relative:page;" filled="f" stroked="t" coordsize="21600,21600" o:gfxdata="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NU&#10;OwXVAAAACwEAAA8AAAAAAAAAAQAgAAAAIgAAAGRycy9kb3ducmV2LnhtbFBLAQIUABQAAAAIAIdO&#10;4kB4yT6U7QEAALoDAAAOAAAAAAAAAAEAIAAAACQBAABkcnMvZTJvRG9jLnhtbFBLBQYAAAAABgAG&#10;AFkBAACDBQAAAAA=&#10;">
                      <v:fill on="f" focussize="0,0"/>
                      <v:stroke weight="0.5pt" color="#FF0000 [3204]" miterlimit="8" joinstyle="miter"/>
                      <v:imagedata o:title=""/>
                      <o:lock v:ext="edit" aspectratio="f"/>
                    </v:line>
                  </w:pict>
                </mc:Fallback>
              </mc:AlternateContent>
            </w:r>
            <w:r>
              <w:rPr>
                <w:rFonts w:hint="default" w:ascii="Times New Roman" w:hAnsi="Times New Roman" w:cs="Times New Roman"/>
                <w:color w:val="000000" w:themeColor="text1"/>
                <w:highlight w:val="none"/>
                <w14:textFill>
                  <w14:solidFill>
                    <w14:schemeClr w14:val="tx1"/>
                  </w14:solidFill>
                </w14:textFill>
                <w14:ligatures w14:val="none"/>
              </w:rPr>
              <mc:AlternateContent>
                <mc:Choice Requires="wps">
                  <w:drawing>
                    <wp:anchor distT="0" distB="0" distL="114300" distR="114300" simplePos="0" relativeHeight="251663360" behindDoc="0" locked="0" layoutInCell="1" allowOverlap="1">
                      <wp:simplePos x="0" y="0"/>
                      <wp:positionH relativeFrom="column">
                        <wp:posOffset>2842895</wp:posOffset>
                      </wp:positionH>
                      <wp:positionV relativeFrom="paragraph">
                        <wp:posOffset>1837690</wp:posOffset>
                      </wp:positionV>
                      <wp:extent cx="1212850" cy="0"/>
                      <wp:effectExtent l="0" t="0" r="0" b="0"/>
                      <wp:wrapNone/>
                      <wp:docPr id="864344069" name="直接连接符 4"/>
                      <wp:cNvGraphicFramePr/>
                      <a:graphic xmlns:a="http://schemas.openxmlformats.org/drawingml/2006/main">
                        <a:graphicData uri="http://schemas.microsoft.com/office/word/2010/wordprocessingShape">
                          <wps:wsp>
                            <wps:cNvCnPr/>
                            <wps:spPr>
                              <a:xfrm>
                                <a:off x="0" y="0"/>
                                <a:ext cx="12128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4" o:spid="_x0000_s1026" o:spt="20" style="position:absolute;left:0pt;margin-left:223.85pt;margin-top:144.7pt;height:0pt;width:95.5pt;z-index:251663360;mso-width-relative:page;mso-height-relative:page;" filled="f" stroked="t" coordsize="21600,21600" o:gfxdata="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Cx&#10;uQLWAAAACwEAAA8AAAAAAAAAAQAgAAAAIgAAAGRycy9kb3ducmV2LnhtbFBLAQIUABQAAAAIAIdO&#10;4kBrMSOa7AEAALkDAAAOAAAAAAAAAAEAIAAAACUBAABkcnMvZTJvRG9jLnhtbFBLBQYAAAAABgAG&#10;AFkBAACDBQAAAAA=&#10;">
                      <v:fill on="f" focussize="0,0"/>
                      <v:stroke weight="0.5pt" color="#FF0000 [3204]" miterlimit="8" joinstyle="miter"/>
                      <v:imagedata o:title=""/>
                      <o:lock v:ext="edit" aspectratio="f"/>
                    </v:line>
                  </w:pict>
                </mc:Fallback>
              </mc:AlternateContent>
            </w:r>
            <w:r>
              <w:rPr>
                <w:rFonts w:hint="default" w:ascii="Times New Roman" w:hAnsi="Times New Roman" w:cs="Times New Roman"/>
                <w:color w:val="000000" w:themeColor="text1"/>
                <w:highlight w:val="none"/>
                <w14:textFill>
                  <w14:solidFill>
                    <w14:schemeClr w14:val="tx1"/>
                  </w14:solidFill>
                </w14:textFill>
                <w14:ligatures w14:val="none"/>
              </w:rPr>
              <mc:AlternateContent>
                <mc:Choice Requires="wps">
                  <w:drawing>
                    <wp:anchor distT="0" distB="0" distL="114300" distR="114300" simplePos="0" relativeHeight="251662336" behindDoc="0" locked="0" layoutInCell="1" allowOverlap="1">
                      <wp:simplePos x="0" y="0"/>
                      <wp:positionH relativeFrom="column">
                        <wp:posOffset>2884805</wp:posOffset>
                      </wp:positionH>
                      <wp:positionV relativeFrom="paragraph">
                        <wp:posOffset>1336040</wp:posOffset>
                      </wp:positionV>
                      <wp:extent cx="1168400" cy="0"/>
                      <wp:effectExtent l="0" t="0" r="0" b="0"/>
                      <wp:wrapNone/>
                      <wp:docPr id="469788661" name="直接连接符 3"/>
                      <wp:cNvGraphicFramePr/>
                      <a:graphic xmlns:a="http://schemas.openxmlformats.org/drawingml/2006/main">
                        <a:graphicData uri="http://schemas.microsoft.com/office/word/2010/wordprocessingShape">
                          <wps:wsp>
                            <wps:cNvCnPr/>
                            <wps:spPr>
                              <a:xfrm>
                                <a:off x="0" y="0"/>
                                <a:ext cx="11684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 o:spid="_x0000_s1026" o:spt="20" style="position:absolute;left:0pt;margin-left:227.15pt;margin-top:105.2pt;height:0pt;width:92pt;z-index:251662336;mso-width-relative:page;mso-height-relative:page;" filled="f" stroked="t" coordsize="21600,21600" o:gfxdata="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Dg&#10;LInWAAAACwEAAA8AAAAAAAAAAQAgAAAAIgAAAGRycy9kb3ducmV2LnhtbFBLAQIUABQAAAAIAIdO&#10;4kDndSkr7AEAALkDAAAOAAAAAAAAAAEAIAAAACUBAABkcnMvZTJvRG9jLnhtbFBLBQYAAAAABgAG&#10;AFkBAACDBQAAAAA=&#10;">
                      <v:fill on="f" focussize="0,0"/>
                      <v:stroke weight="0.5pt" color="#FF0000 [3204]" miterlimit="8" joinstyle="miter"/>
                      <v:imagedata o:title=""/>
                      <o:lock v:ext="edit" aspectratio="f"/>
                    </v:line>
                  </w:pict>
                </mc:Fallback>
              </mc:AlternateContent>
            </w:r>
            <w:r>
              <w:rPr>
                <w:rFonts w:hint="default" w:ascii="Times New Roman" w:hAnsi="Times New Roman" w:cs="Times New Roman"/>
                <w:color w:val="000000" w:themeColor="text1"/>
                <w:highlight w:val="none"/>
                <w14:textFill>
                  <w14:solidFill>
                    <w14:schemeClr w14:val="tx1"/>
                  </w14:solidFill>
                </w14:textFill>
                <w14:ligatures w14:val="none"/>
              </w:rPr>
              <mc:AlternateContent>
                <mc:Choice Requires="wps">
                  <w:drawing>
                    <wp:anchor distT="0" distB="0" distL="114300" distR="114300" simplePos="0" relativeHeight="251661312" behindDoc="0" locked="0" layoutInCell="1" allowOverlap="1">
                      <wp:simplePos x="0" y="0"/>
                      <wp:positionH relativeFrom="column">
                        <wp:posOffset>1661795</wp:posOffset>
                      </wp:positionH>
                      <wp:positionV relativeFrom="paragraph">
                        <wp:posOffset>1615440</wp:posOffset>
                      </wp:positionV>
                      <wp:extent cx="1136650" cy="0"/>
                      <wp:effectExtent l="0" t="0" r="0" b="0"/>
                      <wp:wrapNone/>
                      <wp:docPr id="673296695" name="直接连接符 2"/>
                      <wp:cNvGraphicFramePr/>
                      <a:graphic xmlns:a="http://schemas.openxmlformats.org/drawingml/2006/main">
                        <a:graphicData uri="http://schemas.microsoft.com/office/word/2010/wordprocessingShape">
                          <wps:wsp>
                            <wps:cNvCnPr/>
                            <wps:spPr>
                              <a:xfrm>
                                <a:off x="0" y="0"/>
                                <a:ext cx="11366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 o:spid="_x0000_s1026" o:spt="20" style="position:absolute;left:0pt;margin-left:130.85pt;margin-top:127.2pt;height:0pt;width:89.5pt;z-index:251661312;mso-width-relative:page;mso-height-relative:page;" filled="f" stroked="t" coordsize="21600,21600" o:gfxdata="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QBg&#10;j9UAAAALAQAADwAAAAAAAAABACAAAAAiAAAAZHJzL2Rvd25yZXYueG1sUEsBAhQAFAAAAAgAh07i&#10;QL4f5LDsAQAAuQMAAA4AAAAAAAAAAQAgAAAAJAEAAGRycy9lMm9Eb2MueG1sUEsFBgAAAAAGAAYA&#10;WQEAAIIFAAAAAA==&#10;">
                      <v:fill on="f" focussize="0,0"/>
                      <v:stroke weight="0.5pt" color="#FF0000 [3204]" miterlimit="8" joinstyle="miter"/>
                      <v:imagedata o:title=""/>
                      <o:lock v:ext="edit" aspectratio="f"/>
                    </v:line>
                  </w:pict>
                </mc:Fallback>
              </mc:AlternateContent>
            </w:r>
            <w:r>
              <w:rPr>
                <w:rFonts w:hint="default" w:ascii="Times New Roman" w:hAnsi="Times New Roman" w:cs="Times New Roman"/>
                <w:color w:val="000000" w:themeColor="text1"/>
                <w:highlight w:val="none"/>
                <w14:textFill>
                  <w14:solidFill>
                    <w14:schemeClr w14:val="tx1"/>
                  </w14:solidFill>
                </w14:textFill>
                <w14:ligatures w14:val="none"/>
              </w:rPr>
              <mc:AlternateContent>
                <mc:Choice Requires="wps">
                  <w:drawing>
                    <wp:anchor distT="0" distB="0" distL="114300" distR="114300" simplePos="0" relativeHeight="251660288" behindDoc="0" locked="0" layoutInCell="1" allowOverlap="1">
                      <wp:simplePos x="0" y="0"/>
                      <wp:positionH relativeFrom="column">
                        <wp:posOffset>1661795</wp:posOffset>
                      </wp:positionH>
                      <wp:positionV relativeFrom="paragraph">
                        <wp:posOffset>948690</wp:posOffset>
                      </wp:positionV>
                      <wp:extent cx="3244850" cy="0"/>
                      <wp:effectExtent l="0" t="0" r="0" b="0"/>
                      <wp:wrapNone/>
                      <wp:docPr id="443675022" name="直接连接符 1"/>
                      <wp:cNvGraphicFramePr/>
                      <a:graphic xmlns:a="http://schemas.openxmlformats.org/drawingml/2006/main">
                        <a:graphicData uri="http://schemas.microsoft.com/office/word/2010/wordprocessingShape">
                          <wps:wsp>
                            <wps:cNvCnPr/>
                            <wps:spPr>
                              <a:xfrm>
                                <a:off x="0" y="0"/>
                                <a:ext cx="32448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margin-left:130.85pt;margin-top:74.7pt;height:0pt;width:255.5pt;z-index:251660288;mso-width-relative:page;mso-height-relative:page;" filled="f" stroked="t" coordsize="21600,21600" o:gfxdata="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8d5&#10;C9UAAAALAQAADwAAAAAAAAABACAAAAAiAAAAZHJzL2Rvd25yZXYueG1sUEsBAhQAFAAAAAgAh07i&#10;QAtqTY3sAQAAuQMAAA4AAAAAAAAAAQAgAAAAJAEAAGRycy9lMm9Eb2MueG1sUEsFBgAAAAAGAAYA&#10;WQEAAIIFAAAAAA==&#10;">
                      <v:fill on="f" focussize="0,0"/>
                      <v:stroke weight="0.5pt" color="#FF0000 [3204]" miterlimit="8" joinstyle="miter"/>
                      <v:imagedata o:title=""/>
                      <o:lock v:ext="edit" aspectratio="f"/>
                    </v:line>
                  </w:pict>
                </mc:Fallback>
              </mc:AlternateContent>
            </w:r>
            <w:r>
              <w:rPr>
                <w:rFonts w:hint="default" w:ascii="Times New Roman" w:hAnsi="Times New Roman" w:cs="Times New Roman"/>
                <w:color w:val="000000" w:themeColor="text1"/>
                <w:highlight w:val="none"/>
                <w14:textFill>
                  <w14:solidFill>
                    <w14:schemeClr w14:val="tx1"/>
                  </w14:solidFill>
                </w14:textFill>
                <w14:ligatures w14:val="none"/>
              </w:rPr>
              <mc:AlternateContent>
                <mc:Choice Requires="wps">
                  <w:drawing>
                    <wp:anchor distT="0" distB="0" distL="114300" distR="114300" simplePos="0" relativeHeight="251659264" behindDoc="0" locked="0" layoutInCell="1" allowOverlap="1">
                      <wp:simplePos x="0" y="0"/>
                      <wp:positionH relativeFrom="column">
                        <wp:posOffset>1661795</wp:posOffset>
                      </wp:positionH>
                      <wp:positionV relativeFrom="paragraph">
                        <wp:posOffset>745490</wp:posOffset>
                      </wp:positionV>
                      <wp:extent cx="3244850" cy="0"/>
                      <wp:effectExtent l="0" t="0" r="0" b="0"/>
                      <wp:wrapNone/>
                      <wp:docPr id="705810598" name="直接连接符 1"/>
                      <wp:cNvGraphicFramePr/>
                      <a:graphic xmlns:a="http://schemas.openxmlformats.org/drawingml/2006/main">
                        <a:graphicData uri="http://schemas.microsoft.com/office/word/2010/wordprocessingShape">
                          <wps:wsp>
                            <wps:cNvCnPr/>
                            <wps:spPr>
                              <a:xfrm>
                                <a:off x="0" y="0"/>
                                <a:ext cx="324485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 o:spid="_x0000_s1026" o:spt="20" style="position:absolute;left:0pt;margin-left:130.85pt;margin-top:58.7pt;height:0pt;width:255.5pt;z-index:251659264;mso-width-relative:page;mso-height-relative:page;" filled="f" stroked="t" coordsize="21600,21600" o:gfxdata="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dLP&#10;HNQAAAALAQAADwAAAAAAAAABACAAAAAiAAAAZHJzL2Rvd25yZXYueG1sUEsBAhQAFAAAAAgAh07i&#10;QIkG7tjtAQAAuQMAAA4AAAAAAAAAAQAgAAAAIwEAAGRycy9lMm9Eb2MueG1sUEsFBgAAAAAGAAYA&#10;WQEAAIIFAAAAAA==&#10;">
                      <v:fill on="f" focussize="0,0"/>
                      <v:stroke weight="0.5pt" color="#FF0000 [3204]" miterlimit="8" joinstyle="miter"/>
                      <v:imagedata o:title=""/>
                      <o:lock v:ext="edit" aspectratio="f"/>
                    </v:line>
                  </w:pict>
                </mc:Fallback>
              </mc:AlternateContent>
            </w:r>
            <w:r>
              <w:rPr>
                <w:rFonts w:hint="default" w:ascii="Times New Roman" w:hAnsi="Times New Roman" w:cs="Times New Roman"/>
                <w:color w:val="000000" w:themeColor="text1"/>
                <w:highlight w:val="none"/>
                <w14:textFill>
                  <w14:solidFill>
                    <w14:schemeClr w14:val="tx1"/>
                  </w14:solidFill>
                </w14:textFill>
              </w:rPr>
              <w:drawing>
                <wp:inline distT="0" distB="0" distL="0" distR="0">
                  <wp:extent cx="4858385" cy="2567940"/>
                  <wp:effectExtent l="0" t="0" r="18415" b="3810"/>
                  <wp:docPr id="1410864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64083" name="图片 1"/>
                          <pic:cNvPicPr>
                            <a:picLocks noChangeAspect="1"/>
                          </pic:cNvPicPr>
                        </pic:nvPicPr>
                        <pic:blipFill>
                          <a:blip r:embed="rId20"/>
                          <a:stretch>
                            <a:fillRect/>
                          </a:stretch>
                        </pic:blipFill>
                        <pic:spPr>
                          <a:xfrm>
                            <a:off x="0" y="0"/>
                            <a:ext cx="4858385" cy="2567940"/>
                          </a:xfrm>
                          <a:prstGeom prst="rect">
                            <a:avLst/>
                          </a:prstGeom>
                        </pic:spPr>
                      </pic:pic>
                    </a:graphicData>
                  </a:graphic>
                </wp:inline>
              </w:drawing>
            </w:r>
          </w:p>
          <w:p w14:paraId="7DF901E6">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注：①二氧化硫的产排污系数是以含硫量（S％）的形式表示的，其中含硫量（S％）是指生物质收到基硫分含量，以质量百分数的形式表示。例如生物质中含硫量（S％）为0.1％，则S=0.1。根据建设单位提供资料，本项目所使用的生物质成型颗粒，其含硫量取0.0</w:t>
            </w: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参照当地使用较为普遍的生物质燃料</w:t>
            </w:r>
            <w:r>
              <w:rPr>
                <w:rFonts w:hint="default" w:ascii="Times New Roman" w:hAnsi="Times New Roman" w:cs="Times New Roman"/>
                <w:color w:val="000000" w:themeColor="text1"/>
                <w:highlight w:val="none"/>
                <w14:textFill>
                  <w14:solidFill>
                    <w14:schemeClr w14:val="tx1"/>
                  </w14:solidFill>
                </w14:textFill>
              </w:rPr>
              <w:t>其含硫量取0.0</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w:t>
            </w:r>
            <w:bookmarkStart w:id="116" w:name="OLE_LINK12"/>
          </w:p>
          <w:bookmarkEnd w:id="116"/>
          <w:p w14:paraId="076613D9">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w:t>
            </w:r>
            <w:r>
              <w:rPr>
                <w:rFonts w:hint="default" w:ascii="Times New Roman" w:hAnsi="Times New Roman"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台8t/h生物质锅炉生物质颗粒燃料使用量为</w:t>
            </w:r>
            <w:r>
              <w:rPr>
                <w:rFonts w:hint="default" w:ascii="Times New Roman" w:hAnsi="Times New Roman" w:cs="Times New Roman"/>
                <w:color w:val="000000" w:themeColor="text1"/>
                <w:highlight w:val="none"/>
                <w:lang w:eastAsia="zh-CN"/>
                <w14:textFill>
                  <w14:solidFill>
                    <w14:schemeClr w14:val="tx1"/>
                  </w14:solidFill>
                </w14:textFill>
              </w:rPr>
              <w:t>8943t</w:t>
            </w:r>
            <w:r>
              <w:rPr>
                <w:rFonts w:hint="default" w:ascii="Times New Roman" w:hAnsi="Times New Roman" w:cs="Times New Roman"/>
                <w:color w:val="000000" w:themeColor="text1"/>
                <w:highlight w:val="none"/>
                <w14:textFill>
                  <w14:solidFill>
                    <w14:schemeClr w14:val="tx1"/>
                  </w14:solidFill>
                </w14:textFill>
              </w:rPr>
              <w:t>/a，生物质颗粒的含硫量0.03%，锅炉年运行时间为</w:t>
            </w:r>
            <w:r>
              <w:rPr>
                <w:rFonts w:hint="default" w:ascii="Times New Roman" w:hAnsi="Times New Roman" w:cs="Times New Roman"/>
                <w:color w:val="000000" w:themeColor="text1"/>
                <w:highlight w:val="none"/>
                <w:lang w:eastAsia="zh-CN"/>
                <w14:textFill>
                  <w14:solidFill>
                    <w14:schemeClr w14:val="tx1"/>
                  </w14:solidFill>
                </w14:textFill>
              </w:rPr>
              <w:t>7200</w:t>
            </w:r>
            <w:r>
              <w:rPr>
                <w:rFonts w:hint="default" w:ascii="Times New Roman" w:hAnsi="Times New Roman" w:cs="Times New Roman"/>
                <w:color w:val="000000" w:themeColor="text1"/>
                <w:highlight w:val="none"/>
                <w14:textFill>
                  <w14:solidFill>
                    <w14:schemeClr w14:val="tx1"/>
                  </w14:solidFill>
                </w14:textFill>
              </w:rPr>
              <w:t>小时，经计算，各污染物产生量如下：</w:t>
            </w:r>
          </w:p>
          <w:p w14:paraId="3A39D80A">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工业废气量：</w:t>
            </w:r>
            <w:r>
              <w:rPr>
                <w:rFonts w:hint="default" w:ascii="Times New Roman" w:hAnsi="Times New Roman" w:cs="Times New Roman"/>
                <w:color w:val="000000" w:themeColor="text1"/>
                <w:highlight w:val="none"/>
                <w:lang w:eastAsia="zh-CN"/>
                <w14:textFill>
                  <w14:solidFill>
                    <w14:schemeClr w14:val="tx1"/>
                  </w14:solidFill>
                </w14:textFill>
              </w:rPr>
              <w:t>5580.</w:t>
            </w:r>
            <w:r>
              <w:rPr>
                <w:rFonts w:hint="eastAsia" w:cs="Times New Roman"/>
                <w:color w:val="000000" w:themeColor="text1"/>
                <w:highlight w:val="none"/>
                <w:lang w:val="en-US" w:eastAsia="zh-CN"/>
                <w14:textFill>
                  <w14:solidFill>
                    <w14:schemeClr w14:val="tx1"/>
                  </w14:solidFill>
                </w14:textFill>
              </w:rPr>
              <w:t>432</w:t>
            </w:r>
            <w:r>
              <w:rPr>
                <w:rFonts w:hint="default" w:ascii="Times New Roman" w:hAnsi="Times New Roman" w:cs="Times New Roman"/>
                <w:color w:val="000000" w:themeColor="text1"/>
                <w:highlight w:val="none"/>
                <w14:textFill>
                  <w14:solidFill>
                    <w14:schemeClr w14:val="tx1"/>
                  </w14:solidFill>
                </w14:textFill>
              </w:rPr>
              <w:t>万m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/a，产生速率为</w:t>
            </w:r>
            <w:r>
              <w:rPr>
                <w:rFonts w:hint="default" w:ascii="Times New Roman" w:hAnsi="Times New Roman" w:cs="Times New Roman"/>
                <w:color w:val="000000" w:themeColor="text1"/>
                <w:highlight w:val="none"/>
                <w:lang w:eastAsia="zh-CN"/>
                <w14:textFill>
                  <w14:solidFill>
                    <w14:schemeClr w14:val="tx1"/>
                  </w14:solidFill>
                </w14:textFill>
              </w:rPr>
              <w:t>7750.</w:t>
            </w:r>
            <w:r>
              <w:rPr>
                <w:rFonts w:hint="eastAsia"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/h；</w:t>
            </w:r>
          </w:p>
          <w:p w14:paraId="724A31C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颗粒物产生量为</w:t>
            </w:r>
            <w:r>
              <w:rPr>
                <w:rFonts w:hint="default" w:ascii="Times New Roman" w:hAnsi="Times New Roman" w:cs="Times New Roman"/>
                <w:color w:val="000000" w:themeColor="text1"/>
                <w:highlight w:val="none"/>
                <w:lang w:val="en-US" w:eastAsia="zh-CN"/>
                <w14:textFill>
                  <w14:solidFill>
                    <w14:schemeClr w14:val="tx1"/>
                  </w14:solidFill>
                </w14:textFill>
              </w:rPr>
              <w:t>4.471</w:t>
            </w:r>
            <w:r>
              <w:rPr>
                <w:rFonts w:hint="default" w:ascii="Times New Roman" w:hAnsi="Times New Roman" w:cs="Times New Roman"/>
                <w:color w:val="000000" w:themeColor="text1"/>
                <w:highlight w:val="none"/>
                <w14:textFill>
                  <w14:solidFill>
                    <w14:schemeClr w14:val="tx1"/>
                  </w14:solidFill>
                </w14:textFill>
              </w:rPr>
              <w:t>t/a，产生速率为</w:t>
            </w:r>
            <w:r>
              <w:rPr>
                <w:rFonts w:hint="default" w:ascii="Times New Roman" w:hAnsi="Times New Roman" w:cs="Times New Roman"/>
                <w:color w:val="000000" w:themeColor="text1"/>
                <w:highlight w:val="none"/>
                <w:lang w:val="en-US" w:eastAsia="zh-CN"/>
                <w14:textFill>
                  <w14:solidFill>
                    <w14:schemeClr w14:val="tx1"/>
                  </w14:solidFill>
                </w14:textFill>
              </w:rPr>
              <w:t>0.621</w:t>
            </w:r>
            <w:r>
              <w:rPr>
                <w:rFonts w:hint="default" w:ascii="Times New Roman" w:hAnsi="Times New Roman" w:cs="Times New Roman"/>
                <w:color w:val="000000" w:themeColor="text1"/>
                <w:highlight w:val="none"/>
                <w14:textFill>
                  <w14:solidFill>
                    <w14:schemeClr w14:val="tx1"/>
                  </w14:solidFill>
                </w14:textFill>
              </w:rPr>
              <w:t>kg/h；</w:t>
            </w:r>
          </w:p>
          <w:p w14:paraId="68DA987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二氧化硫产生量为</w:t>
            </w:r>
            <w:r>
              <w:rPr>
                <w:rFonts w:hint="default" w:ascii="Times New Roman" w:hAnsi="Times New Roman" w:cs="Times New Roman"/>
                <w:color w:val="000000" w:themeColor="text1"/>
                <w:highlight w:val="none"/>
                <w:lang w:eastAsia="zh-CN"/>
                <w14:textFill>
                  <w14:solidFill>
                    <w14:schemeClr w14:val="tx1"/>
                  </w14:solidFill>
                </w14:textFill>
              </w:rPr>
              <w:t>4.561t/a</w:t>
            </w:r>
            <w:r>
              <w:rPr>
                <w:rFonts w:hint="default" w:ascii="Times New Roman" w:hAnsi="Times New Roman" w:cs="Times New Roman"/>
                <w:color w:val="000000" w:themeColor="text1"/>
                <w:highlight w:val="none"/>
                <w14:textFill>
                  <w14:solidFill>
                    <w14:schemeClr w14:val="tx1"/>
                  </w14:solidFill>
                </w14:textFill>
              </w:rPr>
              <w:t>，产生速率为</w:t>
            </w:r>
            <w:r>
              <w:rPr>
                <w:rFonts w:hint="default" w:ascii="Times New Roman" w:hAnsi="Times New Roman" w:cs="Times New Roman"/>
                <w:color w:val="000000" w:themeColor="text1"/>
                <w:highlight w:val="none"/>
                <w:lang w:eastAsia="zh-CN"/>
                <w14:textFill>
                  <w14:solidFill>
                    <w14:schemeClr w14:val="tx1"/>
                  </w14:solidFill>
                </w14:textFill>
              </w:rPr>
              <w:t>0.633</w:t>
            </w:r>
            <w:r>
              <w:rPr>
                <w:rFonts w:hint="default" w:ascii="Times New Roman" w:hAnsi="Times New Roman" w:cs="Times New Roman"/>
                <w:color w:val="000000" w:themeColor="text1"/>
                <w:highlight w:val="none"/>
                <w14:textFill>
                  <w14:solidFill>
                    <w14:schemeClr w14:val="tx1"/>
                  </w14:solidFill>
                </w14:textFill>
              </w:rPr>
              <w:t>kg/h；</w:t>
            </w:r>
          </w:p>
          <w:p w14:paraId="2179A990">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氮氧化物产生量为</w:t>
            </w:r>
            <w:r>
              <w:rPr>
                <w:rFonts w:hint="default" w:ascii="Times New Roman" w:hAnsi="Times New Roman" w:cs="Times New Roman"/>
                <w:color w:val="000000" w:themeColor="text1"/>
                <w:highlight w:val="none"/>
                <w:lang w:eastAsia="zh-CN"/>
                <w14:textFill>
                  <w14:solidFill>
                    <w14:schemeClr w14:val="tx1"/>
                  </w14:solidFill>
                </w14:textFill>
              </w:rPr>
              <w:t>9.121</w:t>
            </w:r>
            <w:r>
              <w:rPr>
                <w:rFonts w:hint="default" w:ascii="Times New Roman" w:hAnsi="Times New Roman" w:cs="Times New Roman"/>
                <w:color w:val="000000" w:themeColor="text1"/>
                <w:highlight w:val="none"/>
                <w14:textFill>
                  <w14:solidFill>
                    <w14:schemeClr w14:val="tx1"/>
                  </w14:solidFill>
                </w14:textFill>
              </w:rPr>
              <w:t>t/a，产生速率为</w:t>
            </w:r>
            <w:r>
              <w:rPr>
                <w:rFonts w:hint="default" w:ascii="Times New Roman" w:hAnsi="Times New Roman" w:cs="Times New Roman"/>
                <w:color w:val="000000" w:themeColor="text1"/>
                <w:highlight w:val="none"/>
                <w:lang w:eastAsia="zh-CN"/>
                <w14:textFill>
                  <w14:solidFill>
                    <w14:schemeClr w14:val="tx1"/>
                  </w14:solidFill>
                </w14:textFill>
              </w:rPr>
              <w:t>1.267</w:t>
            </w:r>
            <w:r>
              <w:rPr>
                <w:rFonts w:hint="default" w:ascii="Times New Roman" w:hAnsi="Times New Roman" w:cs="Times New Roman"/>
                <w:color w:val="000000" w:themeColor="text1"/>
                <w:highlight w:val="none"/>
                <w14:textFill>
                  <w14:solidFill>
                    <w14:schemeClr w14:val="tx1"/>
                  </w14:solidFill>
                </w14:textFill>
              </w:rPr>
              <w:t>kg/h；</w:t>
            </w:r>
            <w:bookmarkStart w:id="117" w:name="OLE_LINK7"/>
          </w:p>
          <w:bookmarkEnd w:id="115"/>
          <w:bookmarkEnd w:id="117"/>
          <w:p w14:paraId="1B8E71D0">
            <w:pPr>
              <w:pStyle w:val="4"/>
              <w:ind w:firstLine="480"/>
              <w:rPr>
                <w:rFonts w:hint="default" w:ascii="Times New Roman" w:hAnsi="Times New Roman" w:cs="Times New Roman"/>
                <w:color w:val="000000" w:themeColor="text1"/>
                <w:highlight w:val="none"/>
                <w14:textFill>
                  <w14:solidFill>
                    <w14:schemeClr w14:val="tx1"/>
                  </w14:solidFill>
                </w14:textFill>
              </w:rPr>
            </w:pPr>
            <w:bookmarkStart w:id="118" w:name="无组织废气"/>
            <w:r>
              <w:rPr>
                <w:rFonts w:hint="default" w:ascii="Times New Roman" w:hAnsi="Times New Roman" w:cs="Times New Roman"/>
                <w:color w:val="000000" w:themeColor="text1"/>
                <w:highlight w:val="none"/>
                <w14:textFill>
                  <w14:solidFill>
                    <w14:schemeClr w14:val="tx1"/>
                  </w14:solidFill>
                </w14:textFill>
              </w:rPr>
              <w:t>参照《排放源统计调查产排污核算方法和系数手册》（2021.6.9）中第4430 工业锅炉（热力生产和供应行业）中层燃炉-生物质燃料的去除效率，本次评价颗粒物去除效率取99%，氮氧化物去除效率取30%。</w:t>
            </w:r>
          </w:p>
          <w:p w14:paraId="3C0E5B5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类比同类项目验收经验，本项目烟气黑度可达标排放。</w:t>
            </w:r>
          </w:p>
          <w:bookmarkEnd w:id="118"/>
          <w:p w14:paraId="0ABF354B">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2）无组织废气</w:t>
            </w:r>
          </w:p>
          <w:p w14:paraId="3A3DE872">
            <w:pPr>
              <w:pStyle w:val="50"/>
              <w:ind w:firstLine="480"/>
              <w:rPr>
                <w:rFonts w:hint="default" w:ascii="Times New Roman" w:hAnsi="Times New Roman" w:cs="Times New Roman"/>
                <w:color w:val="000000" w:themeColor="text1"/>
                <w:szCs w:val="24"/>
                <w:highlight w:val="none"/>
                <w:u w:val="singl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本项目采用生物质成型颗粒，产生的无组织粉尘可忽略不计，本次评价不予考虑。</w:t>
            </w:r>
          </w:p>
          <w:p w14:paraId="7DEA6BC6">
            <w:pPr>
              <w:pStyle w:val="34"/>
              <w:rPr>
                <w:rFonts w:hint="default" w:ascii="Times New Roman" w:hAnsi="Times New Roman" w:cs="Times New Roman"/>
                <w:color w:val="000000" w:themeColor="text1"/>
                <w:highlight w:val="none"/>
                <w14:textFill>
                  <w14:solidFill>
                    <w14:schemeClr w14:val="tx1"/>
                  </w14:solidFill>
                </w14:textFill>
              </w:rPr>
            </w:pPr>
            <w:bookmarkStart w:id="119" w:name="OLE_LINK228"/>
            <w:bookmarkStart w:id="120" w:name="_Ref186122705"/>
            <w:bookmarkStart w:id="121" w:name="_Ref176880499"/>
            <w:r>
              <w:rPr>
                <w:rFonts w:hint="default" w:ascii="Times New Roman" w:hAnsi="Times New Roman" w:cs="Times New Roman"/>
                <w:color w:val="000000" w:themeColor="text1"/>
                <w:highlight w:val="none"/>
                <w14:textFill>
                  <w14:solidFill>
                    <w14:schemeClr w14:val="tx1"/>
                  </w14:solidFill>
                </w14:textFill>
              </w:rPr>
              <w:t xml:space="preserve">表4- </w:t>
            </w:r>
            <w:r>
              <w:rPr>
                <w:rFonts w:hint="default"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w:t>
            </w:r>
            <w:bookmarkEnd w:id="119"/>
            <w:r>
              <w:rPr>
                <w:rFonts w:hint="default" w:ascii="Times New Roman" w:hAnsi="Times New Roman" w:cs="Times New Roman"/>
                <w:color w:val="000000" w:themeColor="text1"/>
                <w:highlight w:val="none"/>
                <w14:textFill>
                  <w14:solidFill>
                    <w14:schemeClr w14:val="tx1"/>
                  </w14:solidFill>
                </w14:textFill>
              </w:rPr>
              <w:t>大气污染物年排放量核算表</w:t>
            </w:r>
            <w:bookmarkEnd w:id="120"/>
            <w:bookmarkEnd w:id="121"/>
          </w:p>
          <w:tbl>
            <w:tblPr>
              <w:tblStyle w:val="4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43"/>
              <w:gridCol w:w="1348"/>
              <w:gridCol w:w="4097"/>
              <w:gridCol w:w="2150"/>
            </w:tblGrid>
            <w:tr w14:paraId="2F264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9" w:type="pct"/>
                  <w:tcBorders>
                    <w:insideH w:val="single" w:sz="12" w:space="0"/>
                    <w:insideV w:val="single" w:sz="4" w:space="0"/>
                    <w:tl2br w:val="nil"/>
                    <w:tr2bl w:val="nil"/>
                  </w:tcBorders>
                  <w:vAlign w:val="center"/>
                </w:tcPr>
                <w:p w14:paraId="59ADEA99">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序号</w:t>
                  </w:r>
                </w:p>
              </w:tc>
              <w:tc>
                <w:tcPr>
                  <w:tcW w:w="798" w:type="pct"/>
                  <w:tcBorders>
                    <w:insideH w:val="single" w:sz="12" w:space="0"/>
                    <w:insideV w:val="single" w:sz="4" w:space="0"/>
                    <w:tl2br w:val="nil"/>
                    <w:tr2bl w:val="nil"/>
                  </w:tcBorders>
                  <w:vAlign w:val="center"/>
                </w:tcPr>
                <w:p w14:paraId="10A3128B">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污染物</w:t>
                  </w:r>
                </w:p>
              </w:tc>
              <w:tc>
                <w:tcPr>
                  <w:tcW w:w="2427" w:type="pct"/>
                  <w:tcBorders>
                    <w:insideH w:val="single" w:sz="12" w:space="0"/>
                    <w:insideV w:val="single" w:sz="4" w:space="0"/>
                    <w:tl2br w:val="nil"/>
                    <w:tr2bl w:val="nil"/>
                  </w:tcBorders>
                  <w:vAlign w:val="center"/>
                </w:tcPr>
                <w:p w14:paraId="05B12DBC">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val="0"/>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排放工序</w:t>
                  </w:r>
                </w:p>
              </w:tc>
              <w:tc>
                <w:tcPr>
                  <w:tcW w:w="1273" w:type="pct"/>
                  <w:tcBorders>
                    <w:insideH w:val="single" w:sz="12" w:space="0"/>
                    <w:insideV w:val="single" w:sz="4" w:space="0"/>
                    <w:tl2br w:val="nil"/>
                    <w:tr2bl w:val="nil"/>
                  </w:tcBorders>
                  <w:vAlign w:val="center"/>
                </w:tcPr>
                <w:p w14:paraId="6B28675D">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年排放量（t/a）</w:t>
                  </w:r>
                </w:p>
              </w:tc>
            </w:tr>
            <w:tr w14:paraId="68A1A9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59" w:hRule="atLeast"/>
                <w:jc w:val="center"/>
              </w:trPr>
              <w:tc>
                <w:tcPr>
                  <w:tcW w:w="499" w:type="pct"/>
                  <w:tcBorders>
                    <w:tl2br w:val="nil"/>
                    <w:tr2bl w:val="nil"/>
                  </w:tcBorders>
                  <w:shd w:val="clear" w:color="auto" w:fill="auto"/>
                  <w:vAlign w:val="center"/>
                </w:tcPr>
                <w:p w14:paraId="4BC08A9E">
                  <w:pPr>
                    <w:widowControl w:val="0"/>
                    <w:numPr>
                      <w:ilvl w:val="0"/>
                      <w:numId w:val="4"/>
                    </w:numPr>
                    <w:overflowPunct w:val="0"/>
                    <w:autoSpaceDE w:val="0"/>
                    <w:autoSpaceDN w:val="0"/>
                    <w:snapToGrid w:val="0"/>
                    <w:spacing w:before="24" w:after="24"/>
                    <w:ind w:left="440" w:leftChars="0" w:hanging="44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p>
              </w:tc>
              <w:tc>
                <w:tcPr>
                  <w:tcW w:w="798" w:type="pct"/>
                  <w:tcBorders>
                    <w:tl2br w:val="nil"/>
                    <w:tr2bl w:val="nil"/>
                  </w:tcBorders>
                  <w:vAlign w:val="center"/>
                </w:tcPr>
                <w:p w14:paraId="013113B9">
                  <w:pPr>
                    <w:widowControl w:val="0"/>
                    <w:overflowPunct w:val="0"/>
                    <w:autoSpaceDE w:val="0"/>
                    <w:autoSpaceDN w:val="0"/>
                    <w:snapToGrid w:val="0"/>
                    <w:spacing w:before="24" w:after="24"/>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颗粒物</w:t>
                  </w:r>
                </w:p>
              </w:tc>
              <w:tc>
                <w:tcPr>
                  <w:tcW w:w="2427" w:type="pct"/>
                  <w:tcBorders>
                    <w:tl2br w:val="nil"/>
                    <w:tr2bl w:val="nil"/>
                  </w:tcBorders>
                  <w:vAlign w:val="center"/>
                </w:tcPr>
                <w:p w14:paraId="202FB7A9">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bookmarkStart w:id="122" w:name="OLE_LINK232"/>
                  <w:r>
                    <w:rPr>
                      <w:rFonts w:hint="default" w:ascii="Times New Roman" w:hAnsi="Times New Roman" w:cs="Times New Roman"/>
                      <w:color w:val="000000" w:themeColor="text1"/>
                      <w:highlight w:val="none"/>
                      <w14:textFill>
                        <w14:solidFill>
                          <w14:schemeClr w14:val="tx1"/>
                        </w14:solidFill>
                      </w14:textFill>
                      <w14:ligatures w14:val="standardContextual"/>
                    </w:rPr>
                    <w:t>生物质锅炉燃烧废气</w:t>
                  </w:r>
                  <w:bookmarkEnd w:id="122"/>
                  <w:r>
                    <w:rPr>
                      <w:rFonts w:hint="default" w:ascii="Times New Roman" w:hAnsi="Times New Roman" w:cs="Times New Roman"/>
                      <w:color w:val="000000" w:themeColor="text1"/>
                      <w:highlight w:val="none"/>
                      <w14:textFill>
                        <w14:solidFill>
                          <w14:schemeClr w14:val="tx1"/>
                        </w14:solidFill>
                      </w14:textFill>
                      <w14:ligatures w14:val="standardContextual"/>
                    </w:rPr>
                    <w:t>（G</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2</w:t>
                  </w:r>
                  <w:r>
                    <w:rPr>
                      <w:rFonts w:hint="default" w:ascii="Times New Roman" w:hAnsi="Times New Roman" w:cs="Times New Roman"/>
                      <w:color w:val="000000" w:themeColor="text1"/>
                      <w:highlight w:val="none"/>
                      <w14:textFill>
                        <w14:solidFill>
                          <w14:schemeClr w14:val="tx1"/>
                        </w14:solidFill>
                      </w14:textFill>
                      <w14:ligatures w14:val="standardContextual"/>
                    </w:rPr>
                    <w:t>）</w:t>
                  </w:r>
                </w:p>
              </w:tc>
              <w:tc>
                <w:tcPr>
                  <w:tcW w:w="1273" w:type="pct"/>
                  <w:tcBorders>
                    <w:tl2br w:val="nil"/>
                    <w:tr2bl w:val="nil"/>
                  </w:tcBorders>
                  <w:shd w:val="clear" w:color="auto" w:fill="auto"/>
                  <w:vAlign w:val="center"/>
                </w:tcPr>
                <w:p w14:paraId="2DF68293">
                  <w:pPr>
                    <w:keepNext w:val="0"/>
                    <w:keepLines w:val="0"/>
                    <w:widowControl/>
                    <w:suppressLineNumbers w:val="0"/>
                    <w:overflowPunct w:val="0"/>
                    <w:autoSpaceDE w:val="0"/>
                    <w:autoSpaceDN w:val="0"/>
                    <w:snapToGrid w:val="0"/>
                    <w:jc w:val="center"/>
                    <w:textAlignment w:val="center"/>
                    <w:rPr>
                      <w:rFonts w:hint="default" w:ascii="Times New Roman" w:hAnsi="Times New Roman" w:eastAsia="宋体" w:cs="Times New Roman"/>
                      <w:b w:val="0"/>
                      <w:bCs w:val="0"/>
                      <w:i w:val="0"/>
                      <w:iCs w:val="0"/>
                      <w:color w:val="000000" w:themeColor="text1"/>
                      <w:sz w:val="20"/>
                      <w:szCs w:val="20"/>
                      <w:highlight w:val="none"/>
                      <w:u w:val="none"/>
                      <w:lang w:val="en-US" w:eastAsia="zh-CN" w:bidi="ar-SA"/>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 xml:space="preserve">0.0447 </w:t>
                  </w:r>
                </w:p>
              </w:tc>
            </w:tr>
            <w:tr w14:paraId="13588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9" w:type="pct"/>
                  <w:tcBorders>
                    <w:tl2br w:val="nil"/>
                    <w:tr2bl w:val="nil"/>
                  </w:tcBorders>
                  <w:shd w:val="clear" w:color="auto" w:fill="auto"/>
                  <w:vAlign w:val="center"/>
                </w:tcPr>
                <w:p w14:paraId="6B62BDDF">
                  <w:pPr>
                    <w:widowControl w:val="0"/>
                    <w:numPr>
                      <w:ilvl w:val="0"/>
                      <w:numId w:val="4"/>
                    </w:numPr>
                    <w:overflowPunct w:val="0"/>
                    <w:autoSpaceDE w:val="0"/>
                    <w:autoSpaceDN w:val="0"/>
                    <w:snapToGrid w:val="0"/>
                    <w:spacing w:before="24" w:after="24"/>
                    <w:ind w:left="440" w:leftChars="0" w:hanging="44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p>
              </w:tc>
              <w:tc>
                <w:tcPr>
                  <w:tcW w:w="798" w:type="pct"/>
                  <w:tcBorders>
                    <w:tl2br w:val="nil"/>
                    <w:tr2bl w:val="nil"/>
                  </w:tcBorders>
                  <w:vAlign w:val="center"/>
                </w:tcPr>
                <w:p w14:paraId="675E9C6D">
                  <w:pPr>
                    <w:widowControl w:val="0"/>
                    <w:overflowPunct w:val="0"/>
                    <w:autoSpaceDE w:val="0"/>
                    <w:autoSpaceDN w:val="0"/>
                    <w:snapToGrid w:val="0"/>
                    <w:spacing w:before="24" w:after="24"/>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二氧化硫</w:t>
                  </w:r>
                </w:p>
              </w:tc>
              <w:tc>
                <w:tcPr>
                  <w:tcW w:w="2427" w:type="pct"/>
                  <w:tcBorders>
                    <w:tl2br w:val="nil"/>
                    <w:tr2bl w:val="nil"/>
                  </w:tcBorders>
                  <w:vAlign w:val="center"/>
                </w:tcPr>
                <w:p w14:paraId="3F489DF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生物质锅炉燃烧废气（G</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2</w:t>
                  </w:r>
                  <w:r>
                    <w:rPr>
                      <w:rFonts w:hint="default" w:ascii="Times New Roman" w:hAnsi="Times New Roman" w:cs="Times New Roman"/>
                      <w:color w:val="000000" w:themeColor="text1"/>
                      <w:highlight w:val="none"/>
                      <w14:textFill>
                        <w14:solidFill>
                          <w14:schemeClr w14:val="tx1"/>
                        </w14:solidFill>
                      </w14:textFill>
                      <w14:ligatures w14:val="standardContextual"/>
                    </w:rPr>
                    <w:t>）</w:t>
                  </w:r>
                </w:p>
              </w:tc>
              <w:tc>
                <w:tcPr>
                  <w:tcW w:w="1273" w:type="pct"/>
                  <w:tcBorders>
                    <w:tl2br w:val="nil"/>
                    <w:tr2bl w:val="nil"/>
                  </w:tcBorders>
                  <w:vAlign w:val="center"/>
                </w:tcPr>
                <w:p w14:paraId="584A6327">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 xml:space="preserve">4.561 </w:t>
                  </w:r>
                </w:p>
              </w:tc>
            </w:tr>
            <w:tr w14:paraId="36A50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99" w:type="pct"/>
                  <w:tcBorders>
                    <w:insideH w:val="single" w:sz="12" w:space="0"/>
                    <w:tl2br w:val="nil"/>
                    <w:tr2bl w:val="nil"/>
                  </w:tcBorders>
                  <w:shd w:val="clear" w:color="auto" w:fill="auto"/>
                  <w:vAlign w:val="center"/>
                </w:tcPr>
                <w:p w14:paraId="140613A5">
                  <w:pPr>
                    <w:widowControl w:val="0"/>
                    <w:numPr>
                      <w:ilvl w:val="0"/>
                      <w:numId w:val="4"/>
                    </w:numPr>
                    <w:overflowPunct w:val="0"/>
                    <w:autoSpaceDE w:val="0"/>
                    <w:autoSpaceDN w:val="0"/>
                    <w:snapToGrid w:val="0"/>
                    <w:spacing w:before="24" w:after="24"/>
                    <w:ind w:left="440" w:leftChars="0" w:hanging="440" w:firstLineChars="0"/>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14:ligatures w14:val="standardContextual"/>
                    </w:rPr>
                  </w:pPr>
                </w:p>
              </w:tc>
              <w:tc>
                <w:tcPr>
                  <w:tcW w:w="798" w:type="pct"/>
                  <w:tcBorders>
                    <w:insideH w:val="single" w:sz="12" w:space="0"/>
                    <w:tl2br w:val="nil"/>
                    <w:tr2bl w:val="nil"/>
                  </w:tcBorders>
                  <w:vAlign w:val="center"/>
                </w:tcPr>
                <w:p w14:paraId="69BB2707">
                  <w:pPr>
                    <w:widowControl w:val="0"/>
                    <w:overflowPunct w:val="0"/>
                    <w:autoSpaceDE w:val="0"/>
                    <w:autoSpaceDN w:val="0"/>
                    <w:snapToGrid w:val="0"/>
                    <w:spacing w:before="24" w:after="24"/>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氮氧化物</w:t>
                  </w:r>
                </w:p>
              </w:tc>
              <w:tc>
                <w:tcPr>
                  <w:tcW w:w="2427" w:type="pct"/>
                  <w:tcBorders>
                    <w:insideH w:val="single" w:sz="12" w:space="0"/>
                    <w:tl2br w:val="nil"/>
                    <w:tr2bl w:val="nil"/>
                  </w:tcBorders>
                  <w:vAlign w:val="center"/>
                </w:tcPr>
                <w:p w14:paraId="43C8D43B">
                  <w:pPr>
                    <w:widowControl w:val="0"/>
                    <w:overflowPunct w:val="0"/>
                    <w:autoSpaceDE w:val="0"/>
                    <w:autoSpaceDN w:val="0"/>
                    <w:snapToGrid w:val="0"/>
                    <w:spacing w:before="24" w:after="24"/>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生物质锅炉燃烧废气（G</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2</w:t>
                  </w:r>
                  <w:r>
                    <w:rPr>
                      <w:rFonts w:hint="default" w:ascii="Times New Roman" w:hAnsi="Times New Roman" w:cs="Times New Roman"/>
                      <w:color w:val="000000" w:themeColor="text1"/>
                      <w:highlight w:val="none"/>
                      <w14:textFill>
                        <w14:solidFill>
                          <w14:schemeClr w14:val="tx1"/>
                        </w14:solidFill>
                      </w14:textFill>
                      <w14:ligatures w14:val="standardContextual"/>
                    </w:rPr>
                    <w:t>）</w:t>
                  </w:r>
                </w:p>
              </w:tc>
              <w:tc>
                <w:tcPr>
                  <w:tcW w:w="1273" w:type="pct"/>
                  <w:tcBorders>
                    <w:insideH w:val="single" w:sz="12" w:space="0"/>
                    <w:tl2br w:val="nil"/>
                    <w:tr2bl w:val="nil"/>
                  </w:tcBorders>
                  <w:vAlign w:val="center"/>
                </w:tcPr>
                <w:p w14:paraId="1C8FD6FE">
                  <w:pPr>
                    <w:keepNext w:val="0"/>
                    <w:keepLines w:val="0"/>
                    <w:widowControl/>
                    <w:suppressLineNumbers w:val="0"/>
                    <w:overflowPunct w:val="0"/>
                    <w:autoSpaceDE w:val="0"/>
                    <w:autoSpaceDN w:val="0"/>
                    <w:snapToGrid w:val="0"/>
                    <w:jc w:val="center"/>
                    <w:textAlignment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eastAsia" w:cs="Times New Roman"/>
                      <w:i w:val="0"/>
                      <w:iCs w:val="0"/>
                      <w:color w:val="000000" w:themeColor="text1"/>
                      <w:kern w:val="0"/>
                      <w:sz w:val="20"/>
                      <w:szCs w:val="20"/>
                      <w:highlight w:val="none"/>
                      <w:u w:val="none"/>
                      <w:lang w:val="en-US" w:eastAsia="zh-CN" w:bidi="ar"/>
                      <w14:textFill>
                        <w14:solidFill>
                          <w14:schemeClr w14:val="tx1"/>
                        </w14:solidFill>
                      </w14:textFill>
                      <w14:ligatures w14:val="standardContextual"/>
                    </w:rPr>
                    <w:t>6.385</w:t>
                  </w:r>
                </w:p>
              </w:tc>
            </w:tr>
          </w:tbl>
          <w:p w14:paraId="25813FE2">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3、非正常工况</w:t>
            </w:r>
            <w:bookmarkStart w:id="123" w:name="OLE_LINK85"/>
          </w:p>
          <w:bookmarkEnd w:id="123"/>
          <w:p w14:paraId="20F42E0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非正常排放是指生产过程中开停车（工、炉）、设备检修、工艺设备运转异常等非正常工况下的污染物排放，以及污染物排放控制措施达不到应有效率等情况下的排放。</w:t>
            </w:r>
          </w:p>
          <w:p w14:paraId="294A927C">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本次评价考虑的非正常工况为DA00</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废气处理设施故障，生物质锅炉燃烧废气直接排放。</w:t>
            </w:r>
          </w:p>
          <w:p w14:paraId="0BD10604">
            <w:pPr>
              <w:pStyle w:val="34"/>
              <w:rPr>
                <w:rFonts w:hint="default" w:ascii="Times New Roman" w:hAnsi="Times New Roman" w:cs="Times New Roman"/>
                <w:color w:val="000000" w:themeColor="text1"/>
                <w:highlight w:val="none"/>
                <w14:textFill>
                  <w14:solidFill>
                    <w14:schemeClr w14:val="tx1"/>
                  </w14:solidFill>
                </w14:textFill>
              </w:rPr>
            </w:pPr>
            <w:bookmarkStart w:id="124" w:name="_Ref172984926"/>
            <w:bookmarkStart w:id="125" w:name="_Ref186542428"/>
            <w:r>
              <w:rPr>
                <w:rFonts w:hint="default" w:ascii="Times New Roman" w:hAnsi="Times New Roman" w:cs="Times New Roman"/>
                <w:color w:val="000000" w:themeColor="text1"/>
                <w:highlight w:val="none"/>
                <w14:textFill>
                  <w14:solidFill>
                    <w14:schemeClr w14:val="tx1"/>
                  </w14:solidFill>
                </w14:textFill>
              </w:rPr>
              <w:t xml:space="preserve">表4- </w:t>
            </w:r>
            <w:bookmarkEnd w:id="124"/>
            <w:r>
              <w:rPr>
                <w:rFonts w:hint="default"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14:textFill>
                  <w14:solidFill>
                    <w14:schemeClr w14:val="tx1"/>
                  </w14:solidFill>
                </w14:textFill>
              </w:rPr>
              <w:t>：项目污染源非正常排放核算表</w:t>
            </w:r>
            <w:bookmarkEnd w:id="125"/>
          </w:p>
          <w:tbl>
            <w:tblPr>
              <w:tblStyle w:val="4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82"/>
              <w:gridCol w:w="789"/>
              <w:gridCol w:w="1328"/>
              <w:gridCol w:w="1229"/>
              <w:gridCol w:w="1302"/>
              <w:gridCol w:w="1156"/>
              <w:gridCol w:w="901"/>
              <w:gridCol w:w="1252"/>
            </w:tblGrid>
            <w:tr w14:paraId="743550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5" w:type="pct"/>
                  <w:tcBorders>
                    <w:insideH w:val="single" w:sz="12" w:space="0"/>
                    <w:insideV w:val="single" w:sz="4" w:space="0"/>
                    <w:tl2br w:val="nil"/>
                    <w:tr2bl w:val="nil"/>
                  </w:tcBorders>
                  <w:vAlign w:val="center"/>
                </w:tcPr>
                <w:p w14:paraId="47C6D37C">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w w:val="100"/>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w w:val="100"/>
                      <w:sz w:val="21"/>
                      <w:szCs w:val="21"/>
                      <w:highlight w:val="none"/>
                      <w14:textFill>
                        <w14:solidFill>
                          <w14:schemeClr w14:val="tx1"/>
                        </w14:solidFill>
                      </w14:textFill>
                      <w14:ligatures w14:val="standardContextual"/>
                    </w:rPr>
                    <w:t>序号</w:t>
                  </w:r>
                </w:p>
              </w:tc>
              <w:tc>
                <w:tcPr>
                  <w:tcW w:w="467" w:type="pct"/>
                  <w:tcBorders>
                    <w:insideH w:val="single" w:sz="12" w:space="0"/>
                    <w:insideV w:val="single" w:sz="4" w:space="0"/>
                    <w:tl2br w:val="nil"/>
                    <w:tr2bl w:val="nil"/>
                  </w:tcBorders>
                  <w:vAlign w:val="center"/>
                </w:tcPr>
                <w:p w14:paraId="1AE7F536">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w w:val="100"/>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w w:val="100"/>
                      <w:sz w:val="21"/>
                      <w:szCs w:val="21"/>
                      <w:highlight w:val="none"/>
                      <w14:textFill>
                        <w14:solidFill>
                          <w14:schemeClr w14:val="tx1"/>
                        </w14:solidFill>
                      </w14:textFill>
                      <w14:ligatures w14:val="standardContextual"/>
                    </w:rPr>
                    <w:t>污染源</w:t>
                  </w:r>
                </w:p>
              </w:tc>
              <w:tc>
                <w:tcPr>
                  <w:tcW w:w="786" w:type="pct"/>
                  <w:tcBorders>
                    <w:insideH w:val="single" w:sz="12" w:space="0"/>
                    <w:insideV w:val="single" w:sz="4" w:space="0"/>
                    <w:tl2br w:val="nil"/>
                    <w:tr2bl w:val="nil"/>
                  </w:tcBorders>
                  <w:vAlign w:val="center"/>
                </w:tcPr>
                <w:p w14:paraId="70DA3981">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w w:val="100"/>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w w:val="100"/>
                      <w:sz w:val="21"/>
                      <w:szCs w:val="21"/>
                      <w:highlight w:val="none"/>
                      <w14:textFill>
                        <w14:solidFill>
                          <w14:schemeClr w14:val="tx1"/>
                        </w14:solidFill>
                      </w14:textFill>
                      <w14:ligatures w14:val="standardContextual"/>
                    </w:rPr>
                    <w:t>污染物</w:t>
                  </w:r>
                </w:p>
              </w:tc>
              <w:tc>
                <w:tcPr>
                  <w:tcW w:w="728" w:type="pct"/>
                  <w:tcBorders>
                    <w:insideH w:val="single" w:sz="12" w:space="0"/>
                    <w:insideV w:val="single" w:sz="4" w:space="0"/>
                    <w:tl2br w:val="nil"/>
                    <w:tr2bl w:val="nil"/>
                  </w:tcBorders>
                  <w:vAlign w:val="center"/>
                </w:tcPr>
                <w:p w14:paraId="2EF3AA0B">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w w:val="100"/>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w w:val="100"/>
                      <w:sz w:val="21"/>
                      <w:szCs w:val="21"/>
                      <w:highlight w:val="none"/>
                      <w14:textFill>
                        <w14:solidFill>
                          <w14:schemeClr w14:val="tx1"/>
                        </w14:solidFill>
                      </w14:textFill>
                      <w14:ligatures w14:val="standardContextual"/>
                    </w:rPr>
                    <w:t>排放浓度（mg/m</w:t>
                  </w:r>
                  <w:r>
                    <w:rPr>
                      <w:rFonts w:hint="default" w:ascii="Times New Roman" w:hAnsi="Times New Roman" w:eastAsia="宋体" w:cs="Times New Roman"/>
                      <w:b/>
                      <w:i w:val="0"/>
                      <w:color w:val="000000" w:themeColor="text1"/>
                      <w:w w:val="100"/>
                      <w:position w:val="7"/>
                      <w:sz w:val="21"/>
                      <w:szCs w:val="21"/>
                      <w:highlight w:val="none"/>
                      <w:vertAlign w:val="superscript"/>
                      <w14:textFill>
                        <w14:solidFill>
                          <w14:schemeClr w14:val="tx1"/>
                        </w14:solidFill>
                      </w14:textFill>
                      <w14:ligatures w14:val="standardContextual"/>
                    </w:rPr>
                    <w:t>3</w:t>
                  </w:r>
                  <w:r>
                    <w:rPr>
                      <w:rFonts w:hint="default" w:ascii="Times New Roman" w:hAnsi="Times New Roman" w:eastAsia="宋体" w:cs="Times New Roman"/>
                      <w:b/>
                      <w:i w:val="0"/>
                      <w:color w:val="000000" w:themeColor="text1"/>
                      <w:w w:val="100"/>
                      <w:sz w:val="21"/>
                      <w:szCs w:val="21"/>
                      <w:highlight w:val="none"/>
                      <w14:textFill>
                        <w14:solidFill>
                          <w14:schemeClr w14:val="tx1"/>
                        </w14:solidFill>
                      </w14:textFill>
                      <w14:ligatures w14:val="standardContextual"/>
                    </w:rPr>
                    <w:t>）</w:t>
                  </w:r>
                </w:p>
              </w:tc>
              <w:tc>
                <w:tcPr>
                  <w:tcW w:w="771" w:type="pct"/>
                  <w:tcBorders>
                    <w:insideH w:val="single" w:sz="12" w:space="0"/>
                    <w:insideV w:val="single" w:sz="4" w:space="0"/>
                    <w:tl2br w:val="nil"/>
                    <w:tr2bl w:val="nil"/>
                  </w:tcBorders>
                  <w:vAlign w:val="center"/>
                </w:tcPr>
                <w:p w14:paraId="084596E7">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w w:val="100"/>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w w:val="100"/>
                      <w:sz w:val="21"/>
                      <w:szCs w:val="21"/>
                      <w:highlight w:val="none"/>
                      <w14:textFill>
                        <w14:solidFill>
                          <w14:schemeClr w14:val="tx1"/>
                        </w14:solidFill>
                      </w14:textFill>
                      <w14:ligatures w14:val="standardContextual"/>
                    </w:rPr>
                    <w:t>排放量（kg/a）</w:t>
                  </w:r>
                </w:p>
              </w:tc>
              <w:tc>
                <w:tcPr>
                  <w:tcW w:w="684" w:type="pct"/>
                  <w:tcBorders>
                    <w:insideH w:val="single" w:sz="12" w:space="0"/>
                    <w:insideV w:val="single" w:sz="4" w:space="0"/>
                    <w:tl2br w:val="nil"/>
                    <w:tr2bl w:val="nil"/>
                  </w:tcBorders>
                  <w:vAlign w:val="center"/>
                </w:tcPr>
                <w:p w14:paraId="75579310">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单次持续时间/h</w:t>
                  </w:r>
                </w:p>
              </w:tc>
              <w:tc>
                <w:tcPr>
                  <w:tcW w:w="533" w:type="pct"/>
                  <w:tcBorders>
                    <w:insideH w:val="single" w:sz="12" w:space="0"/>
                    <w:insideV w:val="single" w:sz="4" w:space="0"/>
                    <w:tl2br w:val="nil"/>
                    <w:tr2bl w:val="nil"/>
                  </w:tcBorders>
                  <w:vAlign w:val="center"/>
                </w:tcPr>
                <w:p w14:paraId="0C1EBCB1">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年发生频次</w:t>
                  </w:r>
                </w:p>
              </w:tc>
              <w:tc>
                <w:tcPr>
                  <w:tcW w:w="741" w:type="pct"/>
                  <w:tcBorders>
                    <w:insideH w:val="single" w:sz="12" w:space="0"/>
                    <w:insideV w:val="single" w:sz="4" w:space="0"/>
                    <w:tl2br w:val="nil"/>
                    <w:tr2bl w:val="nil"/>
                  </w:tcBorders>
                  <w:vAlign w:val="center"/>
                </w:tcPr>
                <w:p w14:paraId="2B910AC7">
                  <w:pPr>
                    <w:keepLines w:val="0"/>
                    <w:widowControl w:val="0"/>
                    <w:suppressLineNumbers w:val="0"/>
                    <w:suppressAutoHyphens w:val="0"/>
                    <w:wordWrap/>
                    <w:overflowPunct w:val="0"/>
                    <w:topLinePunct w:val="0"/>
                    <w:autoSpaceDE w:val="0"/>
                    <w:autoSpaceDN w:val="0"/>
                    <w:adjustRightInd w:val="0"/>
                    <w:snapToGrid w:val="0"/>
                    <w:spacing w:before="24" w:after="24"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应对措施</w:t>
                  </w:r>
                </w:p>
              </w:tc>
            </w:tr>
            <w:tr w14:paraId="4576F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5" w:type="pct"/>
                  <w:tcBorders>
                    <w:tl2br w:val="nil"/>
                    <w:tr2bl w:val="nil"/>
                  </w:tcBorders>
                  <w:vAlign w:val="center"/>
                </w:tcPr>
                <w:p w14:paraId="1B6E2263">
                  <w:pPr>
                    <w:widowControl w:val="0"/>
                    <w:numPr>
                      <w:ilvl w:val="0"/>
                      <w:numId w:val="5"/>
                    </w:numPr>
                    <w:overflowPunct w:val="0"/>
                    <w:autoSpaceDE w:val="0"/>
                    <w:autoSpaceDN w:val="0"/>
                    <w:snapToGrid w:val="0"/>
                    <w:spacing w:before="24" w:after="24"/>
                    <w:ind w:firstLineChars="0"/>
                    <w:jc w:val="center"/>
                    <w:rPr>
                      <w:rFonts w:hint="default" w:ascii="Times New Roman" w:hAnsi="Times New Roman" w:eastAsia="宋体" w:cs="Times New Roman"/>
                      <w:color w:val="000000" w:themeColor="text1"/>
                      <w:w w:val="100"/>
                      <w:sz w:val="21"/>
                      <w:szCs w:val="21"/>
                      <w:highlight w:val="none"/>
                      <w14:textFill>
                        <w14:solidFill>
                          <w14:schemeClr w14:val="tx1"/>
                        </w14:solidFill>
                      </w14:textFill>
                      <w14:ligatures w14:val="standardContextual"/>
                    </w:rPr>
                  </w:pPr>
                </w:p>
              </w:tc>
              <w:tc>
                <w:tcPr>
                  <w:tcW w:w="467" w:type="pct"/>
                  <w:vMerge w:val="restart"/>
                  <w:tcBorders>
                    <w:tl2br w:val="nil"/>
                    <w:tr2bl w:val="nil"/>
                  </w:tcBorders>
                  <w:vAlign w:val="center"/>
                </w:tcPr>
                <w:p w14:paraId="68CF2A3A">
                  <w:pPr>
                    <w:widowControl w:val="0"/>
                    <w:overflowPunct w:val="0"/>
                    <w:autoSpaceDE w:val="0"/>
                    <w:autoSpaceDN w:val="0"/>
                    <w:snapToGrid w:val="0"/>
                    <w:spacing w:before="24" w:after="24"/>
                    <w:jc w:val="center"/>
                    <w:rPr>
                      <w:rFonts w:hint="default" w:ascii="Times New Roman" w:hAnsi="Times New Roman" w:eastAsia="宋体" w:cs="Times New Roman"/>
                      <w:color w:val="000000" w:themeColor="text1"/>
                      <w:w w:val="100"/>
                      <w:sz w:val="21"/>
                      <w:szCs w:val="21"/>
                      <w:highlight w:val="none"/>
                      <w:lang w:eastAsia="zh-CN"/>
                      <w14:textFill>
                        <w14:solidFill>
                          <w14:schemeClr w14:val="tx1"/>
                        </w14:solidFill>
                      </w14:textFill>
                      <w14:ligatures w14:val="standardContextual"/>
                    </w:rPr>
                  </w:pPr>
                  <w:r>
                    <w:rPr>
                      <w:rFonts w:hint="default" w:ascii="Times New Roman" w:hAnsi="Times New Roman" w:eastAsia="宋体" w:cs="Times New Roman"/>
                      <w:color w:val="000000" w:themeColor="text1"/>
                      <w:w w:val="100"/>
                      <w:sz w:val="21"/>
                      <w:szCs w:val="21"/>
                      <w:highlight w:val="none"/>
                      <w14:textFill>
                        <w14:solidFill>
                          <w14:schemeClr w14:val="tx1"/>
                        </w14:solidFill>
                      </w14:textFill>
                      <w14:ligatures w14:val="standardContextual"/>
                    </w:rPr>
                    <w:t>DA00</w:t>
                  </w:r>
                  <w:r>
                    <w:rPr>
                      <w:rFonts w:hint="default" w:ascii="Times New Roman" w:hAnsi="Times New Roman" w:cs="Times New Roman"/>
                      <w:color w:val="000000" w:themeColor="text1"/>
                      <w:w w:val="100"/>
                      <w:sz w:val="21"/>
                      <w:szCs w:val="21"/>
                      <w:highlight w:val="none"/>
                      <w:lang w:val="en-US" w:eastAsia="zh-CN"/>
                      <w14:textFill>
                        <w14:solidFill>
                          <w14:schemeClr w14:val="tx1"/>
                        </w14:solidFill>
                      </w14:textFill>
                      <w14:ligatures w14:val="standardContextual"/>
                    </w:rPr>
                    <w:t>4</w:t>
                  </w:r>
                </w:p>
              </w:tc>
              <w:tc>
                <w:tcPr>
                  <w:tcW w:w="786" w:type="pct"/>
                  <w:tcBorders>
                    <w:tl2br w:val="nil"/>
                    <w:tr2bl w:val="nil"/>
                  </w:tcBorders>
                  <w:vAlign w:val="center"/>
                </w:tcPr>
                <w:p w14:paraId="63DC794A">
                  <w:pPr>
                    <w:widowControl w:val="0"/>
                    <w:overflowPunct w:val="0"/>
                    <w:autoSpaceDE w:val="0"/>
                    <w:autoSpaceDN w:val="0"/>
                    <w:snapToGrid w:val="0"/>
                    <w:jc w:val="center"/>
                    <w:rPr>
                      <w:rFonts w:hint="default" w:ascii="Times New Roman" w:hAnsi="Times New Roman" w:eastAsia="宋体" w:cs="Times New Roman"/>
                      <w:color w:val="000000" w:themeColor="text1"/>
                      <w:w w:val="100"/>
                      <w:sz w:val="21"/>
                      <w:szCs w:val="21"/>
                      <w:highlight w:val="none"/>
                      <w14:textFill>
                        <w14:solidFill>
                          <w14:schemeClr w14:val="tx1"/>
                        </w14:solidFill>
                      </w14:textFill>
                      <w14:ligatures w14:val="standardContextual"/>
                    </w:rPr>
                  </w:pPr>
                  <w:r>
                    <w:rPr>
                      <w:rFonts w:hint="default" w:ascii="Times New Roman" w:hAnsi="Times New Roman" w:eastAsia="宋体" w:cs="Times New Roman"/>
                      <w:color w:val="000000" w:themeColor="text1"/>
                      <w:w w:val="100"/>
                      <w:sz w:val="21"/>
                      <w:szCs w:val="21"/>
                      <w:highlight w:val="none"/>
                      <w14:textFill>
                        <w14:solidFill>
                          <w14:schemeClr w14:val="tx1"/>
                        </w14:solidFill>
                      </w14:textFill>
                      <w14:ligatures w14:val="standardContextual"/>
                    </w:rPr>
                    <w:t>颗粒物</w:t>
                  </w:r>
                </w:p>
              </w:tc>
              <w:tc>
                <w:tcPr>
                  <w:tcW w:w="728" w:type="pct"/>
                  <w:tcBorders>
                    <w:tl2br w:val="nil"/>
                    <w:tr2bl w:val="nil"/>
                  </w:tcBorders>
                  <w:vAlign w:val="center"/>
                </w:tcPr>
                <w:p w14:paraId="07F62968">
                  <w:pPr>
                    <w:widowControl w:val="0"/>
                    <w:overflowPunct w:val="0"/>
                    <w:autoSpaceDE w:val="0"/>
                    <w:autoSpaceDN w:val="0"/>
                    <w:snapToGrid w:val="0"/>
                    <w:jc w:val="center"/>
                    <w:rPr>
                      <w:rFonts w:hint="default" w:ascii="Times New Roman" w:hAnsi="Times New Roman" w:eastAsia="宋体" w:cs="Times New Roman"/>
                      <w:color w:val="000000" w:themeColor="text1"/>
                      <w:w w:val="100"/>
                      <w:sz w:val="21"/>
                      <w:szCs w:val="21"/>
                      <w:highlight w:val="none"/>
                      <w14:textFill>
                        <w14:solidFill>
                          <w14:schemeClr w14:val="tx1"/>
                        </w14:solidFill>
                      </w14:textFill>
                      <w14:ligatures w14:val="standardContextual"/>
                    </w:rPr>
                  </w:pPr>
                  <w:r>
                    <w:rPr>
                      <w:rFonts w:hint="eastAsia" w:cs="Times New Roman"/>
                      <w:color w:val="000000" w:themeColor="text1"/>
                      <w:sz w:val="21"/>
                      <w:szCs w:val="21"/>
                      <w:highlight w:val="none"/>
                      <w:lang w:eastAsia="zh-CN"/>
                      <w14:textFill>
                        <w14:solidFill>
                          <w14:schemeClr w14:val="tx1"/>
                        </w14:solidFill>
                      </w14:textFill>
                      <w14:ligatures w14:val="standardContextual"/>
                    </w:rPr>
                    <w:t>80.123</w:t>
                  </w:r>
                </w:p>
              </w:tc>
              <w:tc>
                <w:tcPr>
                  <w:tcW w:w="771" w:type="pct"/>
                  <w:tcBorders>
                    <w:tl2br w:val="nil"/>
                    <w:tr2bl w:val="nil"/>
                  </w:tcBorders>
                  <w:vAlign w:val="center"/>
                </w:tcPr>
                <w:p w14:paraId="537B9626">
                  <w:pPr>
                    <w:keepNext w:val="0"/>
                    <w:keepLines w:val="0"/>
                    <w:widowControl/>
                    <w:suppressLineNumbers w:val="0"/>
                    <w:overflowPunct w:val="0"/>
                    <w:autoSpaceDE w:val="0"/>
                    <w:autoSpaceDN w:val="0"/>
                    <w:snapToGrid w:val="0"/>
                    <w:jc w:val="center"/>
                    <w:textAlignment w:val="center"/>
                    <w:rPr>
                      <w:rFonts w:hint="default" w:ascii="Times New Roman" w:hAnsi="Times New Roman" w:eastAsia="宋体" w:cs="Times New Roman"/>
                      <w:color w:val="000000" w:themeColor="text1"/>
                      <w:w w:val="100"/>
                      <w:sz w:val="21"/>
                      <w:szCs w:val="21"/>
                      <w:highlight w:val="none"/>
                      <w:lang w:val="en-US" w:eastAsia="zh-CN"/>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14:ligatures w14:val="standardContextual"/>
                    </w:rPr>
                    <w:t xml:space="preserve">6 </w:t>
                  </w:r>
                </w:p>
              </w:tc>
              <w:tc>
                <w:tcPr>
                  <w:tcW w:w="684" w:type="pct"/>
                  <w:vMerge w:val="restart"/>
                  <w:tcBorders>
                    <w:tl2br w:val="nil"/>
                    <w:tr2bl w:val="nil"/>
                  </w:tcBorders>
                  <w:vAlign w:val="center"/>
                </w:tcPr>
                <w:p w14:paraId="220BE03F">
                  <w:pPr>
                    <w:widowControl w:val="0"/>
                    <w:overflowPunct w:val="0"/>
                    <w:autoSpaceDE w:val="0"/>
                    <w:autoSpaceDN w:val="0"/>
                    <w:snapToGrid w:val="0"/>
                    <w:spacing w:before="24" w:after="24"/>
                    <w:jc w:val="center"/>
                    <w:rPr>
                      <w:rFonts w:hint="default" w:ascii="Times New Roman" w:hAnsi="Times New Roman" w:cs="Times New Roman"/>
                      <w:color w:val="000000" w:themeColor="text1"/>
                      <w:w w:val="100"/>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w w:val="100"/>
                      <w:sz w:val="21"/>
                      <w:szCs w:val="21"/>
                      <w:highlight w:val="none"/>
                      <w14:textFill>
                        <w14:solidFill>
                          <w14:schemeClr w14:val="tx1"/>
                        </w14:solidFill>
                      </w14:textFill>
                      <w14:ligatures w14:val="standardContextual"/>
                    </w:rPr>
                    <w:t>1</w:t>
                  </w:r>
                </w:p>
              </w:tc>
              <w:tc>
                <w:tcPr>
                  <w:tcW w:w="533" w:type="pct"/>
                  <w:vMerge w:val="restart"/>
                  <w:tcBorders>
                    <w:tl2br w:val="nil"/>
                    <w:tr2bl w:val="nil"/>
                  </w:tcBorders>
                  <w:vAlign w:val="center"/>
                </w:tcPr>
                <w:p w14:paraId="6355B67C">
                  <w:pPr>
                    <w:widowControl w:val="0"/>
                    <w:overflowPunct w:val="0"/>
                    <w:autoSpaceDE w:val="0"/>
                    <w:autoSpaceDN w:val="0"/>
                    <w:snapToGrid w:val="0"/>
                    <w:spacing w:before="24" w:after="24"/>
                    <w:jc w:val="center"/>
                    <w:rPr>
                      <w:rFonts w:hint="default" w:ascii="Times New Roman" w:hAnsi="Times New Roman" w:cs="Times New Roman"/>
                      <w:color w:val="000000" w:themeColor="text1"/>
                      <w:w w:val="100"/>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w w:val="100"/>
                      <w:sz w:val="21"/>
                      <w:szCs w:val="21"/>
                      <w:highlight w:val="none"/>
                      <w14:textFill>
                        <w14:solidFill>
                          <w14:schemeClr w14:val="tx1"/>
                        </w14:solidFill>
                      </w14:textFill>
                      <w14:ligatures w14:val="standardContextual"/>
                    </w:rPr>
                    <w:t>1</w:t>
                  </w:r>
                </w:p>
              </w:tc>
              <w:tc>
                <w:tcPr>
                  <w:tcW w:w="741" w:type="pct"/>
                  <w:vMerge w:val="restart"/>
                  <w:tcBorders>
                    <w:tl2br w:val="nil"/>
                    <w:tr2bl w:val="nil"/>
                  </w:tcBorders>
                  <w:vAlign w:val="center"/>
                </w:tcPr>
                <w:p w14:paraId="54784781">
                  <w:pPr>
                    <w:widowControl w:val="0"/>
                    <w:overflowPunct w:val="0"/>
                    <w:autoSpaceDE w:val="0"/>
                    <w:autoSpaceDN w:val="0"/>
                    <w:snapToGrid w:val="0"/>
                    <w:jc w:val="center"/>
                    <w:rPr>
                      <w:rFonts w:hint="default" w:ascii="Times New Roman" w:hAnsi="Times New Roman" w:cs="Times New Roman"/>
                      <w:color w:val="000000" w:themeColor="text1"/>
                      <w:w w:val="100"/>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w w:val="100"/>
                      <w:sz w:val="21"/>
                      <w:szCs w:val="21"/>
                      <w:highlight w:val="none"/>
                      <w14:textFill>
                        <w14:solidFill>
                          <w14:schemeClr w14:val="tx1"/>
                        </w14:solidFill>
                      </w14:textFill>
                      <w14:ligatures w14:val="standardContextual"/>
                    </w:rPr>
                    <w:t>立即停止该工序生产设备，对废气治理设施进行抢修</w:t>
                  </w:r>
                </w:p>
              </w:tc>
            </w:tr>
            <w:tr w14:paraId="13FA0F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5" w:type="pct"/>
                  <w:tcBorders>
                    <w:tl2br w:val="nil"/>
                    <w:tr2bl w:val="nil"/>
                  </w:tcBorders>
                  <w:vAlign w:val="center"/>
                </w:tcPr>
                <w:p w14:paraId="7FB73DC8">
                  <w:pPr>
                    <w:widowControl w:val="0"/>
                    <w:numPr>
                      <w:ilvl w:val="0"/>
                      <w:numId w:val="5"/>
                    </w:numPr>
                    <w:overflowPunct w:val="0"/>
                    <w:autoSpaceDE w:val="0"/>
                    <w:autoSpaceDN w:val="0"/>
                    <w:snapToGrid w:val="0"/>
                    <w:spacing w:before="24" w:after="24"/>
                    <w:ind w:firstLineChars="0"/>
                    <w:jc w:val="center"/>
                    <w:rPr>
                      <w:rFonts w:hint="default" w:ascii="Times New Roman" w:hAnsi="Times New Roman" w:eastAsia="宋体" w:cs="Times New Roman"/>
                      <w:color w:val="000000" w:themeColor="text1"/>
                      <w:w w:val="100"/>
                      <w:sz w:val="21"/>
                      <w:szCs w:val="21"/>
                      <w:highlight w:val="none"/>
                      <w14:textFill>
                        <w14:solidFill>
                          <w14:schemeClr w14:val="tx1"/>
                        </w14:solidFill>
                      </w14:textFill>
                      <w14:ligatures w14:val="standardContextual"/>
                    </w:rPr>
                  </w:pPr>
                </w:p>
              </w:tc>
              <w:tc>
                <w:tcPr>
                  <w:tcW w:w="467" w:type="pct"/>
                  <w:vMerge w:val="continue"/>
                  <w:tcBorders>
                    <w:tl2br w:val="nil"/>
                    <w:tr2bl w:val="nil"/>
                  </w:tcBorders>
                  <w:vAlign w:val="center"/>
                </w:tcPr>
                <w:p w14:paraId="71E78C93">
                  <w:pPr>
                    <w:widowControl w:val="0"/>
                    <w:overflowPunct w:val="0"/>
                    <w:autoSpaceDE w:val="0"/>
                    <w:autoSpaceDN w:val="0"/>
                    <w:snapToGrid w:val="0"/>
                    <w:spacing w:before="24" w:after="24"/>
                    <w:jc w:val="center"/>
                    <w:rPr>
                      <w:rFonts w:hint="default" w:ascii="Times New Roman" w:hAnsi="Times New Roman" w:eastAsia="宋体" w:cs="Times New Roman"/>
                      <w:color w:val="000000" w:themeColor="text1"/>
                      <w:w w:val="100"/>
                      <w:sz w:val="21"/>
                      <w:szCs w:val="21"/>
                      <w:highlight w:val="none"/>
                      <w14:textFill>
                        <w14:solidFill>
                          <w14:schemeClr w14:val="tx1"/>
                        </w14:solidFill>
                      </w14:textFill>
                      <w14:ligatures w14:val="standardContextual"/>
                    </w:rPr>
                  </w:pPr>
                </w:p>
              </w:tc>
              <w:tc>
                <w:tcPr>
                  <w:tcW w:w="786" w:type="pct"/>
                  <w:tcBorders>
                    <w:tl2br w:val="nil"/>
                    <w:tr2bl w:val="nil"/>
                  </w:tcBorders>
                  <w:vAlign w:val="center"/>
                </w:tcPr>
                <w:p w14:paraId="11B3F811">
                  <w:pPr>
                    <w:widowControl w:val="0"/>
                    <w:overflowPunct w:val="0"/>
                    <w:autoSpaceDE w:val="0"/>
                    <w:autoSpaceDN w:val="0"/>
                    <w:snapToGrid w:val="0"/>
                    <w:jc w:val="center"/>
                    <w:rPr>
                      <w:rFonts w:hint="default" w:ascii="Times New Roman" w:hAnsi="Times New Roman" w:eastAsia="宋体" w:cs="Times New Roman"/>
                      <w:color w:val="000000" w:themeColor="text1"/>
                      <w:w w:val="100"/>
                      <w:sz w:val="21"/>
                      <w:szCs w:val="21"/>
                      <w:highlight w:val="none"/>
                      <w14:textFill>
                        <w14:solidFill>
                          <w14:schemeClr w14:val="tx1"/>
                        </w14:solidFill>
                      </w14:textFill>
                      <w14:ligatures w14:val="standardContextual"/>
                    </w:rPr>
                  </w:pPr>
                  <w:r>
                    <w:rPr>
                      <w:rFonts w:hint="default" w:ascii="Times New Roman" w:hAnsi="Times New Roman" w:eastAsia="宋体" w:cs="Times New Roman"/>
                      <w:color w:val="000000" w:themeColor="text1"/>
                      <w:w w:val="100"/>
                      <w:sz w:val="21"/>
                      <w:szCs w:val="21"/>
                      <w:highlight w:val="none"/>
                      <w14:textFill>
                        <w14:solidFill>
                          <w14:schemeClr w14:val="tx1"/>
                        </w14:solidFill>
                      </w14:textFill>
                      <w14:ligatures w14:val="standardContextual"/>
                    </w:rPr>
                    <w:t>二氧化硫</w:t>
                  </w:r>
                </w:p>
              </w:tc>
              <w:tc>
                <w:tcPr>
                  <w:tcW w:w="728" w:type="pct"/>
                  <w:tcBorders>
                    <w:tl2br w:val="nil"/>
                    <w:tr2bl w:val="nil"/>
                  </w:tcBorders>
                  <w:vAlign w:val="center"/>
                </w:tcPr>
                <w:p w14:paraId="2614BECA">
                  <w:pPr>
                    <w:widowControl w:val="0"/>
                    <w:overflowPunct w:val="0"/>
                    <w:autoSpaceDE w:val="0"/>
                    <w:autoSpaceDN w:val="0"/>
                    <w:snapToGrid w:val="0"/>
                    <w:jc w:val="center"/>
                    <w:rPr>
                      <w:rFonts w:hint="default" w:ascii="Times New Roman" w:hAnsi="Times New Roman" w:eastAsia="宋体" w:cs="Times New Roman"/>
                      <w:color w:val="000000" w:themeColor="text1"/>
                      <w:w w:val="100"/>
                      <w:sz w:val="21"/>
                      <w:szCs w:val="21"/>
                      <w:highlight w:val="none"/>
                      <w14:textFill>
                        <w14:solidFill>
                          <w14:schemeClr w14:val="tx1"/>
                        </w14:solidFill>
                      </w14:textFill>
                      <w14:ligatures w14:val="standardContextual"/>
                    </w:rPr>
                  </w:pPr>
                  <w:r>
                    <w:rPr>
                      <w:rFonts w:hint="eastAsia" w:cs="Times New Roman"/>
                      <w:color w:val="000000" w:themeColor="text1"/>
                      <w:sz w:val="21"/>
                      <w:szCs w:val="21"/>
                      <w:highlight w:val="none"/>
                      <w:lang w:eastAsia="zh-CN"/>
                      <w14:textFill>
                        <w14:solidFill>
                          <w14:schemeClr w14:val="tx1"/>
                        </w14:solidFill>
                      </w14:textFill>
                      <w14:ligatures w14:val="standardContextual"/>
                    </w:rPr>
                    <w:t>81.671</w:t>
                  </w:r>
                </w:p>
              </w:tc>
              <w:tc>
                <w:tcPr>
                  <w:tcW w:w="771" w:type="pct"/>
                  <w:tcBorders>
                    <w:tl2br w:val="nil"/>
                    <w:tr2bl w:val="nil"/>
                  </w:tcBorders>
                  <w:vAlign w:val="center"/>
                </w:tcPr>
                <w:p w14:paraId="5F84C5D7">
                  <w:pPr>
                    <w:keepNext w:val="0"/>
                    <w:keepLines w:val="0"/>
                    <w:widowControl/>
                    <w:suppressLineNumbers w:val="0"/>
                    <w:overflowPunct w:val="0"/>
                    <w:autoSpaceDE w:val="0"/>
                    <w:autoSpaceDN w:val="0"/>
                    <w:snapToGrid w:val="0"/>
                    <w:jc w:val="center"/>
                    <w:textAlignment w:val="center"/>
                    <w:rPr>
                      <w:rFonts w:hint="default" w:ascii="Times New Roman" w:hAnsi="Times New Roman" w:eastAsia="宋体" w:cs="Times New Roman"/>
                      <w:color w:val="000000" w:themeColor="text1"/>
                      <w:w w:val="100"/>
                      <w:sz w:val="21"/>
                      <w:szCs w:val="21"/>
                      <w:highlight w:val="none"/>
                      <w:lang w:eastAsia="zh-CN"/>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14:ligatures w14:val="standardContextual"/>
                    </w:rPr>
                    <w:t>633</w:t>
                  </w:r>
                </w:p>
              </w:tc>
              <w:tc>
                <w:tcPr>
                  <w:tcW w:w="684" w:type="pct"/>
                  <w:vMerge w:val="continue"/>
                  <w:tcBorders>
                    <w:tl2br w:val="nil"/>
                    <w:tr2bl w:val="nil"/>
                  </w:tcBorders>
                  <w:vAlign w:val="center"/>
                </w:tcPr>
                <w:p w14:paraId="3495C569">
                  <w:pPr>
                    <w:widowControl w:val="0"/>
                    <w:overflowPunct w:val="0"/>
                    <w:autoSpaceDE w:val="0"/>
                    <w:autoSpaceDN w:val="0"/>
                    <w:snapToGrid w:val="0"/>
                    <w:spacing w:before="24" w:after="24"/>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c>
                <w:tcPr>
                  <w:tcW w:w="533" w:type="pct"/>
                  <w:vMerge w:val="continue"/>
                  <w:tcBorders>
                    <w:tl2br w:val="nil"/>
                    <w:tr2bl w:val="nil"/>
                  </w:tcBorders>
                  <w:vAlign w:val="center"/>
                </w:tcPr>
                <w:p w14:paraId="641EF4A8">
                  <w:pPr>
                    <w:widowControl w:val="0"/>
                    <w:overflowPunct w:val="0"/>
                    <w:autoSpaceDE w:val="0"/>
                    <w:autoSpaceDN w:val="0"/>
                    <w:snapToGrid w:val="0"/>
                    <w:spacing w:before="24" w:after="24"/>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c>
                <w:tcPr>
                  <w:tcW w:w="741" w:type="pct"/>
                  <w:vMerge w:val="continue"/>
                  <w:tcBorders>
                    <w:tl2br w:val="nil"/>
                    <w:tr2bl w:val="nil"/>
                  </w:tcBorders>
                  <w:vAlign w:val="center"/>
                </w:tcPr>
                <w:p w14:paraId="11B6FBBD">
                  <w:pPr>
                    <w:widowControl w:val="0"/>
                    <w:overflowPunct w:val="0"/>
                    <w:autoSpaceDE w:val="0"/>
                    <w:autoSpaceDN w:val="0"/>
                    <w:snapToGrid w:val="0"/>
                    <w:spacing w:before="24" w:after="24"/>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r>
            <w:tr w14:paraId="08CD9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5" w:type="pct"/>
                  <w:tcBorders>
                    <w:insideH w:val="single" w:sz="12" w:space="0"/>
                    <w:tl2br w:val="nil"/>
                    <w:tr2bl w:val="nil"/>
                  </w:tcBorders>
                  <w:vAlign w:val="center"/>
                </w:tcPr>
                <w:p w14:paraId="261DB5B2">
                  <w:pPr>
                    <w:widowControl w:val="0"/>
                    <w:numPr>
                      <w:ilvl w:val="0"/>
                      <w:numId w:val="5"/>
                    </w:numPr>
                    <w:overflowPunct w:val="0"/>
                    <w:autoSpaceDE w:val="0"/>
                    <w:autoSpaceDN w:val="0"/>
                    <w:snapToGrid w:val="0"/>
                    <w:spacing w:before="24" w:after="24"/>
                    <w:ind w:firstLineChars="0"/>
                    <w:jc w:val="center"/>
                    <w:rPr>
                      <w:rFonts w:hint="default" w:ascii="Times New Roman" w:hAnsi="Times New Roman" w:eastAsia="宋体" w:cs="Times New Roman"/>
                      <w:color w:val="000000" w:themeColor="text1"/>
                      <w:w w:val="100"/>
                      <w:sz w:val="21"/>
                      <w:szCs w:val="21"/>
                      <w:highlight w:val="none"/>
                      <w14:textFill>
                        <w14:solidFill>
                          <w14:schemeClr w14:val="tx1"/>
                        </w14:solidFill>
                      </w14:textFill>
                      <w14:ligatures w14:val="standardContextual"/>
                    </w:rPr>
                  </w:pPr>
                </w:p>
              </w:tc>
              <w:tc>
                <w:tcPr>
                  <w:tcW w:w="467" w:type="pct"/>
                  <w:vMerge w:val="continue"/>
                  <w:tcBorders>
                    <w:insideH w:val="single" w:sz="12" w:space="0"/>
                    <w:tl2br w:val="nil"/>
                    <w:tr2bl w:val="nil"/>
                  </w:tcBorders>
                  <w:vAlign w:val="center"/>
                </w:tcPr>
                <w:p w14:paraId="5F5C3843">
                  <w:pPr>
                    <w:widowControl w:val="0"/>
                    <w:overflowPunct w:val="0"/>
                    <w:autoSpaceDE w:val="0"/>
                    <w:autoSpaceDN w:val="0"/>
                    <w:snapToGrid w:val="0"/>
                    <w:spacing w:before="24" w:after="24"/>
                    <w:jc w:val="center"/>
                    <w:rPr>
                      <w:rFonts w:hint="default" w:ascii="Times New Roman" w:hAnsi="Times New Roman" w:eastAsia="宋体" w:cs="Times New Roman"/>
                      <w:color w:val="000000" w:themeColor="text1"/>
                      <w:w w:val="100"/>
                      <w:sz w:val="21"/>
                      <w:szCs w:val="21"/>
                      <w:highlight w:val="none"/>
                      <w14:textFill>
                        <w14:solidFill>
                          <w14:schemeClr w14:val="tx1"/>
                        </w14:solidFill>
                      </w14:textFill>
                      <w14:ligatures w14:val="standardContextual"/>
                    </w:rPr>
                  </w:pPr>
                </w:p>
              </w:tc>
              <w:tc>
                <w:tcPr>
                  <w:tcW w:w="786" w:type="pct"/>
                  <w:tcBorders>
                    <w:insideH w:val="single" w:sz="12" w:space="0"/>
                    <w:tl2br w:val="nil"/>
                    <w:tr2bl w:val="nil"/>
                  </w:tcBorders>
                  <w:vAlign w:val="center"/>
                </w:tcPr>
                <w:p w14:paraId="43B5DC2C">
                  <w:pPr>
                    <w:widowControl w:val="0"/>
                    <w:overflowPunct w:val="0"/>
                    <w:autoSpaceDE w:val="0"/>
                    <w:autoSpaceDN w:val="0"/>
                    <w:snapToGrid w:val="0"/>
                    <w:jc w:val="center"/>
                    <w:rPr>
                      <w:rFonts w:hint="default" w:ascii="Times New Roman" w:hAnsi="Times New Roman" w:eastAsia="宋体" w:cs="Times New Roman"/>
                      <w:color w:val="000000" w:themeColor="text1"/>
                      <w:w w:val="100"/>
                      <w:sz w:val="21"/>
                      <w:szCs w:val="21"/>
                      <w:highlight w:val="none"/>
                      <w14:textFill>
                        <w14:solidFill>
                          <w14:schemeClr w14:val="tx1"/>
                        </w14:solidFill>
                      </w14:textFill>
                      <w14:ligatures w14:val="standardContextual"/>
                    </w:rPr>
                  </w:pPr>
                  <w:r>
                    <w:rPr>
                      <w:rFonts w:hint="default" w:ascii="Times New Roman" w:hAnsi="Times New Roman" w:eastAsia="宋体" w:cs="Times New Roman"/>
                      <w:color w:val="000000" w:themeColor="text1"/>
                      <w:w w:val="100"/>
                      <w:sz w:val="21"/>
                      <w:szCs w:val="21"/>
                      <w:highlight w:val="none"/>
                      <w14:textFill>
                        <w14:solidFill>
                          <w14:schemeClr w14:val="tx1"/>
                        </w14:solidFill>
                      </w14:textFill>
                      <w14:ligatures w14:val="standardContextual"/>
                    </w:rPr>
                    <w:t>氮氧化物</w:t>
                  </w:r>
                </w:p>
              </w:tc>
              <w:tc>
                <w:tcPr>
                  <w:tcW w:w="728" w:type="pct"/>
                  <w:tcBorders>
                    <w:insideH w:val="single" w:sz="12" w:space="0"/>
                    <w:tl2br w:val="nil"/>
                    <w:tr2bl w:val="nil"/>
                  </w:tcBorders>
                  <w:vAlign w:val="center"/>
                </w:tcPr>
                <w:p w14:paraId="2788D8AE">
                  <w:pPr>
                    <w:widowControl w:val="0"/>
                    <w:overflowPunct w:val="0"/>
                    <w:autoSpaceDE w:val="0"/>
                    <w:autoSpaceDN w:val="0"/>
                    <w:snapToGrid w:val="0"/>
                    <w:jc w:val="center"/>
                    <w:rPr>
                      <w:rFonts w:hint="default" w:ascii="Times New Roman" w:hAnsi="Times New Roman" w:eastAsia="宋体" w:cs="Times New Roman"/>
                      <w:color w:val="000000" w:themeColor="text1"/>
                      <w:w w:val="100"/>
                      <w:sz w:val="21"/>
                      <w:szCs w:val="21"/>
                      <w:highlight w:val="none"/>
                      <w14:textFill>
                        <w14:solidFill>
                          <w14:schemeClr w14:val="tx1"/>
                        </w14:solidFill>
                      </w14:textFill>
                      <w14:ligatures w14:val="standardContextual"/>
                    </w:rPr>
                  </w:pPr>
                  <w:r>
                    <w:rPr>
                      <w:rFonts w:hint="eastAsia" w:cs="Times New Roman"/>
                      <w:color w:val="000000" w:themeColor="text1"/>
                      <w:sz w:val="21"/>
                      <w:szCs w:val="21"/>
                      <w:highlight w:val="none"/>
                      <w:lang w:eastAsia="zh-CN"/>
                      <w14:textFill>
                        <w14:solidFill>
                          <w14:schemeClr w14:val="tx1"/>
                        </w14:solidFill>
                      </w14:textFill>
                      <w14:ligatures w14:val="standardContextual"/>
                    </w:rPr>
                    <w:t>163.471</w:t>
                  </w:r>
                </w:p>
              </w:tc>
              <w:tc>
                <w:tcPr>
                  <w:tcW w:w="771" w:type="pct"/>
                  <w:tcBorders>
                    <w:insideH w:val="single" w:sz="12" w:space="0"/>
                    <w:tl2br w:val="nil"/>
                    <w:tr2bl w:val="nil"/>
                  </w:tcBorders>
                  <w:vAlign w:val="center"/>
                </w:tcPr>
                <w:p w14:paraId="7280684D">
                  <w:pPr>
                    <w:keepNext w:val="0"/>
                    <w:keepLines w:val="0"/>
                    <w:widowControl/>
                    <w:suppressLineNumbers w:val="0"/>
                    <w:overflowPunct w:val="0"/>
                    <w:autoSpaceDE w:val="0"/>
                    <w:autoSpaceDN w:val="0"/>
                    <w:snapToGrid w:val="0"/>
                    <w:jc w:val="center"/>
                    <w:textAlignment w:val="center"/>
                    <w:rPr>
                      <w:rFonts w:hint="default" w:ascii="Times New Roman" w:hAnsi="Times New Roman" w:eastAsia="宋体" w:cs="Times New Roman"/>
                      <w:color w:val="000000" w:themeColor="text1"/>
                      <w:w w:val="100"/>
                      <w:sz w:val="21"/>
                      <w:szCs w:val="21"/>
                      <w:highlight w:val="none"/>
                      <w:lang w:eastAsia="zh-CN"/>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14:ligatures w14:val="standardContextual"/>
                    </w:rPr>
                    <w:t xml:space="preserve">649 </w:t>
                  </w:r>
                </w:p>
              </w:tc>
              <w:tc>
                <w:tcPr>
                  <w:tcW w:w="684" w:type="pct"/>
                  <w:vMerge w:val="continue"/>
                  <w:tcBorders>
                    <w:insideH w:val="single" w:sz="12" w:space="0"/>
                    <w:tl2br w:val="nil"/>
                    <w:tr2bl w:val="nil"/>
                  </w:tcBorders>
                  <w:vAlign w:val="center"/>
                </w:tcPr>
                <w:p w14:paraId="5733A444">
                  <w:pPr>
                    <w:widowControl w:val="0"/>
                    <w:overflowPunct w:val="0"/>
                    <w:autoSpaceDE w:val="0"/>
                    <w:autoSpaceDN w:val="0"/>
                    <w:snapToGrid w:val="0"/>
                    <w:spacing w:before="24" w:after="24"/>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c>
                <w:tcPr>
                  <w:tcW w:w="533" w:type="pct"/>
                  <w:vMerge w:val="continue"/>
                  <w:tcBorders>
                    <w:insideH w:val="single" w:sz="12" w:space="0"/>
                    <w:tl2br w:val="nil"/>
                    <w:tr2bl w:val="nil"/>
                  </w:tcBorders>
                  <w:vAlign w:val="center"/>
                </w:tcPr>
                <w:p w14:paraId="1208D362">
                  <w:pPr>
                    <w:widowControl w:val="0"/>
                    <w:overflowPunct w:val="0"/>
                    <w:autoSpaceDE w:val="0"/>
                    <w:autoSpaceDN w:val="0"/>
                    <w:snapToGrid w:val="0"/>
                    <w:spacing w:before="24" w:after="24"/>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c>
                <w:tcPr>
                  <w:tcW w:w="741" w:type="pct"/>
                  <w:vMerge w:val="continue"/>
                  <w:tcBorders>
                    <w:insideH w:val="single" w:sz="12" w:space="0"/>
                    <w:tl2br w:val="nil"/>
                    <w:tr2bl w:val="nil"/>
                  </w:tcBorders>
                  <w:vAlign w:val="center"/>
                </w:tcPr>
                <w:p w14:paraId="3A1C806E">
                  <w:pPr>
                    <w:widowControl w:val="0"/>
                    <w:overflowPunct w:val="0"/>
                    <w:autoSpaceDE w:val="0"/>
                    <w:autoSpaceDN w:val="0"/>
                    <w:snapToGrid w:val="0"/>
                    <w:spacing w:before="24" w:after="24"/>
                    <w:jc w:val="cente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r>
          </w:tbl>
          <w:p w14:paraId="38AA53FA">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由表4- 5可知，当DA00</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废气处理设施发生故障时，非正常情况下，污染源DA00</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中颗粒物不能满足《锅炉大气污染物排放标准》(GB13271-2014）限值。因此，为减少废气对周边环境的影响，因此当DA00</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废气处理设施故障时，应及时对处理措施进行维修，保证处理措施的正常运行。</w:t>
            </w:r>
          </w:p>
          <w:p w14:paraId="089A9E9C">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4、废气污染防治措施可行性分析</w:t>
            </w:r>
          </w:p>
          <w:p w14:paraId="24EF45E4">
            <w:pPr>
              <w:pStyle w:val="4"/>
              <w:ind w:firstLine="480"/>
              <w:rPr>
                <w:rFonts w:hint="default" w:ascii="Times New Roman" w:hAnsi="Times New Roman" w:cs="Times New Roman"/>
                <w:color w:val="000000" w:themeColor="text1"/>
                <w:highlight w:val="none"/>
                <w14:textFill>
                  <w14:solidFill>
                    <w14:schemeClr w14:val="tx1"/>
                  </w14:solidFill>
                </w14:textFill>
              </w:rPr>
            </w:pPr>
            <w:bookmarkStart w:id="126" w:name="（1）排气筒高度合理性分析"/>
            <w:r>
              <w:rPr>
                <w:rFonts w:hint="default" w:ascii="Times New Roman" w:hAnsi="Times New Roman" w:cs="Times New Roman"/>
                <w:color w:val="000000" w:themeColor="text1"/>
                <w:highlight w:val="none"/>
                <w14:textFill>
                  <w14:solidFill>
                    <w14:schemeClr w14:val="tx1"/>
                  </w14:solidFill>
                </w14:textFill>
              </w:rPr>
              <w:t>（1）排气筒高度合理性分析</w:t>
            </w:r>
            <w:bookmarkEnd w:id="126"/>
          </w:p>
          <w:p w14:paraId="1FFF4780">
            <w:pPr>
              <w:pStyle w:val="4"/>
              <w:ind w:firstLine="480"/>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根据《锅炉大气污染物排放标准》（GB 13271-2014）可知8t/h对应的烟囱高度为</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5m，还应高出周围200m半径范围的建筑3m以上。</w:t>
            </w:r>
            <w:r>
              <w:rPr>
                <w:rFonts w:hint="eastAsia" w:cs="Times New Roman"/>
                <w:color w:val="000000" w:themeColor="text1"/>
                <w:highlight w:val="none"/>
                <w:u w:val="single"/>
                <w:lang w:val="en-US" w:eastAsia="zh-CN"/>
                <w14:textFill>
                  <w14:solidFill>
                    <w14:schemeClr w14:val="tx1"/>
                  </w14:solidFill>
                </w14:textFill>
              </w:rPr>
              <w:t>据调查，</w:t>
            </w:r>
            <w:r>
              <w:rPr>
                <w:rFonts w:hint="default" w:ascii="Times New Roman" w:hAnsi="Times New Roman" w:cs="Times New Roman"/>
                <w:color w:val="000000" w:themeColor="text1"/>
                <w:highlight w:val="none"/>
                <w:u w:val="single"/>
                <w14:textFill>
                  <w14:solidFill>
                    <w14:schemeClr w14:val="tx1"/>
                  </w14:solidFill>
                </w14:textFill>
              </w:rPr>
              <w:t>项目周围200m范围最高建筑</w:t>
            </w:r>
            <w:r>
              <w:rPr>
                <w:rFonts w:hint="eastAsia" w:cs="Times New Roman"/>
                <w:color w:val="000000" w:themeColor="text1"/>
                <w:highlight w:val="none"/>
                <w:u w:val="single"/>
                <w:lang w:val="en-US" w:eastAsia="zh-CN"/>
                <w14:textFill>
                  <w14:solidFill>
                    <w14:schemeClr w14:val="tx1"/>
                  </w14:solidFill>
                </w14:textFill>
              </w:rPr>
              <w:t>为项目西侧的中国-东盟信息港跨境数据中心，</w:t>
            </w:r>
            <w:r>
              <w:rPr>
                <w:rFonts w:hint="default" w:ascii="Times New Roman" w:hAnsi="Times New Roman" w:cs="Times New Roman"/>
                <w:color w:val="000000" w:themeColor="text1"/>
                <w:highlight w:val="none"/>
                <w:u w:val="single"/>
                <w14:textFill>
                  <w14:solidFill>
                    <w14:schemeClr w14:val="tx1"/>
                  </w14:solidFill>
                </w14:textFill>
              </w:rPr>
              <w:t>高度约为</w:t>
            </w:r>
            <w:r>
              <w:rPr>
                <w:rFonts w:hint="default" w:ascii="Times New Roman" w:hAnsi="Times New Roman" w:cs="Times New Roman"/>
                <w:color w:val="000000" w:themeColor="text1"/>
                <w:highlight w:val="none"/>
                <w:u w:val="single"/>
                <w:lang w:val="en-US" w:eastAsia="zh-CN"/>
                <w14:textFill>
                  <w14:solidFill>
                    <w14:schemeClr w14:val="tx1"/>
                  </w14:solidFill>
                </w14:textFill>
              </w:rPr>
              <w:t>30</w:t>
            </w:r>
            <w:r>
              <w:rPr>
                <w:rFonts w:hint="default" w:ascii="Times New Roman" w:hAnsi="Times New Roman" w:cs="Times New Roman"/>
                <w:color w:val="000000" w:themeColor="text1"/>
                <w:highlight w:val="none"/>
                <w:u w:val="single"/>
                <w14:textFill>
                  <w14:solidFill>
                    <w14:schemeClr w14:val="tx1"/>
                  </w14:solidFill>
                </w14:textFill>
              </w:rPr>
              <w:t>m，</w:t>
            </w:r>
            <w:r>
              <w:rPr>
                <w:rFonts w:hint="eastAsia" w:cs="Times New Roman"/>
                <w:color w:val="000000" w:themeColor="text1"/>
                <w:highlight w:val="none"/>
                <w:u w:val="single"/>
                <w:lang w:val="en-US" w:eastAsia="zh-CN"/>
                <w14:textFill>
                  <w14:solidFill>
                    <w14:schemeClr w14:val="tx1"/>
                  </w14:solidFill>
                </w14:textFill>
              </w:rPr>
              <w:t>本</w:t>
            </w:r>
            <w:r>
              <w:rPr>
                <w:rFonts w:hint="default" w:ascii="Times New Roman" w:hAnsi="Times New Roman" w:cs="Times New Roman"/>
                <w:color w:val="000000" w:themeColor="text1"/>
                <w:highlight w:val="none"/>
                <w:u w:val="single"/>
                <w14:textFill>
                  <w14:solidFill>
                    <w14:schemeClr w14:val="tx1"/>
                  </w14:solidFill>
                </w14:textFill>
              </w:rPr>
              <w:t>项目锅炉烟囱高度为</w:t>
            </w:r>
            <w:r>
              <w:rPr>
                <w:rFonts w:hint="default" w:ascii="Times New Roman" w:hAnsi="Times New Roman" w:cs="Times New Roman"/>
                <w:color w:val="000000" w:themeColor="text1"/>
                <w:highlight w:val="none"/>
                <w:u w:val="single"/>
                <w:lang w:val="en-US" w:eastAsia="zh-CN"/>
                <w14:textFill>
                  <w14:solidFill>
                    <w14:schemeClr w14:val="tx1"/>
                  </w14:solidFill>
                </w14:textFill>
              </w:rPr>
              <w:t>35</w:t>
            </w:r>
            <w:r>
              <w:rPr>
                <w:rFonts w:hint="default" w:ascii="Times New Roman" w:hAnsi="Times New Roman" w:cs="Times New Roman"/>
                <w:color w:val="000000" w:themeColor="text1"/>
                <w:highlight w:val="none"/>
                <w:u w:val="single"/>
                <w14:textFill>
                  <w14:solidFill>
                    <w14:schemeClr w14:val="tx1"/>
                  </w14:solidFill>
                </w14:textFill>
              </w:rPr>
              <w:t>m，能满足《锅炉大气污染物排放标准》（GB 13271-2014）烟囱高度要求。</w:t>
            </w:r>
          </w:p>
          <w:p w14:paraId="5C121DCE">
            <w:pPr>
              <w:pStyle w:val="4"/>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（2）低氮燃烧</w:t>
            </w:r>
            <w:r>
              <w:rPr>
                <w:rFonts w:hint="default" w:ascii="Times New Roman" w:hAnsi="Times New Roman" w:cs="Times New Roman"/>
                <w:color w:val="000000" w:themeColor="text1"/>
                <w:highlight w:val="none"/>
                <w:lang w:eastAsia="zh-CN"/>
                <w14:textFill>
                  <w14:solidFill>
                    <w14:schemeClr w14:val="tx1"/>
                  </w14:solidFill>
                </w14:textFill>
              </w:rPr>
              <w:t>+含陶瓷多管除尘器+布袋除尘器</w:t>
            </w:r>
          </w:p>
          <w:p w14:paraId="6623C74C">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陶瓷多管除尘器由多个陶瓷旋风子组成。含尘气体进入除尘器后，在旋风子内高速旋转，产生离心力。在离心力作用下，粉尘被甩向旋风子的内壁，并沿内壁向下滑落至灰斗，而净化后的气体则从旋风子的中心管排出，从而实现气固分离。布袋除尘器利用纤维滤袋对废气中的粉尘进行过滤</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含尘废气通过滤袋时，粉尘被截留在滤袋表面，净化后的气体排出</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其除尘效率高，可达99%以上</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废气经</w:t>
            </w:r>
            <w:r>
              <w:rPr>
                <w:rFonts w:hint="default" w:ascii="Times New Roman" w:hAnsi="Times New Roman" w:cs="Times New Roman"/>
                <w:color w:val="000000" w:themeColor="text1"/>
                <w:highlight w:val="none"/>
                <w:lang w:val="en-US" w:eastAsia="zh-CN"/>
                <w14:textFill>
                  <w14:solidFill>
                    <w14:schemeClr w14:val="tx1"/>
                  </w14:solidFill>
                </w14:textFill>
              </w:rPr>
              <w:t>双数</w:t>
            </w:r>
            <w:r>
              <w:rPr>
                <w:rFonts w:hint="default" w:ascii="Times New Roman" w:hAnsi="Times New Roman" w:cs="Times New Roman"/>
                <w:color w:val="000000" w:themeColor="text1"/>
                <w:highlight w:val="none"/>
                <w14:textFill>
                  <w14:solidFill>
                    <w14:schemeClr w14:val="tx1"/>
                  </w14:solidFill>
                </w14:textFill>
              </w:rPr>
              <w:t>处理后，污染物能满足《锅炉大气污染物排放标准》（GB 13271-2014）表2新建燃煤锅炉大气污染物排放浓度限值。</w:t>
            </w:r>
          </w:p>
          <w:p w14:paraId="052CE10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根据《排污许可证申请与核发技术规范-锅炉》（HJ953-2018）中锅炉烟气污染防治可行技术的要求：燃生物质锅炉颗粒物防治可行技术为旋风除尘和袋式除尘组合技术，氮氧化物防治可行技术</w:t>
            </w:r>
            <w:r>
              <w:rPr>
                <w:rFonts w:hint="default" w:ascii="Times New Roman" w:hAnsi="Times New Roman" w:cs="Times New Roman"/>
                <w:color w:val="000000" w:themeColor="text1"/>
                <w:highlight w:val="none"/>
                <w:lang w:val="en-US" w:eastAsia="zh-CN"/>
                <w14:textFill>
                  <w14:solidFill>
                    <w14:schemeClr w14:val="tx1"/>
                  </w14:solidFill>
                </w14:textFill>
              </w:rPr>
              <w:t>包括</w:t>
            </w:r>
            <w:r>
              <w:rPr>
                <w:rFonts w:hint="default" w:ascii="Times New Roman" w:hAnsi="Times New Roman" w:cs="Times New Roman"/>
                <w:color w:val="000000" w:themeColor="text1"/>
                <w:highlight w:val="none"/>
                <w14:textFill>
                  <w14:solidFill>
                    <w14:schemeClr w14:val="tx1"/>
                  </w14:solidFill>
                </w14:textFill>
              </w:rPr>
              <w:t>低氮燃烧技术、低氮+SNCR脱硝技术、低氮+SCR脱硝技术、SNCR脱硝技术、SCR脱硝技术等。本项目锅炉废气处理设备为“</w:t>
            </w:r>
            <w:bookmarkStart w:id="127" w:name="OLE_LINK239"/>
            <w:r>
              <w:rPr>
                <w:rFonts w:hint="default" w:ascii="Times New Roman" w:hAnsi="Times New Roman" w:cs="Times New Roman"/>
                <w:color w:val="000000" w:themeColor="text1"/>
                <w:highlight w:val="none"/>
                <w14:textFill>
                  <w14:solidFill>
                    <w14:schemeClr w14:val="tx1"/>
                  </w14:solidFill>
                </w14:textFill>
              </w:rPr>
              <w:t>低氮燃烧</w:t>
            </w:r>
            <w:bookmarkEnd w:id="127"/>
            <w:r>
              <w:rPr>
                <w:rFonts w:hint="default" w:ascii="Times New Roman" w:hAnsi="Times New Roman" w:cs="Times New Roman"/>
                <w:color w:val="000000" w:themeColor="text1"/>
                <w:highlight w:val="none"/>
                <w:lang w:eastAsia="zh-CN"/>
                <w14:textFill>
                  <w14:solidFill>
                    <w14:schemeClr w14:val="tx1"/>
                  </w14:solidFill>
                </w14:textFill>
              </w:rPr>
              <w:t>+含陶瓷多管除尘器+布袋除尘器</w:t>
            </w:r>
            <w:r>
              <w:rPr>
                <w:rFonts w:hint="default" w:ascii="Times New Roman" w:hAnsi="Times New Roman" w:cs="Times New Roman"/>
                <w:color w:val="000000" w:themeColor="text1"/>
                <w:highlight w:val="none"/>
                <w14:textFill>
                  <w14:solidFill>
                    <w14:schemeClr w14:val="tx1"/>
                  </w14:solidFill>
                </w14:textFill>
              </w:rPr>
              <w:t>”，属于该技术规范可行技术。</w:t>
            </w:r>
          </w:p>
          <w:p w14:paraId="0B0F57AC">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5、自行监测要求</w:t>
            </w:r>
          </w:p>
          <w:p w14:paraId="318E0DC2">
            <w:pPr>
              <w:pStyle w:val="4"/>
              <w:ind w:firstLine="480"/>
              <w:rPr>
                <w:rFonts w:hint="default" w:ascii="Times New Roman" w:hAnsi="Times New Roman" w:cs="Times New Roman"/>
                <w:color w:val="000000" w:themeColor="text1"/>
                <w:highlight w:val="none"/>
                <w14:textFill>
                  <w14:solidFill>
                    <w14:schemeClr w14:val="tx1"/>
                  </w14:solidFill>
                </w14:textFill>
              </w:rPr>
            </w:pPr>
            <w:bookmarkStart w:id="128" w:name="OLE_LINK251"/>
            <w:r>
              <w:rPr>
                <w:rFonts w:hint="default" w:ascii="Times New Roman" w:hAnsi="Times New Roman" w:cs="Times New Roman"/>
                <w:color w:val="000000" w:themeColor="text1"/>
                <w:highlight w:val="none"/>
                <w14:textFill>
                  <w14:solidFill>
                    <w14:schemeClr w14:val="tx1"/>
                  </w14:solidFill>
                </w14:textFill>
              </w:rPr>
              <w:t>根据《排污许可证申请与核发技术规范 锅炉》(HJ 953-2018)、《</w:t>
            </w:r>
            <w:bookmarkStart w:id="129" w:name="OLE_LINK250"/>
            <w:r>
              <w:rPr>
                <w:rFonts w:hint="default" w:ascii="Times New Roman" w:hAnsi="Times New Roman" w:cs="Times New Roman"/>
                <w:color w:val="000000" w:themeColor="text1"/>
                <w:highlight w:val="none"/>
                <w14:textFill>
                  <w14:solidFill>
                    <w14:schemeClr w14:val="tx1"/>
                  </w14:solidFill>
                </w14:textFill>
              </w:rPr>
              <w:t>排污单位自行监测技术指南 火力发电及锅炉》(HJ820-2017)</w:t>
            </w:r>
            <w:bookmarkEnd w:id="129"/>
            <w:r>
              <w:rPr>
                <w:rFonts w:hint="default" w:ascii="Times New Roman" w:hAnsi="Times New Roman" w:cs="Times New Roman"/>
                <w:color w:val="000000" w:themeColor="text1"/>
                <w:highlight w:val="none"/>
                <w14:textFill>
                  <w14:solidFill>
                    <w14:schemeClr w14:val="tx1"/>
                  </w14:solidFill>
                </w14:textFill>
              </w:rPr>
              <w:t>等要求，制定以下自行监测计划。</w:t>
            </w:r>
            <w:bookmarkEnd w:id="128"/>
          </w:p>
          <w:p w14:paraId="10DF96E1">
            <w:pPr>
              <w:pStyle w:val="34"/>
              <w:rPr>
                <w:rFonts w:hint="default" w:ascii="Times New Roman" w:hAnsi="Times New Roman" w:cs="Times New Roman"/>
                <w:color w:val="000000" w:themeColor="text1"/>
                <w:highlight w:val="none"/>
                <w14:textFill>
                  <w14:solidFill>
                    <w14:schemeClr w14:val="tx1"/>
                  </w14:solidFill>
                </w14:textFill>
              </w:rPr>
            </w:pPr>
            <w:bookmarkStart w:id="130" w:name="_Ref192717133"/>
            <w:r>
              <w:rPr>
                <w:rFonts w:hint="default" w:ascii="Times New Roman" w:hAnsi="Times New Roman" w:cs="Times New Roman"/>
                <w:color w:val="000000" w:themeColor="text1"/>
                <w:highlight w:val="none"/>
                <w14:textFill>
                  <w14:solidFill>
                    <w14:schemeClr w14:val="tx1"/>
                  </w14:solidFill>
                </w14:textFill>
              </w:rPr>
              <w:t xml:space="preserve">表4- </w:t>
            </w:r>
            <w:r>
              <w:rPr>
                <w:rFonts w:hint="default" w:ascii="Times New Roman" w:hAnsi="Times New Roman" w:cs="Times New Roman"/>
                <w:color w:val="000000" w:themeColor="text1"/>
                <w:highlight w:val="none"/>
                <w:lang w:val="en-US" w:eastAsia="zh-CN"/>
                <w14:textFill>
                  <w14:solidFill>
                    <w14:schemeClr w14:val="tx1"/>
                  </w14:solidFill>
                </w14:textFill>
              </w:rPr>
              <w:t>9</w:t>
            </w:r>
            <w:r>
              <w:rPr>
                <w:rFonts w:hint="default" w:ascii="Times New Roman" w:hAnsi="Times New Roman" w:cs="Times New Roman"/>
                <w:color w:val="000000" w:themeColor="text1"/>
                <w:highlight w:val="none"/>
                <w14:textFill>
                  <w14:solidFill>
                    <w14:schemeClr w14:val="tx1"/>
                  </w14:solidFill>
                </w14:textFill>
              </w:rPr>
              <w:t>：废气监测计划</w:t>
            </w:r>
            <w:bookmarkEnd w:id="130"/>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27"/>
              <w:gridCol w:w="4062"/>
              <w:gridCol w:w="1662"/>
              <w:gridCol w:w="1290"/>
            </w:tblGrid>
            <w:tr w14:paraId="352B2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5" w:type="pct"/>
                  <w:tcBorders>
                    <w:insideH w:val="single" w:sz="12" w:space="0"/>
                    <w:insideV w:val="single" w:sz="4" w:space="0"/>
                    <w:tl2br w:val="nil"/>
                    <w:tr2bl w:val="nil"/>
                  </w:tcBorders>
                  <w:vAlign w:val="center"/>
                </w:tcPr>
                <w:p w14:paraId="7AA3E26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排放形式</w:t>
                  </w:r>
                </w:p>
              </w:tc>
              <w:tc>
                <w:tcPr>
                  <w:tcW w:w="2405" w:type="pct"/>
                  <w:tcBorders>
                    <w:insideH w:val="single" w:sz="12" w:space="0"/>
                    <w:insideV w:val="single" w:sz="4" w:space="0"/>
                    <w:tl2br w:val="nil"/>
                    <w:tr2bl w:val="nil"/>
                  </w:tcBorders>
                  <w:vAlign w:val="center"/>
                </w:tcPr>
                <w:p w14:paraId="11E9B27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监测项目</w:t>
                  </w:r>
                </w:p>
              </w:tc>
              <w:tc>
                <w:tcPr>
                  <w:tcW w:w="984" w:type="pct"/>
                  <w:tcBorders>
                    <w:insideH w:val="single" w:sz="12" w:space="0"/>
                    <w:insideV w:val="single" w:sz="4" w:space="0"/>
                    <w:tl2br w:val="nil"/>
                    <w:tr2bl w:val="nil"/>
                  </w:tcBorders>
                  <w:vAlign w:val="center"/>
                </w:tcPr>
                <w:p w14:paraId="157A29E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监测点位</w:t>
                  </w:r>
                </w:p>
              </w:tc>
              <w:tc>
                <w:tcPr>
                  <w:tcW w:w="764" w:type="pct"/>
                  <w:tcBorders>
                    <w:insideH w:val="single" w:sz="12" w:space="0"/>
                    <w:insideV w:val="single" w:sz="4" w:space="0"/>
                    <w:tl2br w:val="nil"/>
                    <w:tr2bl w:val="nil"/>
                  </w:tcBorders>
                  <w:vAlign w:val="center"/>
                </w:tcPr>
                <w:p w14:paraId="708DF91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监测频次</w:t>
                  </w:r>
                </w:p>
              </w:tc>
            </w:tr>
            <w:tr w14:paraId="79C8EA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45" w:type="pct"/>
                  <w:tcBorders>
                    <w:tl2br w:val="nil"/>
                    <w:tr2bl w:val="nil"/>
                  </w:tcBorders>
                  <w:vAlign w:val="center"/>
                </w:tcPr>
                <w:p w14:paraId="3030C5A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有组织</w:t>
                  </w:r>
                </w:p>
              </w:tc>
              <w:tc>
                <w:tcPr>
                  <w:tcW w:w="2405" w:type="pct"/>
                  <w:tcBorders>
                    <w:tl2br w:val="nil"/>
                    <w:tr2bl w:val="nil"/>
                  </w:tcBorders>
                  <w:vAlign w:val="center"/>
                </w:tcPr>
                <w:p w14:paraId="7C601C5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颗粒物、二氧化硫、氮氧化物</w:t>
                  </w: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w:t>
                  </w:r>
                  <w:r>
                    <w:rPr>
                      <w:rFonts w:hint="default" w:ascii="Times New Roman" w:hAnsi="Times New Roman" w:cs="Times New Roman"/>
                      <w:color w:val="000000" w:themeColor="text1"/>
                      <w:highlight w:val="none"/>
                      <w14:textFill>
                        <w14:solidFill>
                          <w14:schemeClr w14:val="tx1"/>
                        </w14:solidFill>
                      </w14:textFill>
                      <w14:ligatures w14:val="standardContextual"/>
                    </w:rPr>
                    <w:t>烟气黑度</w:t>
                  </w:r>
                </w:p>
              </w:tc>
              <w:tc>
                <w:tcPr>
                  <w:tcW w:w="984" w:type="pct"/>
                  <w:tcBorders>
                    <w:tl2br w:val="nil"/>
                    <w:tr2bl w:val="nil"/>
                  </w:tcBorders>
                  <w:vAlign w:val="center"/>
                </w:tcPr>
                <w:p w14:paraId="4B46CE98">
                  <w:pPr>
                    <w:widowControl w:val="0"/>
                    <w:overflowPunct w:val="0"/>
                    <w:autoSpaceDE w:val="0"/>
                    <w:autoSpaceDN w:val="0"/>
                    <w:snapToGrid w:val="0"/>
                    <w:jc w:val="center"/>
                    <w:rPr>
                      <w:rFonts w:hint="default" w:ascii="Times New Roman" w:hAnsi="Times New Roman" w:cs="Times New Roman" w:eastAsiaTheme="minorEastAsia"/>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eastAsiaTheme="minorEastAsia"/>
                      <w:color w:val="000000" w:themeColor="text1"/>
                      <w:highlight w:val="none"/>
                      <w14:textFill>
                        <w14:solidFill>
                          <w14:schemeClr w14:val="tx1"/>
                        </w14:solidFill>
                      </w14:textFill>
                      <w14:ligatures w14:val="standardContextual"/>
                    </w:rPr>
                    <w:t>DA00</w:t>
                  </w:r>
                  <w:r>
                    <w:rPr>
                      <w:rFonts w:hint="default" w:ascii="Times New Roman" w:hAnsi="Times New Roman" w:cs="Times New Roman" w:eastAsiaTheme="minorEastAsia"/>
                      <w:color w:val="000000" w:themeColor="text1"/>
                      <w:highlight w:val="none"/>
                      <w:lang w:val="en-US" w:eastAsia="zh-CN"/>
                      <w14:textFill>
                        <w14:solidFill>
                          <w14:schemeClr w14:val="tx1"/>
                        </w14:solidFill>
                      </w14:textFill>
                      <w14:ligatures w14:val="standardContextual"/>
                    </w:rPr>
                    <w:t>4</w:t>
                  </w:r>
                </w:p>
              </w:tc>
              <w:tc>
                <w:tcPr>
                  <w:tcW w:w="764" w:type="pct"/>
                  <w:tcBorders>
                    <w:tl2br w:val="nil"/>
                    <w:tr2bl w:val="nil"/>
                  </w:tcBorders>
                  <w:vAlign w:val="center"/>
                </w:tcPr>
                <w:p w14:paraId="32092A9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1次/</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月</w:t>
                  </w:r>
                </w:p>
              </w:tc>
            </w:tr>
          </w:tbl>
          <w:p w14:paraId="3289E421">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6、大气环境影响评价结论</w:t>
            </w:r>
          </w:p>
          <w:p w14:paraId="6C4C7FE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本项目所在区域为达标区，厂界外500米范围内环境空气保护目标</w:t>
            </w:r>
            <w:r>
              <w:rPr>
                <w:rFonts w:hint="default" w:ascii="Times New Roman" w:hAnsi="Times New Roman" w:cs="Times New Roman"/>
                <w:color w:val="000000" w:themeColor="text1"/>
                <w:highlight w:val="none"/>
                <w:lang w:val="en-US" w:eastAsia="zh-CN"/>
                <w14:textFill>
                  <w14:solidFill>
                    <w14:schemeClr w14:val="tx1"/>
                  </w14:solidFill>
                </w14:textFill>
              </w:rPr>
              <w:t>为独连车村，距离本项目东侧约240m</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本项目</w:t>
            </w:r>
            <w:r>
              <w:rPr>
                <w:rFonts w:hint="default" w:ascii="Times New Roman" w:hAnsi="Times New Roman" w:cs="Times New Roman"/>
                <w:color w:val="000000" w:themeColor="text1"/>
                <w:highlight w:val="none"/>
                <w14:textFill>
                  <w14:solidFill>
                    <w14:schemeClr w14:val="tx1"/>
                  </w14:solidFill>
                </w14:textFill>
              </w:rPr>
              <w:t>生产废气主要为生物质锅炉燃烧废气</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本项目运营期间，生物质蒸汽锅炉采用成型生物质燃料作为燃料，项目生物质蒸汽锅炉烟气经“低氮燃烧</w:t>
            </w:r>
            <w:r>
              <w:rPr>
                <w:rFonts w:hint="default" w:ascii="Times New Roman" w:hAnsi="Times New Roman" w:cs="Times New Roman"/>
                <w:color w:val="000000" w:themeColor="text1"/>
                <w:highlight w:val="none"/>
                <w:lang w:eastAsia="zh-CN"/>
                <w14:textFill>
                  <w14:solidFill>
                    <w14:schemeClr w14:val="tx1"/>
                  </w14:solidFill>
                </w14:textFill>
              </w:rPr>
              <w:t>+含陶瓷多管除尘器+布袋除尘器</w:t>
            </w:r>
            <w:r>
              <w:rPr>
                <w:rFonts w:hint="default" w:ascii="Times New Roman" w:hAnsi="Times New Roman" w:cs="Times New Roman"/>
                <w:color w:val="000000" w:themeColor="text1"/>
                <w:highlight w:val="none"/>
                <w14:textFill>
                  <w14:solidFill>
                    <w14:schemeClr w14:val="tx1"/>
                  </w14:solidFill>
                </w14:textFill>
              </w:rPr>
              <w:t>”处理后通过1根</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5m高烟囱排放，氮氧化物、二氧化硫、颗粒物排放浓度均满足《锅炉大气污染物排放标准》（GB13271-2014）表2</w:t>
            </w:r>
            <w:r>
              <w:rPr>
                <w:rFonts w:hint="default" w:ascii="Times New Roman" w:hAnsi="Times New Roman" w:cs="Times New Roman"/>
                <w:color w:val="000000" w:themeColor="text1"/>
                <w:highlight w:val="none"/>
                <w:lang w:val="en-US" w:eastAsia="zh-CN"/>
                <w14:textFill>
                  <w14:solidFill>
                    <w14:schemeClr w14:val="tx1"/>
                  </w14:solidFill>
                </w14:textFill>
              </w:rPr>
              <w:t>燃煤</w:t>
            </w:r>
            <w:r>
              <w:rPr>
                <w:rFonts w:hint="default" w:ascii="Times New Roman" w:hAnsi="Times New Roman" w:cs="Times New Roman"/>
                <w:color w:val="000000" w:themeColor="text1"/>
                <w:highlight w:val="none"/>
                <w14:textFill>
                  <w14:solidFill>
                    <w14:schemeClr w14:val="tx1"/>
                  </w14:solidFill>
                </w14:textFill>
              </w:rPr>
              <w:t>锅炉大气污染物排放浓度限值。项目在采取上述措施并确保环保设施正常运行后，项目运营期产生的废气对周边环境影响不大。</w:t>
            </w:r>
          </w:p>
          <w:p w14:paraId="1DC3D370">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二、废水</w:t>
            </w:r>
          </w:p>
          <w:p w14:paraId="4B64CA79">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1、废水产生及治理情况</w:t>
            </w:r>
          </w:p>
          <w:p w14:paraId="4D25309C">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根据建设项目工程分析章节水平衡分析可知：项目</w:t>
            </w:r>
            <w:bookmarkStart w:id="131" w:name="OLE_LINK247"/>
            <w:r>
              <w:rPr>
                <w:rFonts w:hint="default" w:ascii="Times New Roman" w:hAnsi="Times New Roman" w:cs="Times New Roman"/>
                <w:color w:val="000000" w:themeColor="text1"/>
                <w:highlight w:val="none"/>
                <w14:textFill>
                  <w14:solidFill>
                    <w14:schemeClr w14:val="tx1"/>
                  </w14:solidFill>
                </w14:textFill>
              </w:rPr>
              <w:t>运营期主要的废水污染为</w:t>
            </w:r>
            <w:bookmarkStart w:id="132" w:name="OLE_LINK276"/>
            <w:bookmarkStart w:id="133" w:name="OLE_LINK303"/>
            <w:r>
              <w:rPr>
                <w:rFonts w:hint="default" w:ascii="Times New Roman" w:hAnsi="Times New Roman" w:cs="Times New Roman"/>
                <w:color w:val="000000" w:themeColor="text1"/>
                <w:highlight w:val="none"/>
                <w14:textFill>
                  <w14:solidFill>
                    <w14:schemeClr w14:val="tx1"/>
                  </w14:solidFill>
                </w14:textFill>
              </w:rPr>
              <w:t>W1软水制备废水</w:t>
            </w:r>
            <w:bookmarkEnd w:id="132"/>
            <w:bookmarkEnd w:id="133"/>
            <w:r>
              <w:rPr>
                <w:rFonts w:hint="default" w:ascii="Times New Roman" w:hAnsi="Times New Roman" w:cs="Times New Roman"/>
                <w:color w:val="000000" w:themeColor="text1"/>
                <w:highlight w:val="none"/>
                <w14:textFill>
                  <w14:solidFill>
                    <w14:schemeClr w14:val="tx1"/>
                  </w14:solidFill>
                </w14:textFill>
              </w:rPr>
              <w:t>、W2锅炉排污水。</w:t>
            </w:r>
            <w:bookmarkEnd w:id="131"/>
          </w:p>
          <w:p w14:paraId="24625A67">
            <w:pPr>
              <w:pStyle w:val="4"/>
              <w:ind w:firstLine="480"/>
              <w:rPr>
                <w:rFonts w:hint="default" w:ascii="Times New Roman" w:hAnsi="Times New Roman" w:eastAsia="宋体" w:cs="Times New Roman"/>
                <w:color w:val="000000" w:themeColor="text1"/>
                <w:highlight w:val="none"/>
                <w:u w:val="singl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根据水平衡分析，</w:t>
            </w:r>
            <w:r>
              <w:rPr>
                <w:rFonts w:hint="default" w:ascii="Times New Roman" w:hAnsi="Times New Roman" w:cs="Times New Roman"/>
                <w:color w:val="000000" w:themeColor="text1"/>
                <w:highlight w:val="none"/>
                <w:lang w:val="en-US" w:eastAsia="zh-CN"/>
                <w14:textFill>
                  <w14:solidFill>
                    <w14:schemeClr w14:val="tx1"/>
                  </w14:solidFill>
                </w14:textFill>
              </w:rPr>
              <w:t>本</w:t>
            </w:r>
            <w:r>
              <w:rPr>
                <w:rFonts w:hint="default" w:ascii="Times New Roman" w:hAnsi="Times New Roman" w:cs="Times New Roman"/>
                <w:color w:val="000000" w:themeColor="text1"/>
                <w:highlight w:val="none"/>
                <w14:textFill>
                  <w14:solidFill>
                    <w14:schemeClr w14:val="tx1"/>
                  </w14:solidFill>
                </w14:textFill>
              </w:rPr>
              <w:t>项目</w:t>
            </w:r>
            <w:bookmarkStart w:id="134" w:name="OLE_LINK8"/>
            <w:r>
              <w:rPr>
                <w:rFonts w:hint="default" w:ascii="Times New Roman" w:hAnsi="Times New Roman" w:cs="Times New Roman"/>
                <w:color w:val="000000" w:themeColor="text1"/>
                <w:highlight w:val="none"/>
                <w14:textFill>
                  <w14:solidFill>
                    <w14:schemeClr w14:val="tx1"/>
                  </w14:solidFill>
                </w14:textFill>
              </w:rPr>
              <w:t>W1软水制备废水产生量为</w:t>
            </w:r>
            <w:r>
              <w:rPr>
                <w:rFonts w:hint="default" w:ascii="Times New Roman" w:hAnsi="Times New Roman" w:cs="Times New Roman"/>
                <w:color w:val="000000" w:themeColor="text1"/>
                <w:highlight w:val="none"/>
                <w:lang w:eastAsia="zh-CN"/>
                <w14:textFill>
                  <w14:solidFill>
                    <w14:schemeClr w14:val="tx1"/>
                  </w14:solidFill>
                </w14:textFill>
              </w:rPr>
              <w:t>19204</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/a，W2锅炉排污水量12.00m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/a，生产废水合计总量为</w:t>
            </w:r>
            <w:r>
              <w:rPr>
                <w:rFonts w:hint="default" w:ascii="Times New Roman" w:hAnsi="Times New Roman" w:cs="Times New Roman"/>
                <w:color w:val="000000" w:themeColor="text1"/>
                <w:highlight w:val="none"/>
                <w:lang w:val="en-US" w:eastAsia="zh-CN"/>
                <w14:textFill>
                  <w14:solidFill>
                    <w14:schemeClr w14:val="tx1"/>
                  </w14:solidFill>
                </w14:textFill>
              </w:rPr>
              <w:t>19216</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w:t>
            </w:r>
            <w:bookmarkEnd w:id="134"/>
            <w:r>
              <w:rPr>
                <w:rFonts w:hint="default" w:ascii="Times New Roman" w:hAnsi="Times New Roman" w:cs="Times New Roman"/>
                <w:color w:val="000000" w:themeColor="text1"/>
                <w:highlight w:val="none"/>
                <w14:textFill>
                  <w14:solidFill>
                    <w14:schemeClr w14:val="tx1"/>
                  </w14:solidFill>
                </w14:textFill>
              </w:rPr>
              <w:t>生产废水</w:t>
            </w:r>
            <w:bookmarkStart w:id="135" w:name="OLE_LINK15"/>
            <w:r>
              <w:rPr>
                <w:rFonts w:hint="default" w:ascii="Times New Roman" w:hAnsi="Times New Roman" w:cs="Times New Roman"/>
                <w:color w:val="000000" w:themeColor="text1"/>
                <w:highlight w:val="none"/>
                <w14:textFill>
                  <w14:solidFill>
                    <w14:schemeClr w14:val="tx1"/>
                  </w14:solidFill>
                </w14:textFill>
              </w:rPr>
              <w:t>直接经园区污水管网进入大榄坪污水处理厂处理</w:t>
            </w:r>
            <w:bookmarkEnd w:id="135"/>
            <w:r>
              <w:rPr>
                <w:rFonts w:hint="default" w:ascii="Times New Roman" w:hAnsi="Times New Roman" w:cs="Times New Roman"/>
                <w:color w:val="000000" w:themeColor="text1"/>
                <w:highlight w:val="none"/>
                <w:lang w:val="en-US" w:eastAsia="zh-CN"/>
                <w14:textFill>
                  <w14:solidFill>
                    <w14:schemeClr w14:val="tx1"/>
                  </w14:solidFill>
                </w14:textFill>
              </w:rPr>
              <w:t>达标后外排</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废水污染物浓度中COD、氨氮、总磷参照</w:t>
            </w:r>
            <w:r>
              <w:rPr>
                <w:rFonts w:hint="eastAsia" w:cs="Times New Roman"/>
                <w:color w:val="000000" w:themeColor="text1"/>
                <w:highlight w:val="none"/>
                <w:u w:val="single"/>
                <w:lang w:val="en-US" w:eastAsia="zh-CN"/>
                <w14:textFill>
                  <w14:solidFill>
                    <w14:schemeClr w14:val="tx1"/>
                  </w14:solidFill>
                </w14:textFill>
              </w:rPr>
              <w:t>现有项目废水污染物监测排放浓度计算，现有项目废水浓度依据2024年8月6日《广西中马投控分布式能源有限公司第三季度自行检测项目在线比对检测》报告编号：HQHJ24071833-3（详见附件13：在线比对检测报告（3）废水2024度3季度自行检测报告）日均浓度值：</w:t>
            </w: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14:ligatures w14:val="standardContextual"/>
              </w:rPr>
              <w:t>COD</w:t>
            </w:r>
            <w:r>
              <w:rPr>
                <w:rFonts w:hint="default"/>
                <w:color w:val="000000" w:themeColor="text1"/>
                <w:highlight w:val="none"/>
                <w:u w:val="single"/>
                <w:lang w:val="en-US" w:eastAsia="zh-CN"/>
                <w14:textFill>
                  <w14:solidFill>
                    <w14:schemeClr w14:val="tx1"/>
                  </w14:solidFill>
                </w14:textFill>
                <w14:ligatures w14:val="standardContextual"/>
              </w:rPr>
              <w:t>16.0</w:t>
            </w:r>
            <w:r>
              <w:rPr>
                <w:rFonts w:hint="default" w:ascii="Times New Roman" w:hAnsi="Times New Roman" w:eastAsia="宋体" w:cs="Times New Roman"/>
                <w:b w:val="0"/>
                <w:bCs/>
                <w:i w:val="0"/>
                <w:color w:val="000000" w:themeColor="text1"/>
                <w:sz w:val="21"/>
                <w:szCs w:val="21"/>
                <w:highlight w:val="none"/>
                <w:u w:val="single"/>
                <w14:textFill>
                  <w14:solidFill>
                    <w14:schemeClr w14:val="tx1"/>
                  </w14:solidFill>
                </w14:textFill>
                <w14:ligatures w14:val="standardContextual"/>
              </w:rPr>
              <w:t>mg/L</w:t>
            </w:r>
            <w:r>
              <w:rPr>
                <w:rFonts w:hint="eastAsia" w:cs="Times New Roman"/>
                <w:b/>
                <w:i w:val="0"/>
                <w:color w:val="000000" w:themeColor="text1"/>
                <w:sz w:val="21"/>
                <w:szCs w:val="21"/>
                <w:highlight w:val="none"/>
                <w:u w:val="single"/>
                <w:lang w:eastAsia="zh-CN"/>
                <w14:textFill>
                  <w14:solidFill>
                    <w14:schemeClr w14:val="tx1"/>
                  </w14:solidFill>
                </w14:textFill>
                <w14:ligatures w14:val="standardContextual"/>
              </w:rPr>
              <w:t>、</w:t>
            </w:r>
            <w:r>
              <w:rPr>
                <w:rFonts w:hint="default" w:ascii="Times New Roman" w:hAnsi="Times New Roman" w:eastAsia="宋体" w:cs="Times New Roman"/>
                <w:i w:val="0"/>
                <w:iCs w:val="0"/>
                <w:color w:val="000000" w:themeColor="text1"/>
                <w:kern w:val="0"/>
                <w:sz w:val="21"/>
                <w:szCs w:val="21"/>
                <w:highlight w:val="none"/>
                <w:u w:val="single"/>
                <w:lang w:val="en-US" w:eastAsia="zh-CN" w:bidi="ar"/>
                <w14:textFill>
                  <w14:solidFill>
                    <w14:schemeClr w14:val="tx1"/>
                  </w14:solidFill>
                </w14:textFill>
                <w14:ligatures w14:val="standardContextual"/>
              </w:rPr>
              <w:t>氨氮</w:t>
            </w:r>
            <w:r>
              <w:rPr>
                <w:rFonts w:hint="default"/>
                <w:color w:val="000000" w:themeColor="text1"/>
                <w:highlight w:val="none"/>
                <w:u w:val="single"/>
                <w:lang w:val="en-US" w:eastAsia="zh-CN"/>
                <w14:textFill>
                  <w14:solidFill>
                    <w14:schemeClr w14:val="tx1"/>
                  </w14:solidFill>
                </w14:textFill>
                <w14:ligatures w14:val="standardContextual"/>
              </w:rPr>
              <w:t>0.504</w:t>
            </w:r>
            <w:r>
              <w:rPr>
                <w:rFonts w:hint="default" w:ascii="Times New Roman" w:hAnsi="Times New Roman" w:eastAsia="宋体" w:cs="Times New Roman"/>
                <w:b w:val="0"/>
                <w:bCs/>
                <w:i w:val="0"/>
                <w:color w:val="000000" w:themeColor="text1"/>
                <w:sz w:val="21"/>
                <w:szCs w:val="21"/>
                <w:highlight w:val="none"/>
                <w:u w:val="single"/>
                <w14:textFill>
                  <w14:solidFill>
                    <w14:schemeClr w14:val="tx1"/>
                  </w14:solidFill>
                </w14:textFill>
                <w14:ligatures w14:val="standardContextual"/>
              </w:rPr>
              <w:t>mg/L</w:t>
            </w:r>
            <w:r>
              <w:rPr>
                <w:rFonts w:hint="eastAsia" w:cs="Times New Roman"/>
                <w:b w:val="0"/>
                <w:bCs/>
                <w:i w:val="0"/>
                <w:color w:val="000000" w:themeColor="text1"/>
                <w:sz w:val="21"/>
                <w:szCs w:val="21"/>
                <w:highlight w:val="none"/>
                <w:u w:val="single"/>
                <w:lang w:eastAsia="zh-CN"/>
                <w14:textFill>
                  <w14:solidFill>
                    <w14:schemeClr w14:val="tx1"/>
                  </w14:solidFill>
                </w14:textFill>
                <w14:ligatures w14:val="standardContextual"/>
              </w:rPr>
              <w:t>、</w:t>
            </w:r>
            <w:r>
              <w:rPr>
                <w:rFonts w:hint="eastAsia" w:cs="Times New Roman"/>
                <w:i w:val="0"/>
                <w:iCs w:val="0"/>
                <w:color w:val="000000" w:themeColor="text1"/>
                <w:kern w:val="0"/>
                <w:sz w:val="21"/>
                <w:szCs w:val="21"/>
                <w:highlight w:val="none"/>
                <w:u w:val="single"/>
                <w:lang w:val="en-US" w:eastAsia="zh-CN" w:bidi="ar"/>
                <w14:textFill>
                  <w14:solidFill>
                    <w14:schemeClr w14:val="tx1"/>
                  </w14:solidFill>
                </w14:textFill>
                <w14:ligatures w14:val="standardContextual"/>
              </w:rPr>
              <w:t>总磷0.22</w:t>
            </w:r>
            <w:r>
              <w:rPr>
                <w:rFonts w:hint="default"/>
                <w:color w:val="000000" w:themeColor="text1"/>
                <w:highlight w:val="none"/>
                <w:u w:val="single"/>
                <w:lang w:val="en-US" w:eastAsia="zh-CN"/>
                <w14:textFill>
                  <w14:solidFill>
                    <w14:schemeClr w14:val="tx1"/>
                  </w14:solidFill>
                </w14:textFill>
                <w14:ligatures w14:val="standardContextual"/>
              </w:rPr>
              <w:t>4</w:t>
            </w:r>
            <w:r>
              <w:rPr>
                <w:rFonts w:hint="default" w:ascii="Times New Roman" w:hAnsi="Times New Roman" w:eastAsia="宋体" w:cs="Times New Roman"/>
                <w:b w:val="0"/>
                <w:bCs/>
                <w:i w:val="0"/>
                <w:color w:val="000000" w:themeColor="text1"/>
                <w:sz w:val="21"/>
                <w:szCs w:val="21"/>
                <w:highlight w:val="none"/>
                <w:u w:val="single"/>
                <w14:textFill>
                  <w14:solidFill>
                    <w14:schemeClr w14:val="tx1"/>
                  </w14:solidFill>
                </w14:textFill>
                <w14:ligatures w14:val="standardContextual"/>
              </w:rPr>
              <w:t>mg/L</w:t>
            </w:r>
            <w:r>
              <w:rPr>
                <w:rFonts w:hint="eastAsia" w:cs="Times New Roman"/>
                <w:b w:val="0"/>
                <w:bCs/>
                <w:i w:val="0"/>
                <w:color w:val="000000" w:themeColor="text1"/>
                <w:sz w:val="21"/>
                <w:szCs w:val="21"/>
                <w:highlight w:val="none"/>
                <w:u w:val="single"/>
                <w:lang w:eastAsia="zh-CN"/>
                <w14:textFill>
                  <w14:solidFill>
                    <w14:schemeClr w14:val="tx1"/>
                  </w14:solidFill>
                </w14:textFill>
                <w14:ligatures w14:val="standardContextual"/>
              </w:rPr>
              <w:t>、SS</w:t>
            </w:r>
            <w:r>
              <w:rPr>
                <w:rFonts w:hint="eastAsia" w:cs="Times New Roman"/>
                <w:color w:val="000000" w:themeColor="text1"/>
                <w:highlight w:val="none"/>
                <w:u w:val="single"/>
                <w:lang w:val="en-US" w:eastAsia="zh-CN"/>
                <w14:textFill>
                  <w14:solidFill>
                    <w14:schemeClr w14:val="tx1"/>
                  </w14:solidFill>
                </w14:textFill>
              </w:rPr>
              <w:t>日均浓度值参照典型的软水制备废水浓度</w:t>
            </w:r>
            <w:r>
              <w:rPr>
                <w:rFonts w:hint="eastAsia" w:cs="Times New Roman"/>
                <w:b w:val="0"/>
                <w:bCs/>
                <w:i w:val="0"/>
                <w:color w:val="000000" w:themeColor="text1"/>
                <w:sz w:val="21"/>
                <w:szCs w:val="21"/>
                <w:highlight w:val="none"/>
                <w:u w:val="single"/>
                <w:lang w:eastAsia="zh-CN"/>
                <w14:textFill>
                  <w14:solidFill>
                    <w14:schemeClr w14:val="tx1"/>
                  </w14:solidFill>
                </w14:textFill>
                <w14:ligatures w14:val="standardContextual"/>
              </w:rPr>
              <w:t>30</w:t>
            </w:r>
            <w:r>
              <w:rPr>
                <w:rFonts w:hint="default" w:ascii="Times New Roman" w:hAnsi="Times New Roman" w:eastAsia="宋体" w:cs="Times New Roman"/>
                <w:b w:val="0"/>
                <w:bCs/>
                <w:i w:val="0"/>
                <w:color w:val="000000" w:themeColor="text1"/>
                <w:sz w:val="21"/>
                <w:szCs w:val="21"/>
                <w:highlight w:val="none"/>
                <w:u w:val="single"/>
                <w14:textFill>
                  <w14:solidFill>
                    <w14:schemeClr w14:val="tx1"/>
                  </w14:solidFill>
                </w14:textFill>
                <w14:ligatures w14:val="standardContextual"/>
              </w:rPr>
              <w:t>mg/L</w:t>
            </w:r>
            <w:r>
              <w:rPr>
                <w:rFonts w:hint="eastAsia" w:cs="Times New Roman"/>
                <w:color w:val="000000" w:themeColor="text1"/>
                <w:highlight w:val="none"/>
                <w:u w:val="single"/>
                <w:lang w:val="en-US" w:eastAsia="zh-CN"/>
                <w14:textFill>
                  <w14:solidFill>
                    <w14:schemeClr w14:val="tx1"/>
                  </w14:solidFill>
                </w14:textFill>
              </w:rPr>
              <w:t>进行统计，本项目废水产生治理排放情况见表4-10所示。</w:t>
            </w:r>
          </w:p>
          <w:p w14:paraId="0A9FCB9D">
            <w:pPr>
              <w:pStyle w:val="34"/>
              <w:rPr>
                <w:rFonts w:hint="default" w:ascii="Times New Roman" w:hAnsi="Times New Roman" w:cs="Times New Roman"/>
                <w:color w:val="000000" w:themeColor="text1"/>
                <w:highlight w:val="none"/>
                <w14:textFill>
                  <w14:solidFill>
                    <w14:schemeClr w14:val="tx1"/>
                  </w14:solidFill>
                </w14:textFill>
              </w:rPr>
            </w:pPr>
            <w:bookmarkStart w:id="136" w:name="_Ref173003040"/>
            <w:bookmarkStart w:id="137" w:name="_Ref176946665"/>
            <w:r>
              <w:rPr>
                <w:rFonts w:hint="default" w:ascii="Times New Roman" w:hAnsi="Times New Roman" w:cs="Times New Roman"/>
                <w:color w:val="000000" w:themeColor="text1"/>
                <w:highlight w:val="none"/>
                <w14:textFill>
                  <w14:solidFill>
                    <w14:schemeClr w14:val="tx1"/>
                  </w14:solidFill>
                </w14:textFill>
              </w:rPr>
              <w:t xml:space="preserve">表4- </w:t>
            </w:r>
            <w:bookmarkEnd w:id="136"/>
            <w:r>
              <w:rPr>
                <w:rFonts w:hint="default" w:ascii="Times New Roman" w:hAnsi="Times New Roman" w:cs="Times New Roman"/>
                <w:color w:val="000000" w:themeColor="text1"/>
                <w:highlight w:val="none"/>
                <w:lang w:val="en-US" w:eastAsia="zh-CN"/>
                <w14:textFill>
                  <w14:solidFill>
                    <w14:schemeClr w14:val="tx1"/>
                  </w14:solidFill>
                </w14:textFill>
              </w:rPr>
              <w:t>10</w:t>
            </w:r>
            <w:r>
              <w:rPr>
                <w:rFonts w:hint="default" w:ascii="Times New Roman" w:hAnsi="Times New Roman" w:cs="Times New Roman"/>
                <w:color w:val="000000" w:themeColor="text1"/>
                <w:highlight w:val="none"/>
                <w14:textFill>
                  <w14:solidFill>
                    <w14:schemeClr w14:val="tx1"/>
                  </w14:solidFill>
                </w14:textFill>
              </w:rPr>
              <w:t>：废水产生治理排放情况一览表</w:t>
            </w:r>
            <w:bookmarkEnd w:id="137"/>
          </w:p>
          <w:tbl>
            <w:tblPr>
              <w:tblStyle w:val="4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56"/>
              <w:gridCol w:w="1172"/>
              <w:gridCol w:w="1575"/>
              <w:gridCol w:w="799"/>
              <w:gridCol w:w="1147"/>
              <w:gridCol w:w="1032"/>
              <w:gridCol w:w="939"/>
              <w:gridCol w:w="817"/>
            </w:tblGrid>
            <w:tr w14:paraId="78FAD5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6" w:type="pct"/>
                  <w:tcBorders>
                    <w:insideH w:val="single" w:sz="12" w:space="0"/>
                    <w:insideV w:val="single" w:sz="4" w:space="0"/>
                    <w:tl2br w:val="nil"/>
                    <w:tr2bl w:val="nil"/>
                  </w:tcBorders>
                  <w:noWrap/>
                  <w:vAlign w:val="center"/>
                </w:tcPr>
                <w:p w14:paraId="2FD76DA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bookmarkStart w:id="138" w:name="_Hlk178502912"/>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类别</w:t>
                  </w:r>
                </w:p>
              </w:tc>
              <w:tc>
                <w:tcPr>
                  <w:tcW w:w="694" w:type="pct"/>
                  <w:tcBorders>
                    <w:insideH w:val="single" w:sz="12" w:space="0"/>
                    <w:insideV w:val="single" w:sz="4" w:space="0"/>
                    <w:tl2br w:val="nil"/>
                    <w:tr2bl w:val="nil"/>
                  </w:tcBorders>
                  <w:noWrap/>
                  <w:vAlign w:val="center"/>
                </w:tcPr>
                <w:p w14:paraId="4170508E">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污染物种类</w:t>
                  </w:r>
                </w:p>
              </w:tc>
              <w:tc>
                <w:tcPr>
                  <w:tcW w:w="933" w:type="pct"/>
                  <w:tcBorders>
                    <w:insideH w:val="single" w:sz="12" w:space="0"/>
                    <w:insideV w:val="single" w:sz="4" w:space="0"/>
                    <w:tl2br w:val="nil"/>
                    <w:tr2bl w:val="nil"/>
                  </w:tcBorders>
                  <w:noWrap/>
                  <w:vAlign w:val="center"/>
                </w:tcPr>
                <w:p w14:paraId="2ADFC8A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产生浓度</w:t>
                  </w:r>
                </w:p>
                <w:p w14:paraId="0E52164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(mg/L)</w:t>
                  </w:r>
                </w:p>
              </w:tc>
              <w:tc>
                <w:tcPr>
                  <w:tcW w:w="473" w:type="pct"/>
                  <w:tcBorders>
                    <w:insideH w:val="single" w:sz="12" w:space="0"/>
                    <w:insideV w:val="single" w:sz="4" w:space="0"/>
                    <w:tl2br w:val="nil"/>
                    <w:tr2bl w:val="nil"/>
                  </w:tcBorders>
                  <w:vAlign w:val="center"/>
                </w:tcPr>
                <w:p w14:paraId="0818C22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产生量（t/a）</w:t>
                  </w:r>
                </w:p>
              </w:tc>
              <w:tc>
                <w:tcPr>
                  <w:tcW w:w="679" w:type="pct"/>
                  <w:tcBorders>
                    <w:insideH w:val="single" w:sz="12" w:space="0"/>
                    <w:insideV w:val="single" w:sz="4" w:space="0"/>
                    <w:tl2br w:val="nil"/>
                    <w:tr2bl w:val="nil"/>
                  </w:tcBorders>
                  <w:vAlign w:val="center"/>
                </w:tcPr>
                <w:p w14:paraId="29F7010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治理设施及效率</w:t>
                  </w:r>
                </w:p>
              </w:tc>
              <w:tc>
                <w:tcPr>
                  <w:tcW w:w="611" w:type="pct"/>
                  <w:tcBorders>
                    <w:insideH w:val="single" w:sz="12" w:space="0"/>
                    <w:insideV w:val="single" w:sz="4" w:space="0"/>
                    <w:tl2br w:val="nil"/>
                    <w:tr2bl w:val="nil"/>
                  </w:tcBorders>
                  <w:vAlign w:val="center"/>
                </w:tcPr>
                <w:p w14:paraId="1D2B8CA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排放浓度（mg/L）</w:t>
                  </w:r>
                </w:p>
              </w:tc>
              <w:tc>
                <w:tcPr>
                  <w:tcW w:w="556" w:type="pct"/>
                  <w:tcBorders>
                    <w:insideH w:val="single" w:sz="12" w:space="0"/>
                    <w:insideV w:val="single" w:sz="4" w:space="0"/>
                    <w:tl2br w:val="nil"/>
                    <w:tr2bl w:val="nil"/>
                  </w:tcBorders>
                  <w:vAlign w:val="center"/>
                </w:tcPr>
                <w:p w14:paraId="27D9B900">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排放量（t/a）</w:t>
                  </w:r>
                </w:p>
              </w:tc>
              <w:tc>
                <w:tcPr>
                  <w:tcW w:w="484" w:type="pct"/>
                  <w:tcBorders>
                    <w:insideH w:val="single" w:sz="12" w:space="0"/>
                    <w:insideV w:val="single" w:sz="4" w:space="0"/>
                    <w:tl2br w:val="nil"/>
                    <w:tr2bl w:val="nil"/>
                  </w:tcBorders>
                  <w:vAlign w:val="center"/>
                </w:tcPr>
                <w:p w14:paraId="12C1F9C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排放标准</w:t>
                  </w:r>
                </w:p>
              </w:tc>
            </w:tr>
            <w:tr w14:paraId="4DA6C9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6" w:type="pct"/>
                  <w:vMerge w:val="restart"/>
                  <w:tcBorders>
                    <w:tl2br w:val="nil"/>
                    <w:tr2bl w:val="nil"/>
                  </w:tcBorders>
                  <w:noWrap/>
                  <w:vAlign w:val="center"/>
                </w:tcPr>
                <w:p w14:paraId="19668CC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生产废水</w:t>
                  </w:r>
                </w:p>
              </w:tc>
              <w:tc>
                <w:tcPr>
                  <w:tcW w:w="694" w:type="pct"/>
                  <w:tcBorders>
                    <w:tl2br w:val="nil"/>
                    <w:tr2bl w:val="nil"/>
                  </w:tcBorders>
                  <w:noWrap/>
                  <w:vAlign w:val="center"/>
                </w:tcPr>
                <w:p w14:paraId="600FCD40">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水量</w:t>
                  </w:r>
                </w:p>
              </w:tc>
              <w:tc>
                <w:tcPr>
                  <w:tcW w:w="933" w:type="pct"/>
                  <w:tcBorders>
                    <w:tl2br w:val="nil"/>
                    <w:tr2bl w:val="nil"/>
                  </w:tcBorders>
                  <w:noWrap/>
                  <w:vAlign w:val="center"/>
                </w:tcPr>
                <w:p w14:paraId="08FB3108">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w:t>
                  </w:r>
                </w:p>
              </w:tc>
              <w:tc>
                <w:tcPr>
                  <w:tcW w:w="473" w:type="pct"/>
                  <w:tcBorders>
                    <w:tl2br w:val="nil"/>
                    <w:tr2bl w:val="nil"/>
                  </w:tcBorders>
                  <w:noWrap/>
                  <w:vAlign w:val="center"/>
                </w:tcPr>
                <w:p w14:paraId="71F01D37">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lang w:val="en-US"/>
                      <w14:textFill>
                        <w14:solidFill>
                          <w14:schemeClr w14:val="tx1"/>
                        </w14:solidFill>
                      </w14:textFill>
                      <w14:ligatures w14:val="standardContextua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19216</w:t>
                  </w:r>
                </w:p>
              </w:tc>
              <w:tc>
                <w:tcPr>
                  <w:tcW w:w="679" w:type="pct"/>
                  <w:tcBorders>
                    <w:tl2br w:val="nil"/>
                    <w:tr2bl w:val="nil"/>
                  </w:tcBorders>
                  <w:noWrap/>
                  <w:vAlign w:val="center"/>
                </w:tcPr>
                <w:p w14:paraId="2CE320B3">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w:t>
                  </w:r>
                </w:p>
              </w:tc>
              <w:tc>
                <w:tcPr>
                  <w:tcW w:w="611" w:type="pct"/>
                  <w:tcBorders>
                    <w:tl2br w:val="nil"/>
                    <w:tr2bl w:val="nil"/>
                  </w:tcBorders>
                  <w:vAlign w:val="center"/>
                </w:tcPr>
                <w:p w14:paraId="68956A2E">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w:t>
                  </w:r>
                </w:p>
              </w:tc>
              <w:tc>
                <w:tcPr>
                  <w:tcW w:w="556" w:type="pct"/>
                  <w:tcBorders>
                    <w:tl2br w:val="nil"/>
                    <w:tr2bl w:val="nil"/>
                  </w:tcBorders>
                  <w:vAlign w:val="center"/>
                </w:tcPr>
                <w:p w14:paraId="775E50B3">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lang w:val="en-US"/>
                      <w14:textFill>
                        <w14:solidFill>
                          <w14:schemeClr w14:val="tx1"/>
                        </w14:solidFill>
                      </w14:textFill>
                      <w14:ligatures w14:val="standardContextua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19216</w:t>
                  </w:r>
                </w:p>
              </w:tc>
              <w:tc>
                <w:tcPr>
                  <w:tcW w:w="484" w:type="pct"/>
                  <w:tcBorders>
                    <w:tl2br w:val="nil"/>
                    <w:tr2bl w:val="nil"/>
                  </w:tcBorders>
                  <w:vAlign w:val="center"/>
                </w:tcPr>
                <w:p w14:paraId="5CB04A50">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w:t>
                  </w:r>
                </w:p>
              </w:tc>
            </w:tr>
            <w:tr w14:paraId="4F5C1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6" w:type="pct"/>
                  <w:vMerge w:val="continue"/>
                  <w:tcBorders>
                    <w:tl2br w:val="nil"/>
                    <w:tr2bl w:val="nil"/>
                  </w:tcBorders>
                  <w:vAlign w:val="center"/>
                </w:tcPr>
                <w:p w14:paraId="154F2B1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694" w:type="pct"/>
                  <w:tcBorders>
                    <w:tl2br w:val="nil"/>
                    <w:tr2bl w:val="nil"/>
                  </w:tcBorders>
                  <w:noWrap/>
                  <w:vAlign w:val="center"/>
                </w:tcPr>
                <w:p w14:paraId="1B8CF645">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COD</w:t>
                  </w:r>
                </w:p>
              </w:tc>
              <w:tc>
                <w:tcPr>
                  <w:tcW w:w="933" w:type="pct"/>
                  <w:tcBorders>
                    <w:tl2br w:val="nil"/>
                    <w:tr2bl w:val="nil"/>
                  </w:tcBorders>
                  <w:noWrap/>
                  <w:vAlign w:val="center"/>
                </w:tcPr>
                <w:p w14:paraId="0EDF6E60">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color w:val="000000" w:themeColor="text1"/>
                      <w:highlight w:val="none"/>
                      <w:lang w:val="en-US" w:eastAsia="zh-CN"/>
                      <w14:textFill>
                        <w14:solidFill>
                          <w14:schemeClr w14:val="tx1"/>
                        </w14:solidFill>
                      </w14:textFill>
                      <w14:ligatures w14:val="standardContextual"/>
                    </w:rPr>
                    <w:t>16.0</w:t>
                  </w:r>
                </w:p>
              </w:tc>
              <w:tc>
                <w:tcPr>
                  <w:tcW w:w="473" w:type="pct"/>
                  <w:tcBorders>
                    <w:tl2br w:val="nil"/>
                    <w:tr2bl w:val="nil"/>
                  </w:tcBorders>
                  <w:noWrap/>
                  <w:vAlign w:val="center"/>
                </w:tcPr>
                <w:p w14:paraId="01ECF110">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0.307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 xml:space="preserve"> </w:t>
                  </w:r>
                </w:p>
              </w:tc>
              <w:tc>
                <w:tcPr>
                  <w:tcW w:w="679" w:type="pct"/>
                  <w:tcBorders>
                    <w:tl2br w:val="nil"/>
                    <w:tr2bl w:val="nil"/>
                  </w:tcBorders>
                  <w:noWrap/>
                  <w:vAlign w:val="center"/>
                </w:tcPr>
                <w:p w14:paraId="7A8EF67B">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w:t>
                  </w:r>
                </w:p>
              </w:tc>
              <w:tc>
                <w:tcPr>
                  <w:tcW w:w="611" w:type="pct"/>
                  <w:tcBorders>
                    <w:tl2br w:val="nil"/>
                    <w:tr2bl w:val="nil"/>
                  </w:tcBorders>
                  <w:vAlign w:val="center"/>
                </w:tcPr>
                <w:p w14:paraId="604F4E8E">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color w:val="000000" w:themeColor="text1"/>
                      <w:highlight w:val="none"/>
                      <w:lang w:val="en-US" w:eastAsia="zh-CN"/>
                      <w14:textFill>
                        <w14:solidFill>
                          <w14:schemeClr w14:val="tx1"/>
                        </w14:solidFill>
                      </w14:textFill>
                      <w14:ligatures w14:val="standardContextual"/>
                    </w:rPr>
                    <w:t>16.0</w:t>
                  </w:r>
                </w:p>
              </w:tc>
              <w:tc>
                <w:tcPr>
                  <w:tcW w:w="556" w:type="pct"/>
                  <w:tcBorders>
                    <w:tl2br w:val="nil"/>
                    <w:tr2bl w:val="nil"/>
                  </w:tcBorders>
                  <w:vAlign w:val="center"/>
                </w:tcPr>
                <w:p w14:paraId="5ECF8BB2">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0.307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 xml:space="preserve"> </w:t>
                  </w:r>
                </w:p>
              </w:tc>
              <w:tc>
                <w:tcPr>
                  <w:tcW w:w="484" w:type="pct"/>
                  <w:tcBorders>
                    <w:tl2br w:val="nil"/>
                    <w:tr2bl w:val="nil"/>
                  </w:tcBorders>
                  <w:vAlign w:val="center"/>
                </w:tcPr>
                <w:p w14:paraId="2EDDC51A">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500</w:t>
                  </w:r>
                </w:p>
              </w:tc>
            </w:tr>
            <w:tr w14:paraId="646DE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6" w:type="pct"/>
                  <w:vMerge w:val="continue"/>
                  <w:tcBorders>
                    <w:tl2br w:val="nil"/>
                    <w:tr2bl w:val="nil"/>
                  </w:tcBorders>
                  <w:vAlign w:val="center"/>
                </w:tcPr>
                <w:p w14:paraId="310E9CE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694" w:type="pct"/>
                  <w:tcBorders>
                    <w:tl2br w:val="nil"/>
                    <w:tr2bl w:val="nil"/>
                  </w:tcBorders>
                  <w:noWrap/>
                  <w:vAlign w:val="center"/>
                </w:tcPr>
                <w:p w14:paraId="26E43CFA">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氨氮</w:t>
                  </w:r>
                </w:p>
              </w:tc>
              <w:tc>
                <w:tcPr>
                  <w:tcW w:w="933" w:type="pct"/>
                  <w:tcBorders>
                    <w:tl2br w:val="nil"/>
                    <w:tr2bl w:val="nil"/>
                  </w:tcBorders>
                  <w:noWrap/>
                  <w:vAlign w:val="center"/>
                </w:tcPr>
                <w:p w14:paraId="6B256D9B">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color w:val="000000" w:themeColor="text1"/>
                      <w:highlight w:val="none"/>
                      <w:lang w:val="en-US" w:eastAsia="zh-CN"/>
                      <w14:textFill>
                        <w14:solidFill>
                          <w14:schemeClr w14:val="tx1"/>
                        </w14:solidFill>
                      </w14:textFill>
                      <w14:ligatures w14:val="standardContextual"/>
                    </w:rPr>
                    <w:t>0.504</w:t>
                  </w:r>
                </w:p>
              </w:tc>
              <w:tc>
                <w:tcPr>
                  <w:tcW w:w="473" w:type="pct"/>
                  <w:tcBorders>
                    <w:tl2br w:val="nil"/>
                    <w:tr2bl w:val="nil"/>
                  </w:tcBorders>
                  <w:noWrap/>
                  <w:vAlign w:val="center"/>
                </w:tcPr>
                <w:p w14:paraId="4ED4D31F">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 xml:space="preserve">0.00968 </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 xml:space="preserve"> </w:t>
                  </w:r>
                </w:p>
              </w:tc>
              <w:tc>
                <w:tcPr>
                  <w:tcW w:w="679" w:type="pct"/>
                  <w:tcBorders>
                    <w:tl2br w:val="nil"/>
                    <w:tr2bl w:val="nil"/>
                  </w:tcBorders>
                  <w:noWrap/>
                  <w:vAlign w:val="center"/>
                </w:tcPr>
                <w:p w14:paraId="65C0E262">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w:t>
                  </w:r>
                </w:p>
              </w:tc>
              <w:tc>
                <w:tcPr>
                  <w:tcW w:w="611" w:type="pct"/>
                  <w:tcBorders>
                    <w:tl2br w:val="nil"/>
                    <w:tr2bl w:val="nil"/>
                  </w:tcBorders>
                  <w:vAlign w:val="center"/>
                </w:tcPr>
                <w:p w14:paraId="2633435C">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color w:val="000000" w:themeColor="text1"/>
                      <w:highlight w:val="none"/>
                      <w:lang w:val="en-US" w:eastAsia="zh-CN"/>
                      <w14:textFill>
                        <w14:solidFill>
                          <w14:schemeClr w14:val="tx1"/>
                        </w14:solidFill>
                      </w14:textFill>
                      <w14:ligatures w14:val="standardContextual"/>
                    </w:rPr>
                    <w:t>0.504</w:t>
                  </w:r>
                </w:p>
              </w:tc>
              <w:tc>
                <w:tcPr>
                  <w:tcW w:w="556" w:type="pct"/>
                  <w:tcBorders>
                    <w:tl2br w:val="nil"/>
                    <w:tr2bl w:val="nil"/>
                  </w:tcBorders>
                  <w:vAlign w:val="center"/>
                </w:tcPr>
                <w:p w14:paraId="748D9849">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 xml:space="preserve">0.00968 </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 xml:space="preserve"> </w:t>
                  </w:r>
                </w:p>
              </w:tc>
              <w:tc>
                <w:tcPr>
                  <w:tcW w:w="484" w:type="pct"/>
                  <w:tcBorders>
                    <w:tl2br w:val="nil"/>
                    <w:tr2bl w:val="nil"/>
                  </w:tcBorders>
                  <w:vAlign w:val="center"/>
                </w:tcPr>
                <w:p w14:paraId="1651C576">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35</w:t>
                  </w:r>
                </w:p>
              </w:tc>
            </w:tr>
            <w:tr w14:paraId="6EE7D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6" w:type="pct"/>
                  <w:vMerge w:val="continue"/>
                  <w:tcBorders>
                    <w:tl2br w:val="nil"/>
                    <w:tr2bl w:val="nil"/>
                  </w:tcBorders>
                  <w:vAlign w:val="center"/>
                </w:tcPr>
                <w:p w14:paraId="4315F48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694" w:type="pct"/>
                  <w:tcBorders>
                    <w:tl2br w:val="nil"/>
                    <w:tr2bl w:val="nil"/>
                  </w:tcBorders>
                  <w:noWrap/>
                  <w:vAlign w:val="center"/>
                </w:tcPr>
                <w:p w14:paraId="450F94F8">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SS</w:t>
                  </w:r>
                </w:p>
              </w:tc>
              <w:tc>
                <w:tcPr>
                  <w:tcW w:w="933" w:type="pct"/>
                  <w:tcBorders>
                    <w:tl2br w:val="nil"/>
                    <w:tr2bl w:val="nil"/>
                  </w:tcBorders>
                  <w:noWrap/>
                  <w:vAlign w:val="center"/>
                </w:tcPr>
                <w:p w14:paraId="683DACFC">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30</w:t>
                  </w:r>
                </w:p>
              </w:tc>
              <w:tc>
                <w:tcPr>
                  <w:tcW w:w="473" w:type="pct"/>
                  <w:tcBorders>
                    <w:tl2br w:val="nil"/>
                    <w:tr2bl w:val="nil"/>
                  </w:tcBorders>
                  <w:noWrap/>
                  <w:vAlign w:val="center"/>
                </w:tcPr>
                <w:p w14:paraId="5A038A11">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0.577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 xml:space="preserve"> </w:t>
                  </w:r>
                </w:p>
              </w:tc>
              <w:tc>
                <w:tcPr>
                  <w:tcW w:w="679" w:type="pct"/>
                  <w:tcBorders>
                    <w:tl2br w:val="nil"/>
                    <w:tr2bl w:val="nil"/>
                  </w:tcBorders>
                  <w:noWrap/>
                  <w:vAlign w:val="center"/>
                </w:tcPr>
                <w:p w14:paraId="7078959A">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w:t>
                  </w:r>
                </w:p>
              </w:tc>
              <w:tc>
                <w:tcPr>
                  <w:tcW w:w="611" w:type="pct"/>
                  <w:tcBorders>
                    <w:tl2br w:val="nil"/>
                    <w:tr2bl w:val="nil"/>
                  </w:tcBorders>
                  <w:vAlign w:val="center"/>
                </w:tcPr>
                <w:p w14:paraId="1C07CF66">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30</w:t>
                  </w:r>
                </w:p>
              </w:tc>
              <w:tc>
                <w:tcPr>
                  <w:tcW w:w="556" w:type="pct"/>
                  <w:tcBorders>
                    <w:tl2br w:val="nil"/>
                    <w:tr2bl w:val="nil"/>
                  </w:tcBorders>
                  <w:vAlign w:val="center"/>
                </w:tcPr>
                <w:p w14:paraId="12D419AD">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0.577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 xml:space="preserve"> </w:t>
                  </w:r>
                </w:p>
              </w:tc>
              <w:tc>
                <w:tcPr>
                  <w:tcW w:w="484" w:type="pct"/>
                  <w:tcBorders>
                    <w:tl2br w:val="nil"/>
                    <w:tr2bl w:val="nil"/>
                  </w:tcBorders>
                  <w:vAlign w:val="center"/>
                </w:tcPr>
                <w:p w14:paraId="3CAD539D">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300</w:t>
                  </w:r>
                </w:p>
              </w:tc>
            </w:tr>
            <w:tr w14:paraId="28A6B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566" w:type="pct"/>
                  <w:vMerge w:val="continue"/>
                  <w:tcBorders>
                    <w:tl2br w:val="nil"/>
                    <w:tr2bl w:val="nil"/>
                  </w:tcBorders>
                  <w:vAlign w:val="center"/>
                </w:tcPr>
                <w:p w14:paraId="4F1F71C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694" w:type="pct"/>
                  <w:tcBorders>
                    <w:tl2br w:val="nil"/>
                    <w:tr2bl w:val="nil"/>
                  </w:tcBorders>
                  <w:noWrap/>
                  <w:vAlign w:val="center"/>
                </w:tcPr>
                <w:p w14:paraId="20F776B2">
                  <w:pPr>
                    <w:keepNext w:val="0"/>
                    <w:keepLines w:val="0"/>
                    <w:widowControl/>
                    <w:suppressLineNumbers w:val="0"/>
                    <w:overflowPunct w:val="0"/>
                    <w:autoSpaceDE w:val="0"/>
                    <w:autoSpaceDN w:val="0"/>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总磷</w:t>
                  </w:r>
                </w:p>
              </w:tc>
              <w:tc>
                <w:tcPr>
                  <w:tcW w:w="933" w:type="pct"/>
                  <w:tcBorders>
                    <w:tl2br w:val="nil"/>
                    <w:tr2bl w:val="nil"/>
                  </w:tcBorders>
                  <w:noWrap/>
                  <w:vAlign w:val="center"/>
                </w:tcPr>
                <w:p w14:paraId="1B303B87">
                  <w:pPr>
                    <w:keepNext w:val="0"/>
                    <w:keepLines w:val="0"/>
                    <w:widowControl/>
                    <w:suppressLineNumbers w:val="0"/>
                    <w:overflowPunct w:val="0"/>
                    <w:autoSpaceDE w:val="0"/>
                    <w:autoSpaceDN w:val="0"/>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0.22</w:t>
                  </w:r>
                </w:p>
              </w:tc>
              <w:tc>
                <w:tcPr>
                  <w:tcW w:w="473" w:type="pct"/>
                  <w:tcBorders>
                    <w:tl2br w:val="nil"/>
                    <w:tr2bl w:val="nil"/>
                  </w:tcBorders>
                  <w:noWrap/>
                  <w:vAlign w:val="center"/>
                </w:tcPr>
                <w:p w14:paraId="09270476">
                  <w:pPr>
                    <w:keepNext w:val="0"/>
                    <w:keepLines w:val="0"/>
                    <w:widowControl/>
                    <w:suppressLineNumbers w:val="0"/>
                    <w:overflowPunct w:val="0"/>
                    <w:autoSpaceDE w:val="0"/>
                    <w:autoSpaceDN w:val="0"/>
                    <w:snapToGrid w:val="0"/>
                    <w:jc w:val="center"/>
                    <w:textAlignment w:val="center"/>
                    <w:rPr>
                      <w:rFonts w:hint="default"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0.0042</w:t>
                  </w:r>
                </w:p>
              </w:tc>
              <w:tc>
                <w:tcPr>
                  <w:tcW w:w="679" w:type="pct"/>
                  <w:tcBorders>
                    <w:tl2br w:val="nil"/>
                    <w:tr2bl w:val="nil"/>
                  </w:tcBorders>
                  <w:noWrap/>
                  <w:vAlign w:val="center"/>
                </w:tcPr>
                <w:p w14:paraId="5DE2EA00">
                  <w:pPr>
                    <w:keepNext w:val="0"/>
                    <w:keepLines w:val="0"/>
                    <w:widowControl/>
                    <w:suppressLineNumbers w:val="0"/>
                    <w:overflowPunct w:val="0"/>
                    <w:autoSpaceDE w:val="0"/>
                    <w:autoSpaceDN w:val="0"/>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w:t>
                  </w:r>
                </w:p>
              </w:tc>
              <w:tc>
                <w:tcPr>
                  <w:tcW w:w="1029" w:type="dxa"/>
                  <w:tcBorders>
                    <w:tl2br w:val="nil"/>
                    <w:tr2bl w:val="nil"/>
                  </w:tcBorders>
                  <w:vAlign w:val="center"/>
                </w:tcPr>
                <w:p w14:paraId="6BC3B6F4">
                  <w:pPr>
                    <w:keepNext w:val="0"/>
                    <w:keepLines w:val="0"/>
                    <w:widowControl/>
                    <w:suppressLineNumbers w:val="0"/>
                    <w:overflowPunct w:val="0"/>
                    <w:autoSpaceDE w:val="0"/>
                    <w:autoSpaceDN w:val="0"/>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0.22</w:t>
                  </w:r>
                </w:p>
              </w:tc>
              <w:tc>
                <w:tcPr>
                  <w:tcW w:w="937" w:type="dxa"/>
                  <w:tcBorders>
                    <w:tl2br w:val="nil"/>
                    <w:tr2bl w:val="nil"/>
                  </w:tcBorders>
                  <w:vAlign w:val="center"/>
                </w:tcPr>
                <w:p w14:paraId="6EA93243">
                  <w:pPr>
                    <w:keepNext w:val="0"/>
                    <w:keepLines w:val="0"/>
                    <w:widowControl/>
                    <w:suppressLineNumbers w:val="0"/>
                    <w:overflowPunct w:val="0"/>
                    <w:autoSpaceDE w:val="0"/>
                    <w:autoSpaceDN w:val="0"/>
                    <w:snapToGrid w:val="0"/>
                    <w:jc w:val="center"/>
                    <w:textAlignment w:val="cente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0.0042</w:t>
                  </w:r>
                </w:p>
              </w:tc>
              <w:tc>
                <w:tcPr>
                  <w:tcW w:w="484" w:type="pct"/>
                  <w:tcBorders>
                    <w:tl2br w:val="nil"/>
                    <w:tr2bl w:val="nil"/>
                  </w:tcBorders>
                  <w:vAlign w:val="center"/>
                </w:tcPr>
                <w:p w14:paraId="192D82B4">
                  <w:pPr>
                    <w:keepNext w:val="0"/>
                    <w:keepLines w:val="0"/>
                    <w:widowControl/>
                    <w:suppressLineNumbers w:val="0"/>
                    <w:overflowPunct w:val="0"/>
                    <w:autoSpaceDE w:val="0"/>
                    <w:autoSpaceDN w:val="0"/>
                    <w:snapToGrid w:val="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14:ligatures w14:val="standardContextual"/>
                    </w:rPr>
                    <w:t>4.5</w:t>
                  </w:r>
                </w:p>
              </w:tc>
            </w:tr>
            <w:bookmarkEnd w:id="138"/>
          </w:tbl>
          <w:p w14:paraId="35957A14">
            <w:pPr>
              <w:pStyle w:val="34"/>
              <w:rPr>
                <w:rFonts w:hint="default" w:ascii="Times New Roman" w:hAnsi="Times New Roman" w:cs="Times New Roman"/>
                <w:color w:val="000000" w:themeColor="text1"/>
                <w:highlight w:val="none"/>
                <w14:textFill>
                  <w14:solidFill>
                    <w14:schemeClr w14:val="tx1"/>
                  </w14:solidFill>
                </w14:textFill>
              </w:rPr>
            </w:pPr>
          </w:p>
          <w:p w14:paraId="67DE37C4">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 xml:space="preserve">表4- </w:t>
            </w:r>
            <w:r>
              <w:rPr>
                <w:rFonts w:hint="default" w:ascii="Times New Roman" w:hAnsi="Times New Roman" w:cs="Times New Roman"/>
                <w:color w:val="000000" w:themeColor="text1"/>
                <w:highlight w:val="none"/>
                <w:lang w:val="en-US" w:eastAsia="zh-CN"/>
                <w14:textFill>
                  <w14:solidFill>
                    <w14:schemeClr w14:val="tx1"/>
                  </w14:solidFill>
                </w14:textFill>
              </w:rPr>
              <w:t>11</w:t>
            </w:r>
            <w:r>
              <w:rPr>
                <w:rFonts w:hint="default" w:ascii="Times New Roman" w:hAnsi="Times New Roman" w:cs="Times New Roman"/>
                <w:color w:val="000000" w:themeColor="text1"/>
                <w:highlight w:val="none"/>
                <w14:textFill>
                  <w14:solidFill>
                    <w14:schemeClr w14:val="tx1"/>
                  </w14:solidFill>
                </w14:textFill>
              </w:rPr>
              <w:t>：排放口基本情况一览表</w:t>
            </w:r>
          </w:p>
          <w:tbl>
            <w:tblPr>
              <w:tblStyle w:val="4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09"/>
              <w:gridCol w:w="829"/>
              <w:gridCol w:w="1295"/>
              <w:gridCol w:w="1213"/>
              <w:gridCol w:w="1005"/>
              <w:gridCol w:w="1523"/>
              <w:gridCol w:w="965"/>
              <w:gridCol w:w="1199"/>
            </w:tblGrid>
            <w:tr w14:paraId="3BC25E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jc w:val="center"/>
              </w:trPr>
              <w:tc>
                <w:tcPr>
                  <w:tcW w:w="242" w:type="pct"/>
                  <w:vMerge w:val="restart"/>
                  <w:tcBorders>
                    <w:insideH w:val="single" w:sz="12" w:space="0"/>
                    <w:insideV w:val="single" w:sz="4" w:space="0"/>
                    <w:tl2br w:val="nil"/>
                    <w:tr2bl w:val="nil"/>
                  </w:tcBorders>
                  <w:vAlign w:val="center"/>
                </w:tcPr>
                <w:p w14:paraId="47EB4C2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序号</w:t>
                  </w:r>
                </w:p>
              </w:tc>
              <w:tc>
                <w:tcPr>
                  <w:tcW w:w="491" w:type="pct"/>
                  <w:vMerge w:val="restart"/>
                  <w:tcBorders>
                    <w:insideH w:val="single" w:sz="12" w:space="0"/>
                    <w:insideV w:val="single" w:sz="4" w:space="0"/>
                    <w:tl2br w:val="nil"/>
                    <w:tr2bl w:val="nil"/>
                  </w:tcBorders>
                  <w:vAlign w:val="center"/>
                </w:tcPr>
                <w:p w14:paraId="0EAD7DA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排放口编号</w:t>
                  </w:r>
                </w:p>
              </w:tc>
              <w:tc>
                <w:tcPr>
                  <w:tcW w:w="1485" w:type="pct"/>
                  <w:gridSpan w:val="2"/>
                  <w:tcBorders>
                    <w:insideH w:val="single" w:sz="12" w:space="0"/>
                    <w:insideV w:val="single" w:sz="4" w:space="0"/>
                    <w:tl2br w:val="nil"/>
                    <w:tr2bl w:val="nil"/>
                  </w:tcBorders>
                  <w:vAlign w:val="center"/>
                </w:tcPr>
                <w:p w14:paraId="48B5935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排放口地理坐标</w:t>
                  </w:r>
                </w:p>
              </w:tc>
              <w:tc>
                <w:tcPr>
                  <w:tcW w:w="595" w:type="pct"/>
                  <w:vMerge w:val="restart"/>
                  <w:tcBorders>
                    <w:insideH w:val="single" w:sz="12" w:space="0"/>
                    <w:insideV w:val="single" w:sz="4" w:space="0"/>
                    <w:tl2br w:val="nil"/>
                    <w:tr2bl w:val="nil"/>
                  </w:tcBorders>
                  <w:vAlign w:val="center"/>
                </w:tcPr>
                <w:p w14:paraId="5F8CFA1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排放去向</w:t>
                  </w:r>
                </w:p>
              </w:tc>
              <w:tc>
                <w:tcPr>
                  <w:tcW w:w="902" w:type="pct"/>
                  <w:vMerge w:val="restart"/>
                  <w:tcBorders>
                    <w:insideH w:val="single" w:sz="12" w:space="0"/>
                    <w:insideV w:val="single" w:sz="4" w:space="0"/>
                    <w:tl2br w:val="nil"/>
                    <w:tr2bl w:val="nil"/>
                  </w:tcBorders>
                  <w:vAlign w:val="center"/>
                </w:tcPr>
                <w:p w14:paraId="2F5578E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排放规律</w:t>
                  </w:r>
                </w:p>
              </w:tc>
              <w:tc>
                <w:tcPr>
                  <w:tcW w:w="571" w:type="pct"/>
                  <w:vMerge w:val="restart"/>
                  <w:tcBorders>
                    <w:insideH w:val="single" w:sz="12" w:space="0"/>
                    <w:insideV w:val="single" w:sz="4" w:space="0"/>
                    <w:tl2br w:val="nil"/>
                    <w:tr2bl w:val="nil"/>
                  </w:tcBorders>
                  <w:vAlign w:val="center"/>
                </w:tcPr>
                <w:p w14:paraId="54FE4B7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间歇排放时段</w:t>
                  </w:r>
                </w:p>
              </w:tc>
              <w:tc>
                <w:tcPr>
                  <w:tcW w:w="710" w:type="pct"/>
                  <w:vMerge w:val="restart"/>
                  <w:tcBorders>
                    <w:insideH w:val="single" w:sz="12" w:space="0"/>
                    <w:insideV w:val="single" w:sz="4" w:space="0"/>
                    <w:tl2br w:val="nil"/>
                    <w:tr2bl w:val="nil"/>
                  </w:tcBorders>
                  <w:vAlign w:val="center"/>
                </w:tcPr>
                <w:p w14:paraId="495804A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排放口类型</w:t>
                  </w:r>
                </w:p>
              </w:tc>
            </w:tr>
            <w:tr w14:paraId="1F1DA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jc w:val="center"/>
              </w:trPr>
              <w:tc>
                <w:tcPr>
                  <w:tcW w:w="242" w:type="pct"/>
                  <w:vMerge w:val="continue"/>
                  <w:tcBorders>
                    <w:tl2br w:val="nil"/>
                    <w:tr2bl w:val="nil"/>
                  </w:tcBorders>
                  <w:vAlign w:val="center"/>
                </w:tcPr>
                <w:p w14:paraId="7E815B7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491" w:type="pct"/>
                  <w:vMerge w:val="continue"/>
                  <w:tcBorders>
                    <w:tl2br w:val="nil"/>
                    <w:tr2bl w:val="nil"/>
                  </w:tcBorders>
                  <w:vAlign w:val="center"/>
                </w:tcPr>
                <w:p w14:paraId="0CBC285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767" w:type="pct"/>
                  <w:tcBorders>
                    <w:tl2br w:val="nil"/>
                    <w:tr2bl w:val="nil"/>
                  </w:tcBorders>
                  <w:vAlign w:val="center"/>
                </w:tcPr>
                <w:p w14:paraId="7241F740">
                  <w:pPr>
                    <w:widowControl w:val="0"/>
                    <w:overflowPunct w:val="0"/>
                    <w:autoSpaceDE w:val="0"/>
                    <w:autoSpaceDN w:val="0"/>
                    <w:snapToGrid w:val="0"/>
                    <w:jc w:val="center"/>
                    <w:rPr>
                      <w:rFonts w:hint="default" w:ascii="Times New Roman" w:hAnsi="Times New Roman" w:cs="Times New Roman"/>
                      <w:b/>
                      <w:bCs/>
                      <w:color w:val="000000" w:themeColor="text1"/>
                      <w:highlight w:val="none"/>
                      <w14:textFill>
                        <w14:solidFill>
                          <w14:schemeClr w14:val="tx1"/>
                        </w14:solidFill>
                      </w14:textFill>
                      <w14:ligatures w14:val="standardContextual"/>
                    </w:rPr>
                  </w:pPr>
                  <w:r>
                    <w:rPr>
                      <w:rFonts w:hint="default" w:ascii="Times New Roman" w:hAnsi="Times New Roman" w:cs="Times New Roman"/>
                      <w:b/>
                      <w:bCs/>
                      <w:color w:val="000000" w:themeColor="text1"/>
                      <w:highlight w:val="none"/>
                      <w14:textFill>
                        <w14:solidFill>
                          <w14:schemeClr w14:val="tx1"/>
                        </w14:solidFill>
                      </w14:textFill>
                      <w14:ligatures w14:val="standardContextual"/>
                    </w:rPr>
                    <w:t>经度</w:t>
                  </w:r>
                </w:p>
              </w:tc>
              <w:tc>
                <w:tcPr>
                  <w:tcW w:w="717" w:type="pct"/>
                  <w:tcBorders>
                    <w:tl2br w:val="nil"/>
                    <w:tr2bl w:val="nil"/>
                  </w:tcBorders>
                  <w:vAlign w:val="center"/>
                </w:tcPr>
                <w:p w14:paraId="6EE5648F">
                  <w:pPr>
                    <w:widowControl w:val="0"/>
                    <w:overflowPunct w:val="0"/>
                    <w:autoSpaceDE w:val="0"/>
                    <w:autoSpaceDN w:val="0"/>
                    <w:snapToGrid w:val="0"/>
                    <w:jc w:val="center"/>
                    <w:rPr>
                      <w:rFonts w:hint="default" w:ascii="Times New Roman" w:hAnsi="Times New Roman" w:cs="Times New Roman"/>
                      <w:b/>
                      <w:bCs/>
                      <w:color w:val="000000" w:themeColor="text1"/>
                      <w:highlight w:val="none"/>
                      <w14:textFill>
                        <w14:solidFill>
                          <w14:schemeClr w14:val="tx1"/>
                        </w14:solidFill>
                      </w14:textFill>
                      <w14:ligatures w14:val="standardContextual"/>
                    </w:rPr>
                  </w:pPr>
                  <w:r>
                    <w:rPr>
                      <w:rFonts w:hint="default" w:ascii="Times New Roman" w:hAnsi="Times New Roman" w:cs="Times New Roman"/>
                      <w:b/>
                      <w:bCs/>
                      <w:color w:val="000000" w:themeColor="text1"/>
                      <w:highlight w:val="none"/>
                      <w14:textFill>
                        <w14:solidFill>
                          <w14:schemeClr w14:val="tx1"/>
                        </w14:solidFill>
                      </w14:textFill>
                      <w14:ligatures w14:val="standardContextual"/>
                    </w:rPr>
                    <w:t>纬度</w:t>
                  </w:r>
                </w:p>
              </w:tc>
              <w:tc>
                <w:tcPr>
                  <w:tcW w:w="595" w:type="pct"/>
                  <w:vMerge w:val="continue"/>
                  <w:tcBorders>
                    <w:tl2br w:val="nil"/>
                    <w:tr2bl w:val="nil"/>
                  </w:tcBorders>
                  <w:vAlign w:val="center"/>
                </w:tcPr>
                <w:p w14:paraId="39C7E9E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902" w:type="pct"/>
                  <w:vMerge w:val="continue"/>
                  <w:tcBorders>
                    <w:tl2br w:val="nil"/>
                    <w:tr2bl w:val="nil"/>
                  </w:tcBorders>
                  <w:vAlign w:val="center"/>
                </w:tcPr>
                <w:p w14:paraId="5DEFC71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571" w:type="pct"/>
                  <w:vMerge w:val="continue"/>
                  <w:tcBorders>
                    <w:tl2br w:val="nil"/>
                    <w:tr2bl w:val="nil"/>
                  </w:tcBorders>
                  <w:vAlign w:val="center"/>
                </w:tcPr>
                <w:p w14:paraId="3CC499B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710" w:type="pct"/>
                  <w:vMerge w:val="continue"/>
                  <w:tcBorders>
                    <w:tl2br w:val="nil"/>
                    <w:tr2bl w:val="nil"/>
                  </w:tcBorders>
                  <w:vAlign w:val="center"/>
                </w:tcPr>
                <w:p w14:paraId="594079F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r>
            <w:tr w14:paraId="12E61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0" w:hRule="atLeast"/>
                <w:jc w:val="center"/>
              </w:trPr>
              <w:tc>
                <w:tcPr>
                  <w:tcW w:w="242" w:type="pct"/>
                  <w:tcBorders>
                    <w:tl2br w:val="nil"/>
                    <w:tr2bl w:val="nil"/>
                  </w:tcBorders>
                  <w:vAlign w:val="center"/>
                </w:tcPr>
                <w:p w14:paraId="26BB02A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w:t>
                  </w:r>
                </w:p>
              </w:tc>
              <w:tc>
                <w:tcPr>
                  <w:tcW w:w="491" w:type="pct"/>
                  <w:tcBorders>
                    <w:tl2br w:val="nil"/>
                    <w:tr2bl w:val="nil"/>
                  </w:tcBorders>
                  <w:vAlign w:val="center"/>
                </w:tcPr>
                <w:p w14:paraId="3DB771C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DW001</w:t>
                  </w:r>
                </w:p>
              </w:tc>
              <w:tc>
                <w:tcPr>
                  <w:tcW w:w="767" w:type="pct"/>
                  <w:tcBorders>
                    <w:tl2br w:val="nil"/>
                    <w:tr2bl w:val="nil"/>
                  </w:tcBorders>
                  <w:vAlign w:val="center"/>
                </w:tcPr>
                <w:p w14:paraId="124701A4">
                  <w:pPr>
                    <w:widowControl w:val="0"/>
                    <w:wordWrap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E108°</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40</w:t>
                  </w:r>
                  <w:r>
                    <w:rPr>
                      <w:rFonts w:hint="default" w:ascii="Times New Roman" w:hAnsi="Times New Roman" w:cs="Times New Roman"/>
                      <w:color w:val="000000" w:themeColor="text1"/>
                      <w:highlight w:val="none"/>
                      <w14:textFill>
                        <w14:solidFill>
                          <w14:schemeClr w14:val="tx1"/>
                        </w14:solidFill>
                      </w14:textFill>
                      <w14:ligatures w14:val="standardContextual"/>
                    </w:rPr>
                    <w:t>′</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18.070</w:t>
                  </w:r>
                  <w:r>
                    <w:rPr>
                      <w:rFonts w:hint="default" w:ascii="Times New Roman" w:hAnsi="Times New Roman" w:cs="Times New Roman"/>
                      <w:color w:val="000000" w:themeColor="text1"/>
                      <w:highlight w:val="none"/>
                      <w14:textFill>
                        <w14:solidFill>
                          <w14:schemeClr w14:val="tx1"/>
                        </w14:solidFill>
                      </w14:textFill>
                      <w14:ligatures w14:val="standardContextual"/>
                    </w:rPr>
                    <w:t>″</w:t>
                  </w:r>
                </w:p>
              </w:tc>
              <w:tc>
                <w:tcPr>
                  <w:tcW w:w="717" w:type="pct"/>
                  <w:tcBorders>
                    <w:tl2br w:val="nil"/>
                    <w:tr2bl w:val="nil"/>
                  </w:tcBorders>
                  <w:vAlign w:val="center"/>
                </w:tcPr>
                <w:p w14:paraId="1EF83EE7">
                  <w:pPr>
                    <w:widowControl w:val="0"/>
                    <w:wordWrap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N21°</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45</w:t>
                  </w:r>
                  <w:r>
                    <w:rPr>
                      <w:rFonts w:hint="default" w:ascii="Times New Roman" w:hAnsi="Times New Roman" w:cs="Times New Roman"/>
                      <w:color w:val="000000" w:themeColor="text1"/>
                      <w:highlight w:val="none"/>
                      <w14:textFill>
                        <w14:solidFill>
                          <w14:schemeClr w14:val="tx1"/>
                        </w14:solidFill>
                      </w14:textFill>
                      <w14:ligatures w14:val="standardContextual"/>
                    </w:rPr>
                    <w:t>′</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16.251</w:t>
                  </w:r>
                  <w:r>
                    <w:rPr>
                      <w:rFonts w:hint="default" w:ascii="Times New Roman" w:hAnsi="Times New Roman" w:cs="Times New Roman"/>
                      <w:color w:val="000000" w:themeColor="text1"/>
                      <w:highlight w:val="none"/>
                      <w14:textFill>
                        <w14:solidFill>
                          <w14:schemeClr w14:val="tx1"/>
                        </w14:solidFill>
                      </w14:textFill>
                      <w14:ligatures w14:val="standardContextual"/>
                    </w:rPr>
                    <w:t>″</w:t>
                  </w:r>
                </w:p>
              </w:tc>
              <w:tc>
                <w:tcPr>
                  <w:tcW w:w="595" w:type="pct"/>
                  <w:tcBorders>
                    <w:tl2br w:val="nil"/>
                    <w:tr2bl w:val="nil"/>
                  </w:tcBorders>
                  <w:vAlign w:val="center"/>
                </w:tcPr>
                <w:p w14:paraId="4F7A661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大榄坪污水处理厂</w:t>
                  </w:r>
                </w:p>
              </w:tc>
              <w:tc>
                <w:tcPr>
                  <w:tcW w:w="902" w:type="pct"/>
                  <w:tcBorders>
                    <w:tl2br w:val="nil"/>
                    <w:tr2bl w:val="nil"/>
                  </w:tcBorders>
                  <w:vAlign w:val="center"/>
                </w:tcPr>
                <w:p w14:paraId="0760BBA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连续排放，流量不稳定，但有周期性规律</w:t>
                  </w:r>
                </w:p>
              </w:tc>
              <w:tc>
                <w:tcPr>
                  <w:tcW w:w="571" w:type="pct"/>
                  <w:tcBorders>
                    <w:tl2br w:val="nil"/>
                    <w:tr2bl w:val="nil"/>
                  </w:tcBorders>
                  <w:vAlign w:val="center"/>
                </w:tcPr>
                <w:p w14:paraId="486E3A1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w:t>
                  </w:r>
                </w:p>
              </w:tc>
              <w:tc>
                <w:tcPr>
                  <w:tcW w:w="710" w:type="pct"/>
                  <w:tcBorders>
                    <w:tl2br w:val="nil"/>
                    <w:tr2bl w:val="nil"/>
                  </w:tcBorders>
                  <w:vAlign w:val="center"/>
                </w:tcPr>
                <w:p w14:paraId="4697F0E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综合污水排放口/一般排放口</w:t>
                  </w:r>
                </w:p>
              </w:tc>
            </w:tr>
          </w:tbl>
          <w:p w14:paraId="1B2C3154">
            <w:pPr>
              <w:pStyle w:val="4"/>
              <w:ind w:firstLine="482"/>
              <w:rPr>
                <w:rFonts w:hint="default" w:ascii="Times New Roman" w:hAnsi="Times New Roman" w:cs="Times New Roman"/>
                <w:b/>
                <w:bCs/>
                <w:color w:val="000000" w:themeColor="text1"/>
                <w:highlight w:val="none"/>
                <w14:textFill>
                  <w14:solidFill>
                    <w14:schemeClr w14:val="tx1"/>
                  </w14:solidFill>
                </w14:textFill>
              </w:rPr>
            </w:pPr>
            <w:bookmarkStart w:id="139" w:name="废水治理设施可行性分析"/>
            <w:r>
              <w:rPr>
                <w:rFonts w:hint="default" w:ascii="Times New Roman" w:hAnsi="Times New Roman" w:cs="Times New Roman"/>
                <w:b/>
                <w:bCs/>
                <w:color w:val="000000" w:themeColor="text1"/>
                <w:highlight w:val="none"/>
                <w14:textFill>
                  <w14:solidFill>
                    <w14:schemeClr w14:val="tx1"/>
                  </w14:solidFill>
                </w14:textFill>
              </w:rPr>
              <w:t>2、污染源强核算过程</w:t>
            </w:r>
          </w:p>
          <w:p w14:paraId="40E39226">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1）生产废水</w:t>
            </w:r>
          </w:p>
          <w:p w14:paraId="61E74A2E">
            <w:pPr>
              <w:pStyle w:val="4"/>
              <w:ind w:firstLine="48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本项目生产废水包括W1软水制备废水产生量为</w:t>
            </w:r>
            <w:r>
              <w:rPr>
                <w:rFonts w:hint="default" w:ascii="Times New Roman" w:hAnsi="Times New Roman" w:cs="Times New Roman"/>
                <w:color w:val="000000" w:themeColor="text1"/>
                <w:highlight w:val="none"/>
                <w:lang w:eastAsia="zh-CN"/>
                <w14:textFill>
                  <w14:solidFill>
                    <w14:schemeClr w14:val="tx1"/>
                  </w14:solidFill>
                </w14:textFill>
              </w:rPr>
              <w:t>19204</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/a，W2</w:t>
            </w:r>
            <w:bookmarkStart w:id="140" w:name="OLE_LINK9"/>
            <w:r>
              <w:rPr>
                <w:rFonts w:hint="default" w:ascii="Times New Roman" w:hAnsi="Times New Roman" w:cs="Times New Roman"/>
                <w:color w:val="000000" w:themeColor="text1"/>
                <w:highlight w:val="none"/>
                <w14:textFill>
                  <w14:solidFill>
                    <w14:schemeClr w14:val="tx1"/>
                  </w14:solidFill>
                </w14:textFill>
              </w:rPr>
              <w:t>锅炉排污水</w:t>
            </w:r>
            <w:bookmarkEnd w:id="140"/>
            <w:r>
              <w:rPr>
                <w:rFonts w:hint="default" w:ascii="Times New Roman" w:hAnsi="Times New Roman" w:cs="Times New Roman"/>
                <w:color w:val="000000" w:themeColor="text1"/>
                <w:highlight w:val="none"/>
                <w14:textFill>
                  <w14:solidFill>
                    <w14:schemeClr w14:val="tx1"/>
                  </w14:solidFill>
                </w14:textFill>
              </w:rPr>
              <w:t>量12 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/a，生产废水合计总量为</w:t>
            </w:r>
            <w:r>
              <w:rPr>
                <w:rFonts w:hint="default" w:ascii="Times New Roman" w:hAnsi="Times New Roman" w:cs="Times New Roman"/>
                <w:color w:val="000000" w:themeColor="text1"/>
                <w:highlight w:val="none"/>
                <w:lang w:val="en-US" w:eastAsia="zh-CN"/>
                <w14:textFill>
                  <w14:solidFill>
                    <w14:schemeClr w14:val="tx1"/>
                  </w14:solidFill>
                </w14:textFill>
              </w:rPr>
              <w:t>19216</w:t>
            </w:r>
            <w:r>
              <w:rPr>
                <w:rFonts w:hint="default" w:ascii="Times New Roman" w:hAnsi="Times New Roman" w:cs="Times New Roman"/>
                <w:color w:val="000000" w:themeColor="text1"/>
                <w:highlight w:val="none"/>
                <w14:textFill>
                  <w14:solidFill>
                    <w14:schemeClr w14:val="tx1"/>
                  </w14:solidFill>
                </w14:textFill>
              </w:rPr>
              <w:t xml:space="preserve"> </w:t>
            </w:r>
            <w:bookmarkStart w:id="141" w:name="OLE_LINK26"/>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w:t>
            </w:r>
            <w:bookmarkEnd w:id="141"/>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6</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eastAsia="zh-CN"/>
                <w14:textFill>
                  <w14:solidFill>
                    <w14:schemeClr w14:val="tx1"/>
                  </w14:solidFill>
                </w14:textFill>
              </w:rPr>
              <w:t>.0533</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/d）。软水制备废水和锅炉排污水属于清洁下水，</w:t>
            </w:r>
            <w:r>
              <w:rPr>
                <w:rFonts w:hint="eastAsia" w:cs="Times New Roman"/>
                <w:color w:val="000000" w:themeColor="text1"/>
                <w:highlight w:val="none"/>
                <w:lang w:val="en-US" w:eastAsia="zh-CN"/>
                <w14:textFill>
                  <w14:solidFill>
                    <w14:schemeClr w14:val="tx1"/>
                  </w14:solidFill>
                </w14:textFill>
              </w:rPr>
              <w:t>COD、氨氮、总磷参照现有项目废水污染物排放浓度计算</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u w:val="single"/>
                <w14:textFill>
                  <w14:solidFill>
                    <w14:schemeClr w14:val="tx1"/>
                  </w14:solidFill>
                </w14:textFill>
              </w:rPr>
              <w:t>COD、氨氮、SS</w:t>
            </w:r>
            <w:r>
              <w:rPr>
                <w:rFonts w:hint="eastAsia" w:cs="Times New Roman"/>
                <w:color w:val="000000" w:themeColor="text1"/>
                <w:sz w:val="24"/>
                <w:szCs w:val="24"/>
                <w:highlight w:val="none"/>
                <w:u w:val="single"/>
                <w:lang w:eastAsia="zh-CN"/>
                <w14:textFill>
                  <w14:solidFill>
                    <w14:schemeClr w14:val="tx1"/>
                  </w14:solidFill>
                </w14:textFill>
              </w:rPr>
              <w:t>、</w:t>
            </w:r>
            <w:r>
              <w:rPr>
                <w:rFonts w:hint="eastAsia" w:cs="Times New Roman"/>
                <w:i w:val="0"/>
                <w:iCs w:val="0"/>
                <w:color w:val="000000" w:themeColor="text1"/>
                <w:kern w:val="0"/>
                <w:sz w:val="24"/>
                <w:szCs w:val="24"/>
                <w:highlight w:val="none"/>
                <w:u w:val="single"/>
                <w:lang w:val="en-US" w:eastAsia="zh-CN" w:bidi="ar"/>
                <w14:textFill>
                  <w14:solidFill>
                    <w14:schemeClr w14:val="tx1"/>
                  </w14:solidFill>
                </w14:textFill>
                <w14:ligatures w14:val="standardContextual"/>
              </w:rPr>
              <w:t>总磷</w:t>
            </w:r>
            <w:r>
              <w:rPr>
                <w:rFonts w:hint="default" w:ascii="Times New Roman" w:hAnsi="Times New Roman" w:cs="Times New Roman"/>
                <w:color w:val="000000" w:themeColor="text1"/>
                <w:sz w:val="24"/>
                <w:szCs w:val="24"/>
                <w:highlight w:val="none"/>
                <w:u w:val="single"/>
                <w14:textFill>
                  <w14:solidFill>
                    <w14:schemeClr w14:val="tx1"/>
                  </w14:solidFill>
                </w14:textFill>
              </w:rPr>
              <w:t>分别为</w:t>
            </w:r>
            <w:r>
              <w:rPr>
                <w:rFonts w:hint="default"/>
                <w:color w:val="000000" w:themeColor="text1"/>
                <w:sz w:val="24"/>
                <w:szCs w:val="24"/>
                <w:highlight w:val="none"/>
                <w:u w:val="single"/>
                <w:lang w:val="en-US" w:eastAsia="zh-CN"/>
                <w14:textFill>
                  <w14:solidFill>
                    <w14:schemeClr w14:val="tx1"/>
                  </w14:solidFill>
                </w14:textFill>
                <w14:ligatures w14:val="standardContextual"/>
              </w:rPr>
              <w:t>16.0</w:t>
            </w:r>
            <w:r>
              <w:rPr>
                <w:rFonts w:hint="default" w:ascii="Times New Roman" w:hAnsi="Times New Roman" w:cs="Times New Roman"/>
                <w:color w:val="000000" w:themeColor="text1"/>
                <w:sz w:val="24"/>
                <w:szCs w:val="24"/>
                <w:highlight w:val="none"/>
                <w:u w:val="single"/>
                <w14:textFill>
                  <w14:solidFill>
                    <w14:schemeClr w14:val="tx1"/>
                  </w14:solidFill>
                </w14:textFill>
              </w:rPr>
              <w:t>mg/L、</w:t>
            </w:r>
            <w:bookmarkStart w:id="142" w:name="OLE_LINK14"/>
            <w:r>
              <w:rPr>
                <w:rFonts w:hint="default"/>
                <w:color w:val="000000" w:themeColor="text1"/>
                <w:sz w:val="24"/>
                <w:szCs w:val="24"/>
                <w:highlight w:val="none"/>
                <w:u w:val="single"/>
                <w:lang w:val="en-US" w:eastAsia="zh-CN"/>
                <w14:textFill>
                  <w14:solidFill>
                    <w14:schemeClr w14:val="tx1"/>
                  </w14:solidFill>
                </w14:textFill>
                <w14:ligatures w14:val="standardContextual"/>
              </w:rPr>
              <w:t>0.504</w:t>
            </w:r>
            <w:r>
              <w:rPr>
                <w:rFonts w:hint="default" w:ascii="Times New Roman" w:hAnsi="Times New Roman" w:cs="Times New Roman"/>
                <w:color w:val="000000" w:themeColor="text1"/>
                <w:sz w:val="24"/>
                <w:szCs w:val="24"/>
                <w:highlight w:val="none"/>
                <w:u w:val="single"/>
                <w14:textFill>
                  <w14:solidFill>
                    <w14:schemeClr w14:val="tx1"/>
                  </w14:solidFill>
                </w14:textFill>
              </w:rPr>
              <w:t>mg/L</w:t>
            </w:r>
            <w:bookmarkEnd w:id="142"/>
            <w:r>
              <w:rPr>
                <w:rFonts w:hint="default" w:ascii="Times New Roman" w:hAnsi="Times New Roman" w:cs="Times New Roman"/>
                <w:color w:val="000000" w:themeColor="text1"/>
                <w:sz w:val="24"/>
                <w:szCs w:val="24"/>
                <w:highlight w:val="none"/>
                <w:u w:val="single"/>
                <w14:textFill>
                  <w14:solidFill>
                    <w14:schemeClr w14:val="tx1"/>
                  </w14:solidFill>
                </w14:textFill>
              </w:rPr>
              <w:t>、</w:t>
            </w:r>
            <w:r>
              <w:rPr>
                <w:rFonts w:hint="default" w:ascii="Times New Roman" w:hAnsi="Times New Roman" w:eastAsia="宋体" w:cs="Times New Roman"/>
                <w:i w:val="0"/>
                <w:iCs w:val="0"/>
                <w:color w:val="000000" w:themeColor="text1"/>
                <w:kern w:val="0"/>
                <w:sz w:val="24"/>
                <w:szCs w:val="24"/>
                <w:highlight w:val="none"/>
                <w:u w:val="single"/>
                <w:lang w:val="en-US" w:eastAsia="zh-CN" w:bidi="ar"/>
                <w14:textFill>
                  <w14:solidFill>
                    <w14:schemeClr w14:val="tx1"/>
                  </w14:solidFill>
                </w14:textFill>
                <w14:ligatures w14:val="standardContextual"/>
              </w:rPr>
              <w:t>30</w:t>
            </w:r>
            <w:r>
              <w:rPr>
                <w:rFonts w:hint="default" w:ascii="Times New Roman" w:hAnsi="Times New Roman" w:cs="Times New Roman"/>
                <w:color w:val="000000" w:themeColor="text1"/>
                <w:sz w:val="24"/>
                <w:szCs w:val="24"/>
                <w:highlight w:val="none"/>
                <w:u w:val="single"/>
                <w14:textFill>
                  <w14:solidFill>
                    <w14:schemeClr w14:val="tx1"/>
                  </w14:solidFill>
                </w14:textFill>
              </w:rPr>
              <w:t>mg/L</w:t>
            </w:r>
            <w:r>
              <w:rPr>
                <w:rFonts w:hint="eastAsia" w:cs="Times New Roman"/>
                <w:color w:val="000000" w:themeColor="text1"/>
                <w:sz w:val="24"/>
                <w:szCs w:val="24"/>
                <w:highlight w:val="none"/>
                <w:u w:val="single"/>
                <w:lang w:eastAsia="zh-CN"/>
                <w14:textFill>
                  <w14:solidFill>
                    <w14:schemeClr w14:val="tx1"/>
                  </w14:solidFill>
                </w14:textFill>
              </w:rPr>
              <w:t>、</w:t>
            </w:r>
            <w:r>
              <w:rPr>
                <w:rFonts w:hint="eastAsia" w:cs="Times New Roman"/>
                <w:i w:val="0"/>
                <w:iCs w:val="0"/>
                <w:color w:val="000000" w:themeColor="text1"/>
                <w:kern w:val="0"/>
                <w:sz w:val="21"/>
                <w:szCs w:val="21"/>
                <w:highlight w:val="none"/>
                <w:u w:val="single"/>
                <w:lang w:val="en-US" w:eastAsia="zh-CN" w:bidi="ar"/>
                <w14:textFill>
                  <w14:solidFill>
                    <w14:schemeClr w14:val="tx1"/>
                  </w14:solidFill>
                </w14:textFill>
                <w14:ligatures w14:val="standardContextual"/>
              </w:rPr>
              <w:t>0.22</w:t>
            </w:r>
            <w:r>
              <w:rPr>
                <w:rFonts w:hint="default" w:ascii="Times New Roman" w:hAnsi="Times New Roman" w:cs="Times New Roman"/>
                <w:color w:val="000000" w:themeColor="text1"/>
                <w:sz w:val="24"/>
                <w:szCs w:val="24"/>
                <w:highlight w:val="none"/>
                <w:u w:val="single"/>
                <w14:textFill>
                  <w14:solidFill>
                    <w14:schemeClr w14:val="tx1"/>
                  </w14:solidFill>
                </w14:textFill>
              </w:rPr>
              <w:t>mg/L，</w:t>
            </w:r>
            <w:r>
              <w:rPr>
                <w:rFonts w:hint="default" w:ascii="Times New Roman" w:hAnsi="Times New Roman" w:cs="Times New Roman"/>
                <w:color w:val="000000" w:themeColor="text1"/>
                <w:sz w:val="24"/>
                <w:szCs w:val="24"/>
                <w:highlight w:val="none"/>
                <w14:textFill>
                  <w14:solidFill>
                    <w14:schemeClr w14:val="tx1"/>
                  </w14:solidFill>
                </w14:textFill>
              </w:rPr>
              <w:t>可直接经园区污水管网进入大榄坪污水处理厂处理。</w:t>
            </w:r>
          </w:p>
          <w:p w14:paraId="026F71DF">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3、废水治理设施可行性分析</w:t>
            </w:r>
            <w:bookmarkEnd w:id="139"/>
          </w:p>
          <w:p w14:paraId="3DB45D9B">
            <w:pPr>
              <w:pStyle w:val="4"/>
              <w:ind w:firstLine="480"/>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本项目产生运营期主要的废水污染为锅炉废水、蒸汽锅炉配套软水制备过程中产生的浓水，均属于清洁下水</w:t>
            </w:r>
            <w:r>
              <w:rPr>
                <w:rFonts w:hint="eastAsia" w:cs="Times New Roman"/>
                <w:color w:val="000000" w:themeColor="text1"/>
                <w:highlight w:val="none"/>
                <w:u w:val="single"/>
                <w:lang w:eastAsia="zh-CN"/>
                <w14:textFill>
                  <w14:solidFill>
                    <w14:schemeClr w14:val="tx1"/>
                  </w14:solidFill>
                </w14:textFill>
              </w:rPr>
              <w:t>，</w:t>
            </w:r>
            <w:r>
              <w:rPr>
                <w:rFonts w:hint="eastAsia" w:cs="Times New Roman"/>
                <w:color w:val="000000" w:themeColor="text1"/>
                <w:highlight w:val="none"/>
                <w:u w:val="single"/>
                <w:lang w:val="en-US" w:eastAsia="zh-CN"/>
                <w14:textFill>
                  <w14:solidFill>
                    <w14:schemeClr w14:val="tx1"/>
                  </w14:solidFill>
                </w14:textFill>
              </w:rPr>
              <w:t>污染物浓度较低</w:t>
            </w:r>
            <w:r>
              <w:rPr>
                <w:rFonts w:hint="default" w:ascii="Times New Roman" w:hAnsi="Times New Roman" w:cs="Times New Roman"/>
                <w:color w:val="000000" w:themeColor="text1"/>
                <w:highlight w:val="none"/>
                <w:u w:val="single"/>
                <w14:textFill>
                  <w14:solidFill>
                    <w14:schemeClr w14:val="tx1"/>
                  </w14:solidFill>
                </w14:textFill>
              </w:rPr>
              <w:t>可直接排入污水管网。</w:t>
            </w:r>
          </w:p>
          <w:p w14:paraId="32F2BB5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综上所述，故本项目废水治理措施可行。</w:t>
            </w:r>
          </w:p>
          <w:p w14:paraId="0B88BFB6">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4、依托园区污水处理厂可行性分析</w:t>
            </w:r>
          </w:p>
          <w:p w14:paraId="502E3C29">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大榄坪污水处理厂位于钦州港大榄坪综合物流加工区内（四号路与第八大街交汇处），服务范围110km</w:t>
            </w:r>
            <w:r>
              <w:rPr>
                <w:rFonts w:hint="default" w:ascii="Times New Roman" w:hAnsi="Times New Roman" w:cs="Times New Roman"/>
                <w:color w:val="000000" w:themeColor="text1"/>
                <w:highlight w:val="none"/>
                <w:vertAlign w:val="super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，包括钦州保税港区、钦州港行政商务中心、大榄坪综合物流加工区、</w:t>
            </w:r>
            <w:bookmarkStart w:id="143" w:name="OLE_LINK248"/>
            <w:r>
              <w:rPr>
                <w:rFonts w:hint="default" w:ascii="Times New Roman" w:hAnsi="Times New Roman" w:cs="Times New Roman"/>
                <w:color w:val="000000" w:themeColor="text1"/>
                <w:highlight w:val="none"/>
                <w14:textFill>
                  <w14:solidFill>
                    <w14:schemeClr w14:val="tx1"/>
                  </w14:solidFill>
                </w14:textFill>
              </w:rPr>
              <w:t>中马钦州产业园区</w:t>
            </w:r>
            <w:bookmarkEnd w:id="143"/>
            <w:r>
              <w:rPr>
                <w:rFonts w:hint="default" w:ascii="Times New Roman" w:hAnsi="Times New Roman" w:cs="Times New Roman"/>
                <w:color w:val="000000" w:themeColor="text1"/>
                <w:highlight w:val="none"/>
                <w14:textFill>
                  <w14:solidFill>
                    <w14:schemeClr w14:val="tx1"/>
                  </w14:solidFill>
                </w14:textFill>
              </w:rPr>
              <w:t>、钦南进出口加工区等，近远期设计处理规模分别为5万m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/d、远期为20万m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/d，现处理量在2万m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/d以内，采用“A</w:t>
            </w:r>
            <w:r>
              <w:rPr>
                <w:rFonts w:hint="default" w:ascii="Times New Roman" w:hAnsi="Times New Roman" w:cs="Times New Roman"/>
                <w:color w:val="000000" w:themeColor="text1"/>
                <w:highlight w:val="none"/>
                <w:vertAlign w:val="super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/O微曝氧化沟+化学辅助除磷”处理工艺，出水排放标准执行《城镇污水处理厂污染物排放标准》（GB18918-2002）一级A标准，尾水排入钦州海域。根据企业自行监测信息公示结果、竣工环保验收，尾水能达标排放。</w:t>
            </w:r>
          </w:p>
          <w:p w14:paraId="2A98357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本项目位于中马钦州产业园区内，属于大榄坪污水处理厂服务范围，园区污水</w:t>
            </w:r>
            <w:r>
              <w:rPr>
                <w:rFonts w:hint="default" w:ascii="Times New Roman" w:hAnsi="Times New Roman" w:cs="Times New Roman"/>
                <w:color w:val="000000" w:themeColor="text1"/>
                <w:highlight w:val="none"/>
                <w:lang w:val="en-US" w:eastAsia="zh-CN"/>
                <w14:textFill>
                  <w14:solidFill>
                    <w14:schemeClr w14:val="tx1"/>
                  </w14:solidFill>
                </w14:textFill>
              </w:rPr>
              <w:t>经过</w:t>
            </w:r>
            <w:r>
              <w:rPr>
                <w:rFonts w:hint="default" w:ascii="Times New Roman" w:hAnsi="Times New Roman" w:cs="Times New Roman"/>
                <w:color w:val="000000" w:themeColor="text1"/>
                <w:highlight w:val="none"/>
                <w14:textFill>
                  <w14:solidFill>
                    <w14:schemeClr w14:val="tx1"/>
                  </w14:solidFill>
                </w14:textFill>
              </w:rPr>
              <w:t>管网建成后通过市政污水管网流入大榄坪污水处理厂。项目废水排放量约为</w:t>
            </w:r>
            <w:r>
              <w:rPr>
                <w:rFonts w:hint="default" w:ascii="Times New Roman" w:hAnsi="Times New Roman" w:cs="Times New Roman"/>
                <w:color w:val="000000" w:themeColor="text1"/>
                <w:highlight w:val="none"/>
                <w:lang w:eastAsia="zh-CN"/>
                <w14:textFill>
                  <w14:solidFill>
                    <w14:schemeClr w14:val="tx1"/>
                  </w14:solidFill>
                </w14:textFill>
              </w:rPr>
              <w:t>192</w:t>
            </w:r>
            <w:r>
              <w:rPr>
                <w:rFonts w:hint="eastAsia" w:cs="Times New Roman"/>
                <w:color w:val="000000" w:themeColor="text1"/>
                <w:highlight w:val="none"/>
                <w:lang w:val="en-US" w:eastAsia="zh-CN"/>
                <w14:textFill>
                  <w14:solidFill>
                    <w14:schemeClr w14:val="tx1"/>
                  </w14:solidFill>
                </w14:textFill>
              </w:rPr>
              <w:t>16</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/a，折合</w:t>
            </w:r>
            <w:r>
              <w:rPr>
                <w:rFonts w:hint="default" w:ascii="Times New Roman" w:hAnsi="Times New Roman" w:cs="Times New Roman"/>
                <w:color w:val="000000" w:themeColor="text1"/>
                <w:highlight w:val="none"/>
                <w:lang w:val="en-US" w:eastAsia="zh-CN"/>
                <w14:textFill>
                  <w14:solidFill>
                    <w14:schemeClr w14:val="tx1"/>
                  </w14:solidFill>
                </w14:textFill>
              </w:rPr>
              <w:t>6</w:t>
            </w:r>
            <w:r>
              <w:rPr>
                <w:rFonts w:hint="eastAsia"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lang w:val="en-US" w:eastAsia="zh-CN"/>
                <w14:textFill>
                  <w14:solidFill>
                    <w14:schemeClr w14:val="tx1"/>
                  </w14:solidFill>
                </w14:textFill>
              </w:rPr>
              <w:t>.0533</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/d，占大榄坪污水处理厂剩余处理能力的</w:t>
            </w:r>
            <w:r>
              <w:rPr>
                <w:rFonts w:hint="default" w:ascii="Times New Roman" w:hAnsi="Times New Roman" w:cs="Times New Roman"/>
                <w:color w:val="000000" w:themeColor="text1"/>
                <w:highlight w:val="none"/>
                <w:lang w:val="en-US" w:eastAsia="zh-CN"/>
                <w14:textFill>
                  <w14:solidFill>
                    <w14:schemeClr w14:val="tx1"/>
                  </w14:solidFill>
                </w14:textFill>
              </w:rPr>
              <w:t>0.2</w:t>
            </w:r>
            <w:r>
              <w:rPr>
                <w:rFonts w:hint="default" w:ascii="Times New Roman" w:hAnsi="Times New Roman" w:cs="Times New Roman"/>
                <w:color w:val="000000" w:themeColor="text1"/>
                <w:highlight w:val="none"/>
                <w14:textFill>
                  <w14:solidFill>
                    <w14:schemeClr w14:val="tx1"/>
                  </w14:solidFill>
                </w14:textFill>
              </w:rPr>
              <w:t>%，基本不会对大榄坪污水处理厂处理负荷产生冲击。项目外排废水属于清洁下水，水质能满足大榄坪污水处理厂纳管标准要求，对大榄坪污水处理厂尾水达标排放影响小。可见，项目废水依托大榄坪污水处理厂处理可行。项目不直接排放废水，对地表水环境无明显影响。</w:t>
            </w:r>
          </w:p>
          <w:p w14:paraId="62414448">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5、自行监测要求</w:t>
            </w:r>
          </w:p>
          <w:p w14:paraId="5803E619">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根据《排污许可证申请与核发技术规范 锅炉》(HJ 953-2018)、《排污单位自行监测技术指南 火力发电及锅炉》(HJ820-2017)等要求，制定以下监测计划。</w:t>
            </w:r>
          </w:p>
          <w:p w14:paraId="67181FF9">
            <w:pPr>
              <w:pStyle w:val="34"/>
              <w:rPr>
                <w:rFonts w:hint="default" w:ascii="Times New Roman" w:hAnsi="Times New Roman" w:cs="Times New Roman"/>
                <w:color w:val="000000" w:themeColor="text1"/>
                <w:highlight w:val="none"/>
                <w14:textFill>
                  <w14:solidFill>
                    <w14:schemeClr w14:val="tx1"/>
                  </w14:solidFill>
                </w14:textFill>
              </w:rPr>
            </w:pPr>
            <w:bookmarkStart w:id="144" w:name="_Ref176954282"/>
            <w:r>
              <w:rPr>
                <w:rFonts w:hint="default" w:ascii="Times New Roman" w:hAnsi="Times New Roman" w:cs="Times New Roman"/>
                <w:color w:val="000000" w:themeColor="text1"/>
                <w:highlight w:val="none"/>
                <w14:textFill>
                  <w14:solidFill>
                    <w14:schemeClr w14:val="tx1"/>
                  </w14:solidFill>
                </w14:textFill>
              </w:rPr>
              <w:t xml:space="preserve">表4- </w:t>
            </w:r>
            <w:r>
              <w:rPr>
                <w:rFonts w:hint="default" w:ascii="Times New Roman" w:hAnsi="Times New Roman" w:cs="Times New Roman"/>
                <w:color w:val="000000" w:themeColor="text1"/>
                <w:highlight w:val="none"/>
                <w:lang w:val="en-US" w:eastAsia="zh-CN"/>
                <w14:textFill>
                  <w14:solidFill>
                    <w14:schemeClr w14:val="tx1"/>
                  </w14:solidFill>
                </w14:textFill>
              </w:rPr>
              <w:t>12</w:t>
            </w:r>
            <w:r>
              <w:rPr>
                <w:rFonts w:hint="default" w:ascii="Times New Roman" w:hAnsi="Times New Roman" w:cs="Times New Roman"/>
                <w:color w:val="000000" w:themeColor="text1"/>
                <w:highlight w:val="none"/>
                <w14:textFill>
                  <w14:solidFill>
                    <w14:schemeClr w14:val="tx1"/>
                  </w14:solidFill>
                </w14:textFill>
              </w:rPr>
              <w:t>：废水监测计划</w:t>
            </w:r>
            <w:bookmarkEnd w:id="144"/>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728"/>
              <w:gridCol w:w="5119"/>
              <w:gridCol w:w="1594"/>
            </w:tblGrid>
            <w:tr w14:paraId="1C0E5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24" w:type="pct"/>
                  <w:tcBorders>
                    <w:insideH w:val="single" w:sz="12" w:space="0"/>
                    <w:insideV w:val="single" w:sz="4" w:space="0"/>
                    <w:tl2br w:val="nil"/>
                    <w:tr2bl w:val="nil"/>
                  </w:tcBorders>
                  <w:vAlign w:val="center"/>
                </w:tcPr>
                <w:p w14:paraId="6D98C74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监测点位</w:t>
                  </w:r>
                </w:p>
              </w:tc>
              <w:tc>
                <w:tcPr>
                  <w:tcW w:w="3032" w:type="pct"/>
                  <w:tcBorders>
                    <w:insideH w:val="single" w:sz="12" w:space="0"/>
                    <w:insideV w:val="single" w:sz="4" w:space="0"/>
                    <w:tl2br w:val="nil"/>
                    <w:tr2bl w:val="nil"/>
                  </w:tcBorders>
                  <w:vAlign w:val="center"/>
                </w:tcPr>
                <w:p w14:paraId="2FAC61B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监测项目</w:t>
                  </w:r>
                </w:p>
              </w:tc>
              <w:tc>
                <w:tcPr>
                  <w:tcW w:w="945" w:type="pct"/>
                  <w:tcBorders>
                    <w:insideH w:val="single" w:sz="12" w:space="0"/>
                    <w:insideV w:val="single" w:sz="4" w:space="0"/>
                    <w:tl2br w:val="nil"/>
                    <w:tr2bl w:val="nil"/>
                  </w:tcBorders>
                  <w:vAlign w:val="center"/>
                </w:tcPr>
                <w:p w14:paraId="3359D81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最低监测频次</w:t>
                  </w:r>
                </w:p>
              </w:tc>
            </w:tr>
            <w:tr w14:paraId="1B8B6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024" w:type="pct"/>
                  <w:tcBorders>
                    <w:insideH w:val="single" w:sz="12" w:space="0"/>
                    <w:tl2br w:val="nil"/>
                    <w:tr2bl w:val="nil"/>
                  </w:tcBorders>
                  <w:vAlign w:val="center"/>
                </w:tcPr>
                <w:p w14:paraId="268EED09">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DW001</w:t>
                  </w:r>
                </w:p>
              </w:tc>
              <w:tc>
                <w:tcPr>
                  <w:tcW w:w="3032" w:type="pct"/>
                  <w:tcBorders>
                    <w:insideH w:val="single" w:sz="12" w:space="0"/>
                    <w:tl2br w:val="nil"/>
                    <w:tr2bl w:val="nil"/>
                  </w:tcBorders>
                  <w:vAlign w:val="center"/>
                </w:tcPr>
                <w:p w14:paraId="5286D3A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流量、pH、COD、BOD</w:t>
                  </w:r>
                  <w:r>
                    <w:rPr>
                      <w:rFonts w:hint="default" w:ascii="Times New Roman" w:hAnsi="Times New Roman" w:cs="Times New Roman"/>
                      <w:color w:val="000000" w:themeColor="text1"/>
                      <w:highlight w:val="none"/>
                      <w:vertAlign w:val="subscript"/>
                      <w14:textFill>
                        <w14:solidFill>
                          <w14:schemeClr w14:val="tx1"/>
                        </w14:solidFill>
                      </w14:textFill>
                      <w14:ligatures w14:val="standardContextual"/>
                    </w:rPr>
                    <w:t>5</w:t>
                  </w:r>
                  <w:r>
                    <w:rPr>
                      <w:rFonts w:hint="default" w:ascii="Times New Roman" w:hAnsi="Times New Roman" w:cs="Times New Roman"/>
                      <w:color w:val="000000" w:themeColor="text1"/>
                      <w:highlight w:val="none"/>
                      <w14:textFill>
                        <w14:solidFill>
                          <w14:schemeClr w14:val="tx1"/>
                        </w14:solidFill>
                      </w14:textFill>
                      <w14:ligatures w14:val="standardContextual"/>
                    </w:rPr>
                    <w:t>、SS、氨氮、总磷、总氮</w:t>
                  </w:r>
                </w:p>
              </w:tc>
              <w:tc>
                <w:tcPr>
                  <w:tcW w:w="945" w:type="pct"/>
                  <w:tcBorders>
                    <w:insideH w:val="single" w:sz="12" w:space="0"/>
                    <w:tl2br w:val="nil"/>
                    <w:tr2bl w:val="nil"/>
                  </w:tcBorders>
                  <w:vAlign w:val="center"/>
                </w:tcPr>
                <w:p w14:paraId="4EF511A9">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1次/月</w:t>
                  </w:r>
                </w:p>
              </w:tc>
            </w:tr>
          </w:tbl>
          <w:p w14:paraId="3B1FD75B">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6、废水环境影响结论</w:t>
            </w:r>
          </w:p>
          <w:p w14:paraId="583BB79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本项目污水采用上述措施进行处理是可行的，项目产生的污水对周边地表水环境影响较小，可满足环境管理要求。</w:t>
            </w:r>
          </w:p>
          <w:p w14:paraId="5400E30E">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三、噪声</w:t>
            </w:r>
          </w:p>
          <w:p w14:paraId="33F9FA2A">
            <w:pP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1、声源情况</w:t>
            </w:r>
          </w:p>
          <w:p w14:paraId="3F1832A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运营期噪声主要来源于车间内的锅炉本体、鼓风机、引风机、补水泵等各类机械设备，类比同类型企业，主要设备噪声值约80~90dB(A)。项目噪声源较高，</w:t>
            </w:r>
            <w:r>
              <w:rPr>
                <w:rFonts w:hint="default" w:ascii="Times New Roman" w:hAnsi="Times New Roman" w:cs="Times New Roman"/>
                <w:b/>
                <w:bCs/>
                <w:color w:val="000000" w:themeColor="text1"/>
                <w:highlight w:val="none"/>
                <w14:textFill>
                  <w14:solidFill>
                    <w14:schemeClr w14:val="tx1"/>
                  </w14:solidFill>
                </w14:textFill>
              </w:rPr>
              <w:t>但都安置在厂房内。</w:t>
            </w:r>
            <w:r>
              <w:rPr>
                <w:rFonts w:hint="default" w:ascii="Times New Roman" w:hAnsi="Times New Roman" w:cs="Times New Roman"/>
                <w:color w:val="000000" w:themeColor="text1"/>
                <w:highlight w:val="none"/>
                <w14:textFill>
                  <w14:solidFill>
                    <w14:schemeClr w14:val="tx1"/>
                  </w14:solidFill>
                </w14:textFill>
              </w:rPr>
              <w:t>为减轻噪声对环境的影响，本环评要求选用低噪声动力设备与机械设备，高噪声设备安装减震垫；运行时对设备进行维护，确保设备运转正常，避免故障运行的情况。</w:t>
            </w:r>
          </w:p>
          <w:p w14:paraId="604F13E4">
            <w:pPr>
              <w:pStyle w:val="34"/>
              <w:rPr>
                <w:rFonts w:hint="default" w:ascii="Times New Roman" w:hAnsi="Times New Roman" w:cs="Times New Roman"/>
                <w:color w:val="000000" w:themeColor="text1"/>
                <w:highlight w:val="none"/>
                <w14:textFill>
                  <w14:solidFill>
                    <w14:schemeClr w14:val="tx1"/>
                  </w14:solidFill>
                </w14:textFill>
              </w:rPr>
            </w:pPr>
            <w:bookmarkStart w:id="145" w:name="_Ref176952915"/>
            <w:r>
              <w:rPr>
                <w:rFonts w:hint="default" w:ascii="Times New Roman" w:hAnsi="Times New Roman" w:cs="Times New Roman"/>
                <w:color w:val="000000" w:themeColor="text1"/>
                <w:highlight w:val="none"/>
                <w14:textFill>
                  <w14:solidFill>
                    <w14:schemeClr w14:val="tx1"/>
                  </w14:solidFill>
                </w14:textFill>
              </w:rPr>
              <w:t>表4- 1</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：工业企业噪声源强调查清单（室内声源）</w:t>
            </w:r>
            <w:bookmarkEnd w:id="145"/>
          </w:p>
          <w:tbl>
            <w:tblPr>
              <w:tblStyle w:val="16"/>
              <w:tblW w:w="0" w:type="auto"/>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83"/>
              <w:gridCol w:w="383"/>
              <w:gridCol w:w="383"/>
              <w:gridCol w:w="693"/>
              <w:gridCol w:w="549"/>
              <w:gridCol w:w="582"/>
              <w:gridCol w:w="499"/>
              <w:gridCol w:w="415"/>
              <w:gridCol w:w="384"/>
              <w:gridCol w:w="384"/>
              <w:gridCol w:w="384"/>
              <w:gridCol w:w="384"/>
              <w:gridCol w:w="384"/>
              <w:gridCol w:w="694"/>
              <w:gridCol w:w="384"/>
              <w:gridCol w:w="384"/>
              <w:gridCol w:w="384"/>
              <w:gridCol w:w="384"/>
              <w:gridCol w:w="384"/>
            </w:tblGrid>
            <w:tr w14:paraId="45F5A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3" w:type="dxa"/>
                  <w:vMerge w:val="restart"/>
                  <w:tcBorders>
                    <w:tl2br w:val="nil"/>
                    <w:tr2bl w:val="nil"/>
                  </w:tcBorders>
                  <w:shd w:val="clear" w:color="auto" w:fill="auto"/>
                  <w:vAlign w:val="center"/>
                </w:tcPr>
                <w:p w14:paraId="18994B1C">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序号</w:t>
                  </w:r>
                </w:p>
              </w:tc>
              <w:tc>
                <w:tcPr>
                  <w:tcW w:w="383" w:type="dxa"/>
                  <w:vMerge w:val="restart"/>
                  <w:tcBorders>
                    <w:tl2br w:val="nil"/>
                    <w:tr2bl w:val="nil"/>
                  </w:tcBorders>
                  <w:shd w:val="clear" w:color="auto" w:fill="auto"/>
                  <w:vAlign w:val="center"/>
                </w:tcPr>
                <w:p w14:paraId="77CD6646">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建筑物名称</w:t>
                  </w:r>
                </w:p>
              </w:tc>
              <w:tc>
                <w:tcPr>
                  <w:tcW w:w="383" w:type="dxa"/>
                  <w:vMerge w:val="restart"/>
                  <w:tcBorders>
                    <w:tl2br w:val="nil"/>
                    <w:tr2bl w:val="nil"/>
                  </w:tcBorders>
                  <w:shd w:val="clear" w:color="auto" w:fill="auto"/>
                  <w:vAlign w:val="center"/>
                </w:tcPr>
                <w:p w14:paraId="0065E3CC">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声源名称</w:t>
                  </w:r>
                </w:p>
              </w:tc>
              <w:tc>
                <w:tcPr>
                  <w:tcW w:w="693" w:type="dxa"/>
                  <w:tcBorders>
                    <w:tl2br w:val="nil"/>
                    <w:tr2bl w:val="nil"/>
                  </w:tcBorders>
                  <w:shd w:val="clear" w:color="auto" w:fill="auto"/>
                  <w:vAlign w:val="center"/>
                </w:tcPr>
                <w:p w14:paraId="2C5244B9">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声源源强</w:t>
                  </w:r>
                </w:p>
              </w:tc>
              <w:tc>
                <w:tcPr>
                  <w:tcW w:w="549" w:type="dxa"/>
                  <w:vMerge w:val="restart"/>
                  <w:tcBorders>
                    <w:tl2br w:val="nil"/>
                    <w:tr2bl w:val="nil"/>
                  </w:tcBorders>
                  <w:shd w:val="clear" w:color="auto" w:fill="auto"/>
                  <w:vAlign w:val="center"/>
                </w:tcPr>
                <w:p w14:paraId="63E81929">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声源控制措施</w:t>
                  </w:r>
                </w:p>
              </w:tc>
              <w:tc>
                <w:tcPr>
                  <w:tcW w:w="1496" w:type="dxa"/>
                  <w:gridSpan w:val="3"/>
                  <w:tcBorders>
                    <w:tl2br w:val="nil"/>
                    <w:tr2bl w:val="nil"/>
                  </w:tcBorders>
                  <w:shd w:val="clear" w:color="auto" w:fill="auto"/>
                  <w:vAlign w:val="center"/>
                </w:tcPr>
                <w:p w14:paraId="5769E75F">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空间相对位置/m</w:t>
                  </w:r>
                </w:p>
              </w:tc>
              <w:tc>
                <w:tcPr>
                  <w:tcW w:w="1536" w:type="dxa"/>
                  <w:gridSpan w:val="4"/>
                  <w:tcBorders>
                    <w:tl2br w:val="nil"/>
                    <w:tr2bl w:val="nil"/>
                  </w:tcBorders>
                  <w:shd w:val="clear" w:color="auto" w:fill="auto"/>
                  <w:vAlign w:val="center"/>
                </w:tcPr>
                <w:p w14:paraId="22B33C71">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室内边界声级/dB(A)</w:t>
                  </w:r>
                </w:p>
              </w:tc>
              <w:tc>
                <w:tcPr>
                  <w:tcW w:w="384" w:type="dxa"/>
                  <w:vMerge w:val="restart"/>
                  <w:tcBorders>
                    <w:tl2br w:val="nil"/>
                    <w:tr2bl w:val="nil"/>
                  </w:tcBorders>
                  <w:shd w:val="clear" w:color="auto" w:fill="auto"/>
                  <w:vAlign w:val="center"/>
                </w:tcPr>
                <w:p w14:paraId="76C8E0A0">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运行时段</w:t>
                  </w:r>
                </w:p>
              </w:tc>
              <w:tc>
                <w:tcPr>
                  <w:tcW w:w="694" w:type="dxa"/>
                  <w:vMerge w:val="restart"/>
                  <w:tcBorders>
                    <w:tl2br w:val="nil"/>
                    <w:tr2bl w:val="nil"/>
                  </w:tcBorders>
                  <w:shd w:val="clear" w:color="auto" w:fill="auto"/>
                  <w:vAlign w:val="center"/>
                </w:tcPr>
                <w:p w14:paraId="74F7F377">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建筑物插入损失/dB(A)</w:t>
                  </w:r>
                </w:p>
              </w:tc>
              <w:tc>
                <w:tcPr>
                  <w:tcW w:w="1920" w:type="dxa"/>
                  <w:gridSpan w:val="5"/>
                  <w:tcBorders>
                    <w:tl2br w:val="nil"/>
                    <w:tr2bl w:val="nil"/>
                  </w:tcBorders>
                  <w:shd w:val="clear" w:color="auto" w:fill="auto"/>
                  <w:vAlign w:val="center"/>
                </w:tcPr>
                <w:p w14:paraId="047AD05C">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建筑物外噪声声压级/dB(A)</w:t>
                  </w:r>
                </w:p>
              </w:tc>
            </w:tr>
            <w:tr w14:paraId="60B92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3" w:type="dxa"/>
                  <w:vMerge w:val="continue"/>
                  <w:tcBorders>
                    <w:tl2br w:val="nil"/>
                    <w:tr2bl w:val="nil"/>
                  </w:tcBorders>
                  <w:shd w:val="clear" w:color="auto" w:fill="auto"/>
                  <w:vAlign w:val="center"/>
                </w:tcPr>
                <w:p w14:paraId="40CE8D45">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p>
              </w:tc>
              <w:tc>
                <w:tcPr>
                  <w:tcW w:w="383" w:type="dxa"/>
                  <w:vMerge w:val="continue"/>
                  <w:tcBorders>
                    <w:tl2br w:val="nil"/>
                    <w:tr2bl w:val="nil"/>
                  </w:tcBorders>
                  <w:shd w:val="clear" w:color="auto" w:fill="auto"/>
                  <w:vAlign w:val="center"/>
                </w:tcPr>
                <w:p w14:paraId="3195123D">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p>
              </w:tc>
              <w:tc>
                <w:tcPr>
                  <w:tcW w:w="383" w:type="dxa"/>
                  <w:vMerge w:val="continue"/>
                  <w:tcBorders>
                    <w:tl2br w:val="nil"/>
                    <w:tr2bl w:val="nil"/>
                  </w:tcBorders>
                  <w:shd w:val="clear" w:color="auto" w:fill="auto"/>
                  <w:vAlign w:val="center"/>
                </w:tcPr>
                <w:p w14:paraId="059D4DC1">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p>
              </w:tc>
              <w:tc>
                <w:tcPr>
                  <w:tcW w:w="693" w:type="dxa"/>
                  <w:tcBorders>
                    <w:tl2br w:val="nil"/>
                    <w:tr2bl w:val="nil"/>
                  </w:tcBorders>
                  <w:shd w:val="clear" w:color="auto" w:fill="FFFFFF"/>
                  <w:vAlign w:val="center"/>
                </w:tcPr>
                <w:p w14:paraId="609016D6">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声功率级/dB(A)</w:t>
                  </w:r>
                </w:p>
              </w:tc>
              <w:tc>
                <w:tcPr>
                  <w:tcW w:w="549" w:type="dxa"/>
                  <w:vMerge w:val="continue"/>
                  <w:tcBorders>
                    <w:tl2br w:val="nil"/>
                    <w:tr2bl w:val="nil"/>
                  </w:tcBorders>
                  <w:shd w:val="clear" w:color="auto" w:fill="auto"/>
                  <w:vAlign w:val="center"/>
                </w:tcPr>
                <w:p w14:paraId="5CB7C686">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p>
              </w:tc>
              <w:tc>
                <w:tcPr>
                  <w:tcW w:w="582" w:type="dxa"/>
                  <w:tcBorders>
                    <w:tl2br w:val="nil"/>
                    <w:tr2bl w:val="nil"/>
                  </w:tcBorders>
                  <w:shd w:val="clear" w:color="auto" w:fill="FFFFFF"/>
                  <w:vAlign w:val="center"/>
                </w:tcPr>
                <w:p w14:paraId="461FF7AE">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X</w:t>
                  </w:r>
                </w:p>
              </w:tc>
              <w:tc>
                <w:tcPr>
                  <w:tcW w:w="499" w:type="dxa"/>
                  <w:tcBorders>
                    <w:tl2br w:val="nil"/>
                    <w:tr2bl w:val="nil"/>
                  </w:tcBorders>
                  <w:shd w:val="clear" w:color="auto" w:fill="FFFFFF"/>
                  <w:vAlign w:val="center"/>
                </w:tcPr>
                <w:p w14:paraId="0B98AB3A">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Y</w:t>
                  </w:r>
                </w:p>
              </w:tc>
              <w:tc>
                <w:tcPr>
                  <w:tcW w:w="415" w:type="dxa"/>
                  <w:tcBorders>
                    <w:tl2br w:val="nil"/>
                    <w:tr2bl w:val="nil"/>
                  </w:tcBorders>
                  <w:shd w:val="clear" w:color="auto" w:fill="FFFFFF"/>
                  <w:vAlign w:val="center"/>
                </w:tcPr>
                <w:p w14:paraId="5E3F4337">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Z</w:t>
                  </w:r>
                </w:p>
              </w:tc>
              <w:tc>
                <w:tcPr>
                  <w:tcW w:w="384" w:type="dxa"/>
                  <w:tcBorders>
                    <w:tl2br w:val="nil"/>
                    <w:tr2bl w:val="nil"/>
                  </w:tcBorders>
                  <w:shd w:val="clear" w:color="auto" w:fill="FFFFFF"/>
                  <w:vAlign w:val="center"/>
                </w:tcPr>
                <w:p w14:paraId="53B7CB45">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东</w:t>
                  </w:r>
                </w:p>
              </w:tc>
              <w:tc>
                <w:tcPr>
                  <w:tcW w:w="384" w:type="dxa"/>
                  <w:tcBorders>
                    <w:tl2br w:val="nil"/>
                    <w:tr2bl w:val="nil"/>
                  </w:tcBorders>
                  <w:shd w:val="clear" w:color="auto" w:fill="FFFFFF"/>
                  <w:vAlign w:val="center"/>
                </w:tcPr>
                <w:p w14:paraId="2310F0C2">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南</w:t>
                  </w:r>
                </w:p>
              </w:tc>
              <w:tc>
                <w:tcPr>
                  <w:tcW w:w="384" w:type="dxa"/>
                  <w:tcBorders>
                    <w:tl2br w:val="nil"/>
                    <w:tr2bl w:val="nil"/>
                  </w:tcBorders>
                  <w:shd w:val="clear" w:color="auto" w:fill="FFFFFF"/>
                  <w:vAlign w:val="center"/>
                </w:tcPr>
                <w:p w14:paraId="65C3E58D">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西</w:t>
                  </w:r>
                </w:p>
              </w:tc>
              <w:tc>
                <w:tcPr>
                  <w:tcW w:w="384" w:type="dxa"/>
                  <w:tcBorders>
                    <w:tl2br w:val="nil"/>
                    <w:tr2bl w:val="nil"/>
                  </w:tcBorders>
                  <w:shd w:val="clear" w:color="auto" w:fill="FFFFFF"/>
                  <w:vAlign w:val="center"/>
                </w:tcPr>
                <w:p w14:paraId="6AD4D4D4">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北</w:t>
                  </w:r>
                </w:p>
              </w:tc>
              <w:tc>
                <w:tcPr>
                  <w:tcW w:w="384" w:type="dxa"/>
                  <w:vMerge w:val="continue"/>
                  <w:tcBorders>
                    <w:tl2br w:val="nil"/>
                    <w:tr2bl w:val="nil"/>
                  </w:tcBorders>
                  <w:shd w:val="clear" w:color="auto" w:fill="auto"/>
                  <w:vAlign w:val="center"/>
                </w:tcPr>
                <w:p w14:paraId="0D32E5A4">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p>
              </w:tc>
              <w:tc>
                <w:tcPr>
                  <w:tcW w:w="694" w:type="dxa"/>
                  <w:vMerge w:val="continue"/>
                  <w:tcBorders>
                    <w:tl2br w:val="nil"/>
                    <w:tr2bl w:val="nil"/>
                  </w:tcBorders>
                  <w:shd w:val="clear" w:color="auto" w:fill="auto"/>
                  <w:vAlign w:val="center"/>
                </w:tcPr>
                <w:p w14:paraId="67CB397E">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p>
              </w:tc>
              <w:tc>
                <w:tcPr>
                  <w:tcW w:w="384" w:type="dxa"/>
                  <w:tcBorders>
                    <w:tl2br w:val="nil"/>
                    <w:tr2bl w:val="nil"/>
                  </w:tcBorders>
                  <w:shd w:val="clear" w:color="auto" w:fill="FFFFFF"/>
                  <w:vAlign w:val="center"/>
                </w:tcPr>
                <w:p w14:paraId="4C349B10">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东</w:t>
                  </w:r>
                </w:p>
              </w:tc>
              <w:tc>
                <w:tcPr>
                  <w:tcW w:w="384" w:type="dxa"/>
                  <w:tcBorders>
                    <w:tl2br w:val="nil"/>
                    <w:tr2bl w:val="nil"/>
                  </w:tcBorders>
                  <w:shd w:val="clear" w:color="auto" w:fill="FFFFFF"/>
                  <w:vAlign w:val="center"/>
                </w:tcPr>
                <w:p w14:paraId="7F9136B9">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南</w:t>
                  </w:r>
                </w:p>
              </w:tc>
              <w:tc>
                <w:tcPr>
                  <w:tcW w:w="384" w:type="dxa"/>
                  <w:tcBorders>
                    <w:tl2br w:val="nil"/>
                    <w:tr2bl w:val="nil"/>
                  </w:tcBorders>
                  <w:shd w:val="clear" w:color="auto" w:fill="FFFFFF"/>
                  <w:vAlign w:val="center"/>
                </w:tcPr>
                <w:p w14:paraId="04D10E09">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西</w:t>
                  </w:r>
                </w:p>
              </w:tc>
              <w:tc>
                <w:tcPr>
                  <w:tcW w:w="384" w:type="dxa"/>
                  <w:tcBorders>
                    <w:tl2br w:val="nil"/>
                    <w:tr2bl w:val="nil"/>
                  </w:tcBorders>
                  <w:shd w:val="clear" w:color="auto" w:fill="FFFFFF"/>
                  <w:vAlign w:val="center"/>
                </w:tcPr>
                <w:p w14:paraId="0A0CF92B">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北</w:t>
                  </w:r>
                </w:p>
              </w:tc>
              <w:tc>
                <w:tcPr>
                  <w:tcW w:w="384" w:type="dxa"/>
                  <w:tcBorders>
                    <w:tl2br w:val="nil"/>
                    <w:tr2bl w:val="nil"/>
                  </w:tcBorders>
                  <w:shd w:val="clear" w:color="auto" w:fill="FFFFFF"/>
                  <w:vAlign w:val="center"/>
                </w:tcPr>
                <w:p w14:paraId="742CCBD2">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b/>
                      <w:bCs/>
                      <w:color w:val="000000" w:themeColor="text1"/>
                      <w:spacing w:val="-20"/>
                      <w14:textFill>
                        <w14:solidFill>
                          <w14:schemeClr w14:val="tx1"/>
                        </w14:solidFill>
                      </w14:textFill>
                    </w:rPr>
                  </w:pPr>
                  <w:r>
                    <w:rPr>
                      <w:rFonts w:hint="default" w:ascii="Times New Roman" w:hAnsi="Times New Roman" w:cs="Times New Roman"/>
                      <w:b/>
                      <w:bCs/>
                      <w:color w:val="000000" w:themeColor="text1"/>
                      <w:spacing w:val="-20"/>
                      <w:lang w:val="en-US" w:eastAsia="zh-CN"/>
                      <w14:textFill>
                        <w14:solidFill>
                          <w14:schemeClr w14:val="tx1"/>
                        </w14:solidFill>
                      </w14:textFill>
                    </w:rPr>
                    <w:t>建筑物外距离</w:t>
                  </w:r>
                </w:p>
              </w:tc>
            </w:tr>
            <w:tr w14:paraId="1AD85A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3" w:type="dxa"/>
                  <w:tcBorders>
                    <w:tl2br w:val="nil"/>
                    <w:tr2bl w:val="nil"/>
                  </w:tcBorders>
                  <w:shd w:val="clear" w:color="auto" w:fill="FFFFFF"/>
                  <w:vAlign w:val="center"/>
                </w:tcPr>
                <w:p w14:paraId="59C68902">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1</w:t>
                  </w:r>
                </w:p>
              </w:tc>
              <w:tc>
                <w:tcPr>
                  <w:tcW w:w="383" w:type="dxa"/>
                  <w:vMerge w:val="restart"/>
                  <w:tcBorders>
                    <w:tl2br w:val="nil"/>
                    <w:tr2bl w:val="nil"/>
                  </w:tcBorders>
                  <w:shd w:val="clear" w:color="auto" w:fill="FFFFFF"/>
                  <w:vAlign w:val="center"/>
                </w:tcPr>
                <w:p w14:paraId="10658A8D">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锅炉房内</w:t>
                  </w:r>
                </w:p>
              </w:tc>
              <w:tc>
                <w:tcPr>
                  <w:tcW w:w="383" w:type="dxa"/>
                  <w:tcBorders>
                    <w:tl2br w:val="nil"/>
                    <w:tr2bl w:val="nil"/>
                  </w:tcBorders>
                  <w:shd w:val="clear" w:color="auto" w:fill="FFFFFF"/>
                  <w:vAlign w:val="center"/>
                </w:tcPr>
                <w:p w14:paraId="76043BAD">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锅炉本体</w:t>
                  </w:r>
                </w:p>
              </w:tc>
              <w:tc>
                <w:tcPr>
                  <w:tcW w:w="693" w:type="dxa"/>
                  <w:tcBorders>
                    <w:tl2br w:val="nil"/>
                    <w:tr2bl w:val="nil"/>
                  </w:tcBorders>
                  <w:shd w:val="clear" w:color="auto" w:fill="FFFFFF"/>
                  <w:vAlign w:val="center"/>
                </w:tcPr>
                <w:p w14:paraId="59D5BF82">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80</w:t>
                  </w:r>
                </w:p>
              </w:tc>
              <w:tc>
                <w:tcPr>
                  <w:tcW w:w="549" w:type="dxa"/>
                  <w:vMerge w:val="restart"/>
                  <w:tcBorders>
                    <w:tl2br w:val="nil"/>
                    <w:tr2bl w:val="nil"/>
                  </w:tcBorders>
                  <w:shd w:val="clear" w:color="auto" w:fill="FFFFFF"/>
                  <w:vAlign w:val="center"/>
                </w:tcPr>
                <w:p w14:paraId="78CE92D1">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消声、吸声、隔声、减震等</w:t>
                  </w:r>
                </w:p>
              </w:tc>
              <w:tc>
                <w:tcPr>
                  <w:tcW w:w="582" w:type="dxa"/>
                  <w:tcBorders>
                    <w:tl2br w:val="nil"/>
                    <w:tr2bl w:val="nil"/>
                  </w:tcBorders>
                  <w:shd w:val="clear" w:color="auto" w:fill="FFFFFF"/>
                  <w:vAlign w:val="center"/>
                </w:tcPr>
                <w:p w14:paraId="4FA43FE4">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130.3</w:t>
                  </w:r>
                </w:p>
              </w:tc>
              <w:tc>
                <w:tcPr>
                  <w:tcW w:w="499" w:type="dxa"/>
                  <w:tcBorders>
                    <w:tl2br w:val="nil"/>
                    <w:tr2bl w:val="nil"/>
                  </w:tcBorders>
                  <w:shd w:val="clear" w:color="auto" w:fill="FFFFFF"/>
                  <w:vAlign w:val="center"/>
                </w:tcPr>
                <w:p w14:paraId="12D330DD">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25.8</w:t>
                  </w:r>
                </w:p>
              </w:tc>
              <w:tc>
                <w:tcPr>
                  <w:tcW w:w="415" w:type="dxa"/>
                  <w:tcBorders>
                    <w:tl2br w:val="nil"/>
                    <w:tr2bl w:val="nil"/>
                  </w:tcBorders>
                  <w:shd w:val="clear" w:color="auto" w:fill="FFFFFF"/>
                  <w:vAlign w:val="center"/>
                </w:tcPr>
                <w:p w14:paraId="27DD4FB8">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1.2</w:t>
                  </w:r>
                </w:p>
              </w:tc>
              <w:tc>
                <w:tcPr>
                  <w:tcW w:w="384" w:type="dxa"/>
                  <w:tcBorders>
                    <w:tl2br w:val="nil"/>
                    <w:tr2bl w:val="nil"/>
                  </w:tcBorders>
                  <w:shd w:val="clear" w:color="auto" w:fill="FFFFFF"/>
                  <w:vAlign w:val="center"/>
                </w:tcPr>
                <w:p w14:paraId="735882F7">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76</w:t>
                  </w:r>
                </w:p>
              </w:tc>
              <w:tc>
                <w:tcPr>
                  <w:tcW w:w="384" w:type="dxa"/>
                  <w:tcBorders>
                    <w:tl2br w:val="nil"/>
                    <w:tr2bl w:val="nil"/>
                  </w:tcBorders>
                  <w:shd w:val="clear" w:color="auto" w:fill="FFFFFF"/>
                  <w:vAlign w:val="center"/>
                </w:tcPr>
                <w:p w14:paraId="5EF2E7A5">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76</w:t>
                  </w:r>
                </w:p>
              </w:tc>
              <w:tc>
                <w:tcPr>
                  <w:tcW w:w="384" w:type="dxa"/>
                  <w:tcBorders>
                    <w:tl2br w:val="nil"/>
                    <w:tr2bl w:val="nil"/>
                  </w:tcBorders>
                  <w:shd w:val="clear" w:color="auto" w:fill="FFFFFF"/>
                  <w:vAlign w:val="center"/>
                </w:tcPr>
                <w:p w14:paraId="4EA1EFB1">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76</w:t>
                  </w:r>
                </w:p>
              </w:tc>
              <w:tc>
                <w:tcPr>
                  <w:tcW w:w="384" w:type="dxa"/>
                  <w:tcBorders>
                    <w:tl2br w:val="nil"/>
                    <w:tr2bl w:val="nil"/>
                  </w:tcBorders>
                  <w:shd w:val="clear" w:color="auto" w:fill="FFFFFF"/>
                  <w:vAlign w:val="center"/>
                </w:tcPr>
                <w:p w14:paraId="2AB5C70B">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76</w:t>
                  </w:r>
                </w:p>
              </w:tc>
              <w:tc>
                <w:tcPr>
                  <w:tcW w:w="384" w:type="dxa"/>
                  <w:tcBorders>
                    <w:tl2br w:val="nil"/>
                    <w:tr2bl w:val="nil"/>
                  </w:tcBorders>
                  <w:shd w:val="clear" w:color="auto" w:fill="FFFFFF"/>
                  <w:vAlign w:val="center"/>
                </w:tcPr>
                <w:p w14:paraId="1832B2C9">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24</w:t>
                  </w:r>
                </w:p>
              </w:tc>
              <w:tc>
                <w:tcPr>
                  <w:tcW w:w="694" w:type="dxa"/>
                  <w:tcBorders>
                    <w:tl2br w:val="nil"/>
                    <w:tr2bl w:val="nil"/>
                  </w:tcBorders>
                  <w:shd w:val="clear" w:color="auto" w:fill="FFFFFF"/>
                  <w:vAlign w:val="center"/>
                </w:tcPr>
                <w:p w14:paraId="2FEEC193">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26</w:t>
                  </w:r>
                </w:p>
              </w:tc>
              <w:tc>
                <w:tcPr>
                  <w:tcW w:w="384" w:type="dxa"/>
                  <w:tcBorders>
                    <w:tl2br w:val="nil"/>
                    <w:tr2bl w:val="nil"/>
                  </w:tcBorders>
                  <w:shd w:val="clear" w:color="auto" w:fill="FFFFFF"/>
                  <w:vAlign w:val="center"/>
                </w:tcPr>
                <w:p w14:paraId="0798B290">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50</w:t>
                  </w:r>
                </w:p>
              </w:tc>
              <w:tc>
                <w:tcPr>
                  <w:tcW w:w="384" w:type="dxa"/>
                  <w:tcBorders>
                    <w:tl2br w:val="nil"/>
                    <w:tr2bl w:val="nil"/>
                  </w:tcBorders>
                  <w:shd w:val="clear" w:color="auto" w:fill="FFFFFF"/>
                  <w:vAlign w:val="center"/>
                </w:tcPr>
                <w:p w14:paraId="64969873">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50</w:t>
                  </w:r>
                </w:p>
              </w:tc>
              <w:tc>
                <w:tcPr>
                  <w:tcW w:w="384" w:type="dxa"/>
                  <w:tcBorders>
                    <w:tl2br w:val="nil"/>
                    <w:tr2bl w:val="nil"/>
                  </w:tcBorders>
                  <w:shd w:val="clear" w:color="auto" w:fill="FFFFFF"/>
                  <w:vAlign w:val="center"/>
                </w:tcPr>
                <w:p w14:paraId="081388E9">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50</w:t>
                  </w:r>
                </w:p>
              </w:tc>
              <w:tc>
                <w:tcPr>
                  <w:tcW w:w="384" w:type="dxa"/>
                  <w:tcBorders>
                    <w:tl2br w:val="nil"/>
                    <w:tr2bl w:val="nil"/>
                  </w:tcBorders>
                  <w:shd w:val="clear" w:color="auto" w:fill="FFFFFF"/>
                  <w:vAlign w:val="center"/>
                </w:tcPr>
                <w:p w14:paraId="51CA56B8">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50</w:t>
                  </w:r>
                </w:p>
              </w:tc>
              <w:tc>
                <w:tcPr>
                  <w:tcW w:w="384" w:type="dxa"/>
                  <w:tcBorders>
                    <w:tl2br w:val="nil"/>
                    <w:tr2bl w:val="nil"/>
                  </w:tcBorders>
                  <w:shd w:val="clear" w:color="auto" w:fill="FFFFFF"/>
                  <w:vAlign w:val="center"/>
                </w:tcPr>
                <w:p w14:paraId="59F8F180">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1</w:t>
                  </w:r>
                </w:p>
              </w:tc>
            </w:tr>
            <w:tr w14:paraId="13F52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3" w:type="dxa"/>
                  <w:tcBorders>
                    <w:tl2br w:val="nil"/>
                    <w:tr2bl w:val="nil"/>
                  </w:tcBorders>
                  <w:shd w:val="clear" w:color="auto" w:fill="FFFFFF"/>
                  <w:vAlign w:val="center"/>
                </w:tcPr>
                <w:p w14:paraId="28DCCC68">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2</w:t>
                  </w:r>
                </w:p>
              </w:tc>
              <w:tc>
                <w:tcPr>
                  <w:tcW w:w="383" w:type="dxa"/>
                  <w:vMerge w:val="continue"/>
                  <w:tcBorders>
                    <w:tl2br w:val="nil"/>
                    <w:tr2bl w:val="nil"/>
                  </w:tcBorders>
                  <w:shd w:val="clear" w:color="auto" w:fill="FFFFFF"/>
                  <w:vAlign w:val="center"/>
                </w:tcPr>
                <w:p w14:paraId="4D649F32">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p>
              </w:tc>
              <w:tc>
                <w:tcPr>
                  <w:tcW w:w="383" w:type="dxa"/>
                  <w:tcBorders>
                    <w:tl2br w:val="nil"/>
                    <w:tr2bl w:val="nil"/>
                  </w:tcBorders>
                  <w:shd w:val="clear" w:color="auto" w:fill="FFFFFF"/>
                  <w:vAlign w:val="center"/>
                </w:tcPr>
                <w:p w14:paraId="10A30F1D">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鼓风机</w:t>
                  </w:r>
                </w:p>
              </w:tc>
              <w:tc>
                <w:tcPr>
                  <w:tcW w:w="693" w:type="dxa"/>
                  <w:tcBorders>
                    <w:tl2br w:val="nil"/>
                    <w:tr2bl w:val="nil"/>
                  </w:tcBorders>
                  <w:shd w:val="clear" w:color="auto" w:fill="FFFFFF"/>
                  <w:vAlign w:val="center"/>
                </w:tcPr>
                <w:p w14:paraId="13DBFAFB">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90</w:t>
                  </w:r>
                </w:p>
              </w:tc>
              <w:tc>
                <w:tcPr>
                  <w:tcW w:w="549" w:type="dxa"/>
                  <w:vMerge w:val="continue"/>
                  <w:tcBorders>
                    <w:tl2br w:val="nil"/>
                    <w:tr2bl w:val="nil"/>
                  </w:tcBorders>
                  <w:shd w:val="clear" w:color="auto" w:fill="FFFFFF"/>
                  <w:vAlign w:val="center"/>
                </w:tcPr>
                <w:p w14:paraId="401486B6">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p>
              </w:tc>
              <w:tc>
                <w:tcPr>
                  <w:tcW w:w="582" w:type="dxa"/>
                  <w:tcBorders>
                    <w:tl2br w:val="nil"/>
                    <w:tr2bl w:val="nil"/>
                  </w:tcBorders>
                  <w:shd w:val="clear" w:color="auto" w:fill="FFFFFF"/>
                  <w:vAlign w:val="center"/>
                </w:tcPr>
                <w:p w14:paraId="0DC2B24B">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132</w:t>
                  </w:r>
                </w:p>
              </w:tc>
              <w:tc>
                <w:tcPr>
                  <w:tcW w:w="499" w:type="dxa"/>
                  <w:tcBorders>
                    <w:tl2br w:val="nil"/>
                    <w:tr2bl w:val="nil"/>
                  </w:tcBorders>
                  <w:shd w:val="clear" w:color="auto" w:fill="FFFFFF"/>
                  <w:vAlign w:val="center"/>
                </w:tcPr>
                <w:p w14:paraId="4E1FA9D9">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29.1</w:t>
                  </w:r>
                </w:p>
              </w:tc>
              <w:tc>
                <w:tcPr>
                  <w:tcW w:w="415" w:type="dxa"/>
                  <w:tcBorders>
                    <w:tl2br w:val="nil"/>
                    <w:tr2bl w:val="nil"/>
                  </w:tcBorders>
                  <w:shd w:val="clear" w:color="auto" w:fill="FFFFFF"/>
                  <w:vAlign w:val="center"/>
                </w:tcPr>
                <w:p w14:paraId="13779CD4">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1.2</w:t>
                  </w:r>
                </w:p>
              </w:tc>
              <w:tc>
                <w:tcPr>
                  <w:tcW w:w="384" w:type="dxa"/>
                  <w:tcBorders>
                    <w:tl2br w:val="nil"/>
                    <w:tr2bl w:val="nil"/>
                  </w:tcBorders>
                  <w:shd w:val="clear" w:color="auto" w:fill="FFFFFF"/>
                  <w:vAlign w:val="center"/>
                </w:tcPr>
                <w:p w14:paraId="4AFC7A77">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86</w:t>
                  </w:r>
                </w:p>
              </w:tc>
              <w:tc>
                <w:tcPr>
                  <w:tcW w:w="384" w:type="dxa"/>
                  <w:tcBorders>
                    <w:tl2br w:val="nil"/>
                    <w:tr2bl w:val="nil"/>
                  </w:tcBorders>
                  <w:shd w:val="clear" w:color="auto" w:fill="FFFFFF"/>
                  <w:vAlign w:val="center"/>
                </w:tcPr>
                <w:p w14:paraId="2492C4CD">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86</w:t>
                  </w:r>
                </w:p>
              </w:tc>
              <w:tc>
                <w:tcPr>
                  <w:tcW w:w="384" w:type="dxa"/>
                  <w:tcBorders>
                    <w:tl2br w:val="nil"/>
                    <w:tr2bl w:val="nil"/>
                  </w:tcBorders>
                  <w:shd w:val="clear" w:color="auto" w:fill="FFFFFF"/>
                  <w:vAlign w:val="center"/>
                </w:tcPr>
                <w:p w14:paraId="45305257">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86</w:t>
                  </w:r>
                </w:p>
              </w:tc>
              <w:tc>
                <w:tcPr>
                  <w:tcW w:w="384" w:type="dxa"/>
                  <w:tcBorders>
                    <w:tl2br w:val="nil"/>
                    <w:tr2bl w:val="nil"/>
                  </w:tcBorders>
                  <w:shd w:val="clear" w:color="auto" w:fill="FFFFFF"/>
                  <w:vAlign w:val="center"/>
                </w:tcPr>
                <w:p w14:paraId="22CBD0F7">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86</w:t>
                  </w:r>
                </w:p>
              </w:tc>
              <w:tc>
                <w:tcPr>
                  <w:tcW w:w="384" w:type="dxa"/>
                  <w:tcBorders>
                    <w:tl2br w:val="nil"/>
                    <w:tr2bl w:val="nil"/>
                  </w:tcBorders>
                  <w:shd w:val="clear" w:color="auto" w:fill="FFFFFF"/>
                  <w:vAlign w:val="center"/>
                </w:tcPr>
                <w:p w14:paraId="4D828182">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24</w:t>
                  </w:r>
                </w:p>
              </w:tc>
              <w:tc>
                <w:tcPr>
                  <w:tcW w:w="694" w:type="dxa"/>
                  <w:tcBorders>
                    <w:tl2br w:val="nil"/>
                    <w:tr2bl w:val="nil"/>
                  </w:tcBorders>
                  <w:shd w:val="clear" w:color="auto" w:fill="FFFFFF"/>
                  <w:vAlign w:val="center"/>
                </w:tcPr>
                <w:p w14:paraId="41AF8998">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26</w:t>
                  </w:r>
                </w:p>
              </w:tc>
              <w:tc>
                <w:tcPr>
                  <w:tcW w:w="384" w:type="dxa"/>
                  <w:tcBorders>
                    <w:tl2br w:val="nil"/>
                    <w:tr2bl w:val="nil"/>
                  </w:tcBorders>
                  <w:shd w:val="clear" w:color="auto" w:fill="FFFFFF"/>
                  <w:vAlign w:val="center"/>
                </w:tcPr>
                <w:p w14:paraId="0CC21A35">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60</w:t>
                  </w:r>
                </w:p>
              </w:tc>
              <w:tc>
                <w:tcPr>
                  <w:tcW w:w="384" w:type="dxa"/>
                  <w:tcBorders>
                    <w:tl2br w:val="nil"/>
                    <w:tr2bl w:val="nil"/>
                  </w:tcBorders>
                  <w:shd w:val="clear" w:color="auto" w:fill="FFFFFF"/>
                  <w:vAlign w:val="center"/>
                </w:tcPr>
                <w:p w14:paraId="40E07527">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60</w:t>
                  </w:r>
                </w:p>
              </w:tc>
              <w:tc>
                <w:tcPr>
                  <w:tcW w:w="384" w:type="dxa"/>
                  <w:tcBorders>
                    <w:tl2br w:val="nil"/>
                    <w:tr2bl w:val="nil"/>
                  </w:tcBorders>
                  <w:shd w:val="clear" w:color="auto" w:fill="FFFFFF"/>
                  <w:vAlign w:val="center"/>
                </w:tcPr>
                <w:p w14:paraId="0710276E">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60</w:t>
                  </w:r>
                </w:p>
              </w:tc>
              <w:tc>
                <w:tcPr>
                  <w:tcW w:w="384" w:type="dxa"/>
                  <w:tcBorders>
                    <w:tl2br w:val="nil"/>
                    <w:tr2bl w:val="nil"/>
                  </w:tcBorders>
                  <w:shd w:val="clear" w:color="auto" w:fill="FFFFFF"/>
                  <w:vAlign w:val="center"/>
                </w:tcPr>
                <w:p w14:paraId="0D9D7827">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60</w:t>
                  </w:r>
                </w:p>
              </w:tc>
              <w:tc>
                <w:tcPr>
                  <w:tcW w:w="384" w:type="dxa"/>
                  <w:tcBorders>
                    <w:tl2br w:val="nil"/>
                    <w:tr2bl w:val="nil"/>
                  </w:tcBorders>
                  <w:shd w:val="clear" w:color="auto" w:fill="FFFFFF"/>
                  <w:vAlign w:val="center"/>
                </w:tcPr>
                <w:p w14:paraId="77DD8EBA">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1</w:t>
                  </w:r>
                </w:p>
              </w:tc>
            </w:tr>
            <w:tr w14:paraId="132A0F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3" w:type="dxa"/>
                  <w:tcBorders>
                    <w:tl2br w:val="nil"/>
                    <w:tr2bl w:val="nil"/>
                  </w:tcBorders>
                  <w:shd w:val="clear" w:color="auto" w:fill="FFFFFF"/>
                  <w:vAlign w:val="center"/>
                </w:tcPr>
                <w:p w14:paraId="4B9F2119">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3</w:t>
                  </w:r>
                </w:p>
              </w:tc>
              <w:tc>
                <w:tcPr>
                  <w:tcW w:w="383" w:type="dxa"/>
                  <w:vMerge w:val="continue"/>
                  <w:tcBorders>
                    <w:tl2br w:val="nil"/>
                    <w:tr2bl w:val="nil"/>
                  </w:tcBorders>
                  <w:shd w:val="clear" w:color="auto" w:fill="FFFFFF"/>
                  <w:vAlign w:val="center"/>
                </w:tcPr>
                <w:p w14:paraId="27516698">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p>
              </w:tc>
              <w:tc>
                <w:tcPr>
                  <w:tcW w:w="383" w:type="dxa"/>
                  <w:tcBorders>
                    <w:tl2br w:val="nil"/>
                    <w:tr2bl w:val="nil"/>
                  </w:tcBorders>
                  <w:shd w:val="clear" w:color="auto" w:fill="FFFFFF"/>
                  <w:vAlign w:val="center"/>
                </w:tcPr>
                <w:p w14:paraId="087B563C">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引风机</w:t>
                  </w:r>
                </w:p>
              </w:tc>
              <w:tc>
                <w:tcPr>
                  <w:tcW w:w="693" w:type="dxa"/>
                  <w:tcBorders>
                    <w:tl2br w:val="nil"/>
                    <w:tr2bl w:val="nil"/>
                  </w:tcBorders>
                  <w:shd w:val="clear" w:color="auto" w:fill="FFFFFF"/>
                  <w:vAlign w:val="center"/>
                </w:tcPr>
                <w:p w14:paraId="5637466D">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90</w:t>
                  </w:r>
                </w:p>
              </w:tc>
              <w:tc>
                <w:tcPr>
                  <w:tcW w:w="549" w:type="dxa"/>
                  <w:vMerge w:val="continue"/>
                  <w:tcBorders>
                    <w:tl2br w:val="nil"/>
                    <w:tr2bl w:val="nil"/>
                  </w:tcBorders>
                  <w:shd w:val="clear" w:color="auto" w:fill="FFFFFF"/>
                  <w:vAlign w:val="center"/>
                </w:tcPr>
                <w:p w14:paraId="238B0BA1">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p>
              </w:tc>
              <w:tc>
                <w:tcPr>
                  <w:tcW w:w="582" w:type="dxa"/>
                  <w:tcBorders>
                    <w:tl2br w:val="nil"/>
                    <w:tr2bl w:val="nil"/>
                  </w:tcBorders>
                  <w:shd w:val="clear" w:color="auto" w:fill="FFFFFF"/>
                  <w:vAlign w:val="center"/>
                </w:tcPr>
                <w:p w14:paraId="4D9663A2">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126.7</w:t>
                  </w:r>
                </w:p>
              </w:tc>
              <w:tc>
                <w:tcPr>
                  <w:tcW w:w="499" w:type="dxa"/>
                  <w:tcBorders>
                    <w:tl2br w:val="nil"/>
                    <w:tr2bl w:val="nil"/>
                  </w:tcBorders>
                  <w:shd w:val="clear" w:color="auto" w:fill="FFFFFF"/>
                  <w:vAlign w:val="center"/>
                </w:tcPr>
                <w:p w14:paraId="0A21C93E">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28.6</w:t>
                  </w:r>
                </w:p>
              </w:tc>
              <w:tc>
                <w:tcPr>
                  <w:tcW w:w="415" w:type="dxa"/>
                  <w:tcBorders>
                    <w:tl2br w:val="nil"/>
                    <w:tr2bl w:val="nil"/>
                  </w:tcBorders>
                  <w:shd w:val="clear" w:color="auto" w:fill="FFFFFF"/>
                  <w:vAlign w:val="center"/>
                </w:tcPr>
                <w:p w14:paraId="7A87D3F9">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1.2</w:t>
                  </w:r>
                </w:p>
              </w:tc>
              <w:tc>
                <w:tcPr>
                  <w:tcW w:w="384" w:type="dxa"/>
                  <w:tcBorders>
                    <w:tl2br w:val="nil"/>
                    <w:tr2bl w:val="nil"/>
                  </w:tcBorders>
                  <w:shd w:val="clear" w:color="auto" w:fill="FFFFFF"/>
                  <w:vAlign w:val="center"/>
                </w:tcPr>
                <w:p w14:paraId="289C73F2">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86</w:t>
                  </w:r>
                </w:p>
              </w:tc>
              <w:tc>
                <w:tcPr>
                  <w:tcW w:w="384" w:type="dxa"/>
                  <w:tcBorders>
                    <w:tl2br w:val="nil"/>
                    <w:tr2bl w:val="nil"/>
                  </w:tcBorders>
                  <w:shd w:val="clear" w:color="auto" w:fill="FFFFFF"/>
                  <w:vAlign w:val="center"/>
                </w:tcPr>
                <w:p w14:paraId="1DE181C7">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86</w:t>
                  </w:r>
                </w:p>
              </w:tc>
              <w:tc>
                <w:tcPr>
                  <w:tcW w:w="384" w:type="dxa"/>
                  <w:tcBorders>
                    <w:tl2br w:val="nil"/>
                    <w:tr2bl w:val="nil"/>
                  </w:tcBorders>
                  <w:shd w:val="clear" w:color="auto" w:fill="FFFFFF"/>
                  <w:vAlign w:val="center"/>
                </w:tcPr>
                <w:p w14:paraId="0F14DE29">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86</w:t>
                  </w:r>
                </w:p>
              </w:tc>
              <w:tc>
                <w:tcPr>
                  <w:tcW w:w="384" w:type="dxa"/>
                  <w:tcBorders>
                    <w:tl2br w:val="nil"/>
                    <w:tr2bl w:val="nil"/>
                  </w:tcBorders>
                  <w:shd w:val="clear" w:color="auto" w:fill="FFFFFF"/>
                  <w:vAlign w:val="center"/>
                </w:tcPr>
                <w:p w14:paraId="3270CAC9">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86</w:t>
                  </w:r>
                </w:p>
              </w:tc>
              <w:tc>
                <w:tcPr>
                  <w:tcW w:w="384" w:type="dxa"/>
                  <w:tcBorders>
                    <w:tl2br w:val="nil"/>
                    <w:tr2bl w:val="nil"/>
                  </w:tcBorders>
                  <w:shd w:val="clear" w:color="auto" w:fill="FFFFFF"/>
                  <w:vAlign w:val="center"/>
                </w:tcPr>
                <w:p w14:paraId="65CF3FE1">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24</w:t>
                  </w:r>
                </w:p>
              </w:tc>
              <w:tc>
                <w:tcPr>
                  <w:tcW w:w="694" w:type="dxa"/>
                  <w:tcBorders>
                    <w:tl2br w:val="nil"/>
                    <w:tr2bl w:val="nil"/>
                  </w:tcBorders>
                  <w:shd w:val="clear" w:color="auto" w:fill="FFFFFF"/>
                  <w:vAlign w:val="center"/>
                </w:tcPr>
                <w:p w14:paraId="162EDCF5">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26</w:t>
                  </w:r>
                </w:p>
              </w:tc>
              <w:tc>
                <w:tcPr>
                  <w:tcW w:w="384" w:type="dxa"/>
                  <w:tcBorders>
                    <w:tl2br w:val="nil"/>
                    <w:tr2bl w:val="nil"/>
                  </w:tcBorders>
                  <w:shd w:val="clear" w:color="auto" w:fill="FFFFFF"/>
                  <w:vAlign w:val="center"/>
                </w:tcPr>
                <w:p w14:paraId="4AE9BD61">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60</w:t>
                  </w:r>
                </w:p>
              </w:tc>
              <w:tc>
                <w:tcPr>
                  <w:tcW w:w="384" w:type="dxa"/>
                  <w:tcBorders>
                    <w:tl2br w:val="nil"/>
                    <w:tr2bl w:val="nil"/>
                  </w:tcBorders>
                  <w:shd w:val="clear" w:color="auto" w:fill="FFFFFF"/>
                  <w:vAlign w:val="center"/>
                </w:tcPr>
                <w:p w14:paraId="7EC7C5EB">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60</w:t>
                  </w:r>
                </w:p>
              </w:tc>
              <w:tc>
                <w:tcPr>
                  <w:tcW w:w="384" w:type="dxa"/>
                  <w:tcBorders>
                    <w:tl2br w:val="nil"/>
                    <w:tr2bl w:val="nil"/>
                  </w:tcBorders>
                  <w:shd w:val="clear" w:color="auto" w:fill="FFFFFF"/>
                  <w:vAlign w:val="center"/>
                </w:tcPr>
                <w:p w14:paraId="4F6C1847">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60</w:t>
                  </w:r>
                </w:p>
              </w:tc>
              <w:tc>
                <w:tcPr>
                  <w:tcW w:w="384" w:type="dxa"/>
                  <w:tcBorders>
                    <w:tl2br w:val="nil"/>
                    <w:tr2bl w:val="nil"/>
                  </w:tcBorders>
                  <w:shd w:val="clear" w:color="auto" w:fill="FFFFFF"/>
                  <w:vAlign w:val="center"/>
                </w:tcPr>
                <w:p w14:paraId="3F5F704D">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60</w:t>
                  </w:r>
                </w:p>
              </w:tc>
              <w:tc>
                <w:tcPr>
                  <w:tcW w:w="384" w:type="dxa"/>
                  <w:tcBorders>
                    <w:tl2br w:val="nil"/>
                    <w:tr2bl w:val="nil"/>
                  </w:tcBorders>
                  <w:shd w:val="clear" w:color="auto" w:fill="FFFFFF"/>
                  <w:vAlign w:val="center"/>
                </w:tcPr>
                <w:p w14:paraId="74BA81D6">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1</w:t>
                  </w:r>
                </w:p>
              </w:tc>
            </w:tr>
            <w:tr w14:paraId="7C533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3" w:type="dxa"/>
                  <w:tcBorders>
                    <w:tl2br w:val="nil"/>
                    <w:tr2bl w:val="nil"/>
                  </w:tcBorders>
                  <w:shd w:val="clear" w:color="auto" w:fill="FFFFFF"/>
                  <w:vAlign w:val="center"/>
                </w:tcPr>
                <w:p w14:paraId="3DDE22C2">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4</w:t>
                  </w:r>
                </w:p>
              </w:tc>
              <w:tc>
                <w:tcPr>
                  <w:tcW w:w="383" w:type="dxa"/>
                  <w:vMerge w:val="continue"/>
                  <w:tcBorders>
                    <w:tl2br w:val="nil"/>
                    <w:tr2bl w:val="nil"/>
                  </w:tcBorders>
                  <w:shd w:val="clear" w:color="auto" w:fill="FFFFFF"/>
                  <w:vAlign w:val="center"/>
                </w:tcPr>
                <w:p w14:paraId="6E2D6C23">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p>
              </w:tc>
              <w:tc>
                <w:tcPr>
                  <w:tcW w:w="383" w:type="dxa"/>
                  <w:tcBorders>
                    <w:tl2br w:val="nil"/>
                    <w:tr2bl w:val="nil"/>
                  </w:tcBorders>
                  <w:shd w:val="clear" w:color="auto" w:fill="FFFFFF"/>
                  <w:vAlign w:val="center"/>
                </w:tcPr>
                <w:p w14:paraId="328651F0">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补水泵</w:t>
                  </w:r>
                </w:p>
              </w:tc>
              <w:tc>
                <w:tcPr>
                  <w:tcW w:w="693" w:type="dxa"/>
                  <w:tcBorders>
                    <w:tl2br w:val="nil"/>
                    <w:tr2bl w:val="nil"/>
                  </w:tcBorders>
                  <w:shd w:val="clear" w:color="auto" w:fill="FFFFFF"/>
                  <w:vAlign w:val="center"/>
                </w:tcPr>
                <w:p w14:paraId="3D4B3EE1">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80</w:t>
                  </w:r>
                </w:p>
              </w:tc>
              <w:tc>
                <w:tcPr>
                  <w:tcW w:w="549" w:type="dxa"/>
                  <w:vMerge w:val="continue"/>
                  <w:tcBorders>
                    <w:tl2br w:val="nil"/>
                    <w:tr2bl w:val="nil"/>
                  </w:tcBorders>
                  <w:shd w:val="clear" w:color="auto" w:fill="FFFFFF"/>
                  <w:vAlign w:val="center"/>
                </w:tcPr>
                <w:p w14:paraId="1770F0A4">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p>
              </w:tc>
              <w:tc>
                <w:tcPr>
                  <w:tcW w:w="582" w:type="dxa"/>
                  <w:tcBorders>
                    <w:tl2br w:val="nil"/>
                    <w:tr2bl w:val="nil"/>
                  </w:tcBorders>
                  <w:shd w:val="clear" w:color="auto" w:fill="FFFFFF"/>
                  <w:vAlign w:val="center"/>
                </w:tcPr>
                <w:p w14:paraId="1B0D4C35">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133.7</w:t>
                  </w:r>
                </w:p>
              </w:tc>
              <w:tc>
                <w:tcPr>
                  <w:tcW w:w="499" w:type="dxa"/>
                  <w:tcBorders>
                    <w:tl2br w:val="nil"/>
                    <w:tr2bl w:val="nil"/>
                  </w:tcBorders>
                  <w:shd w:val="clear" w:color="auto" w:fill="FFFFFF"/>
                  <w:vAlign w:val="center"/>
                </w:tcPr>
                <w:p w14:paraId="1C97815C">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33</w:t>
                  </w:r>
                </w:p>
              </w:tc>
              <w:tc>
                <w:tcPr>
                  <w:tcW w:w="415" w:type="dxa"/>
                  <w:tcBorders>
                    <w:tl2br w:val="nil"/>
                    <w:tr2bl w:val="nil"/>
                  </w:tcBorders>
                  <w:shd w:val="clear" w:color="auto" w:fill="FFFFFF"/>
                  <w:vAlign w:val="center"/>
                </w:tcPr>
                <w:p w14:paraId="7B04E3A2">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1.2</w:t>
                  </w:r>
                </w:p>
              </w:tc>
              <w:tc>
                <w:tcPr>
                  <w:tcW w:w="384" w:type="dxa"/>
                  <w:tcBorders>
                    <w:tl2br w:val="nil"/>
                    <w:tr2bl w:val="nil"/>
                  </w:tcBorders>
                  <w:shd w:val="clear" w:color="auto" w:fill="FFFFFF"/>
                  <w:vAlign w:val="center"/>
                </w:tcPr>
                <w:p w14:paraId="78285825">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76</w:t>
                  </w:r>
                </w:p>
              </w:tc>
              <w:tc>
                <w:tcPr>
                  <w:tcW w:w="384" w:type="dxa"/>
                  <w:tcBorders>
                    <w:tl2br w:val="nil"/>
                    <w:tr2bl w:val="nil"/>
                  </w:tcBorders>
                  <w:shd w:val="clear" w:color="auto" w:fill="FFFFFF"/>
                  <w:vAlign w:val="center"/>
                </w:tcPr>
                <w:p w14:paraId="42855F67">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76</w:t>
                  </w:r>
                </w:p>
              </w:tc>
              <w:tc>
                <w:tcPr>
                  <w:tcW w:w="384" w:type="dxa"/>
                  <w:tcBorders>
                    <w:tl2br w:val="nil"/>
                    <w:tr2bl w:val="nil"/>
                  </w:tcBorders>
                  <w:shd w:val="clear" w:color="auto" w:fill="FFFFFF"/>
                  <w:vAlign w:val="center"/>
                </w:tcPr>
                <w:p w14:paraId="2F1D04C1">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76</w:t>
                  </w:r>
                </w:p>
              </w:tc>
              <w:tc>
                <w:tcPr>
                  <w:tcW w:w="384" w:type="dxa"/>
                  <w:tcBorders>
                    <w:tl2br w:val="nil"/>
                    <w:tr2bl w:val="nil"/>
                  </w:tcBorders>
                  <w:shd w:val="clear" w:color="auto" w:fill="FFFFFF"/>
                  <w:vAlign w:val="center"/>
                </w:tcPr>
                <w:p w14:paraId="71F2718B">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76</w:t>
                  </w:r>
                </w:p>
              </w:tc>
              <w:tc>
                <w:tcPr>
                  <w:tcW w:w="384" w:type="dxa"/>
                  <w:tcBorders>
                    <w:tl2br w:val="nil"/>
                    <w:tr2bl w:val="nil"/>
                  </w:tcBorders>
                  <w:shd w:val="clear" w:color="auto" w:fill="FFFFFF"/>
                  <w:vAlign w:val="center"/>
                </w:tcPr>
                <w:p w14:paraId="13D7545E">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24</w:t>
                  </w:r>
                </w:p>
              </w:tc>
              <w:tc>
                <w:tcPr>
                  <w:tcW w:w="694" w:type="dxa"/>
                  <w:tcBorders>
                    <w:tl2br w:val="nil"/>
                    <w:tr2bl w:val="nil"/>
                  </w:tcBorders>
                  <w:shd w:val="clear" w:color="auto" w:fill="FFFFFF"/>
                  <w:vAlign w:val="center"/>
                </w:tcPr>
                <w:p w14:paraId="6E9924E9">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26</w:t>
                  </w:r>
                </w:p>
              </w:tc>
              <w:tc>
                <w:tcPr>
                  <w:tcW w:w="384" w:type="dxa"/>
                  <w:tcBorders>
                    <w:tl2br w:val="nil"/>
                    <w:tr2bl w:val="nil"/>
                  </w:tcBorders>
                  <w:shd w:val="clear" w:color="auto" w:fill="FFFFFF"/>
                  <w:vAlign w:val="center"/>
                </w:tcPr>
                <w:p w14:paraId="31C8A176">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50</w:t>
                  </w:r>
                </w:p>
              </w:tc>
              <w:tc>
                <w:tcPr>
                  <w:tcW w:w="384" w:type="dxa"/>
                  <w:tcBorders>
                    <w:tl2br w:val="nil"/>
                    <w:tr2bl w:val="nil"/>
                  </w:tcBorders>
                  <w:shd w:val="clear" w:color="auto" w:fill="FFFFFF"/>
                  <w:vAlign w:val="center"/>
                </w:tcPr>
                <w:p w14:paraId="1219A879">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50</w:t>
                  </w:r>
                </w:p>
              </w:tc>
              <w:tc>
                <w:tcPr>
                  <w:tcW w:w="384" w:type="dxa"/>
                  <w:tcBorders>
                    <w:tl2br w:val="nil"/>
                    <w:tr2bl w:val="nil"/>
                  </w:tcBorders>
                  <w:shd w:val="clear" w:color="auto" w:fill="FFFFFF"/>
                  <w:vAlign w:val="center"/>
                </w:tcPr>
                <w:p w14:paraId="021D0F73">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50</w:t>
                  </w:r>
                </w:p>
              </w:tc>
              <w:tc>
                <w:tcPr>
                  <w:tcW w:w="384" w:type="dxa"/>
                  <w:tcBorders>
                    <w:tl2br w:val="nil"/>
                    <w:tr2bl w:val="nil"/>
                  </w:tcBorders>
                  <w:shd w:val="clear" w:color="auto" w:fill="FFFFFF"/>
                  <w:vAlign w:val="center"/>
                </w:tcPr>
                <w:p w14:paraId="689C5359">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50</w:t>
                  </w:r>
                </w:p>
              </w:tc>
              <w:tc>
                <w:tcPr>
                  <w:tcW w:w="384" w:type="dxa"/>
                  <w:tcBorders>
                    <w:tl2br w:val="nil"/>
                    <w:tr2bl w:val="nil"/>
                  </w:tcBorders>
                  <w:shd w:val="clear" w:color="auto" w:fill="FFFFFF"/>
                  <w:vAlign w:val="center"/>
                </w:tcPr>
                <w:p w14:paraId="156F3D16">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1</w:t>
                  </w:r>
                </w:p>
              </w:tc>
            </w:tr>
            <w:tr w14:paraId="3A94D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3" w:type="dxa"/>
                  <w:tcBorders>
                    <w:tl2br w:val="nil"/>
                    <w:tr2bl w:val="nil"/>
                  </w:tcBorders>
                  <w:shd w:val="clear" w:color="auto" w:fill="FFFFFF"/>
                  <w:vAlign w:val="center"/>
                </w:tcPr>
                <w:p w14:paraId="2E1C3E75">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5</w:t>
                  </w:r>
                </w:p>
              </w:tc>
              <w:tc>
                <w:tcPr>
                  <w:tcW w:w="383" w:type="dxa"/>
                  <w:vMerge w:val="continue"/>
                  <w:tcBorders>
                    <w:tl2br w:val="nil"/>
                    <w:tr2bl w:val="nil"/>
                  </w:tcBorders>
                  <w:shd w:val="clear" w:color="auto" w:fill="FFFFFF"/>
                  <w:vAlign w:val="center"/>
                </w:tcPr>
                <w:p w14:paraId="07ECA67D">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p>
              </w:tc>
              <w:tc>
                <w:tcPr>
                  <w:tcW w:w="383" w:type="dxa"/>
                  <w:tcBorders>
                    <w:tl2br w:val="nil"/>
                    <w:tr2bl w:val="nil"/>
                  </w:tcBorders>
                  <w:shd w:val="clear" w:color="auto" w:fill="FFFFFF"/>
                  <w:vAlign w:val="center"/>
                </w:tcPr>
                <w:p w14:paraId="3FA87F82">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出渣机</w:t>
                  </w:r>
                </w:p>
              </w:tc>
              <w:tc>
                <w:tcPr>
                  <w:tcW w:w="693" w:type="dxa"/>
                  <w:tcBorders>
                    <w:tl2br w:val="nil"/>
                    <w:tr2bl w:val="nil"/>
                  </w:tcBorders>
                  <w:shd w:val="clear" w:color="auto" w:fill="FFFFFF"/>
                  <w:vAlign w:val="center"/>
                </w:tcPr>
                <w:p w14:paraId="31EF632D">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80</w:t>
                  </w:r>
                </w:p>
              </w:tc>
              <w:tc>
                <w:tcPr>
                  <w:tcW w:w="549" w:type="dxa"/>
                  <w:vMerge w:val="continue"/>
                  <w:tcBorders>
                    <w:tl2br w:val="nil"/>
                    <w:tr2bl w:val="nil"/>
                  </w:tcBorders>
                  <w:shd w:val="clear" w:color="auto" w:fill="FFFFFF"/>
                  <w:vAlign w:val="center"/>
                </w:tcPr>
                <w:p w14:paraId="50735CE2">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p>
              </w:tc>
              <w:tc>
                <w:tcPr>
                  <w:tcW w:w="582" w:type="dxa"/>
                  <w:tcBorders>
                    <w:tl2br w:val="nil"/>
                    <w:tr2bl w:val="nil"/>
                  </w:tcBorders>
                  <w:shd w:val="clear" w:color="auto" w:fill="FFFFFF"/>
                  <w:vAlign w:val="center"/>
                </w:tcPr>
                <w:p w14:paraId="151E9D33">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128.7</w:t>
                  </w:r>
                </w:p>
              </w:tc>
              <w:tc>
                <w:tcPr>
                  <w:tcW w:w="499" w:type="dxa"/>
                  <w:tcBorders>
                    <w:tl2br w:val="nil"/>
                    <w:tr2bl w:val="nil"/>
                  </w:tcBorders>
                  <w:shd w:val="clear" w:color="auto" w:fill="FFFFFF"/>
                  <w:vAlign w:val="center"/>
                </w:tcPr>
                <w:p w14:paraId="466F5770">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32.7</w:t>
                  </w:r>
                </w:p>
              </w:tc>
              <w:tc>
                <w:tcPr>
                  <w:tcW w:w="415" w:type="dxa"/>
                  <w:tcBorders>
                    <w:tl2br w:val="nil"/>
                    <w:tr2bl w:val="nil"/>
                  </w:tcBorders>
                  <w:shd w:val="clear" w:color="auto" w:fill="FFFFFF"/>
                  <w:vAlign w:val="center"/>
                </w:tcPr>
                <w:p w14:paraId="70DE27B7">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1.2</w:t>
                  </w:r>
                </w:p>
              </w:tc>
              <w:tc>
                <w:tcPr>
                  <w:tcW w:w="384" w:type="dxa"/>
                  <w:tcBorders>
                    <w:tl2br w:val="nil"/>
                    <w:tr2bl w:val="nil"/>
                  </w:tcBorders>
                  <w:shd w:val="clear" w:color="auto" w:fill="FFFFFF"/>
                  <w:vAlign w:val="center"/>
                </w:tcPr>
                <w:p w14:paraId="6861C8BF">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76</w:t>
                  </w:r>
                </w:p>
              </w:tc>
              <w:tc>
                <w:tcPr>
                  <w:tcW w:w="384" w:type="dxa"/>
                  <w:tcBorders>
                    <w:tl2br w:val="nil"/>
                    <w:tr2bl w:val="nil"/>
                  </w:tcBorders>
                  <w:shd w:val="clear" w:color="auto" w:fill="FFFFFF"/>
                  <w:vAlign w:val="center"/>
                </w:tcPr>
                <w:p w14:paraId="2342459A">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76</w:t>
                  </w:r>
                </w:p>
              </w:tc>
              <w:tc>
                <w:tcPr>
                  <w:tcW w:w="384" w:type="dxa"/>
                  <w:tcBorders>
                    <w:tl2br w:val="nil"/>
                    <w:tr2bl w:val="nil"/>
                  </w:tcBorders>
                  <w:shd w:val="clear" w:color="auto" w:fill="FFFFFF"/>
                  <w:vAlign w:val="center"/>
                </w:tcPr>
                <w:p w14:paraId="4F324BB2">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76</w:t>
                  </w:r>
                </w:p>
              </w:tc>
              <w:tc>
                <w:tcPr>
                  <w:tcW w:w="384" w:type="dxa"/>
                  <w:tcBorders>
                    <w:tl2br w:val="nil"/>
                    <w:tr2bl w:val="nil"/>
                  </w:tcBorders>
                  <w:shd w:val="clear" w:color="auto" w:fill="FFFFFF"/>
                  <w:vAlign w:val="center"/>
                </w:tcPr>
                <w:p w14:paraId="4285F583">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76</w:t>
                  </w:r>
                </w:p>
              </w:tc>
              <w:tc>
                <w:tcPr>
                  <w:tcW w:w="384" w:type="dxa"/>
                  <w:tcBorders>
                    <w:tl2br w:val="nil"/>
                    <w:tr2bl w:val="nil"/>
                  </w:tcBorders>
                  <w:shd w:val="clear" w:color="auto" w:fill="FFFFFF"/>
                  <w:vAlign w:val="center"/>
                </w:tcPr>
                <w:p w14:paraId="5DF01AEB">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24</w:t>
                  </w:r>
                </w:p>
              </w:tc>
              <w:tc>
                <w:tcPr>
                  <w:tcW w:w="694" w:type="dxa"/>
                  <w:tcBorders>
                    <w:tl2br w:val="nil"/>
                    <w:tr2bl w:val="nil"/>
                  </w:tcBorders>
                  <w:shd w:val="clear" w:color="auto" w:fill="FFFFFF"/>
                  <w:vAlign w:val="center"/>
                </w:tcPr>
                <w:p w14:paraId="6D8A69C6">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26</w:t>
                  </w:r>
                </w:p>
              </w:tc>
              <w:tc>
                <w:tcPr>
                  <w:tcW w:w="384" w:type="dxa"/>
                  <w:tcBorders>
                    <w:tl2br w:val="nil"/>
                    <w:tr2bl w:val="nil"/>
                  </w:tcBorders>
                  <w:shd w:val="clear" w:color="auto" w:fill="FFFFFF"/>
                  <w:vAlign w:val="center"/>
                </w:tcPr>
                <w:p w14:paraId="36DC9AEC">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50</w:t>
                  </w:r>
                </w:p>
              </w:tc>
              <w:tc>
                <w:tcPr>
                  <w:tcW w:w="384" w:type="dxa"/>
                  <w:tcBorders>
                    <w:tl2br w:val="nil"/>
                    <w:tr2bl w:val="nil"/>
                  </w:tcBorders>
                  <w:shd w:val="clear" w:color="auto" w:fill="FFFFFF"/>
                  <w:vAlign w:val="center"/>
                </w:tcPr>
                <w:p w14:paraId="49F9066B">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50</w:t>
                  </w:r>
                </w:p>
              </w:tc>
              <w:tc>
                <w:tcPr>
                  <w:tcW w:w="384" w:type="dxa"/>
                  <w:tcBorders>
                    <w:tl2br w:val="nil"/>
                    <w:tr2bl w:val="nil"/>
                  </w:tcBorders>
                  <w:shd w:val="clear" w:color="auto" w:fill="FFFFFF"/>
                  <w:vAlign w:val="center"/>
                </w:tcPr>
                <w:p w14:paraId="37CC01EB">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50</w:t>
                  </w:r>
                </w:p>
              </w:tc>
              <w:tc>
                <w:tcPr>
                  <w:tcW w:w="384" w:type="dxa"/>
                  <w:tcBorders>
                    <w:tl2br w:val="nil"/>
                    <w:tr2bl w:val="nil"/>
                  </w:tcBorders>
                  <w:shd w:val="clear" w:color="auto" w:fill="FFFFFF"/>
                  <w:vAlign w:val="center"/>
                </w:tcPr>
                <w:p w14:paraId="60609FA0">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50</w:t>
                  </w:r>
                </w:p>
              </w:tc>
              <w:tc>
                <w:tcPr>
                  <w:tcW w:w="384" w:type="dxa"/>
                  <w:tcBorders>
                    <w:tl2br w:val="nil"/>
                    <w:tr2bl w:val="nil"/>
                  </w:tcBorders>
                  <w:shd w:val="clear" w:color="auto" w:fill="FFFFFF"/>
                  <w:vAlign w:val="center"/>
                </w:tcPr>
                <w:p w14:paraId="1111B742">
                  <w:pPr>
                    <w:pStyle w:val="35"/>
                    <w:keepNext w:val="0"/>
                    <w:keepLines w:val="0"/>
                    <w:pageBreakBefore w:val="0"/>
                    <w:widowControl/>
                    <w:kinsoku/>
                    <w:wordWrap/>
                    <w:overflowPunct/>
                    <w:topLinePunct w:val="0"/>
                    <w:autoSpaceDE/>
                    <w:autoSpaceDN/>
                    <w:bidi w:val="0"/>
                    <w:adjustRightInd/>
                    <w:snapToGrid/>
                    <w:spacing w:line="240" w:lineRule="exact"/>
                    <w:textAlignment w:val="auto"/>
                    <w:rPr>
                      <w:rFonts w:hint="default" w:ascii="Times New Roman" w:hAnsi="Times New Roman" w:cs="Times New Roman"/>
                      <w:color w:val="000000" w:themeColor="text1"/>
                      <w:spacing w:val="-20"/>
                      <w14:textFill>
                        <w14:solidFill>
                          <w14:schemeClr w14:val="tx1"/>
                        </w14:solidFill>
                      </w14:textFill>
                    </w:rPr>
                  </w:pPr>
                  <w:r>
                    <w:rPr>
                      <w:rFonts w:hint="default" w:ascii="Times New Roman" w:hAnsi="Times New Roman" w:cs="Times New Roman"/>
                      <w:color w:val="000000" w:themeColor="text1"/>
                      <w:spacing w:val="-20"/>
                      <w:lang w:val="en-US" w:eastAsia="zh-CN"/>
                      <w14:textFill>
                        <w14:solidFill>
                          <w14:schemeClr w14:val="tx1"/>
                        </w14:solidFill>
                      </w14:textFill>
                    </w:rPr>
                    <w:t>1</w:t>
                  </w:r>
                </w:p>
              </w:tc>
            </w:tr>
          </w:tbl>
          <w:p w14:paraId="7E77A852">
            <w:pPr>
              <w:spacing w:after="12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注：以正西南角为原点（0，0），距室内边界取设备中心区离所在建筑物边界的最近距离。本项目日运行</w:t>
            </w:r>
            <w:r>
              <w:rPr>
                <w:rFonts w:hint="default" w:ascii="Times New Roman" w:hAnsi="Times New Roman" w:cs="Times New Roman"/>
                <w:color w:val="000000" w:themeColor="text1"/>
                <w:highlight w:val="none"/>
                <w:lang w:val="en-US" w:eastAsia="zh-CN"/>
                <w14:textFill>
                  <w14:solidFill>
                    <w14:schemeClr w14:val="tx1"/>
                  </w14:solidFill>
                </w14:textFill>
              </w:rPr>
              <w:t>24</w:t>
            </w:r>
            <w:r>
              <w:rPr>
                <w:rFonts w:hint="default" w:ascii="Times New Roman" w:hAnsi="Times New Roman" w:cs="Times New Roman"/>
                <w:color w:val="000000" w:themeColor="text1"/>
                <w:highlight w:val="none"/>
                <w14:textFill>
                  <w14:solidFill>
                    <w14:schemeClr w14:val="tx1"/>
                  </w14:solidFill>
                </w14:textFill>
              </w:rPr>
              <w:t>h。</w:t>
            </w:r>
          </w:p>
          <w:p w14:paraId="41472719">
            <w:pP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（2）预测模式</w:t>
            </w:r>
          </w:p>
          <w:p w14:paraId="306E02B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依据声源的分布规律及预测点与声源之间的距离，把噪声源简化成点声源，依据已获得的声学数据，利用《环境影响的评价技术导则声环境》（HJ2.4-2021）中推荐的预测模式分别计算各声源对厂界的贡献值。</w:t>
            </w:r>
          </w:p>
          <w:p w14:paraId="0C90435B">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1）声级计算</w:t>
            </w:r>
          </w:p>
          <w:p w14:paraId="5AD826E9">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建设项目声源在预测点产生的等效声级贡献值(L</w:t>
            </w:r>
            <w:r>
              <w:rPr>
                <w:rFonts w:hint="default" w:ascii="Times New Roman" w:hAnsi="Times New Roman" w:cs="Times New Roman"/>
                <w:color w:val="000000" w:themeColor="text1"/>
                <w:highlight w:val="none"/>
                <w:vertAlign w:val="subscript"/>
                <w14:textFill>
                  <w14:solidFill>
                    <w14:schemeClr w14:val="tx1"/>
                  </w14:solidFill>
                </w14:textFill>
              </w:rPr>
              <w:t>eqg</w:t>
            </w:r>
            <w:r>
              <w:rPr>
                <w:rFonts w:hint="default" w:ascii="Times New Roman" w:hAnsi="Times New Roman" w:cs="Times New Roman"/>
                <w:color w:val="000000" w:themeColor="text1"/>
                <w:highlight w:val="none"/>
                <w14:textFill>
                  <w14:solidFill>
                    <w14:schemeClr w14:val="tx1"/>
                  </w14:solidFill>
                </w14:textFill>
              </w:rPr>
              <w:t>）计算公式：</w:t>
            </w:r>
          </w:p>
          <w:p w14:paraId="36EA028E">
            <w:pPr>
              <w:pStyle w:val="3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0" distR="0">
                  <wp:extent cx="1977390" cy="359410"/>
                  <wp:effectExtent l="0" t="0" r="3810" b="2540"/>
                  <wp:docPr id="16433906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90658"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7672" cy="360000"/>
                          </a:xfrm>
                          <a:prstGeom prst="rect">
                            <a:avLst/>
                          </a:prstGeom>
                          <a:noFill/>
                          <a:ln>
                            <a:noFill/>
                          </a:ln>
                        </pic:spPr>
                      </pic:pic>
                    </a:graphicData>
                  </a:graphic>
                </wp:inline>
              </w:drawing>
            </w:r>
          </w:p>
          <w:p w14:paraId="640EC9A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式中：</w:t>
            </w:r>
          </w:p>
          <w:p w14:paraId="13DDB1B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L</w:t>
            </w:r>
            <w:r>
              <w:rPr>
                <w:rFonts w:hint="default" w:ascii="Times New Roman" w:hAnsi="Times New Roman" w:cs="Times New Roman"/>
                <w:color w:val="000000" w:themeColor="text1"/>
                <w:highlight w:val="none"/>
                <w:vertAlign w:val="subscript"/>
                <w14:textFill>
                  <w14:solidFill>
                    <w14:schemeClr w14:val="tx1"/>
                  </w14:solidFill>
                </w14:textFill>
              </w:rPr>
              <w:t>eqg</w:t>
            </w:r>
            <w:r>
              <w:rPr>
                <w:rFonts w:hint="default" w:ascii="Times New Roman" w:hAnsi="Times New Roman" w:cs="Times New Roman"/>
                <w:color w:val="000000" w:themeColor="text1"/>
                <w:highlight w:val="none"/>
                <w14:textFill>
                  <w14:solidFill>
                    <w14:schemeClr w14:val="tx1"/>
                  </w14:solidFill>
                </w14:textFill>
              </w:rPr>
              <w:t>：建设项目声源在预测点的等效声级贡献值，dB(A）；</w:t>
            </w:r>
          </w:p>
          <w:p w14:paraId="7317B5A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L</w:t>
            </w:r>
            <w:r>
              <w:rPr>
                <w:rFonts w:hint="default" w:ascii="Times New Roman" w:hAnsi="Times New Roman" w:cs="Times New Roman"/>
                <w:color w:val="000000" w:themeColor="text1"/>
                <w:highlight w:val="none"/>
                <w:vertAlign w:val="subscript"/>
                <w14:textFill>
                  <w14:solidFill>
                    <w14:schemeClr w14:val="tx1"/>
                  </w14:solidFill>
                </w14:textFill>
              </w:rPr>
              <w:t>Ai</w:t>
            </w:r>
            <w:r>
              <w:rPr>
                <w:rFonts w:hint="default" w:ascii="Times New Roman" w:hAnsi="Times New Roman" w:cs="Times New Roman"/>
                <w:color w:val="000000" w:themeColor="text1"/>
                <w:highlight w:val="none"/>
                <w14:textFill>
                  <w14:solidFill>
                    <w14:schemeClr w14:val="tx1"/>
                  </w14:solidFill>
                </w14:textFill>
              </w:rPr>
              <w:t>：i声源在预测点产生的A声级，dB(A）；</w:t>
            </w:r>
          </w:p>
          <w:p w14:paraId="71F7D009">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T：预测计算的时间段，s；</w:t>
            </w:r>
          </w:p>
          <w:p w14:paraId="546FFAC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t</w:t>
            </w:r>
            <w:r>
              <w:rPr>
                <w:rFonts w:hint="default" w:ascii="Times New Roman" w:hAnsi="Times New Roman" w:cs="Times New Roman"/>
                <w:color w:val="000000" w:themeColor="text1"/>
                <w:highlight w:val="none"/>
                <w:vertAlign w:val="subscript"/>
                <w14:textFill>
                  <w14:solidFill>
                    <w14:schemeClr w14:val="tx1"/>
                  </w14:solidFill>
                </w14:textFill>
              </w:rPr>
              <w:t>i</w:t>
            </w:r>
            <w:r>
              <w:rPr>
                <w:rFonts w:hint="default" w:ascii="Times New Roman" w:hAnsi="Times New Roman" w:cs="Times New Roman"/>
                <w:color w:val="000000" w:themeColor="text1"/>
                <w:highlight w:val="none"/>
                <w14:textFill>
                  <w14:solidFill>
                    <w14:schemeClr w14:val="tx1"/>
                  </w14:solidFill>
                </w14:textFill>
              </w:rPr>
              <w:t>：i声源在T时段内的运行时间，s。</w:t>
            </w:r>
          </w:p>
          <w:p w14:paraId="5F0F46C7">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2）预测点的预测等效声级(Leq）计算公式</w:t>
            </w:r>
          </w:p>
          <w:p w14:paraId="591FEC25">
            <w:pPr>
              <w:pStyle w:val="3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0" distR="0">
                  <wp:extent cx="2009140" cy="359410"/>
                  <wp:effectExtent l="0" t="0" r="0" b="2540"/>
                  <wp:docPr id="16524010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01019"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009402" cy="360000"/>
                          </a:xfrm>
                          <a:prstGeom prst="rect">
                            <a:avLst/>
                          </a:prstGeom>
                          <a:noFill/>
                          <a:ln>
                            <a:noFill/>
                          </a:ln>
                        </pic:spPr>
                      </pic:pic>
                    </a:graphicData>
                  </a:graphic>
                </wp:inline>
              </w:drawing>
            </w:r>
          </w:p>
          <w:p w14:paraId="17D16D7E">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式中：</w:t>
            </w:r>
          </w:p>
          <w:p w14:paraId="3F5CD3B9">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L</w:t>
            </w:r>
            <w:r>
              <w:rPr>
                <w:rFonts w:hint="default" w:ascii="Times New Roman" w:hAnsi="Times New Roman" w:cs="Times New Roman"/>
                <w:color w:val="000000" w:themeColor="text1"/>
                <w:highlight w:val="none"/>
                <w:vertAlign w:val="subscript"/>
                <w14:textFill>
                  <w14:solidFill>
                    <w14:schemeClr w14:val="tx1"/>
                  </w14:solidFill>
                </w14:textFill>
              </w:rPr>
              <w:t>eqg</w:t>
            </w:r>
            <w:r>
              <w:rPr>
                <w:rFonts w:hint="default" w:ascii="Times New Roman" w:hAnsi="Times New Roman" w:cs="Times New Roman"/>
                <w:color w:val="000000" w:themeColor="text1"/>
                <w:highlight w:val="none"/>
                <w14:textFill>
                  <w14:solidFill>
                    <w14:schemeClr w14:val="tx1"/>
                  </w14:solidFill>
                </w14:textFill>
              </w:rPr>
              <w:t>：建设项目声源在预测点的等效声级贡献值，dB(A）；</w:t>
            </w:r>
          </w:p>
          <w:p w14:paraId="185093EC">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L</w:t>
            </w:r>
            <w:r>
              <w:rPr>
                <w:rFonts w:hint="default" w:ascii="Times New Roman" w:hAnsi="Times New Roman" w:cs="Times New Roman"/>
                <w:color w:val="000000" w:themeColor="text1"/>
                <w:highlight w:val="none"/>
                <w:vertAlign w:val="subscript"/>
                <w14:textFill>
                  <w14:solidFill>
                    <w14:schemeClr w14:val="tx1"/>
                  </w14:solidFill>
                </w14:textFill>
              </w:rPr>
              <w:t>eqb</w:t>
            </w:r>
            <w:r>
              <w:rPr>
                <w:rFonts w:hint="default" w:ascii="Times New Roman" w:hAnsi="Times New Roman" w:cs="Times New Roman"/>
                <w:color w:val="000000" w:themeColor="text1"/>
                <w:highlight w:val="none"/>
                <w14:textFill>
                  <w14:solidFill>
                    <w14:schemeClr w14:val="tx1"/>
                  </w14:solidFill>
                </w14:textFill>
              </w:rPr>
              <w:t>：预测点的背景值，dB(A）；</w:t>
            </w:r>
          </w:p>
          <w:p w14:paraId="65522140">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3）户外声传播衰减计算公式；</w:t>
            </w:r>
          </w:p>
          <w:p w14:paraId="6CD85CB7">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户外声传播衰减包括几何发散（A</w:t>
            </w:r>
            <w:r>
              <w:rPr>
                <w:rFonts w:hint="default" w:ascii="Times New Roman" w:hAnsi="Times New Roman" w:cs="Times New Roman"/>
                <w:color w:val="000000" w:themeColor="text1"/>
                <w:highlight w:val="none"/>
                <w:vertAlign w:val="subscript"/>
                <w14:textFill>
                  <w14:solidFill>
                    <w14:schemeClr w14:val="tx1"/>
                  </w14:solidFill>
                </w14:textFill>
              </w:rPr>
              <w:t>div</w:t>
            </w:r>
            <w:r>
              <w:rPr>
                <w:rFonts w:hint="default" w:ascii="Times New Roman" w:hAnsi="Times New Roman" w:cs="Times New Roman"/>
                <w:color w:val="000000" w:themeColor="text1"/>
                <w:highlight w:val="none"/>
                <w14:textFill>
                  <w14:solidFill>
                    <w14:schemeClr w14:val="tx1"/>
                  </w14:solidFill>
                </w14:textFill>
              </w:rPr>
              <w:t>）、大气吸收（A</w:t>
            </w:r>
            <w:r>
              <w:rPr>
                <w:rFonts w:hint="default" w:ascii="Times New Roman" w:hAnsi="Times New Roman" w:cs="Times New Roman"/>
                <w:color w:val="000000" w:themeColor="text1"/>
                <w:highlight w:val="none"/>
                <w:vertAlign w:val="subscript"/>
                <w14:textFill>
                  <w14:solidFill>
                    <w14:schemeClr w14:val="tx1"/>
                  </w14:solidFill>
                </w14:textFill>
              </w:rPr>
              <w:t>atm</w:t>
            </w:r>
            <w:r>
              <w:rPr>
                <w:rFonts w:hint="default" w:ascii="Times New Roman" w:hAnsi="Times New Roman" w:cs="Times New Roman"/>
                <w:color w:val="000000" w:themeColor="text1"/>
                <w:highlight w:val="none"/>
                <w14:textFill>
                  <w14:solidFill>
                    <w14:schemeClr w14:val="tx1"/>
                  </w14:solidFill>
                </w14:textFill>
              </w:rPr>
              <w:t>）、地面效应（A</w:t>
            </w:r>
            <w:r>
              <w:rPr>
                <w:rFonts w:hint="default" w:ascii="Times New Roman" w:hAnsi="Times New Roman" w:cs="Times New Roman"/>
                <w:color w:val="000000" w:themeColor="text1"/>
                <w:highlight w:val="none"/>
                <w:vertAlign w:val="subscript"/>
                <w14:textFill>
                  <w14:solidFill>
                    <w14:schemeClr w14:val="tx1"/>
                  </w14:solidFill>
                </w14:textFill>
              </w:rPr>
              <w:t>gr</w:t>
            </w:r>
            <w:r>
              <w:rPr>
                <w:rFonts w:hint="default" w:ascii="Times New Roman" w:hAnsi="Times New Roman" w:cs="Times New Roman"/>
                <w:color w:val="000000" w:themeColor="text1"/>
                <w:highlight w:val="none"/>
                <w14:textFill>
                  <w14:solidFill>
                    <w14:schemeClr w14:val="tx1"/>
                  </w14:solidFill>
                </w14:textFill>
              </w:rPr>
              <w:t>）、屏障屏蔽（A</w:t>
            </w:r>
            <w:r>
              <w:rPr>
                <w:rFonts w:hint="default" w:ascii="Times New Roman" w:hAnsi="Times New Roman" w:cs="Times New Roman"/>
                <w:color w:val="000000" w:themeColor="text1"/>
                <w:highlight w:val="none"/>
                <w:vertAlign w:val="subscript"/>
                <w14:textFill>
                  <w14:solidFill>
                    <w14:schemeClr w14:val="tx1"/>
                  </w14:solidFill>
                </w14:textFill>
              </w:rPr>
              <w:t>bar</w:t>
            </w:r>
            <w:r>
              <w:rPr>
                <w:rFonts w:hint="default" w:ascii="Times New Roman" w:hAnsi="Times New Roman" w:cs="Times New Roman"/>
                <w:color w:val="000000" w:themeColor="text1"/>
                <w:highlight w:val="none"/>
                <w14:textFill>
                  <w14:solidFill>
                    <w14:schemeClr w14:val="tx1"/>
                  </w14:solidFill>
                </w14:textFill>
              </w:rPr>
              <w:t>）、其他多方面效应（A</w:t>
            </w:r>
            <w:r>
              <w:rPr>
                <w:rFonts w:hint="default" w:ascii="Times New Roman" w:hAnsi="Times New Roman" w:cs="Times New Roman"/>
                <w:color w:val="000000" w:themeColor="text1"/>
                <w:highlight w:val="none"/>
                <w:vertAlign w:val="subscript"/>
                <w14:textFill>
                  <w14:solidFill>
                    <w14:schemeClr w14:val="tx1"/>
                  </w14:solidFill>
                </w14:textFill>
              </w:rPr>
              <w:t>misc</w:t>
            </w:r>
            <w:r>
              <w:rPr>
                <w:rFonts w:hint="default" w:ascii="Times New Roman" w:hAnsi="Times New Roman" w:cs="Times New Roman"/>
                <w:color w:val="000000" w:themeColor="text1"/>
                <w:highlight w:val="none"/>
                <w14:textFill>
                  <w14:solidFill>
                    <w14:schemeClr w14:val="tx1"/>
                  </w14:solidFill>
                </w14:textFill>
              </w:rPr>
              <w:t>）引起的衰减。</w:t>
            </w:r>
          </w:p>
          <w:p w14:paraId="66BD5915">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距声源点r处的A声级按下式计算：</w:t>
            </w:r>
          </w:p>
          <w:p w14:paraId="4187D85A">
            <w:pPr>
              <w:pStyle w:val="3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0" distR="0">
                  <wp:extent cx="2736850" cy="359410"/>
                  <wp:effectExtent l="0" t="0" r="0" b="2540"/>
                  <wp:docPr id="6460367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36728"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37434" cy="360000"/>
                          </a:xfrm>
                          <a:prstGeom prst="rect">
                            <a:avLst/>
                          </a:prstGeom>
                          <a:noFill/>
                          <a:ln>
                            <a:noFill/>
                          </a:ln>
                        </pic:spPr>
                      </pic:pic>
                    </a:graphicData>
                  </a:graphic>
                </wp:inline>
              </w:drawing>
            </w:r>
          </w:p>
          <w:p w14:paraId="49A7788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式中：L</w:t>
            </w:r>
            <w:r>
              <w:rPr>
                <w:rFonts w:hint="default" w:ascii="Times New Roman" w:hAnsi="Times New Roman" w:cs="Times New Roman"/>
                <w:color w:val="000000" w:themeColor="text1"/>
                <w:highlight w:val="none"/>
                <w:vertAlign w:val="subscript"/>
                <w14:textFill>
                  <w14:solidFill>
                    <w14:schemeClr w14:val="tx1"/>
                  </w14:solidFill>
                </w14:textFill>
              </w:rPr>
              <w:t>p</w:t>
            </w:r>
            <w:r>
              <w:rPr>
                <w:rFonts w:hint="default" w:ascii="Times New Roman" w:hAnsi="Times New Roman" w:cs="Times New Roman"/>
                <w:color w:val="000000" w:themeColor="text1"/>
                <w:highlight w:val="none"/>
                <w14:textFill>
                  <w14:solidFill>
                    <w14:schemeClr w14:val="tx1"/>
                  </w14:solidFill>
                </w14:textFill>
              </w:rPr>
              <w:t>(r）：预测点处声压级，dB；</w:t>
            </w:r>
          </w:p>
          <w:p w14:paraId="72EDF822">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L</w:t>
            </w:r>
            <w:r>
              <w:rPr>
                <w:rFonts w:hint="default" w:ascii="Times New Roman" w:hAnsi="Times New Roman" w:cs="Times New Roman"/>
                <w:color w:val="000000" w:themeColor="text1"/>
                <w:highlight w:val="none"/>
                <w:vertAlign w:val="subscript"/>
                <w14:textFill>
                  <w14:solidFill>
                    <w14:schemeClr w14:val="tx1"/>
                  </w14:solidFill>
                </w14:textFill>
              </w:rPr>
              <w:t>w</w:t>
            </w:r>
            <w:r>
              <w:rPr>
                <w:rFonts w:hint="default" w:ascii="Times New Roman" w:hAnsi="Times New Roman" w:cs="Times New Roman"/>
                <w:color w:val="000000" w:themeColor="text1"/>
                <w:highlight w:val="none"/>
                <w14:textFill>
                  <w14:solidFill>
                    <w14:schemeClr w14:val="tx1"/>
                  </w14:solidFill>
                </w14:textFill>
              </w:rPr>
              <w:t>：由点声源产生的声功率级（A计权或倍频带），dB；</w:t>
            </w:r>
          </w:p>
          <w:p w14:paraId="4D3D6606">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D</w:t>
            </w:r>
            <w:r>
              <w:rPr>
                <w:rFonts w:hint="default" w:ascii="Times New Roman" w:hAnsi="Times New Roman" w:cs="Times New Roman"/>
                <w:color w:val="000000" w:themeColor="text1"/>
                <w:highlight w:val="none"/>
                <w:vertAlign w:val="subscript"/>
                <w14:textFill>
                  <w14:solidFill>
                    <w14:schemeClr w14:val="tx1"/>
                  </w14:solidFill>
                </w14:textFill>
              </w:rPr>
              <w:t>C</w:t>
            </w:r>
            <w:r>
              <w:rPr>
                <w:rFonts w:hint="default" w:ascii="Times New Roman" w:hAnsi="Times New Roman" w:cs="Times New Roman"/>
                <w:color w:val="000000" w:themeColor="text1"/>
                <w:highlight w:val="none"/>
                <w14:textFill>
                  <w14:solidFill>
                    <w14:schemeClr w14:val="tx1"/>
                  </w14:solidFill>
                </w14:textFill>
              </w:rPr>
              <w:t>：指向性校正，它描述点声源的等效连续声压级与产生声功率级Lw的全向点声源在规定方向的声级的偏差程度，dB；</w:t>
            </w:r>
          </w:p>
          <w:p w14:paraId="4562BDD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A</w:t>
            </w:r>
            <w:r>
              <w:rPr>
                <w:rFonts w:hint="default" w:ascii="Times New Roman" w:hAnsi="Times New Roman" w:cs="Times New Roman"/>
                <w:color w:val="000000" w:themeColor="text1"/>
                <w:highlight w:val="none"/>
                <w:vertAlign w:val="subscript"/>
                <w14:textFill>
                  <w14:solidFill>
                    <w14:schemeClr w14:val="tx1"/>
                  </w14:solidFill>
                </w14:textFill>
              </w:rPr>
              <w:t>div</w:t>
            </w:r>
            <w:r>
              <w:rPr>
                <w:rFonts w:hint="default" w:ascii="Times New Roman" w:hAnsi="Times New Roman" w:cs="Times New Roman"/>
                <w:color w:val="000000" w:themeColor="text1"/>
                <w:highlight w:val="none"/>
                <w14:textFill>
                  <w14:solidFill>
                    <w14:schemeClr w14:val="tx1"/>
                  </w14:solidFill>
                </w14:textFill>
              </w:rPr>
              <w:t>：几何发散引起的衰减，dB；</w:t>
            </w:r>
          </w:p>
          <w:p w14:paraId="3EB55035">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A</w:t>
            </w:r>
            <w:r>
              <w:rPr>
                <w:rFonts w:hint="default" w:ascii="Times New Roman" w:hAnsi="Times New Roman" w:cs="Times New Roman"/>
                <w:color w:val="000000" w:themeColor="text1"/>
                <w:highlight w:val="none"/>
                <w:vertAlign w:val="subscript"/>
                <w14:textFill>
                  <w14:solidFill>
                    <w14:schemeClr w14:val="tx1"/>
                  </w14:solidFill>
                </w14:textFill>
              </w:rPr>
              <w:t>atm</w:t>
            </w:r>
            <w:r>
              <w:rPr>
                <w:rFonts w:hint="default" w:ascii="Times New Roman" w:hAnsi="Times New Roman" w:cs="Times New Roman"/>
                <w:color w:val="000000" w:themeColor="text1"/>
                <w:highlight w:val="none"/>
                <w14:textFill>
                  <w14:solidFill>
                    <w14:schemeClr w14:val="tx1"/>
                  </w14:solidFill>
                </w14:textFill>
              </w:rPr>
              <w:t>：大气吸收引起的衰减，dB；</w:t>
            </w:r>
          </w:p>
          <w:p w14:paraId="7D14ECE2">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A</w:t>
            </w:r>
            <w:r>
              <w:rPr>
                <w:rFonts w:hint="default" w:ascii="Times New Roman" w:hAnsi="Times New Roman" w:cs="Times New Roman"/>
                <w:color w:val="000000" w:themeColor="text1"/>
                <w:highlight w:val="none"/>
                <w:vertAlign w:val="subscript"/>
                <w14:textFill>
                  <w14:solidFill>
                    <w14:schemeClr w14:val="tx1"/>
                  </w14:solidFill>
                </w14:textFill>
              </w:rPr>
              <w:t>gr</w:t>
            </w:r>
            <w:r>
              <w:rPr>
                <w:rFonts w:hint="default" w:ascii="Times New Roman" w:hAnsi="Times New Roman" w:cs="Times New Roman"/>
                <w:color w:val="000000" w:themeColor="text1"/>
                <w:highlight w:val="none"/>
                <w14:textFill>
                  <w14:solidFill>
                    <w14:schemeClr w14:val="tx1"/>
                  </w14:solidFill>
                </w14:textFill>
              </w:rPr>
              <w:t>：地面效应引起的衰减，dB；</w:t>
            </w:r>
          </w:p>
          <w:p w14:paraId="176BDB3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A</w:t>
            </w:r>
            <w:r>
              <w:rPr>
                <w:rFonts w:hint="default" w:ascii="Times New Roman" w:hAnsi="Times New Roman" w:cs="Times New Roman"/>
                <w:color w:val="000000" w:themeColor="text1"/>
                <w:highlight w:val="none"/>
                <w:vertAlign w:val="subscript"/>
                <w14:textFill>
                  <w14:solidFill>
                    <w14:schemeClr w14:val="tx1"/>
                  </w14:solidFill>
                </w14:textFill>
              </w:rPr>
              <w:t>bar</w:t>
            </w:r>
            <w:r>
              <w:rPr>
                <w:rFonts w:hint="default" w:ascii="Times New Roman" w:hAnsi="Times New Roman" w:cs="Times New Roman"/>
                <w:color w:val="000000" w:themeColor="text1"/>
                <w:highlight w:val="none"/>
                <w14:textFill>
                  <w14:solidFill>
                    <w14:schemeClr w14:val="tx1"/>
                  </w14:solidFill>
                </w14:textFill>
              </w:rPr>
              <w:t>：障碍物屏蔽引起的衰减，dB；</w:t>
            </w:r>
          </w:p>
          <w:p w14:paraId="7061A010">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A</w:t>
            </w:r>
            <w:r>
              <w:rPr>
                <w:rFonts w:hint="default" w:ascii="Times New Roman" w:hAnsi="Times New Roman" w:cs="Times New Roman"/>
                <w:color w:val="000000" w:themeColor="text1"/>
                <w:highlight w:val="none"/>
                <w:vertAlign w:val="subscript"/>
                <w14:textFill>
                  <w14:solidFill>
                    <w14:schemeClr w14:val="tx1"/>
                  </w14:solidFill>
                </w14:textFill>
              </w:rPr>
              <w:t>misc</w:t>
            </w:r>
            <w:r>
              <w:rPr>
                <w:rFonts w:hint="default" w:ascii="Times New Roman" w:hAnsi="Times New Roman" w:cs="Times New Roman"/>
                <w:color w:val="000000" w:themeColor="text1"/>
                <w:highlight w:val="none"/>
                <w14:textFill>
                  <w14:solidFill>
                    <w14:schemeClr w14:val="tx1"/>
                  </w14:solidFill>
                </w14:textFill>
              </w:rPr>
              <w:t>：其他多方面效应引起的衰减，dB。</w:t>
            </w:r>
          </w:p>
          <w:p w14:paraId="64A25F5B">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4）噪声距离衰减公式</w:t>
            </w:r>
          </w:p>
          <w:p w14:paraId="65C9320F">
            <w:pPr>
              <w:pStyle w:val="3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0" distR="0">
                  <wp:extent cx="1862455" cy="359410"/>
                  <wp:effectExtent l="0" t="0" r="4445" b="2540"/>
                  <wp:docPr id="11478118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1181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863033" cy="360000"/>
                          </a:xfrm>
                          <a:prstGeom prst="rect">
                            <a:avLst/>
                          </a:prstGeom>
                          <a:noFill/>
                          <a:ln>
                            <a:noFill/>
                          </a:ln>
                        </pic:spPr>
                      </pic:pic>
                    </a:graphicData>
                  </a:graphic>
                </wp:inline>
              </w:drawing>
            </w:r>
          </w:p>
          <w:p w14:paraId="6A930F0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式中：L</w:t>
            </w:r>
            <w:r>
              <w:rPr>
                <w:rFonts w:hint="default" w:ascii="Times New Roman" w:hAnsi="Times New Roman" w:cs="Times New Roman"/>
                <w:color w:val="000000" w:themeColor="text1"/>
                <w:highlight w:val="none"/>
                <w:vertAlign w:val="subscript"/>
                <w14:textFill>
                  <w14:solidFill>
                    <w14:schemeClr w14:val="tx1"/>
                  </w14:solidFill>
                </w14:textFill>
              </w:rPr>
              <w:t>p</w:t>
            </w:r>
            <w:r>
              <w:rPr>
                <w:rFonts w:hint="default" w:ascii="Times New Roman" w:hAnsi="Times New Roman" w:cs="Times New Roman"/>
                <w:color w:val="000000" w:themeColor="text1"/>
                <w:highlight w:val="none"/>
                <w14:textFill>
                  <w14:solidFill>
                    <w14:schemeClr w14:val="tx1"/>
                  </w14:solidFill>
                </w14:textFill>
              </w:rPr>
              <w:t>(r）：预测点处声压级，dB；</w:t>
            </w:r>
          </w:p>
          <w:p w14:paraId="2E47ACEB">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L</w:t>
            </w:r>
            <w:r>
              <w:rPr>
                <w:rFonts w:hint="default" w:ascii="Times New Roman" w:hAnsi="Times New Roman" w:cs="Times New Roman"/>
                <w:color w:val="000000" w:themeColor="text1"/>
                <w:highlight w:val="none"/>
                <w:vertAlign w:val="subscript"/>
                <w14:textFill>
                  <w14:solidFill>
                    <w14:schemeClr w14:val="tx1"/>
                  </w14:solidFill>
                </w14:textFill>
              </w:rPr>
              <w:t>p</w:t>
            </w:r>
            <w:r>
              <w:rPr>
                <w:rFonts w:hint="default" w:ascii="Times New Roman" w:hAnsi="Times New Roman" w:cs="Times New Roman"/>
                <w:color w:val="000000" w:themeColor="text1"/>
                <w:highlight w:val="none"/>
                <w14:textFill>
                  <w14:solidFill>
                    <w14:schemeClr w14:val="tx1"/>
                  </w14:solidFill>
                </w14:textFill>
              </w:rPr>
              <w:t>(r</w:t>
            </w:r>
            <w:r>
              <w:rPr>
                <w:rFonts w:hint="default" w:ascii="Times New Roman" w:hAnsi="Times New Roman" w:cs="Times New Roman"/>
                <w:color w:val="000000" w:themeColor="text1"/>
                <w:highlight w:val="none"/>
                <w:vertAlign w:val="subscript"/>
                <w14:textFill>
                  <w14:solidFill>
                    <w14:schemeClr w14:val="tx1"/>
                  </w14:solidFill>
                </w14:textFill>
              </w:rPr>
              <w:t>0</w:t>
            </w:r>
            <w:r>
              <w:rPr>
                <w:rFonts w:hint="default" w:ascii="Times New Roman" w:hAnsi="Times New Roman" w:cs="Times New Roman"/>
                <w:color w:val="000000" w:themeColor="text1"/>
                <w:highlight w:val="none"/>
                <w14:textFill>
                  <w14:solidFill>
                    <w14:schemeClr w14:val="tx1"/>
                  </w14:solidFill>
                </w14:textFill>
              </w:rPr>
              <w:t>）：参考位置r</w:t>
            </w:r>
            <w:r>
              <w:rPr>
                <w:rFonts w:hint="default" w:ascii="Times New Roman" w:hAnsi="Times New Roman" w:cs="Times New Roman"/>
                <w:color w:val="000000" w:themeColor="text1"/>
                <w:highlight w:val="none"/>
                <w:vertAlign w:val="subscript"/>
                <w14:textFill>
                  <w14:solidFill>
                    <w14:schemeClr w14:val="tx1"/>
                  </w14:solidFill>
                </w14:textFill>
              </w:rPr>
              <w:t>0</w:t>
            </w:r>
            <w:r>
              <w:rPr>
                <w:rFonts w:hint="default" w:ascii="Times New Roman" w:hAnsi="Times New Roman" w:cs="Times New Roman"/>
                <w:color w:val="000000" w:themeColor="text1"/>
                <w:highlight w:val="none"/>
                <w14:textFill>
                  <w14:solidFill>
                    <w14:schemeClr w14:val="tx1"/>
                  </w14:solidFill>
                </w14:textFill>
              </w:rPr>
              <w:t>处的声压级，dB；</w:t>
            </w:r>
          </w:p>
          <w:p w14:paraId="4AADE71A">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r：预测点距声源的距离；</w:t>
            </w:r>
          </w:p>
          <w:p w14:paraId="42F6095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r</w:t>
            </w:r>
            <w:r>
              <w:rPr>
                <w:rFonts w:hint="default" w:ascii="Times New Roman" w:hAnsi="Times New Roman" w:cs="Times New Roman"/>
                <w:color w:val="000000" w:themeColor="text1"/>
                <w:highlight w:val="none"/>
                <w:vertAlign w:val="subscript"/>
                <w14:textFill>
                  <w14:solidFill>
                    <w14:schemeClr w14:val="tx1"/>
                  </w14:solidFill>
                </w14:textFill>
              </w:rPr>
              <w:t>0</w:t>
            </w:r>
            <w:r>
              <w:rPr>
                <w:rFonts w:hint="default" w:ascii="Times New Roman" w:hAnsi="Times New Roman" w:cs="Times New Roman"/>
                <w:color w:val="000000" w:themeColor="text1"/>
                <w:highlight w:val="none"/>
                <w14:textFill>
                  <w14:solidFill>
                    <w14:schemeClr w14:val="tx1"/>
                  </w14:solidFill>
                </w14:textFill>
              </w:rPr>
              <w:t>：参考位置距声源的距离。</w:t>
            </w:r>
          </w:p>
          <w:p w14:paraId="4F9ED7C2">
            <w:pP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（3）预测结果</w:t>
            </w:r>
          </w:p>
          <w:p w14:paraId="799AA77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为充分估算声源对周围环境的影响，对不满足计算条件的小额正衰减予以忽略，在此基础上进一步计算各预测点的声级。</w:t>
            </w:r>
          </w:p>
          <w:p w14:paraId="2F026D3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本次评价边界采用贡献值作为预测值，选取东西南北四个监测点位作为本项目对环境的影响预测点，预测、评价项目噪声对环境的影响。</w:t>
            </w:r>
          </w:p>
          <w:p w14:paraId="676E9FC9">
            <w:pPr>
              <w:pStyle w:val="34"/>
              <w:rPr>
                <w:rFonts w:hint="default" w:ascii="Times New Roman" w:hAnsi="Times New Roman" w:cs="Times New Roman"/>
                <w:color w:val="000000" w:themeColor="text1"/>
                <w:highlight w:val="none"/>
                <w14:textFill>
                  <w14:solidFill>
                    <w14:schemeClr w14:val="tx1"/>
                  </w14:solidFill>
                </w14:textFill>
              </w:rPr>
            </w:pPr>
            <w:bookmarkStart w:id="146" w:name="_Ref176913475"/>
            <w:r>
              <w:rPr>
                <w:rFonts w:hint="default" w:ascii="Times New Roman" w:hAnsi="Times New Roman" w:cs="Times New Roman"/>
                <w:color w:val="000000" w:themeColor="text1"/>
                <w:highlight w:val="none"/>
                <w14:textFill>
                  <w14:solidFill>
                    <w14:schemeClr w14:val="tx1"/>
                  </w14:solidFill>
                </w14:textFill>
              </w:rPr>
              <w:t>表4- 1</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：项目噪声预测结果一览表</w:t>
            </w:r>
            <w:bookmarkEnd w:id="146"/>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05"/>
              <w:gridCol w:w="1026"/>
              <w:gridCol w:w="1026"/>
              <w:gridCol w:w="1014"/>
              <w:gridCol w:w="1007"/>
              <w:gridCol w:w="1175"/>
              <w:gridCol w:w="1175"/>
              <w:gridCol w:w="1009"/>
            </w:tblGrid>
            <w:tr w14:paraId="04BD8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95" w:type="pct"/>
                  <w:vMerge w:val="restart"/>
                  <w:tcBorders>
                    <w:tl2br w:val="nil"/>
                    <w:tr2bl w:val="nil"/>
                  </w:tcBorders>
                  <w:shd w:val="clear" w:color="auto" w:fill="auto"/>
                  <w:vAlign w:val="center"/>
                </w:tcPr>
                <w:p w14:paraId="5A083B5F">
                  <w:pPr>
                    <w:pStyle w:val="3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预测方位</w:t>
                  </w:r>
                </w:p>
              </w:tc>
              <w:tc>
                <w:tcPr>
                  <w:tcW w:w="1817" w:type="pct"/>
                  <w:gridSpan w:val="3"/>
                  <w:tcBorders>
                    <w:tl2br w:val="nil"/>
                    <w:tr2bl w:val="nil"/>
                  </w:tcBorders>
                  <w:shd w:val="clear" w:color="auto" w:fill="auto"/>
                  <w:vAlign w:val="center"/>
                </w:tcPr>
                <w:p w14:paraId="282BDFF7">
                  <w:pPr>
                    <w:pStyle w:val="3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最大值点空间相对位置/m</w:t>
                  </w:r>
                </w:p>
              </w:tc>
              <w:tc>
                <w:tcPr>
                  <w:tcW w:w="596" w:type="pct"/>
                  <w:vMerge w:val="restart"/>
                  <w:tcBorders>
                    <w:tl2br w:val="nil"/>
                    <w:tr2bl w:val="nil"/>
                  </w:tcBorders>
                  <w:shd w:val="clear" w:color="auto" w:fill="auto"/>
                  <w:vAlign w:val="center"/>
                </w:tcPr>
                <w:p w14:paraId="5A114591">
                  <w:pPr>
                    <w:pStyle w:val="3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时段</w:t>
                  </w:r>
                </w:p>
              </w:tc>
              <w:tc>
                <w:tcPr>
                  <w:tcW w:w="696" w:type="pct"/>
                  <w:vMerge w:val="restart"/>
                  <w:tcBorders>
                    <w:tl2br w:val="nil"/>
                    <w:tr2bl w:val="nil"/>
                  </w:tcBorders>
                  <w:shd w:val="clear" w:color="auto" w:fill="auto"/>
                  <w:vAlign w:val="center"/>
                </w:tcPr>
                <w:p w14:paraId="271C360E">
                  <w:pPr>
                    <w:pStyle w:val="3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贡献值（dB(A)）</w:t>
                  </w:r>
                </w:p>
              </w:tc>
              <w:tc>
                <w:tcPr>
                  <w:tcW w:w="696" w:type="pct"/>
                  <w:vMerge w:val="restart"/>
                  <w:tcBorders>
                    <w:tl2br w:val="nil"/>
                    <w:tr2bl w:val="nil"/>
                  </w:tcBorders>
                  <w:shd w:val="clear" w:color="auto" w:fill="auto"/>
                  <w:vAlign w:val="center"/>
                </w:tcPr>
                <w:p w14:paraId="28F88373">
                  <w:pPr>
                    <w:pStyle w:val="3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标准限值（dB(A)）</w:t>
                  </w:r>
                </w:p>
              </w:tc>
              <w:tc>
                <w:tcPr>
                  <w:tcW w:w="597" w:type="pct"/>
                  <w:vMerge w:val="restart"/>
                  <w:tcBorders>
                    <w:tl2br w:val="nil"/>
                    <w:tr2bl w:val="nil"/>
                  </w:tcBorders>
                  <w:shd w:val="clear" w:color="auto" w:fill="auto"/>
                  <w:vAlign w:val="center"/>
                </w:tcPr>
                <w:p w14:paraId="597E2B30">
                  <w:pPr>
                    <w:pStyle w:val="3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达标情况</w:t>
                  </w:r>
                </w:p>
              </w:tc>
            </w:tr>
            <w:tr w14:paraId="14343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95" w:type="pct"/>
                  <w:vMerge w:val="continue"/>
                  <w:tcBorders>
                    <w:tl2br w:val="nil"/>
                    <w:tr2bl w:val="nil"/>
                  </w:tcBorders>
                  <w:shd w:val="clear" w:color="auto" w:fill="auto"/>
                  <w:vAlign w:val="center"/>
                </w:tcPr>
                <w:p w14:paraId="2F905013">
                  <w:pPr>
                    <w:pStyle w:val="35"/>
                    <w:bidi w:val="0"/>
                    <w:rPr>
                      <w:rFonts w:hint="default" w:ascii="Times New Roman" w:hAnsi="Times New Roman" w:cs="Times New Roman"/>
                      <w:color w:val="000000" w:themeColor="text1"/>
                      <w14:textFill>
                        <w14:solidFill>
                          <w14:schemeClr w14:val="tx1"/>
                        </w14:solidFill>
                      </w14:textFill>
                    </w:rPr>
                  </w:pPr>
                </w:p>
              </w:tc>
              <w:tc>
                <w:tcPr>
                  <w:tcW w:w="608" w:type="pct"/>
                  <w:tcBorders>
                    <w:tl2br w:val="nil"/>
                    <w:tr2bl w:val="nil"/>
                  </w:tcBorders>
                  <w:shd w:val="clear" w:color="auto" w:fill="FFFFFF"/>
                  <w:vAlign w:val="center"/>
                </w:tcPr>
                <w:p w14:paraId="7B1C3D4B">
                  <w:pPr>
                    <w:pStyle w:val="3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X</w:t>
                  </w:r>
                </w:p>
              </w:tc>
              <w:tc>
                <w:tcPr>
                  <w:tcW w:w="608" w:type="pct"/>
                  <w:tcBorders>
                    <w:tl2br w:val="nil"/>
                    <w:tr2bl w:val="nil"/>
                  </w:tcBorders>
                  <w:shd w:val="clear" w:color="auto" w:fill="FFFFFF"/>
                  <w:vAlign w:val="center"/>
                </w:tcPr>
                <w:p w14:paraId="46B2B20B">
                  <w:pPr>
                    <w:pStyle w:val="3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Y</w:t>
                  </w:r>
                </w:p>
              </w:tc>
              <w:tc>
                <w:tcPr>
                  <w:tcW w:w="599" w:type="pct"/>
                  <w:tcBorders>
                    <w:tl2br w:val="nil"/>
                    <w:tr2bl w:val="nil"/>
                  </w:tcBorders>
                  <w:shd w:val="clear" w:color="auto" w:fill="FFFFFF"/>
                  <w:vAlign w:val="center"/>
                </w:tcPr>
                <w:p w14:paraId="02210B3A">
                  <w:pPr>
                    <w:pStyle w:val="35"/>
                    <w:bidi w:val="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Z</w:t>
                  </w:r>
                </w:p>
              </w:tc>
              <w:tc>
                <w:tcPr>
                  <w:tcW w:w="596" w:type="pct"/>
                  <w:vMerge w:val="continue"/>
                  <w:tcBorders>
                    <w:tl2br w:val="nil"/>
                    <w:tr2bl w:val="nil"/>
                  </w:tcBorders>
                  <w:shd w:val="clear" w:color="auto" w:fill="auto"/>
                  <w:vAlign w:val="center"/>
                </w:tcPr>
                <w:p w14:paraId="2889109B">
                  <w:pPr>
                    <w:pStyle w:val="35"/>
                    <w:bidi w:val="0"/>
                    <w:rPr>
                      <w:rFonts w:hint="default" w:ascii="Times New Roman" w:hAnsi="Times New Roman" w:cs="Times New Roman"/>
                      <w:color w:val="000000" w:themeColor="text1"/>
                      <w14:textFill>
                        <w14:solidFill>
                          <w14:schemeClr w14:val="tx1"/>
                        </w14:solidFill>
                      </w14:textFill>
                    </w:rPr>
                  </w:pPr>
                </w:p>
              </w:tc>
              <w:tc>
                <w:tcPr>
                  <w:tcW w:w="696" w:type="pct"/>
                  <w:vMerge w:val="continue"/>
                  <w:tcBorders>
                    <w:tl2br w:val="nil"/>
                    <w:tr2bl w:val="nil"/>
                  </w:tcBorders>
                  <w:shd w:val="clear" w:color="auto" w:fill="auto"/>
                  <w:vAlign w:val="center"/>
                </w:tcPr>
                <w:p w14:paraId="0F453E8E">
                  <w:pPr>
                    <w:pStyle w:val="35"/>
                    <w:bidi w:val="0"/>
                    <w:rPr>
                      <w:rFonts w:hint="default" w:ascii="Times New Roman" w:hAnsi="Times New Roman" w:cs="Times New Roman"/>
                      <w:color w:val="000000" w:themeColor="text1"/>
                      <w14:textFill>
                        <w14:solidFill>
                          <w14:schemeClr w14:val="tx1"/>
                        </w14:solidFill>
                      </w14:textFill>
                    </w:rPr>
                  </w:pPr>
                </w:p>
              </w:tc>
              <w:tc>
                <w:tcPr>
                  <w:tcW w:w="696" w:type="pct"/>
                  <w:vMerge w:val="continue"/>
                  <w:tcBorders>
                    <w:tl2br w:val="nil"/>
                    <w:tr2bl w:val="nil"/>
                  </w:tcBorders>
                  <w:shd w:val="clear" w:color="auto" w:fill="auto"/>
                  <w:vAlign w:val="center"/>
                </w:tcPr>
                <w:p w14:paraId="25BFDCDB">
                  <w:pPr>
                    <w:pStyle w:val="35"/>
                    <w:bidi w:val="0"/>
                    <w:rPr>
                      <w:rFonts w:hint="default" w:ascii="Times New Roman" w:hAnsi="Times New Roman" w:cs="Times New Roman"/>
                      <w:color w:val="000000" w:themeColor="text1"/>
                      <w14:textFill>
                        <w14:solidFill>
                          <w14:schemeClr w14:val="tx1"/>
                        </w14:solidFill>
                      </w14:textFill>
                    </w:rPr>
                  </w:pPr>
                </w:p>
              </w:tc>
              <w:tc>
                <w:tcPr>
                  <w:tcW w:w="597" w:type="pct"/>
                  <w:vMerge w:val="continue"/>
                  <w:tcBorders>
                    <w:tl2br w:val="nil"/>
                    <w:tr2bl w:val="nil"/>
                  </w:tcBorders>
                  <w:shd w:val="clear" w:color="auto" w:fill="auto"/>
                  <w:vAlign w:val="center"/>
                </w:tcPr>
                <w:p w14:paraId="5C3A633A">
                  <w:pPr>
                    <w:pStyle w:val="35"/>
                    <w:bidi w:val="0"/>
                    <w:rPr>
                      <w:rFonts w:hint="default" w:ascii="Times New Roman" w:hAnsi="Times New Roman" w:cs="Times New Roman"/>
                      <w:color w:val="000000" w:themeColor="text1"/>
                      <w14:textFill>
                        <w14:solidFill>
                          <w14:schemeClr w14:val="tx1"/>
                        </w14:solidFill>
                      </w14:textFill>
                    </w:rPr>
                  </w:pPr>
                </w:p>
              </w:tc>
            </w:tr>
            <w:tr w14:paraId="0F012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95" w:type="pct"/>
                  <w:vMerge w:val="restart"/>
                  <w:tcBorders>
                    <w:tl2br w:val="nil"/>
                    <w:tr2bl w:val="nil"/>
                  </w:tcBorders>
                  <w:shd w:val="clear" w:color="auto" w:fill="FFFFFF"/>
                  <w:vAlign w:val="center"/>
                </w:tcPr>
                <w:p w14:paraId="1DA0D128">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东侧</w:t>
                  </w:r>
                </w:p>
              </w:tc>
              <w:tc>
                <w:tcPr>
                  <w:tcW w:w="608" w:type="pct"/>
                  <w:tcBorders>
                    <w:tl2br w:val="nil"/>
                    <w:tr2bl w:val="nil"/>
                  </w:tcBorders>
                  <w:shd w:val="clear" w:color="auto" w:fill="FFFFFF"/>
                  <w:vAlign w:val="center"/>
                </w:tcPr>
                <w:p w14:paraId="52628398">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193</w:t>
                  </w:r>
                </w:p>
              </w:tc>
              <w:tc>
                <w:tcPr>
                  <w:tcW w:w="608" w:type="pct"/>
                  <w:tcBorders>
                    <w:tl2br w:val="nil"/>
                    <w:tr2bl w:val="nil"/>
                  </w:tcBorders>
                  <w:shd w:val="clear" w:color="auto" w:fill="FFFFFF"/>
                  <w:vAlign w:val="center"/>
                </w:tcPr>
                <w:p w14:paraId="0B525CD7">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9.6</w:t>
                  </w:r>
                </w:p>
              </w:tc>
              <w:tc>
                <w:tcPr>
                  <w:tcW w:w="599" w:type="pct"/>
                  <w:tcBorders>
                    <w:tl2br w:val="nil"/>
                    <w:tr2bl w:val="nil"/>
                  </w:tcBorders>
                  <w:shd w:val="clear" w:color="auto" w:fill="FFFFFF"/>
                  <w:vAlign w:val="center"/>
                </w:tcPr>
                <w:p w14:paraId="71438F1C">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596" w:type="pct"/>
                  <w:tcBorders>
                    <w:tl2br w:val="nil"/>
                    <w:tr2bl w:val="nil"/>
                  </w:tcBorders>
                  <w:shd w:val="clear" w:color="auto" w:fill="FFFFFF"/>
                  <w:vAlign w:val="center"/>
                </w:tcPr>
                <w:p w14:paraId="539C21A9">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昼间</w:t>
                  </w:r>
                </w:p>
              </w:tc>
              <w:tc>
                <w:tcPr>
                  <w:tcW w:w="696" w:type="pct"/>
                  <w:tcBorders>
                    <w:tl2br w:val="nil"/>
                    <w:tr2bl w:val="nil"/>
                  </w:tcBorders>
                  <w:shd w:val="clear" w:color="auto" w:fill="FFFFFF"/>
                  <w:vAlign w:val="center"/>
                </w:tcPr>
                <w:p w14:paraId="427EEA04">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43.7</w:t>
                  </w:r>
                </w:p>
              </w:tc>
              <w:tc>
                <w:tcPr>
                  <w:tcW w:w="696" w:type="pct"/>
                  <w:tcBorders>
                    <w:tl2br w:val="nil"/>
                    <w:tr2bl w:val="nil"/>
                  </w:tcBorders>
                  <w:shd w:val="clear" w:color="auto" w:fill="FFFFFF"/>
                  <w:vAlign w:val="center"/>
                </w:tcPr>
                <w:p w14:paraId="2DFFDA82">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65</w:t>
                  </w:r>
                </w:p>
              </w:tc>
              <w:tc>
                <w:tcPr>
                  <w:tcW w:w="597" w:type="pct"/>
                  <w:tcBorders>
                    <w:tl2br w:val="nil"/>
                    <w:tr2bl w:val="nil"/>
                  </w:tcBorders>
                  <w:shd w:val="clear" w:color="auto" w:fill="FFFFFF"/>
                  <w:vAlign w:val="center"/>
                </w:tcPr>
                <w:p w14:paraId="457DBAA6">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r w14:paraId="56EB6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95" w:type="pct"/>
                  <w:vMerge w:val="continue"/>
                  <w:tcBorders>
                    <w:tl2br w:val="nil"/>
                    <w:tr2bl w:val="nil"/>
                  </w:tcBorders>
                  <w:shd w:val="clear" w:color="auto" w:fill="FFFFFF"/>
                  <w:vAlign w:val="center"/>
                </w:tcPr>
                <w:p w14:paraId="70E2FF6A">
                  <w:pPr>
                    <w:pStyle w:val="35"/>
                    <w:bidi w:val="0"/>
                    <w:rPr>
                      <w:rFonts w:hint="default" w:ascii="Times New Roman" w:hAnsi="Times New Roman" w:cs="Times New Roman"/>
                      <w:color w:val="000000" w:themeColor="text1"/>
                      <w14:textFill>
                        <w14:solidFill>
                          <w14:schemeClr w14:val="tx1"/>
                        </w14:solidFill>
                      </w14:textFill>
                    </w:rPr>
                  </w:pPr>
                </w:p>
              </w:tc>
              <w:tc>
                <w:tcPr>
                  <w:tcW w:w="608" w:type="pct"/>
                  <w:tcBorders>
                    <w:tl2br w:val="nil"/>
                    <w:tr2bl w:val="nil"/>
                  </w:tcBorders>
                  <w:shd w:val="clear" w:color="auto" w:fill="FFFFFF"/>
                  <w:vAlign w:val="center"/>
                </w:tcPr>
                <w:p w14:paraId="089D3ED1">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193</w:t>
                  </w:r>
                </w:p>
              </w:tc>
              <w:tc>
                <w:tcPr>
                  <w:tcW w:w="608" w:type="pct"/>
                  <w:tcBorders>
                    <w:tl2br w:val="nil"/>
                    <w:tr2bl w:val="nil"/>
                  </w:tcBorders>
                  <w:shd w:val="clear" w:color="auto" w:fill="FFFFFF"/>
                  <w:vAlign w:val="center"/>
                </w:tcPr>
                <w:p w14:paraId="37F3A5B7">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9.6</w:t>
                  </w:r>
                </w:p>
              </w:tc>
              <w:tc>
                <w:tcPr>
                  <w:tcW w:w="599" w:type="pct"/>
                  <w:tcBorders>
                    <w:tl2br w:val="nil"/>
                    <w:tr2bl w:val="nil"/>
                  </w:tcBorders>
                  <w:shd w:val="clear" w:color="auto" w:fill="FFFFFF"/>
                  <w:vAlign w:val="center"/>
                </w:tcPr>
                <w:p w14:paraId="58DDF84C">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596" w:type="pct"/>
                  <w:tcBorders>
                    <w:tl2br w:val="nil"/>
                    <w:tr2bl w:val="nil"/>
                  </w:tcBorders>
                  <w:shd w:val="clear" w:color="auto" w:fill="FFFFFF"/>
                  <w:vAlign w:val="center"/>
                </w:tcPr>
                <w:p w14:paraId="680E0C74">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夜间</w:t>
                  </w:r>
                </w:p>
              </w:tc>
              <w:tc>
                <w:tcPr>
                  <w:tcW w:w="696" w:type="pct"/>
                  <w:tcBorders>
                    <w:tl2br w:val="nil"/>
                    <w:tr2bl w:val="nil"/>
                  </w:tcBorders>
                  <w:shd w:val="clear" w:color="auto" w:fill="FFFFFF"/>
                  <w:vAlign w:val="center"/>
                </w:tcPr>
                <w:p w14:paraId="3178E64A">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43.7</w:t>
                  </w:r>
                </w:p>
              </w:tc>
              <w:tc>
                <w:tcPr>
                  <w:tcW w:w="696" w:type="pct"/>
                  <w:tcBorders>
                    <w:tl2br w:val="nil"/>
                    <w:tr2bl w:val="nil"/>
                  </w:tcBorders>
                  <w:shd w:val="clear" w:color="auto" w:fill="FFFFFF"/>
                  <w:vAlign w:val="center"/>
                </w:tcPr>
                <w:p w14:paraId="49213FBC">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55</w:t>
                  </w:r>
                </w:p>
              </w:tc>
              <w:tc>
                <w:tcPr>
                  <w:tcW w:w="597" w:type="pct"/>
                  <w:tcBorders>
                    <w:tl2br w:val="nil"/>
                    <w:tr2bl w:val="nil"/>
                  </w:tcBorders>
                  <w:shd w:val="clear" w:color="auto" w:fill="FFFFFF"/>
                  <w:vAlign w:val="center"/>
                </w:tcPr>
                <w:p w14:paraId="32278186">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r w14:paraId="05130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95" w:type="pct"/>
                  <w:vMerge w:val="restart"/>
                  <w:tcBorders>
                    <w:tl2br w:val="nil"/>
                    <w:tr2bl w:val="nil"/>
                  </w:tcBorders>
                  <w:shd w:val="clear" w:color="auto" w:fill="FFFFFF"/>
                  <w:vAlign w:val="center"/>
                </w:tcPr>
                <w:p w14:paraId="084ADA00">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南侧</w:t>
                  </w:r>
                </w:p>
              </w:tc>
              <w:tc>
                <w:tcPr>
                  <w:tcW w:w="608" w:type="pct"/>
                  <w:tcBorders>
                    <w:tl2br w:val="nil"/>
                    <w:tr2bl w:val="nil"/>
                  </w:tcBorders>
                  <w:shd w:val="clear" w:color="auto" w:fill="FFFFFF"/>
                  <w:vAlign w:val="center"/>
                </w:tcPr>
                <w:p w14:paraId="48287CE8">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45.4</w:t>
                  </w:r>
                </w:p>
              </w:tc>
              <w:tc>
                <w:tcPr>
                  <w:tcW w:w="608" w:type="pct"/>
                  <w:tcBorders>
                    <w:tl2br w:val="nil"/>
                    <w:tr2bl w:val="nil"/>
                  </w:tcBorders>
                  <w:shd w:val="clear" w:color="auto" w:fill="FFFFFF"/>
                  <w:vAlign w:val="center"/>
                </w:tcPr>
                <w:p w14:paraId="499825E9">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-200.6</w:t>
                  </w:r>
                </w:p>
              </w:tc>
              <w:tc>
                <w:tcPr>
                  <w:tcW w:w="599" w:type="pct"/>
                  <w:tcBorders>
                    <w:tl2br w:val="nil"/>
                    <w:tr2bl w:val="nil"/>
                  </w:tcBorders>
                  <w:shd w:val="clear" w:color="auto" w:fill="FFFFFF"/>
                  <w:vAlign w:val="center"/>
                </w:tcPr>
                <w:p w14:paraId="7034DC42">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596" w:type="pct"/>
                  <w:tcBorders>
                    <w:tl2br w:val="nil"/>
                    <w:tr2bl w:val="nil"/>
                  </w:tcBorders>
                  <w:shd w:val="clear" w:color="auto" w:fill="FFFFFF"/>
                  <w:vAlign w:val="center"/>
                </w:tcPr>
                <w:p w14:paraId="46F0B92C">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昼间</w:t>
                  </w:r>
                </w:p>
              </w:tc>
              <w:tc>
                <w:tcPr>
                  <w:tcW w:w="696" w:type="pct"/>
                  <w:tcBorders>
                    <w:tl2br w:val="nil"/>
                    <w:tr2bl w:val="nil"/>
                  </w:tcBorders>
                  <w:shd w:val="clear" w:color="auto" w:fill="FFFFFF"/>
                  <w:vAlign w:val="center"/>
                </w:tcPr>
                <w:p w14:paraId="0FE1204D">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17.4</w:t>
                  </w:r>
                </w:p>
              </w:tc>
              <w:tc>
                <w:tcPr>
                  <w:tcW w:w="696" w:type="pct"/>
                  <w:tcBorders>
                    <w:tl2br w:val="nil"/>
                    <w:tr2bl w:val="nil"/>
                  </w:tcBorders>
                  <w:shd w:val="clear" w:color="auto" w:fill="FFFFFF"/>
                  <w:vAlign w:val="center"/>
                </w:tcPr>
                <w:p w14:paraId="33429B71">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65</w:t>
                  </w:r>
                </w:p>
              </w:tc>
              <w:tc>
                <w:tcPr>
                  <w:tcW w:w="597" w:type="pct"/>
                  <w:tcBorders>
                    <w:tl2br w:val="nil"/>
                    <w:tr2bl w:val="nil"/>
                  </w:tcBorders>
                  <w:shd w:val="clear" w:color="auto" w:fill="FFFFFF"/>
                  <w:vAlign w:val="center"/>
                </w:tcPr>
                <w:p w14:paraId="1668996A">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r w14:paraId="188277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95" w:type="pct"/>
                  <w:vMerge w:val="continue"/>
                  <w:tcBorders>
                    <w:tl2br w:val="nil"/>
                    <w:tr2bl w:val="nil"/>
                  </w:tcBorders>
                  <w:shd w:val="clear" w:color="auto" w:fill="FFFFFF"/>
                  <w:vAlign w:val="center"/>
                </w:tcPr>
                <w:p w14:paraId="60E7FB3D">
                  <w:pPr>
                    <w:pStyle w:val="35"/>
                    <w:bidi w:val="0"/>
                    <w:rPr>
                      <w:rFonts w:hint="default" w:ascii="Times New Roman" w:hAnsi="Times New Roman" w:cs="Times New Roman"/>
                      <w:color w:val="000000" w:themeColor="text1"/>
                      <w14:textFill>
                        <w14:solidFill>
                          <w14:schemeClr w14:val="tx1"/>
                        </w14:solidFill>
                      </w14:textFill>
                    </w:rPr>
                  </w:pPr>
                </w:p>
              </w:tc>
              <w:tc>
                <w:tcPr>
                  <w:tcW w:w="608" w:type="pct"/>
                  <w:tcBorders>
                    <w:tl2br w:val="nil"/>
                    <w:tr2bl w:val="nil"/>
                  </w:tcBorders>
                  <w:shd w:val="clear" w:color="auto" w:fill="FFFFFF"/>
                  <w:vAlign w:val="center"/>
                </w:tcPr>
                <w:p w14:paraId="380186A4">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45.4</w:t>
                  </w:r>
                </w:p>
              </w:tc>
              <w:tc>
                <w:tcPr>
                  <w:tcW w:w="608" w:type="pct"/>
                  <w:tcBorders>
                    <w:tl2br w:val="nil"/>
                    <w:tr2bl w:val="nil"/>
                  </w:tcBorders>
                  <w:shd w:val="clear" w:color="auto" w:fill="FFFFFF"/>
                  <w:vAlign w:val="center"/>
                </w:tcPr>
                <w:p w14:paraId="6E8669E7">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-200.6</w:t>
                  </w:r>
                </w:p>
              </w:tc>
              <w:tc>
                <w:tcPr>
                  <w:tcW w:w="599" w:type="pct"/>
                  <w:tcBorders>
                    <w:tl2br w:val="nil"/>
                    <w:tr2bl w:val="nil"/>
                  </w:tcBorders>
                  <w:shd w:val="clear" w:color="auto" w:fill="FFFFFF"/>
                  <w:vAlign w:val="center"/>
                </w:tcPr>
                <w:p w14:paraId="69D42910">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596" w:type="pct"/>
                  <w:tcBorders>
                    <w:tl2br w:val="nil"/>
                    <w:tr2bl w:val="nil"/>
                  </w:tcBorders>
                  <w:shd w:val="clear" w:color="auto" w:fill="FFFFFF"/>
                  <w:vAlign w:val="center"/>
                </w:tcPr>
                <w:p w14:paraId="40693580">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夜间</w:t>
                  </w:r>
                </w:p>
              </w:tc>
              <w:tc>
                <w:tcPr>
                  <w:tcW w:w="696" w:type="pct"/>
                  <w:tcBorders>
                    <w:tl2br w:val="nil"/>
                    <w:tr2bl w:val="nil"/>
                  </w:tcBorders>
                  <w:shd w:val="clear" w:color="auto" w:fill="FFFFFF"/>
                  <w:vAlign w:val="center"/>
                </w:tcPr>
                <w:p w14:paraId="1E04045F">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17.4</w:t>
                  </w:r>
                </w:p>
              </w:tc>
              <w:tc>
                <w:tcPr>
                  <w:tcW w:w="696" w:type="pct"/>
                  <w:tcBorders>
                    <w:tl2br w:val="nil"/>
                    <w:tr2bl w:val="nil"/>
                  </w:tcBorders>
                  <w:shd w:val="clear" w:color="auto" w:fill="FFFFFF"/>
                  <w:vAlign w:val="center"/>
                </w:tcPr>
                <w:p w14:paraId="5D839949">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55</w:t>
                  </w:r>
                </w:p>
              </w:tc>
              <w:tc>
                <w:tcPr>
                  <w:tcW w:w="597" w:type="pct"/>
                  <w:tcBorders>
                    <w:tl2br w:val="nil"/>
                    <w:tr2bl w:val="nil"/>
                  </w:tcBorders>
                  <w:shd w:val="clear" w:color="auto" w:fill="FFFFFF"/>
                  <w:vAlign w:val="center"/>
                </w:tcPr>
                <w:p w14:paraId="481E751D">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r w14:paraId="38938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95" w:type="pct"/>
                  <w:vMerge w:val="restart"/>
                  <w:tcBorders>
                    <w:tl2br w:val="nil"/>
                    <w:tr2bl w:val="nil"/>
                  </w:tcBorders>
                  <w:shd w:val="clear" w:color="auto" w:fill="FFFFFF"/>
                  <w:vAlign w:val="center"/>
                </w:tcPr>
                <w:p w14:paraId="6E216F7E">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西侧</w:t>
                  </w:r>
                </w:p>
              </w:tc>
              <w:tc>
                <w:tcPr>
                  <w:tcW w:w="608" w:type="pct"/>
                  <w:tcBorders>
                    <w:tl2br w:val="nil"/>
                    <w:tr2bl w:val="nil"/>
                  </w:tcBorders>
                  <w:shd w:val="clear" w:color="auto" w:fill="FFFFFF"/>
                  <w:vAlign w:val="center"/>
                </w:tcPr>
                <w:p w14:paraId="6F50A66F">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-166.4</w:t>
                  </w:r>
                </w:p>
              </w:tc>
              <w:tc>
                <w:tcPr>
                  <w:tcW w:w="608" w:type="pct"/>
                  <w:tcBorders>
                    <w:tl2br w:val="nil"/>
                    <w:tr2bl w:val="nil"/>
                  </w:tcBorders>
                  <w:shd w:val="clear" w:color="auto" w:fill="FFFFFF"/>
                  <w:vAlign w:val="center"/>
                </w:tcPr>
                <w:p w14:paraId="385A4DA2">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124.2</w:t>
                  </w:r>
                </w:p>
              </w:tc>
              <w:tc>
                <w:tcPr>
                  <w:tcW w:w="599" w:type="pct"/>
                  <w:tcBorders>
                    <w:tl2br w:val="nil"/>
                    <w:tr2bl w:val="nil"/>
                  </w:tcBorders>
                  <w:shd w:val="clear" w:color="auto" w:fill="FFFFFF"/>
                  <w:vAlign w:val="center"/>
                </w:tcPr>
                <w:p w14:paraId="5837C69C">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596" w:type="pct"/>
                  <w:tcBorders>
                    <w:tl2br w:val="nil"/>
                    <w:tr2bl w:val="nil"/>
                  </w:tcBorders>
                  <w:shd w:val="clear" w:color="auto" w:fill="FFFFFF"/>
                  <w:vAlign w:val="center"/>
                </w:tcPr>
                <w:p w14:paraId="2119311E">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昼间</w:t>
                  </w:r>
                </w:p>
              </w:tc>
              <w:tc>
                <w:tcPr>
                  <w:tcW w:w="696" w:type="pct"/>
                  <w:tcBorders>
                    <w:tl2br w:val="nil"/>
                    <w:tr2bl w:val="nil"/>
                  </w:tcBorders>
                  <w:shd w:val="clear" w:color="auto" w:fill="FFFFFF"/>
                  <w:vAlign w:val="center"/>
                </w:tcPr>
                <w:p w14:paraId="1346A9D9">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11.6</w:t>
                  </w:r>
                </w:p>
              </w:tc>
              <w:tc>
                <w:tcPr>
                  <w:tcW w:w="696" w:type="pct"/>
                  <w:tcBorders>
                    <w:tl2br w:val="nil"/>
                    <w:tr2bl w:val="nil"/>
                  </w:tcBorders>
                  <w:shd w:val="clear" w:color="auto" w:fill="FFFFFF"/>
                  <w:vAlign w:val="center"/>
                </w:tcPr>
                <w:p w14:paraId="4D9152AB">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65</w:t>
                  </w:r>
                </w:p>
              </w:tc>
              <w:tc>
                <w:tcPr>
                  <w:tcW w:w="597" w:type="pct"/>
                  <w:tcBorders>
                    <w:tl2br w:val="nil"/>
                    <w:tr2bl w:val="nil"/>
                  </w:tcBorders>
                  <w:shd w:val="clear" w:color="auto" w:fill="FFFFFF"/>
                  <w:vAlign w:val="center"/>
                </w:tcPr>
                <w:p w14:paraId="36FD80CD">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r w14:paraId="04C12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95" w:type="pct"/>
                  <w:vMerge w:val="continue"/>
                  <w:tcBorders>
                    <w:tl2br w:val="nil"/>
                    <w:tr2bl w:val="nil"/>
                  </w:tcBorders>
                  <w:shd w:val="clear" w:color="auto" w:fill="FFFFFF"/>
                  <w:vAlign w:val="center"/>
                </w:tcPr>
                <w:p w14:paraId="20E11E22">
                  <w:pPr>
                    <w:pStyle w:val="35"/>
                    <w:bidi w:val="0"/>
                    <w:rPr>
                      <w:rFonts w:hint="default" w:ascii="Times New Roman" w:hAnsi="Times New Roman" w:cs="Times New Roman"/>
                      <w:color w:val="000000" w:themeColor="text1"/>
                      <w14:textFill>
                        <w14:solidFill>
                          <w14:schemeClr w14:val="tx1"/>
                        </w14:solidFill>
                      </w14:textFill>
                    </w:rPr>
                  </w:pPr>
                </w:p>
              </w:tc>
              <w:tc>
                <w:tcPr>
                  <w:tcW w:w="608" w:type="pct"/>
                  <w:tcBorders>
                    <w:tl2br w:val="nil"/>
                    <w:tr2bl w:val="nil"/>
                  </w:tcBorders>
                  <w:shd w:val="clear" w:color="auto" w:fill="FFFFFF"/>
                  <w:vAlign w:val="center"/>
                </w:tcPr>
                <w:p w14:paraId="499B6F2F">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-166.4</w:t>
                  </w:r>
                </w:p>
              </w:tc>
              <w:tc>
                <w:tcPr>
                  <w:tcW w:w="608" w:type="pct"/>
                  <w:tcBorders>
                    <w:tl2br w:val="nil"/>
                    <w:tr2bl w:val="nil"/>
                  </w:tcBorders>
                  <w:shd w:val="clear" w:color="auto" w:fill="FFFFFF"/>
                  <w:vAlign w:val="center"/>
                </w:tcPr>
                <w:p w14:paraId="7260D2DA">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124.2</w:t>
                  </w:r>
                </w:p>
              </w:tc>
              <w:tc>
                <w:tcPr>
                  <w:tcW w:w="599" w:type="pct"/>
                  <w:tcBorders>
                    <w:tl2br w:val="nil"/>
                    <w:tr2bl w:val="nil"/>
                  </w:tcBorders>
                  <w:shd w:val="clear" w:color="auto" w:fill="FFFFFF"/>
                  <w:vAlign w:val="center"/>
                </w:tcPr>
                <w:p w14:paraId="15A7478B">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596" w:type="pct"/>
                  <w:tcBorders>
                    <w:tl2br w:val="nil"/>
                    <w:tr2bl w:val="nil"/>
                  </w:tcBorders>
                  <w:shd w:val="clear" w:color="auto" w:fill="FFFFFF"/>
                  <w:vAlign w:val="center"/>
                </w:tcPr>
                <w:p w14:paraId="2B0E8B45">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夜间</w:t>
                  </w:r>
                </w:p>
              </w:tc>
              <w:tc>
                <w:tcPr>
                  <w:tcW w:w="696" w:type="pct"/>
                  <w:tcBorders>
                    <w:tl2br w:val="nil"/>
                    <w:tr2bl w:val="nil"/>
                  </w:tcBorders>
                  <w:shd w:val="clear" w:color="auto" w:fill="FFFFFF"/>
                  <w:vAlign w:val="center"/>
                </w:tcPr>
                <w:p w14:paraId="4EC53B46">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11.6</w:t>
                  </w:r>
                </w:p>
              </w:tc>
              <w:tc>
                <w:tcPr>
                  <w:tcW w:w="696" w:type="pct"/>
                  <w:tcBorders>
                    <w:tl2br w:val="nil"/>
                    <w:tr2bl w:val="nil"/>
                  </w:tcBorders>
                  <w:shd w:val="clear" w:color="auto" w:fill="FFFFFF"/>
                  <w:vAlign w:val="center"/>
                </w:tcPr>
                <w:p w14:paraId="6F02AD71">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55</w:t>
                  </w:r>
                </w:p>
              </w:tc>
              <w:tc>
                <w:tcPr>
                  <w:tcW w:w="597" w:type="pct"/>
                  <w:tcBorders>
                    <w:tl2br w:val="nil"/>
                    <w:tr2bl w:val="nil"/>
                  </w:tcBorders>
                  <w:shd w:val="clear" w:color="auto" w:fill="FFFFFF"/>
                  <w:vAlign w:val="center"/>
                </w:tcPr>
                <w:p w14:paraId="245C8C28">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r w14:paraId="214E8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95" w:type="pct"/>
                  <w:vMerge w:val="restart"/>
                  <w:tcBorders>
                    <w:tl2br w:val="nil"/>
                    <w:tr2bl w:val="nil"/>
                  </w:tcBorders>
                  <w:shd w:val="clear" w:color="auto" w:fill="FFFFFF"/>
                  <w:vAlign w:val="center"/>
                </w:tcPr>
                <w:p w14:paraId="61AD527A">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北侧</w:t>
                  </w:r>
                </w:p>
              </w:tc>
              <w:tc>
                <w:tcPr>
                  <w:tcW w:w="608" w:type="pct"/>
                  <w:tcBorders>
                    <w:tl2br w:val="nil"/>
                    <w:tr2bl w:val="nil"/>
                  </w:tcBorders>
                  <w:shd w:val="clear" w:color="auto" w:fill="FFFFFF"/>
                  <w:vAlign w:val="center"/>
                </w:tcPr>
                <w:p w14:paraId="65E5EABE">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163</w:t>
                  </w:r>
                </w:p>
              </w:tc>
              <w:tc>
                <w:tcPr>
                  <w:tcW w:w="608" w:type="pct"/>
                  <w:tcBorders>
                    <w:tl2br w:val="nil"/>
                    <w:tr2bl w:val="nil"/>
                  </w:tcBorders>
                  <w:shd w:val="clear" w:color="auto" w:fill="FFFFFF"/>
                  <w:vAlign w:val="center"/>
                </w:tcPr>
                <w:p w14:paraId="770306F2">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124.2</w:t>
                  </w:r>
                </w:p>
              </w:tc>
              <w:tc>
                <w:tcPr>
                  <w:tcW w:w="599" w:type="pct"/>
                  <w:tcBorders>
                    <w:tl2br w:val="nil"/>
                    <w:tr2bl w:val="nil"/>
                  </w:tcBorders>
                  <w:shd w:val="clear" w:color="auto" w:fill="FFFFFF"/>
                  <w:vAlign w:val="center"/>
                </w:tcPr>
                <w:p w14:paraId="41838A7D">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596" w:type="pct"/>
                  <w:tcBorders>
                    <w:tl2br w:val="nil"/>
                    <w:tr2bl w:val="nil"/>
                  </w:tcBorders>
                  <w:shd w:val="clear" w:color="auto" w:fill="FFFFFF"/>
                  <w:vAlign w:val="center"/>
                </w:tcPr>
                <w:p w14:paraId="62D79410">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昼间</w:t>
                  </w:r>
                </w:p>
              </w:tc>
              <w:tc>
                <w:tcPr>
                  <w:tcW w:w="696" w:type="pct"/>
                  <w:tcBorders>
                    <w:tl2br w:val="nil"/>
                    <w:tr2bl w:val="nil"/>
                  </w:tcBorders>
                  <w:shd w:val="clear" w:color="auto" w:fill="FFFFFF"/>
                  <w:vAlign w:val="center"/>
                </w:tcPr>
                <w:p w14:paraId="1E49540F">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37.2</w:t>
                  </w:r>
                </w:p>
              </w:tc>
              <w:tc>
                <w:tcPr>
                  <w:tcW w:w="696" w:type="pct"/>
                  <w:tcBorders>
                    <w:tl2br w:val="nil"/>
                    <w:tr2bl w:val="nil"/>
                  </w:tcBorders>
                  <w:shd w:val="clear" w:color="auto" w:fill="FFFFFF"/>
                  <w:vAlign w:val="center"/>
                </w:tcPr>
                <w:p w14:paraId="69389BA9">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65</w:t>
                  </w:r>
                </w:p>
              </w:tc>
              <w:tc>
                <w:tcPr>
                  <w:tcW w:w="597" w:type="pct"/>
                  <w:tcBorders>
                    <w:tl2br w:val="nil"/>
                    <w:tr2bl w:val="nil"/>
                  </w:tcBorders>
                  <w:shd w:val="clear" w:color="auto" w:fill="FFFFFF"/>
                  <w:vAlign w:val="center"/>
                </w:tcPr>
                <w:p w14:paraId="031D948C">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r w14:paraId="3A53F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595" w:type="pct"/>
                  <w:vMerge w:val="continue"/>
                  <w:tcBorders>
                    <w:tl2br w:val="nil"/>
                    <w:tr2bl w:val="nil"/>
                  </w:tcBorders>
                  <w:shd w:val="clear" w:color="auto" w:fill="FFFFFF"/>
                  <w:vAlign w:val="center"/>
                </w:tcPr>
                <w:p w14:paraId="301F3AF3">
                  <w:pPr>
                    <w:pStyle w:val="35"/>
                    <w:bidi w:val="0"/>
                    <w:rPr>
                      <w:rFonts w:hint="default" w:ascii="Times New Roman" w:hAnsi="Times New Roman" w:cs="Times New Roman"/>
                      <w:color w:val="000000" w:themeColor="text1"/>
                      <w14:textFill>
                        <w14:solidFill>
                          <w14:schemeClr w14:val="tx1"/>
                        </w14:solidFill>
                      </w14:textFill>
                    </w:rPr>
                  </w:pPr>
                </w:p>
              </w:tc>
              <w:tc>
                <w:tcPr>
                  <w:tcW w:w="608" w:type="pct"/>
                  <w:tcBorders>
                    <w:tl2br w:val="nil"/>
                    <w:tr2bl w:val="nil"/>
                  </w:tcBorders>
                  <w:shd w:val="clear" w:color="auto" w:fill="FFFFFF"/>
                  <w:vAlign w:val="center"/>
                </w:tcPr>
                <w:p w14:paraId="39755EDF">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163</w:t>
                  </w:r>
                </w:p>
              </w:tc>
              <w:tc>
                <w:tcPr>
                  <w:tcW w:w="608" w:type="pct"/>
                  <w:tcBorders>
                    <w:tl2br w:val="nil"/>
                    <w:tr2bl w:val="nil"/>
                  </w:tcBorders>
                  <w:shd w:val="clear" w:color="auto" w:fill="FFFFFF"/>
                  <w:vAlign w:val="center"/>
                </w:tcPr>
                <w:p w14:paraId="457F5CD5">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124.2</w:t>
                  </w:r>
                </w:p>
              </w:tc>
              <w:tc>
                <w:tcPr>
                  <w:tcW w:w="599" w:type="pct"/>
                  <w:tcBorders>
                    <w:tl2br w:val="nil"/>
                    <w:tr2bl w:val="nil"/>
                  </w:tcBorders>
                  <w:shd w:val="clear" w:color="auto" w:fill="FFFFFF"/>
                  <w:vAlign w:val="center"/>
                </w:tcPr>
                <w:p w14:paraId="0101C8D3">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1.2</w:t>
                  </w:r>
                </w:p>
              </w:tc>
              <w:tc>
                <w:tcPr>
                  <w:tcW w:w="596" w:type="pct"/>
                  <w:tcBorders>
                    <w:tl2br w:val="nil"/>
                    <w:tr2bl w:val="nil"/>
                  </w:tcBorders>
                  <w:shd w:val="clear" w:color="auto" w:fill="FFFFFF"/>
                  <w:vAlign w:val="center"/>
                </w:tcPr>
                <w:p w14:paraId="6DA2BBED">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夜间</w:t>
                  </w:r>
                </w:p>
              </w:tc>
              <w:tc>
                <w:tcPr>
                  <w:tcW w:w="696" w:type="pct"/>
                  <w:tcBorders>
                    <w:tl2br w:val="nil"/>
                    <w:tr2bl w:val="nil"/>
                  </w:tcBorders>
                  <w:shd w:val="clear" w:color="auto" w:fill="FFFFFF"/>
                  <w:vAlign w:val="center"/>
                </w:tcPr>
                <w:p w14:paraId="3408B5A1">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37.2</w:t>
                  </w:r>
                </w:p>
              </w:tc>
              <w:tc>
                <w:tcPr>
                  <w:tcW w:w="696" w:type="pct"/>
                  <w:tcBorders>
                    <w:tl2br w:val="nil"/>
                    <w:tr2bl w:val="nil"/>
                  </w:tcBorders>
                  <w:shd w:val="clear" w:color="auto" w:fill="FFFFFF"/>
                  <w:vAlign w:val="center"/>
                </w:tcPr>
                <w:p w14:paraId="49C38F85">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55</w:t>
                  </w:r>
                </w:p>
              </w:tc>
              <w:tc>
                <w:tcPr>
                  <w:tcW w:w="597" w:type="pct"/>
                  <w:tcBorders>
                    <w:tl2br w:val="nil"/>
                    <w:tr2bl w:val="nil"/>
                  </w:tcBorders>
                  <w:shd w:val="clear" w:color="auto" w:fill="FFFFFF"/>
                  <w:vAlign w:val="center"/>
                </w:tcPr>
                <w:p w14:paraId="071574B0">
                  <w:pPr>
                    <w:pStyle w:val="35"/>
                    <w:bidi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达标</w:t>
                  </w:r>
                </w:p>
              </w:tc>
            </w:tr>
          </w:tbl>
          <w:p w14:paraId="44FA06E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由上表可知，采取措施后，本项目厂界噪声排放满足《工业企业厂界环境噪声排放标准》(GB12348-2008)3类区标准，不会对周围声环境产生明显影响。</w:t>
            </w:r>
          </w:p>
          <w:p w14:paraId="7DD8D2C0">
            <w:pP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4、噪声污染控制措施</w:t>
            </w:r>
          </w:p>
          <w:p w14:paraId="6DB71D40">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本报告根据项目实际情况提出以下噪声防治措施：</w:t>
            </w:r>
          </w:p>
          <w:p w14:paraId="07F6EF7C">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①从声源上控制噪声，选用低噪声的设备、机械车辆，高噪声设备安设基础减振垫，减少振动、阻碍声源传播，以降低噪声。</w:t>
            </w:r>
          </w:p>
          <w:p w14:paraId="22A0D7E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②合理安置作业区域，避免局部噪声过于集中，高噪声设备布置在车间中部，远离厂界。</w:t>
            </w:r>
          </w:p>
          <w:p w14:paraId="5638ABC5">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③加强生产管理、文明生产，定期维护机械设备，运输车辆定期进行年检，使其处于正常运行状态。</w:t>
            </w:r>
          </w:p>
          <w:p w14:paraId="5C54F800">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④场界四周设置围墙，场内进行绿化，利用围墙、树木的阻隔作用降噪，从传播途径上衰减噪声。</w:t>
            </w:r>
          </w:p>
          <w:p w14:paraId="6FBED83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综上所述，经采取隔声降噪措施后，项目噪声对声环境影响小。</w:t>
            </w:r>
          </w:p>
          <w:p w14:paraId="73FAD2FC">
            <w:pP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5、噪声监测要求</w:t>
            </w:r>
          </w:p>
          <w:p w14:paraId="20C48B1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根据《排污单位自行监测技术指</w:t>
            </w:r>
            <w:r>
              <w:rPr>
                <w:rFonts w:hint="default" w:ascii="Times New Roman" w:hAnsi="Times New Roman" w:cs="Times New Roman"/>
                <w:color w:val="000000" w:themeColor="text1"/>
                <w:spacing w:val="120"/>
                <w:kern w:val="0"/>
                <w:highlight w:val="none"/>
                <w:fitText w:val="720" w:id="-925508864"/>
                <w14:textFill>
                  <w14:solidFill>
                    <w14:schemeClr w14:val="tx1"/>
                  </w14:solidFill>
                </w14:textFill>
              </w:rPr>
              <w:t>南</w:t>
            </w:r>
            <w:r>
              <w:rPr>
                <w:rFonts w:hint="default" w:ascii="Times New Roman" w:hAnsi="Times New Roman" w:cs="Times New Roman"/>
                <w:color w:val="000000" w:themeColor="text1"/>
                <w:spacing w:val="0"/>
                <w:kern w:val="0"/>
                <w:highlight w:val="none"/>
                <w:fitText w:val="720" w:id="-925508864"/>
                <w14:textFill>
                  <w14:solidFill>
                    <w14:schemeClr w14:val="tx1"/>
                  </w14:solidFill>
                </w14:textFill>
              </w:rPr>
              <w:t>总</w:t>
            </w:r>
            <w:r>
              <w:rPr>
                <w:rFonts w:hint="default" w:ascii="Times New Roman" w:hAnsi="Times New Roman" w:cs="Times New Roman"/>
                <w:color w:val="000000" w:themeColor="text1"/>
                <w:highlight w:val="none"/>
                <w14:textFill>
                  <w14:solidFill>
                    <w14:schemeClr w14:val="tx1"/>
                  </w14:solidFill>
                </w14:textFill>
              </w:rPr>
              <w:t>则》（HJ819-2017），项目运营期噪声监测要求如下表：</w:t>
            </w:r>
          </w:p>
          <w:p w14:paraId="08348F24">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表4- 1</w:t>
            </w:r>
            <w:r>
              <w:rPr>
                <w:rFonts w:hint="default" w:ascii="Times New Roman" w:hAnsi="Times New Roman" w:cs="Times New Roman"/>
                <w:color w:val="000000" w:themeColor="text1"/>
                <w:highlight w:val="none"/>
                <w:lang w:val="en-US" w:eastAsia="zh-CN"/>
                <w14:textFill>
                  <w14:solidFill>
                    <w14:schemeClr w14:val="tx1"/>
                  </w14:solidFill>
                </w14:textFill>
              </w:rPr>
              <w:t>5</w:t>
            </w:r>
            <w:r>
              <w:rPr>
                <w:rFonts w:hint="default" w:ascii="Times New Roman" w:hAnsi="Times New Roman" w:cs="Times New Roman"/>
                <w:color w:val="000000" w:themeColor="text1"/>
                <w:highlight w:val="none"/>
                <w14:textFill>
                  <w14:solidFill>
                    <w14:schemeClr w14:val="tx1"/>
                  </w14:solidFill>
                </w14:textFill>
              </w:rPr>
              <w:t>：噪声监测计划---单位：dB(A)</w:t>
            </w:r>
          </w:p>
          <w:tbl>
            <w:tblPr>
              <w:tblStyle w:val="1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792"/>
              <w:gridCol w:w="2727"/>
              <w:gridCol w:w="3919"/>
            </w:tblGrid>
            <w:tr w14:paraId="7DC7F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62" w:type="pct"/>
                  <w:tcBorders>
                    <w:tl2br w:val="nil"/>
                    <w:tr2bl w:val="nil"/>
                  </w:tcBorders>
                  <w:vAlign w:val="center"/>
                </w:tcPr>
                <w:p w14:paraId="0764E77D">
                  <w:pPr>
                    <w:widowControl w:val="0"/>
                    <w:overflowPunct w:val="0"/>
                    <w:autoSpaceDE w:val="0"/>
                    <w:autoSpaceDN w:val="0"/>
                    <w:adjustRightInd w:val="0"/>
                    <w:snapToGrid w:val="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监测测点位</w:t>
                  </w:r>
                </w:p>
              </w:tc>
              <w:tc>
                <w:tcPr>
                  <w:tcW w:w="1615" w:type="pct"/>
                  <w:tcBorders>
                    <w:tl2br w:val="nil"/>
                    <w:tr2bl w:val="nil"/>
                  </w:tcBorders>
                  <w:vAlign w:val="center"/>
                </w:tcPr>
                <w:p w14:paraId="779AFFA5">
                  <w:pPr>
                    <w:widowControl w:val="0"/>
                    <w:overflowPunct w:val="0"/>
                    <w:autoSpaceDE w:val="0"/>
                    <w:autoSpaceDN w:val="0"/>
                    <w:adjustRightInd w:val="0"/>
                    <w:snapToGrid w:val="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监测频次</w:t>
                  </w:r>
                </w:p>
              </w:tc>
              <w:tc>
                <w:tcPr>
                  <w:tcW w:w="2321" w:type="pct"/>
                  <w:tcBorders>
                    <w:tl2br w:val="nil"/>
                    <w:tr2bl w:val="nil"/>
                  </w:tcBorders>
                  <w:vAlign w:val="center"/>
                </w:tcPr>
                <w:p w14:paraId="58CE0AEE">
                  <w:pPr>
                    <w:widowControl w:val="0"/>
                    <w:overflowPunct w:val="0"/>
                    <w:autoSpaceDE w:val="0"/>
                    <w:autoSpaceDN w:val="0"/>
                    <w:adjustRightInd w:val="0"/>
                    <w:snapToGrid w:val="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执行标准</w:t>
                  </w:r>
                </w:p>
              </w:tc>
            </w:tr>
            <w:tr w14:paraId="3E3B79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62" w:type="pct"/>
                  <w:tcBorders>
                    <w:tl2br w:val="nil"/>
                    <w:tr2bl w:val="nil"/>
                  </w:tcBorders>
                  <w:vAlign w:val="center"/>
                </w:tcPr>
                <w:p w14:paraId="151B4C9B">
                  <w:pPr>
                    <w:pStyle w:val="54"/>
                    <w:spacing w:before="129" w:line="219" w:lineRule="auto"/>
                    <w:jc w:val="center"/>
                    <w:rPr>
                      <w:rFonts w:hint="default" w:ascii="Times New Roman" w:hAnsi="Times New Roman" w:cs="Times New Roman"/>
                      <w:color w:val="000000" w:themeColor="text1"/>
                      <w:highlight w:val="none"/>
                      <w:u w:val="single"/>
                      <w14:textFill>
                        <w14:solidFill>
                          <w14:schemeClr w14:val="tx1"/>
                        </w14:solidFill>
                      </w14:textFill>
                    </w:rPr>
                  </w:pPr>
                  <w:r>
                    <w:rPr>
                      <w:rFonts w:hint="eastAsia"/>
                      <w:color w:val="000000" w:themeColor="text1"/>
                      <w:spacing w:val="-1"/>
                      <w:sz w:val="21"/>
                      <w:szCs w:val="21"/>
                      <w:u w:val="single"/>
                      <w:lang w:val="en-US" w:eastAsia="zh-CN"/>
                      <w14:textFill>
                        <w14:solidFill>
                          <w14:schemeClr w14:val="tx1"/>
                        </w14:solidFill>
                      </w14:textFill>
                    </w:rPr>
                    <w:t>运营期</w:t>
                  </w:r>
                  <w:r>
                    <w:rPr>
                      <w:color w:val="000000" w:themeColor="text1"/>
                      <w:spacing w:val="-1"/>
                      <w:sz w:val="21"/>
                      <w:szCs w:val="21"/>
                      <w:u w:val="single"/>
                      <w14:textFill>
                        <w14:solidFill>
                          <w14:schemeClr w14:val="tx1"/>
                        </w14:solidFill>
                      </w14:textFill>
                    </w:rPr>
                    <w:t>项目西侧厂界</w:t>
                  </w:r>
                </w:p>
              </w:tc>
              <w:tc>
                <w:tcPr>
                  <w:tcW w:w="1615" w:type="pct"/>
                  <w:tcBorders>
                    <w:tl2br w:val="nil"/>
                    <w:tr2bl w:val="nil"/>
                  </w:tcBorders>
                  <w:vAlign w:val="center"/>
                </w:tcPr>
                <w:p w14:paraId="6CEDB242">
                  <w:pPr>
                    <w:widowControl w:val="0"/>
                    <w:overflowPunct w:val="0"/>
                    <w:autoSpaceDE w:val="0"/>
                    <w:autoSpaceDN w:val="0"/>
                    <w:snapToGrid w:val="0"/>
                    <w:jc w:val="center"/>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snapToGrid w:val="0"/>
                      <w:color w:val="000000" w:themeColor="text1"/>
                      <w:highlight w:val="none"/>
                      <w:u w:val="single"/>
                      <w14:textFill>
                        <w14:solidFill>
                          <w14:schemeClr w14:val="tx1"/>
                        </w14:solidFill>
                      </w14:textFill>
                    </w:rPr>
                    <w:t>1次/季度（监测昼夜噪声）</w:t>
                  </w:r>
                </w:p>
              </w:tc>
              <w:tc>
                <w:tcPr>
                  <w:tcW w:w="2321" w:type="pct"/>
                  <w:tcBorders>
                    <w:tl2br w:val="nil"/>
                    <w:tr2bl w:val="nil"/>
                  </w:tcBorders>
                  <w:vAlign w:val="center"/>
                </w:tcPr>
                <w:p w14:paraId="258F8D6E">
                  <w:pPr>
                    <w:widowControl w:val="0"/>
                    <w:overflowPunct w:val="0"/>
                    <w:autoSpaceDE w:val="0"/>
                    <w:autoSpaceDN w:val="0"/>
                    <w:snapToGrid w:val="0"/>
                    <w:jc w:val="center"/>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《工业企业厂界环境噪声排放标准》(GB12348-2008)3类区标准</w:t>
                  </w:r>
                </w:p>
              </w:tc>
            </w:tr>
            <w:tr w14:paraId="01B13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62" w:type="pct"/>
                  <w:tcBorders>
                    <w:tl2br w:val="nil"/>
                    <w:tr2bl w:val="nil"/>
                  </w:tcBorders>
                  <w:vAlign w:val="center"/>
                </w:tcPr>
                <w:p w14:paraId="1281D37C">
                  <w:pPr>
                    <w:pStyle w:val="54"/>
                    <w:spacing w:before="128" w:line="219" w:lineRule="auto"/>
                    <w:jc w:val="center"/>
                    <w:rPr>
                      <w:rFonts w:hint="default" w:ascii="Times New Roman" w:hAnsi="Times New Roman" w:cs="Times New Roman"/>
                      <w:color w:val="000000" w:themeColor="text1"/>
                      <w:highlight w:val="none"/>
                      <w:u w:val="single"/>
                      <w14:textFill>
                        <w14:solidFill>
                          <w14:schemeClr w14:val="tx1"/>
                        </w14:solidFill>
                      </w14:textFill>
                    </w:rPr>
                  </w:pPr>
                  <w:r>
                    <w:rPr>
                      <w:rFonts w:hint="eastAsia"/>
                      <w:color w:val="000000" w:themeColor="text1"/>
                      <w:spacing w:val="-1"/>
                      <w:sz w:val="21"/>
                      <w:szCs w:val="21"/>
                      <w:u w:val="single"/>
                      <w:lang w:val="en-US" w:eastAsia="zh-CN"/>
                      <w14:textFill>
                        <w14:solidFill>
                          <w14:schemeClr w14:val="tx1"/>
                        </w14:solidFill>
                      </w14:textFill>
                    </w:rPr>
                    <w:t>运营期</w:t>
                  </w:r>
                  <w:r>
                    <w:rPr>
                      <w:color w:val="000000" w:themeColor="text1"/>
                      <w:spacing w:val="-1"/>
                      <w:sz w:val="21"/>
                      <w:szCs w:val="21"/>
                      <w:u w:val="single"/>
                      <w14:textFill>
                        <w14:solidFill>
                          <w14:schemeClr w14:val="tx1"/>
                        </w14:solidFill>
                      </w14:textFill>
                    </w:rPr>
                    <w:t>项目南侧厂界、东侧厂界、北侧厂界</w:t>
                  </w:r>
                </w:p>
              </w:tc>
              <w:tc>
                <w:tcPr>
                  <w:tcW w:w="1615" w:type="pct"/>
                  <w:tcBorders>
                    <w:tl2br w:val="nil"/>
                    <w:tr2bl w:val="nil"/>
                  </w:tcBorders>
                  <w:shd w:val="clear" w:color="auto" w:fill="auto"/>
                  <w:vAlign w:val="center"/>
                </w:tcPr>
                <w:p w14:paraId="73171D8C">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u w:val="single"/>
                      <w:lang w:val="en-US" w:eastAsia="zh-CN" w:bidi="ar-SA"/>
                      <w14:textFill>
                        <w14:solidFill>
                          <w14:schemeClr w14:val="tx1"/>
                        </w14:solidFill>
                      </w14:textFill>
                    </w:rPr>
                  </w:pPr>
                  <w:r>
                    <w:rPr>
                      <w:rFonts w:hint="default" w:ascii="Times New Roman" w:hAnsi="Times New Roman" w:cs="Times New Roman"/>
                      <w:snapToGrid w:val="0"/>
                      <w:color w:val="000000" w:themeColor="text1"/>
                      <w:highlight w:val="none"/>
                      <w:u w:val="single"/>
                      <w14:textFill>
                        <w14:solidFill>
                          <w14:schemeClr w14:val="tx1"/>
                        </w14:solidFill>
                      </w14:textFill>
                    </w:rPr>
                    <w:t>1次/季度（监测昼夜噪声）</w:t>
                  </w:r>
                </w:p>
              </w:tc>
              <w:tc>
                <w:tcPr>
                  <w:tcW w:w="2321" w:type="pct"/>
                  <w:tcBorders>
                    <w:tl2br w:val="nil"/>
                    <w:tr2bl w:val="nil"/>
                  </w:tcBorders>
                  <w:shd w:val="clear" w:color="auto" w:fill="auto"/>
                  <w:vAlign w:val="center"/>
                </w:tcPr>
                <w:p w14:paraId="5C08B229">
                  <w:pPr>
                    <w:widowControl w:val="0"/>
                    <w:overflowPunct w:val="0"/>
                    <w:autoSpaceDE w:val="0"/>
                    <w:autoSpaceDN w:val="0"/>
                    <w:snapToGrid w:val="0"/>
                    <w:jc w:val="center"/>
                    <w:rPr>
                      <w:rFonts w:hint="default" w:ascii="Times New Roman" w:hAnsi="Times New Roman" w:eastAsia="宋体" w:cs="Times New Roman"/>
                      <w:color w:val="000000" w:themeColor="text1"/>
                      <w:sz w:val="21"/>
                      <w:szCs w:val="21"/>
                      <w:highlight w:val="none"/>
                      <w:u w:val="single"/>
                      <w:lang w:val="en-US" w:eastAsia="zh-CN" w:bidi="ar-SA"/>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《工业企业厂界环境噪声排放标准》(GB12348-2008)</w:t>
                  </w:r>
                  <w:r>
                    <w:rPr>
                      <w:rFonts w:hint="eastAsia" w:cs="Times New Roman"/>
                      <w:color w:val="000000" w:themeColor="text1"/>
                      <w:highlight w:val="none"/>
                      <w:u w:val="single"/>
                      <w:lang w:val="en-US" w:eastAsia="zh-CN"/>
                      <w14:textFill>
                        <w14:solidFill>
                          <w14:schemeClr w14:val="tx1"/>
                        </w14:solidFill>
                      </w14:textFill>
                    </w:rPr>
                    <w:t>4</w:t>
                  </w:r>
                  <w:r>
                    <w:rPr>
                      <w:rFonts w:hint="default" w:ascii="Times New Roman" w:hAnsi="Times New Roman" w:cs="Times New Roman"/>
                      <w:color w:val="000000" w:themeColor="text1"/>
                      <w:highlight w:val="none"/>
                      <w:u w:val="single"/>
                      <w14:textFill>
                        <w14:solidFill>
                          <w14:schemeClr w14:val="tx1"/>
                        </w14:solidFill>
                      </w14:textFill>
                    </w:rPr>
                    <w:t>类区标准</w:t>
                  </w:r>
                </w:p>
              </w:tc>
            </w:tr>
          </w:tbl>
          <w:p w14:paraId="5F9151D2">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四、固体废物</w:t>
            </w:r>
          </w:p>
          <w:p w14:paraId="1A8AD082">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1、固体废物产生及处置情况</w:t>
            </w:r>
          </w:p>
          <w:p w14:paraId="38FBAAC7">
            <w:pPr>
              <w:pStyle w:val="4"/>
              <w:ind w:firstLine="480"/>
              <w:rPr>
                <w:rFonts w:hint="default" w:ascii="Times New Roman" w:hAnsi="Times New Roman" w:cs="Times New Roman"/>
                <w:color w:val="000000" w:themeColor="text1"/>
                <w:highlight w:val="none"/>
                <w:u w:val="single"/>
                <w14:textFill>
                  <w14:solidFill>
                    <w14:schemeClr w14:val="tx1"/>
                  </w14:solidFill>
                </w14:textFill>
              </w:rPr>
            </w:pPr>
            <w:r>
              <w:rPr>
                <w:rFonts w:hint="eastAsia" w:cs="Times New Roman"/>
                <w:color w:val="000000" w:themeColor="text1"/>
                <w:highlight w:val="none"/>
                <w:u w:val="single"/>
                <w:lang w:val="en-US" w:eastAsia="zh-CN"/>
                <w14:textFill>
                  <w14:solidFill>
                    <w14:schemeClr w14:val="tx1"/>
                  </w14:solidFill>
                </w14:textFill>
              </w:rPr>
              <w:t>固体废物包括依托现有废水处理设施产生的</w:t>
            </w:r>
            <w:bookmarkStart w:id="147" w:name="OLE_LINK260"/>
            <w:bookmarkStart w:id="148" w:name="OLE_LINK285"/>
            <w:r>
              <w:rPr>
                <w:rFonts w:hint="default" w:ascii="Times New Roman" w:hAnsi="Times New Roman" w:cs="Times New Roman"/>
                <w:color w:val="000000" w:themeColor="text1"/>
                <w:highlight w:val="none"/>
                <w:u w:val="single"/>
                <w:lang w:eastAsia="zh-CN"/>
                <w14:textFill>
                  <w14:solidFill>
                    <w14:schemeClr w14:val="tx1"/>
                  </w14:solidFill>
                </w14:textFill>
              </w:rPr>
              <w:t>S1沉淀池沉渣</w:t>
            </w:r>
            <w:r>
              <w:rPr>
                <w:rFonts w:hint="default" w:ascii="Times New Roman" w:hAnsi="Times New Roman" w:cs="Times New Roman"/>
                <w:color w:val="000000" w:themeColor="text1"/>
                <w:highlight w:val="none"/>
                <w:u w:val="single"/>
                <w14:textFill>
                  <w14:solidFill>
                    <w14:schemeClr w14:val="tx1"/>
                  </w14:solidFill>
                </w14:textFill>
              </w:rPr>
              <w:t>、</w:t>
            </w:r>
            <w:r>
              <w:rPr>
                <w:rFonts w:hint="default" w:ascii="Times New Roman" w:hAnsi="Times New Roman" w:cs="Times New Roman"/>
                <w:color w:val="000000" w:themeColor="text1"/>
                <w:highlight w:val="none"/>
                <w:u w:val="single"/>
                <w:lang w:eastAsia="zh-CN"/>
                <w14:textFill>
                  <w14:solidFill>
                    <w14:schemeClr w14:val="tx1"/>
                  </w14:solidFill>
                </w14:textFill>
              </w:rPr>
              <w:t>S2废反渗透膜</w:t>
            </w:r>
            <w:r>
              <w:rPr>
                <w:rFonts w:hint="default" w:ascii="Times New Roman" w:hAnsi="Times New Roman" w:cs="Times New Roman"/>
                <w:color w:val="000000" w:themeColor="text1"/>
                <w:highlight w:val="none"/>
                <w:u w:val="single"/>
                <w14:textFill>
                  <w14:solidFill>
                    <w14:schemeClr w14:val="tx1"/>
                  </w14:solidFill>
                </w14:textFill>
              </w:rPr>
              <w:t>、</w:t>
            </w:r>
            <w:bookmarkEnd w:id="147"/>
            <w:r>
              <w:rPr>
                <w:rFonts w:hint="default" w:ascii="Times New Roman" w:hAnsi="Times New Roman" w:cs="Times New Roman"/>
                <w:color w:val="000000" w:themeColor="text1"/>
                <w:highlight w:val="none"/>
                <w:u w:val="single"/>
                <w:lang w:eastAsia="zh-CN"/>
                <w14:textFill>
                  <w14:solidFill>
                    <w14:schemeClr w14:val="tx1"/>
                  </w14:solidFill>
                </w14:textFill>
              </w:rPr>
              <w:t>S3废超滤膜</w:t>
            </w:r>
            <w:r>
              <w:rPr>
                <w:rFonts w:hint="eastAsia" w:cs="Times New Roman"/>
                <w:color w:val="000000" w:themeColor="text1"/>
                <w:highlight w:val="none"/>
                <w:u w:val="single"/>
                <w:lang w:eastAsia="zh-CN"/>
                <w14:textFill>
                  <w14:solidFill>
                    <w14:schemeClr w14:val="tx1"/>
                  </w14:solidFill>
                </w14:textFill>
              </w:rPr>
              <w:t>及</w:t>
            </w:r>
            <w:bookmarkEnd w:id="148"/>
            <w:r>
              <w:rPr>
                <w:rFonts w:hint="eastAsia"/>
                <w:color w:val="000000" w:themeColor="text1"/>
                <w:u w:val="single"/>
                <w:lang w:val="en-US" w:eastAsia="zh-CN"/>
                <w14:textFill>
                  <w14:solidFill>
                    <w14:schemeClr w14:val="tx1"/>
                  </w14:solidFill>
                </w14:textFill>
              </w:rPr>
              <w:t>本</w:t>
            </w:r>
            <w:r>
              <w:rPr>
                <w:rFonts w:hint="default" w:ascii="Times New Roman" w:hAnsi="Times New Roman" w:cs="Times New Roman"/>
                <w:color w:val="000000" w:themeColor="text1"/>
                <w:highlight w:val="none"/>
                <w:u w:val="single"/>
                <w14:textFill>
                  <w14:solidFill>
                    <w14:schemeClr w14:val="tx1"/>
                  </w14:solidFill>
                </w14:textFill>
              </w:rPr>
              <w:t>项目产生的固体废物为</w:t>
            </w:r>
            <w:r>
              <w:rPr>
                <w:rFonts w:hint="default" w:ascii="Times New Roman" w:hAnsi="Times New Roman" w:cs="Times New Roman"/>
                <w:color w:val="000000" w:themeColor="text1"/>
                <w:highlight w:val="none"/>
                <w:u w:val="single"/>
                <w:lang w:eastAsia="zh-CN"/>
                <w14:textFill>
                  <w14:solidFill>
                    <w14:schemeClr w14:val="tx1"/>
                  </w14:solidFill>
                </w14:textFill>
              </w:rPr>
              <w:t>S4生物质锅炉炉渣</w:t>
            </w:r>
            <w:r>
              <w:rPr>
                <w:rFonts w:hint="default" w:ascii="Times New Roman" w:hAnsi="Times New Roman" w:cs="Times New Roman"/>
                <w:color w:val="000000" w:themeColor="text1"/>
                <w:highlight w:val="none"/>
                <w:u w:val="single"/>
                <w14:textFill>
                  <w14:solidFill>
                    <w14:schemeClr w14:val="tx1"/>
                  </w14:solidFill>
                </w14:textFill>
              </w:rPr>
              <w:t>、</w:t>
            </w:r>
            <w:r>
              <w:rPr>
                <w:rFonts w:hint="default" w:ascii="Times New Roman" w:hAnsi="Times New Roman" w:cs="Times New Roman"/>
                <w:color w:val="000000" w:themeColor="text1"/>
                <w:highlight w:val="none"/>
                <w:u w:val="single"/>
                <w:lang w:eastAsia="zh-CN"/>
                <w14:textFill>
                  <w14:solidFill>
                    <w14:schemeClr w14:val="tx1"/>
                  </w14:solidFill>
                </w14:textFill>
              </w:rPr>
              <w:t>S5除尘器粉尘</w:t>
            </w:r>
            <w:r>
              <w:rPr>
                <w:rFonts w:hint="default" w:ascii="Times New Roman" w:hAnsi="Times New Roman" w:cs="Times New Roman"/>
                <w:color w:val="000000" w:themeColor="text1"/>
                <w:highlight w:val="none"/>
                <w:u w:val="single"/>
                <w14:textFill>
                  <w14:solidFill>
                    <w14:schemeClr w14:val="tx1"/>
                  </w14:solidFill>
                </w14:textFill>
              </w:rPr>
              <w:t>、</w:t>
            </w: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S</w:t>
            </w: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6</w:t>
            </w: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废布袋</w:t>
            </w:r>
            <w:r>
              <w:rPr>
                <w:rFonts w:hint="default" w:ascii="Times New Roman" w:hAnsi="Times New Roman" w:cs="Times New Roman"/>
                <w:color w:val="000000" w:themeColor="text1"/>
                <w:highlight w:val="none"/>
                <w:u w:val="single"/>
                <w:lang w:eastAsia="zh-CN"/>
                <w14:textFill>
                  <w14:solidFill>
                    <w14:schemeClr w14:val="tx1"/>
                  </w14:solidFill>
                </w14:textFill>
                <w14:ligatures w14:val="standardContextual"/>
              </w:rPr>
              <w:t>、</w:t>
            </w: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S</w:t>
            </w: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7</w:t>
            </w: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废润滑油及废油桶</w:t>
            </w:r>
            <w:r>
              <w:rPr>
                <w:rFonts w:hint="default" w:ascii="Times New Roman" w:hAnsi="Times New Roman" w:cs="Times New Roman"/>
                <w:color w:val="000000" w:themeColor="text1"/>
                <w:highlight w:val="none"/>
                <w:u w:val="single"/>
                <w:lang w:eastAsia="zh-CN"/>
                <w14:textFill>
                  <w14:solidFill>
                    <w14:schemeClr w14:val="tx1"/>
                  </w14:solidFill>
                </w14:textFill>
                <w14:ligatures w14:val="standardContextual"/>
              </w:rPr>
              <w:t>、</w:t>
            </w:r>
            <w:r>
              <w:rPr>
                <w:rFonts w:hint="default" w:ascii="Times New Roman" w:hAnsi="Times New Roman" w:cs="Times New Roman"/>
                <w:color w:val="000000" w:themeColor="text1"/>
                <w:highlight w:val="none"/>
                <w:u w:val="single"/>
                <w14:textFill>
                  <w14:solidFill>
                    <w14:schemeClr w14:val="tx1"/>
                  </w14:solidFill>
                </w14:textFill>
              </w:rPr>
              <w:t>S</w:t>
            </w:r>
            <w:r>
              <w:rPr>
                <w:rFonts w:hint="default" w:ascii="Times New Roman" w:hAnsi="Times New Roman" w:cs="Times New Roman"/>
                <w:color w:val="000000" w:themeColor="text1"/>
                <w:highlight w:val="none"/>
                <w:u w:val="single"/>
                <w:lang w:val="en-US" w:eastAsia="zh-CN"/>
                <w14:textFill>
                  <w14:solidFill>
                    <w14:schemeClr w14:val="tx1"/>
                  </w14:solidFill>
                </w14:textFill>
              </w:rPr>
              <w:t>8</w:t>
            </w:r>
            <w:r>
              <w:rPr>
                <w:rFonts w:hint="default" w:ascii="Times New Roman" w:hAnsi="Times New Roman" w:cs="Times New Roman"/>
                <w:color w:val="000000" w:themeColor="text1"/>
                <w:highlight w:val="none"/>
                <w:u w:val="single"/>
                <w14:textFill>
                  <w14:solidFill>
                    <w14:schemeClr w14:val="tx1"/>
                  </w14:solidFill>
                </w14:textFill>
              </w:rPr>
              <w:t>废含油抹布。</w:t>
            </w:r>
          </w:p>
          <w:p w14:paraId="162881CE">
            <w:pPr>
              <w:pStyle w:val="4"/>
              <w:ind w:firstLine="480"/>
              <w:rPr>
                <w:rFonts w:hint="default" w:ascii="Times New Roman" w:hAnsi="Times New Roman" w:eastAsia="宋体"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rPr>
              <w:t>①</w:t>
            </w:r>
            <w:r>
              <w:rPr>
                <w:rFonts w:hint="eastAsia" w:cs="Times New Roman"/>
                <w:color w:val="000000" w:themeColor="text1"/>
                <w:highlight w:val="none"/>
                <w:u w:val="single"/>
                <w:lang w:val="en-US" w:eastAsia="zh-CN"/>
                <w14:textFill>
                  <w14:solidFill>
                    <w14:schemeClr w14:val="tx1"/>
                  </w14:solidFill>
                </w14:textFill>
              </w:rPr>
              <w:t>依托现有废水处理设施产生的</w:t>
            </w: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S1</w:t>
            </w:r>
            <w:r>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t>沉淀池沉渣</w:t>
            </w:r>
          </w:p>
          <w:p w14:paraId="53EB4594">
            <w:pPr>
              <w:pStyle w:val="4"/>
              <w:ind w:firstLine="48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锅炉所需的软水在制备过程中，</w:t>
            </w:r>
            <w:r>
              <w:rPr>
                <w:rFonts w:hint="default" w:ascii="Times New Roman" w:hAnsi="Times New Roman" w:cs="Times New Roman"/>
                <w:color w:val="000000" w:themeColor="text1"/>
                <w:highlight w:val="none"/>
                <w:lang w:val="en-US" w:eastAsia="zh-CN"/>
                <w14:textFill>
                  <w14:solidFill>
                    <w14:schemeClr w14:val="tx1"/>
                  </w14:solidFill>
                </w14:textFill>
              </w:rPr>
              <w:t>被去除的硬度离子（主要是钙和镁）最终转化成的沉淀物量</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类比现有项目分析，沉渣产生量为</w:t>
            </w:r>
            <w:r>
              <w:rPr>
                <w:rFonts w:hint="eastAsia" w:cs="Times New Roman"/>
                <w:color w:val="000000" w:themeColor="text1"/>
                <w:highlight w:val="none"/>
                <w:lang w:val="en-US" w:eastAsia="zh-CN"/>
                <w14:textFill>
                  <w14:solidFill>
                    <w14:schemeClr w14:val="tx1"/>
                  </w14:solidFill>
                </w14:textFill>
              </w:rPr>
              <w:t>0.67</w:t>
            </w:r>
            <w:r>
              <w:rPr>
                <w:rFonts w:hint="default" w:ascii="Times New Roman" w:hAnsi="Times New Roman" w:cs="Times New Roman"/>
                <w:color w:val="000000" w:themeColor="text1"/>
                <w:highlight w:val="none"/>
                <w:lang w:val="en-US" w:eastAsia="zh-CN"/>
                <w14:textFill>
                  <w14:solidFill>
                    <w14:schemeClr w14:val="tx1"/>
                  </w14:solidFill>
                </w14:textFill>
              </w:rPr>
              <w:t>t/a</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为</w:t>
            </w:r>
            <w:r>
              <w:rPr>
                <w:rFonts w:hint="default" w:ascii="Times New Roman" w:hAnsi="Times New Roman" w:cs="Times New Roman"/>
                <w:color w:val="000000" w:themeColor="text1"/>
                <w:sz w:val="24"/>
                <w:szCs w:val="24"/>
                <w:highlight w:val="none"/>
                <w14:textFill>
                  <w14:solidFill>
                    <w14:schemeClr w14:val="tx1"/>
                  </w14:solidFill>
                </w14:textFill>
              </w:rPr>
              <w:t>一般工业固废，</w:t>
            </w:r>
            <w:r>
              <w:rPr>
                <w:rFonts w:hint="eastAsia" w:cs="Times New Roman"/>
                <w:color w:val="000000" w:themeColor="text1"/>
                <w:sz w:val="24"/>
                <w:szCs w:val="24"/>
                <w:highlight w:val="none"/>
                <w:u w:val="single"/>
                <w:lang w:val="en-US" w:eastAsia="zh-CN"/>
                <w14:textFill>
                  <w14:solidFill>
                    <w14:schemeClr w14:val="tx1"/>
                  </w14:solidFill>
                </w14:textFill>
              </w:rPr>
              <w:t>依托现有项目一般固废间暂存，定期</w:t>
            </w:r>
            <w:r>
              <w:rPr>
                <w:rFonts w:hint="default" w:ascii="Times New Roman" w:hAnsi="Times New Roman" w:cs="Times New Roman"/>
                <w:color w:val="000000" w:themeColor="text1"/>
                <w:sz w:val="24"/>
                <w:szCs w:val="24"/>
                <w:highlight w:val="none"/>
                <w:u w:val="single"/>
                <w:lang w:eastAsia="zh-CN"/>
                <w14:textFill>
                  <w14:solidFill>
                    <w14:schemeClr w14:val="tx1"/>
                  </w14:solidFill>
                </w14:textFill>
              </w:rPr>
              <w:t>外售一般固废处置单位处置</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w:t>
            </w:r>
          </w:p>
          <w:p w14:paraId="0C3A5BCC">
            <w:pPr>
              <w:pStyle w:val="4"/>
              <w:ind w:firstLine="480"/>
              <w:rPr>
                <w:rFonts w:hint="default" w:ascii="Times New Roman" w:hAnsi="Times New Roman" w:cs="Times New Roman"/>
                <w:color w:val="000000" w:themeColor="text1"/>
                <w:highlight w:val="none"/>
                <w:u w:val="single"/>
                <w14:textFill>
                  <w14:solidFill>
                    <w14:schemeClr w14:val="tx1"/>
                  </w14:solidFill>
                </w14:textFill>
                <w14:ligatures w14:val="standardContextual"/>
              </w:rPr>
            </w:pPr>
            <w:r>
              <w:rPr>
                <w:rFonts w:hint="default" w:ascii="Times New Roman" w:hAnsi="Times New Roman" w:eastAsia="宋体" w:cs="Times New Roman"/>
                <w:color w:val="000000" w:themeColor="text1"/>
                <w:highlight w:val="none"/>
                <w:u w:val="single"/>
                <w:lang w:eastAsia="zh-CN"/>
                <w14:textFill>
                  <w14:solidFill>
                    <w14:schemeClr w14:val="tx1"/>
                  </w14:solidFill>
                </w14:textFill>
              </w:rPr>
              <w:t>②</w:t>
            </w:r>
            <w:r>
              <w:rPr>
                <w:rFonts w:hint="eastAsia" w:cs="Times New Roman"/>
                <w:color w:val="000000" w:themeColor="text1"/>
                <w:highlight w:val="none"/>
                <w:u w:val="single"/>
                <w:lang w:val="en-US" w:eastAsia="zh-CN"/>
                <w14:textFill>
                  <w14:solidFill>
                    <w14:schemeClr w14:val="tx1"/>
                  </w14:solidFill>
                </w14:textFill>
              </w:rPr>
              <w:t>依托现有废水处理设施产生的</w:t>
            </w:r>
            <w:r>
              <w:rPr>
                <w:rFonts w:hint="default" w:ascii="Times New Roman" w:hAnsi="Times New Roman" w:cs="Times New Roman"/>
                <w:color w:val="000000" w:themeColor="text1"/>
                <w:highlight w:val="none"/>
                <w:u w:val="single"/>
                <w:lang w:eastAsia="zh-CN"/>
                <w14:textFill>
                  <w14:solidFill>
                    <w14:schemeClr w14:val="tx1"/>
                  </w14:solidFill>
                </w14:textFill>
              </w:rPr>
              <w:t>S2废反渗透膜</w:t>
            </w:r>
          </w:p>
          <w:p w14:paraId="6ACD63CA">
            <w:pPr>
              <w:pStyle w:val="4"/>
              <w:ind w:firstLine="48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rPr>
              <w:t>锅炉所需的软水在制备过程中，</w:t>
            </w:r>
            <w:r>
              <w:rPr>
                <w:rFonts w:hint="default" w:ascii="Times New Roman" w:hAnsi="Times New Roman" w:cs="Times New Roman"/>
                <w:color w:val="000000" w:themeColor="text1"/>
                <w:highlight w:val="none"/>
                <w:lang w:val="en-US" w:eastAsia="zh-CN"/>
                <w14:textFill>
                  <w14:solidFill>
                    <w14:schemeClr w14:val="tx1"/>
                  </w14:solidFill>
                </w14:textFill>
              </w:rPr>
              <w:t>产生</w:t>
            </w:r>
            <w:r>
              <w:rPr>
                <w:rFonts w:hint="default" w:ascii="Times New Roman" w:hAnsi="Times New Roman" w:cs="Times New Roman"/>
                <w:color w:val="000000" w:themeColor="text1"/>
                <w:highlight w:val="none"/>
                <w:lang w:eastAsia="zh-CN"/>
                <w14:textFill>
                  <w14:solidFill>
                    <w14:schemeClr w14:val="tx1"/>
                  </w14:solidFill>
                </w14:textFill>
              </w:rPr>
              <w:t>废反渗透膜</w:t>
            </w:r>
            <w:r>
              <w:rPr>
                <w:rFonts w:hint="default" w:ascii="Times New Roman" w:hAnsi="Times New Roman" w:cs="Times New Roman"/>
                <w:color w:val="000000" w:themeColor="text1"/>
                <w:highlight w:val="none"/>
                <w14:textFill>
                  <w14:solidFill>
                    <w14:schemeClr w14:val="tx1"/>
                  </w14:solidFill>
                </w14:textFill>
              </w:rPr>
              <w:t>，属一般固废。本项目</w:t>
            </w:r>
            <w:r>
              <w:rPr>
                <w:rFonts w:hint="default" w:ascii="Times New Roman" w:hAnsi="Times New Roman" w:cs="Times New Roman"/>
                <w:color w:val="000000" w:themeColor="text1"/>
                <w:highlight w:val="none"/>
                <w:lang w:val="en-US" w:eastAsia="zh-CN"/>
                <w14:textFill>
                  <w14:solidFill>
                    <w14:schemeClr w14:val="tx1"/>
                  </w14:solidFill>
                </w14:textFill>
              </w:rPr>
              <w:t>废超滤膜定期更换</w:t>
            </w:r>
            <w:r>
              <w:rPr>
                <w:rFonts w:hint="default" w:ascii="Times New Roman" w:hAnsi="Times New Roman" w:cs="Times New Roman"/>
                <w:color w:val="000000" w:themeColor="text1"/>
                <w:highlight w:val="none"/>
                <w14:textFill>
                  <w14:solidFill>
                    <w14:schemeClr w14:val="tx1"/>
                  </w14:solidFill>
                </w14:textFill>
              </w:rPr>
              <w:t>，产生量约</w:t>
            </w: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eastAsia"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t/</w:t>
            </w:r>
            <w:r>
              <w:rPr>
                <w:rFonts w:hint="default" w:ascii="Times New Roman" w:hAnsi="Times New Roman" w:cs="Times New Roman"/>
                <w:color w:val="000000" w:themeColor="text1"/>
                <w:highlight w:val="none"/>
                <w:lang w:val="en-US" w:eastAsia="zh-CN"/>
                <w14:textFill>
                  <w14:solidFill>
                    <w14:schemeClr w14:val="tx1"/>
                  </w14:solidFill>
                </w14:textFill>
              </w:rPr>
              <w:t>a</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废</w:t>
            </w:r>
            <w:r>
              <w:rPr>
                <w:rFonts w:hint="eastAsia" w:ascii="Times New Roman" w:hAnsi="Times New Roman" w:cs="Times New Roman"/>
                <w:color w:val="000000" w:themeColor="text1"/>
                <w:highlight w:val="none"/>
                <w:lang w:val="en-US" w:eastAsia="zh-CN"/>
                <w14:textFill>
                  <w14:solidFill>
                    <w14:schemeClr w14:val="tx1"/>
                  </w14:solidFill>
                </w14:textFill>
              </w:rPr>
              <w:t>反渗透</w:t>
            </w:r>
            <w:r>
              <w:rPr>
                <w:rFonts w:hint="default" w:ascii="Times New Roman" w:hAnsi="Times New Roman" w:cs="Times New Roman"/>
                <w:color w:val="000000" w:themeColor="text1"/>
                <w:highlight w:val="none"/>
                <w:lang w:eastAsia="zh-CN"/>
                <w14:textFill>
                  <w14:solidFill>
                    <w14:schemeClr w14:val="tx1"/>
                  </w14:solidFill>
                </w14:textFill>
              </w:rPr>
              <w:t>膜</w:t>
            </w:r>
            <w:r>
              <w:rPr>
                <w:rFonts w:hint="default" w:ascii="Times New Roman" w:hAnsi="Times New Roman" w:cs="Times New Roman"/>
                <w:color w:val="000000" w:themeColor="text1"/>
                <w:highlight w:val="none"/>
                <w14:textFill>
                  <w14:solidFill>
                    <w14:schemeClr w14:val="tx1"/>
                  </w14:solidFill>
                </w14:textFill>
              </w:rPr>
              <w:t>为</w:t>
            </w:r>
            <w:r>
              <w:rPr>
                <w:rFonts w:hint="default" w:ascii="Times New Roman" w:hAnsi="Times New Roman" w:cs="Times New Roman"/>
                <w:color w:val="000000" w:themeColor="text1"/>
                <w:sz w:val="24"/>
                <w:szCs w:val="24"/>
                <w:highlight w:val="none"/>
                <w14:textFill>
                  <w14:solidFill>
                    <w14:schemeClr w14:val="tx1"/>
                  </w14:solidFill>
                </w14:textFill>
              </w:rPr>
              <w:t>一般工业固废，</w:t>
            </w:r>
            <w:r>
              <w:rPr>
                <w:rFonts w:hint="eastAsia" w:cs="Times New Roman"/>
                <w:color w:val="000000" w:themeColor="text1"/>
                <w:sz w:val="24"/>
                <w:szCs w:val="24"/>
                <w:highlight w:val="none"/>
                <w:u w:val="single"/>
                <w:lang w:val="en-US" w:eastAsia="zh-CN"/>
                <w14:textFill>
                  <w14:solidFill>
                    <w14:schemeClr w14:val="tx1"/>
                  </w14:solidFill>
                </w14:textFill>
              </w:rPr>
              <w:t>依托现有项目一般固废间暂存，定期</w:t>
            </w:r>
            <w:r>
              <w:rPr>
                <w:rFonts w:hint="default" w:ascii="Times New Roman" w:hAnsi="Times New Roman" w:cs="Times New Roman"/>
                <w:color w:val="000000" w:themeColor="text1"/>
                <w:sz w:val="24"/>
                <w:szCs w:val="24"/>
                <w:highlight w:val="none"/>
                <w:u w:val="single"/>
                <w:lang w:eastAsia="zh-CN"/>
                <w14:textFill>
                  <w14:solidFill>
                    <w14:schemeClr w14:val="tx1"/>
                  </w14:solidFill>
                </w14:textFill>
              </w:rPr>
              <w:t>外售一般固废处置单位处置</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w:t>
            </w:r>
          </w:p>
          <w:p w14:paraId="3F2CAEB3">
            <w:pPr>
              <w:pStyle w:val="4"/>
              <w:ind w:firstLine="480"/>
              <w:rPr>
                <w:rFonts w:hint="default" w:ascii="Times New Roman" w:hAnsi="Times New Roman" w:eastAsia="宋体" w:cs="Times New Roman"/>
                <w:color w:val="000000" w:themeColor="text1"/>
                <w:highlight w:val="none"/>
                <w:u w:val="single"/>
                <w:lang w:eastAsia="zh-CN"/>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③</w:t>
            </w:r>
            <w:r>
              <w:rPr>
                <w:rFonts w:hint="eastAsia" w:cs="Times New Roman"/>
                <w:color w:val="000000" w:themeColor="text1"/>
                <w:highlight w:val="none"/>
                <w:u w:val="single"/>
                <w:lang w:val="en-US" w:eastAsia="zh-CN"/>
                <w14:textFill>
                  <w14:solidFill>
                    <w14:schemeClr w14:val="tx1"/>
                  </w14:solidFill>
                </w14:textFill>
              </w:rPr>
              <w:t>依托现有废水处理设施产生的</w:t>
            </w:r>
            <w:r>
              <w:rPr>
                <w:rFonts w:hint="default" w:ascii="Times New Roman" w:hAnsi="Times New Roman" w:cs="Times New Roman"/>
                <w:color w:val="000000" w:themeColor="text1"/>
                <w:highlight w:val="none"/>
                <w:u w:val="single"/>
                <w:lang w:eastAsia="zh-CN"/>
                <w14:textFill>
                  <w14:solidFill>
                    <w14:schemeClr w14:val="tx1"/>
                  </w14:solidFill>
                </w14:textFill>
              </w:rPr>
              <w:t>S3废超滤膜</w:t>
            </w:r>
          </w:p>
          <w:p w14:paraId="7737DEFE">
            <w:pPr>
              <w:pStyle w:val="4"/>
              <w:ind w:firstLine="480"/>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锅炉所需的软水在制备过程中，</w:t>
            </w:r>
            <w:r>
              <w:rPr>
                <w:rFonts w:hint="default" w:ascii="Times New Roman" w:hAnsi="Times New Roman" w:cs="Times New Roman"/>
                <w:color w:val="000000" w:themeColor="text1"/>
                <w:highlight w:val="none"/>
                <w:lang w:val="en-US" w:eastAsia="zh-CN"/>
                <w14:textFill>
                  <w14:solidFill>
                    <w14:schemeClr w14:val="tx1"/>
                  </w14:solidFill>
                </w14:textFill>
              </w:rPr>
              <w:t>产生废超滤膜</w:t>
            </w:r>
            <w:r>
              <w:rPr>
                <w:rFonts w:hint="default" w:ascii="Times New Roman" w:hAnsi="Times New Roman" w:cs="Times New Roman"/>
                <w:color w:val="000000" w:themeColor="text1"/>
                <w:highlight w:val="none"/>
                <w14:textFill>
                  <w14:solidFill>
                    <w14:schemeClr w14:val="tx1"/>
                  </w14:solidFill>
                </w14:textFill>
              </w:rPr>
              <w:t>，属一般固废。本项目</w:t>
            </w:r>
            <w:r>
              <w:rPr>
                <w:rFonts w:hint="default" w:ascii="Times New Roman" w:hAnsi="Times New Roman" w:cs="Times New Roman"/>
                <w:color w:val="000000" w:themeColor="text1"/>
                <w:highlight w:val="none"/>
                <w:lang w:val="en-US" w:eastAsia="zh-CN"/>
                <w14:textFill>
                  <w14:solidFill>
                    <w14:schemeClr w14:val="tx1"/>
                  </w14:solidFill>
                </w14:textFill>
              </w:rPr>
              <w:t>废超滤膜定期更换</w:t>
            </w:r>
            <w:r>
              <w:rPr>
                <w:rFonts w:hint="default" w:ascii="Times New Roman" w:hAnsi="Times New Roman" w:cs="Times New Roman"/>
                <w:color w:val="000000" w:themeColor="text1"/>
                <w:highlight w:val="none"/>
                <w14:textFill>
                  <w14:solidFill>
                    <w14:schemeClr w14:val="tx1"/>
                  </w14:solidFill>
                </w14:textFill>
              </w:rPr>
              <w:t>，产生量约</w:t>
            </w:r>
            <w:r>
              <w:rPr>
                <w:rFonts w:hint="default" w:ascii="Times New Roman" w:hAnsi="Times New Roman" w:cs="Times New Roman"/>
                <w:color w:val="000000" w:themeColor="text1"/>
                <w:highlight w:val="none"/>
                <w:lang w:val="en-US" w:eastAsia="zh-CN"/>
                <w14:textFill>
                  <w14:solidFill>
                    <w14:schemeClr w14:val="tx1"/>
                  </w14:solidFill>
                </w14:textFill>
              </w:rPr>
              <w:t>0.</w:t>
            </w:r>
            <w:r>
              <w:rPr>
                <w:rFonts w:hint="eastAsia" w:cs="Times New Roman"/>
                <w:color w:val="000000" w:themeColor="text1"/>
                <w:highlight w:val="none"/>
                <w:lang w:val="en-US" w:eastAsia="zh-CN"/>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t/</w:t>
            </w:r>
            <w:r>
              <w:rPr>
                <w:rFonts w:hint="default" w:ascii="Times New Roman" w:hAnsi="Times New Roman" w:cs="Times New Roman"/>
                <w:color w:val="000000" w:themeColor="text1"/>
                <w:highlight w:val="none"/>
                <w:lang w:val="en-US" w:eastAsia="zh-CN"/>
                <w14:textFill>
                  <w14:solidFill>
                    <w14:schemeClr w14:val="tx1"/>
                  </w14:solidFill>
                </w14:textFill>
              </w:rPr>
              <w:t>a</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废超滤膜</w:t>
            </w:r>
            <w:r>
              <w:rPr>
                <w:rFonts w:hint="default" w:ascii="Times New Roman" w:hAnsi="Times New Roman" w:cs="Times New Roman"/>
                <w:color w:val="000000" w:themeColor="text1"/>
                <w:highlight w:val="none"/>
                <w14:textFill>
                  <w14:solidFill>
                    <w14:schemeClr w14:val="tx1"/>
                  </w14:solidFill>
                </w14:textFill>
              </w:rPr>
              <w:t>为</w:t>
            </w:r>
            <w:r>
              <w:rPr>
                <w:rFonts w:hint="default" w:ascii="Times New Roman" w:hAnsi="Times New Roman" w:cs="Times New Roman"/>
                <w:color w:val="000000" w:themeColor="text1"/>
                <w:sz w:val="24"/>
                <w:szCs w:val="24"/>
                <w:highlight w:val="none"/>
                <w14:textFill>
                  <w14:solidFill>
                    <w14:schemeClr w14:val="tx1"/>
                  </w14:solidFill>
                </w14:textFill>
              </w:rPr>
              <w:t>一般工业固废，</w:t>
            </w:r>
            <w:r>
              <w:rPr>
                <w:rFonts w:hint="eastAsia" w:cs="Times New Roman"/>
                <w:color w:val="000000" w:themeColor="text1"/>
                <w:sz w:val="24"/>
                <w:szCs w:val="24"/>
                <w:highlight w:val="none"/>
                <w:u w:val="single"/>
                <w:lang w:val="en-US" w:eastAsia="zh-CN"/>
                <w14:textFill>
                  <w14:solidFill>
                    <w14:schemeClr w14:val="tx1"/>
                  </w14:solidFill>
                </w14:textFill>
              </w:rPr>
              <w:t>依托现有项目一般固废间暂存，定期</w:t>
            </w:r>
            <w:r>
              <w:rPr>
                <w:rFonts w:hint="default" w:ascii="Times New Roman" w:hAnsi="Times New Roman" w:cs="Times New Roman"/>
                <w:color w:val="000000" w:themeColor="text1"/>
                <w:sz w:val="24"/>
                <w:szCs w:val="24"/>
                <w:highlight w:val="none"/>
                <w:u w:val="single"/>
                <w:lang w:eastAsia="zh-CN"/>
                <w14:textFill>
                  <w14:solidFill>
                    <w14:schemeClr w14:val="tx1"/>
                  </w14:solidFill>
                </w14:textFill>
              </w:rPr>
              <w:t>外售一般固废处置单位处置</w:t>
            </w:r>
            <w:r>
              <w:rPr>
                <w:rFonts w:hint="default" w:ascii="Times New Roman" w:hAnsi="Times New Roman" w:cs="Times New Roman"/>
                <w:color w:val="000000" w:themeColor="text1"/>
                <w:sz w:val="24"/>
                <w:szCs w:val="24"/>
                <w:highlight w:val="none"/>
                <w:u w:val="single"/>
                <w:lang w:val="en-US" w:eastAsia="zh-CN"/>
                <w14:textFill>
                  <w14:solidFill>
                    <w14:schemeClr w14:val="tx1"/>
                  </w14:solidFill>
                </w14:textFill>
              </w:rPr>
              <w:t>。</w:t>
            </w:r>
          </w:p>
          <w:p w14:paraId="52BBB8AC">
            <w:pPr>
              <w:pStyle w:val="4"/>
              <w:spacing w:beforeLines="0" w:afterLines="0"/>
              <w:ind w:firstLine="48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w:t>
            </w:r>
            <w:r>
              <w:rPr>
                <w:rFonts w:hint="default" w:ascii="Times New Roman" w:hAnsi="Times New Roman" w:cs="Times New Roman"/>
                <w:color w:val="000000" w:themeColor="text1"/>
                <w:sz w:val="24"/>
                <w:szCs w:val="24"/>
                <w:highlight w:val="none"/>
                <w14:textFill>
                  <w14:solidFill>
                    <w14:schemeClr w14:val="tx1"/>
                  </w14:solidFill>
                </w14:textFill>
              </w:rPr>
              <w:t>S4生物质锅炉炉渣</w:t>
            </w:r>
          </w:p>
          <w:p w14:paraId="21D7AFEA">
            <w:pPr>
              <w:pStyle w:val="4"/>
              <w:spacing w:beforeLines="0" w:afterLines="0"/>
              <w:ind w:firstLine="480"/>
              <w:rPr>
                <w:rFonts w:hint="default" w:ascii="Times New Roman" w:hAnsi="Times New Roman" w:cs="Times New Roman"/>
                <w:color w:val="000000" w:themeColor="text1"/>
                <w:sz w:val="24"/>
                <w:szCs w:val="21"/>
                <w:highlight w:val="none"/>
                <w14:textFill>
                  <w14:solidFill>
                    <w14:schemeClr w14:val="tx1"/>
                  </w14:solidFill>
                </w14:textFill>
              </w:rPr>
            </w:pPr>
            <w:r>
              <w:rPr>
                <w:rFonts w:hint="default" w:ascii="Times New Roman" w:hAnsi="Times New Roman" w:cs="Times New Roman"/>
                <w:color w:val="000000" w:themeColor="text1"/>
                <w:sz w:val="24"/>
                <w:szCs w:val="21"/>
                <w:highlight w:val="none"/>
                <w14:textFill>
                  <w14:solidFill>
                    <w14:schemeClr w14:val="tx1"/>
                  </w14:solidFill>
                </w14:textFill>
              </w:rPr>
              <w:t>根据《污染源源强核算技术指南锅炉》(HJ991-2018)，生物质燃烧后的炉渣产生量可根据灰渣平衡计算。</w:t>
            </w:r>
          </w:p>
          <w:p w14:paraId="7DA56316">
            <w:pPr>
              <w:pStyle w:val="36"/>
              <w:spacing w:beforeLines="0" w:afterLine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2181860" cy="485775"/>
                  <wp:effectExtent l="0" t="0" r="889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5"/>
                          <a:stretch>
                            <a:fillRect/>
                          </a:stretch>
                        </pic:blipFill>
                        <pic:spPr>
                          <a:xfrm>
                            <a:off x="0" y="0"/>
                            <a:ext cx="2181860" cy="485775"/>
                          </a:xfrm>
                          <a:prstGeom prst="rect">
                            <a:avLst/>
                          </a:prstGeom>
                          <a:noFill/>
                          <a:ln>
                            <a:noFill/>
                          </a:ln>
                        </pic:spPr>
                      </pic:pic>
                    </a:graphicData>
                  </a:graphic>
                </wp:inline>
              </w:drawing>
            </w:r>
          </w:p>
          <w:p w14:paraId="7142A40B">
            <w:pPr>
              <w:pStyle w:val="4"/>
              <w:spacing w:beforeLines="0" w:afterLines="0"/>
              <w:ind w:firstLine="480"/>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式中：E</w:t>
            </w:r>
            <w:r>
              <w:rPr>
                <w:rFonts w:hint="default" w:ascii="Times New Roman" w:hAnsi="Times New Roman" w:cs="Times New Roman"/>
                <w:color w:val="000000" w:themeColor="text1"/>
                <w:sz w:val="24"/>
                <w:szCs w:val="21"/>
                <w:vertAlign w:val="subscript"/>
                <w14:textFill>
                  <w14:solidFill>
                    <w14:schemeClr w14:val="tx1"/>
                  </w14:solidFill>
                </w14:textFill>
              </w:rPr>
              <w:t>hz</w:t>
            </w:r>
            <w:r>
              <w:rPr>
                <w:rFonts w:hint="default" w:ascii="Times New Roman" w:hAnsi="Times New Roman" w:cs="Times New Roman"/>
                <w:color w:val="000000" w:themeColor="text1"/>
                <w:sz w:val="24"/>
                <w:szCs w:val="21"/>
                <w14:textFill>
                  <w14:solidFill>
                    <w14:schemeClr w14:val="tx1"/>
                  </w14:solidFill>
                </w14:textFill>
              </w:rPr>
              <w:t>一核算时段内灰渣产生量，t，根据灰分份额可分别核算飞灰、炉渣产生量；</w:t>
            </w:r>
          </w:p>
          <w:p w14:paraId="0EF98B87">
            <w:pPr>
              <w:pStyle w:val="4"/>
              <w:spacing w:beforeLines="0" w:afterLines="0"/>
              <w:ind w:firstLine="480"/>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R一核算时段内锅炉燃料耗量，t；</w:t>
            </w:r>
          </w:p>
          <w:p w14:paraId="32AAEA0E">
            <w:pPr>
              <w:pStyle w:val="4"/>
              <w:spacing w:beforeLines="0" w:afterLines="0"/>
              <w:ind w:firstLine="480"/>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A</w:t>
            </w:r>
            <w:r>
              <w:rPr>
                <w:rFonts w:hint="default" w:ascii="Times New Roman" w:hAnsi="Times New Roman" w:cs="Times New Roman"/>
                <w:color w:val="000000" w:themeColor="text1"/>
                <w:sz w:val="24"/>
                <w:szCs w:val="21"/>
                <w:vertAlign w:val="subscript"/>
                <w14:textFill>
                  <w14:solidFill>
                    <w14:schemeClr w14:val="tx1"/>
                  </w14:solidFill>
                </w14:textFill>
              </w:rPr>
              <w:t>ar</w:t>
            </w:r>
            <w:r>
              <w:rPr>
                <w:rFonts w:hint="default" w:ascii="Times New Roman" w:hAnsi="Times New Roman" w:cs="Times New Roman"/>
                <w:color w:val="000000" w:themeColor="text1"/>
                <w:sz w:val="24"/>
                <w:szCs w:val="21"/>
                <w14:textFill>
                  <w14:solidFill>
                    <w14:schemeClr w14:val="tx1"/>
                  </w14:solidFill>
                </w14:textFill>
              </w:rPr>
              <w:t>一收到基灰分的质量分数，%；</w:t>
            </w:r>
          </w:p>
          <w:p w14:paraId="0D1B352D">
            <w:pPr>
              <w:pStyle w:val="4"/>
              <w:spacing w:beforeLines="0" w:afterLines="0"/>
              <w:ind w:firstLine="480"/>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q</w:t>
            </w:r>
            <w:r>
              <w:rPr>
                <w:rFonts w:hint="default" w:ascii="Times New Roman" w:hAnsi="Times New Roman" w:cs="Times New Roman"/>
                <w:color w:val="000000" w:themeColor="text1"/>
                <w:sz w:val="24"/>
                <w:szCs w:val="21"/>
                <w:vertAlign w:val="subscript"/>
                <w14:textFill>
                  <w14:solidFill>
                    <w14:schemeClr w14:val="tx1"/>
                  </w14:solidFill>
                </w14:textFill>
              </w:rPr>
              <w:t>4</w:t>
            </w:r>
            <w:r>
              <w:rPr>
                <w:rFonts w:hint="default" w:ascii="Times New Roman" w:hAnsi="Times New Roman" w:cs="Times New Roman"/>
                <w:color w:val="000000" w:themeColor="text1"/>
                <w:sz w:val="24"/>
                <w:szCs w:val="21"/>
                <w14:textFill>
                  <w14:solidFill>
                    <w14:schemeClr w14:val="tx1"/>
                  </w14:solidFill>
                </w14:textFill>
              </w:rPr>
              <w:t>一</w:t>
            </w:r>
            <w:bookmarkStart w:id="149" w:name="OLE_LINK262"/>
            <w:r>
              <w:rPr>
                <w:rFonts w:hint="default" w:ascii="Times New Roman" w:hAnsi="Times New Roman" w:cs="Times New Roman"/>
                <w:color w:val="000000" w:themeColor="text1"/>
                <w:sz w:val="24"/>
                <w:szCs w:val="21"/>
                <w14:textFill>
                  <w14:solidFill>
                    <w14:schemeClr w14:val="tx1"/>
                  </w14:solidFill>
                </w14:textFill>
              </w:rPr>
              <w:t>锅炉机械不完全燃烧热损失</w:t>
            </w:r>
            <w:bookmarkEnd w:id="149"/>
            <w:r>
              <w:rPr>
                <w:rFonts w:hint="default" w:ascii="Times New Roman" w:hAnsi="Times New Roman" w:cs="Times New Roman"/>
                <w:color w:val="000000" w:themeColor="text1"/>
                <w:sz w:val="24"/>
                <w:szCs w:val="21"/>
                <w14:textFill>
                  <w14:solidFill>
                    <w14:schemeClr w14:val="tx1"/>
                  </w14:solidFill>
                </w14:textFill>
              </w:rPr>
              <w:t>，%；</w:t>
            </w:r>
          </w:p>
          <w:p w14:paraId="3BF222E7">
            <w:pPr>
              <w:pStyle w:val="4"/>
              <w:spacing w:beforeLines="0" w:afterLines="0"/>
              <w:ind w:firstLine="480"/>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Q</w:t>
            </w:r>
            <w:r>
              <w:rPr>
                <w:rFonts w:hint="default" w:ascii="Times New Roman" w:hAnsi="Times New Roman" w:cs="Times New Roman"/>
                <w:color w:val="000000" w:themeColor="text1"/>
                <w:sz w:val="24"/>
                <w:szCs w:val="21"/>
                <w:vertAlign w:val="subscript"/>
                <w14:textFill>
                  <w14:solidFill>
                    <w14:schemeClr w14:val="tx1"/>
                  </w14:solidFill>
                </w14:textFill>
              </w:rPr>
              <w:t>net，ar</w:t>
            </w:r>
            <w:r>
              <w:rPr>
                <w:rFonts w:hint="default" w:ascii="Times New Roman" w:hAnsi="Times New Roman" w:cs="Times New Roman"/>
                <w:color w:val="000000" w:themeColor="text1"/>
                <w:sz w:val="24"/>
                <w:szCs w:val="21"/>
                <w14:textFill>
                  <w14:solidFill>
                    <w14:schemeClr w14:val="tx1"/>
                  </w14:solidFill>
                </w14:textFill>
              </w:rPr>
              <w:t>一收到基低位发热量，kJ/kg。</w:t>
            </w:r>
          </w:p>
          <w:p w14:paraId="519E85FC">
            <w:pPr>
              <w:pStyle w:val="4"/>
              <w:spacing w:beforeLines="0" w:afterLines="0"/>
              <w:ind w:firstLine="480"/>
              <w:rPr>
                <w:rFonts w:hint="default" w:ascii="Times New Roman" w:hAnsi="Times New Roman" w:cs="Times New Roman"/>
                <w:color w:val="000000" w:themeColor="text1"/>
                <w:sz w:val="24"/>
                <w:szCs w:val="21"/>
                <w14:textFill>
                  <w14:solidFill>
                    <w14:schemeClr w14:val="tx1"/>
                  </w14:solidFill>
                </w14:textFill>
              </w:rPr>
            </w:pPr>
            <w:r>
              <w:rPr>
                <w:rFonts w:hint="default" w:ascii="Times New Roman" w:hAnsi="Times New Roman" w:cs="Times New Roman"/>
                <w:color w:val="000000" w:themeColor="text1"/>
                <w:sz w:val="24"/>
                <w:szCs w:val="21"/>
                <w14:textFill>
                  <w14:solidFill>
                    <w14:schemeClr w14:val="tx1"/>
                  </w14:solidFill>
                </w14:textFill>
              </w:rPr>
              <w:t>本项目锅炉燃料用量</w:t>
            </w:r>
            <w:r>
              <w:rPr>
                <w:rFonts w:hint="default" w:ascii="Times New Roman" w:hAnsi="Times New Roman" w:cs="Times New Roman"/>
                <w:color w:val="000000" w:themeColor="text1"/>
                <w:sz w:val="24"/>
                <w:szCs w:val="21"/>
                <w:lang w:eastAsia="zh-CN"/>
                <w14:textFill>
                  <w14:solidFill>
                    <w14:schemeClr w14:val="tx1"/>
                  </w14:solidFill>
                </w14:textFill>
              </w:rPr>
              <w:t>8943</w:t>
            </w:r>
            <w:r>
              <w:rPr>
                <w:rFonts w:hint="default" w:ascii="Times New Roman" w:hAnsi="Times New Roman" w:cs="Times New Roman"/>
                <w:color w:val="000000" w:themeColor="text1"/>
                <w:sz w:val="24"/>
                <w:szCs w:val="21"/>
                <w14:textFill>
                  <w14:solidFill>
                    <w14:schemeClr w14:val="tx1"/>
                  </w14:solidFill>
                </w14:textFill>
              </w:rPr>
              <w:t>t/a，根据建设单位提供的成型生物质颗粒资料，收到基灰分的质量分数以1.98%计，收到基低位发热量为4092Kcal/kg，锅炉机械不完全燃烧热损失取5%。则灰渣的产生量为</w:t>
            </w:r>
            <w:r>
              <w:rPr>
                <w:rFonts w:hint="default" w:ascii="Times New Roman" w:hAnsi="Times New Roman" w:cs="Times New Roman"/>
                <w:color w:val="000000" w:themeColor="text1"/>
                <w:sz w:val="24"/>
                <w:szCs w:val="21"/>
                <w:lang w:eastAsia="zh-CN"/>
                <w14:textFill>
                  <w14:solidFill>
                    <w14:schemeClr w14:val="tx1"/>
                  </w14:solidFill>
                </w14:textFill>
              </w:rPr>
              <w:t>231.094</w:t>
            </w:r>
            <w:r>
              <w:rPr>
                <w:rFonts w:hint="default" w:ascii="Times New Roman" w:hAnsi="Times New Roman" w:cs="Times New Roman"/>
                <w:color w:val="000000" w:themeColor="text1"/>
                <w:sz w:val="24"/>
                <w:szCs w:val="21"/>
                <w14:textFill>
                  <w14:solidFill>
                    <w14:schemeClr w14:val="tx1"/>
                  </w14:solidFill>
                </w14:textFill>
              </w:rPr>
              <w:t>t/a。生物质燃烧后的炉渣经袋装</w:t>
            </w:r>
            <w:bookmarkStart w:id="150" w:name="OLE_LINK265"/>
            <w:r>
              <w:rPr>
                <w:rFonts w:hint="default" w:ascii="Times New Roman" w:hAnsi="Times New Roman" w:cs="Times New Roman"/>
                <w:color w:val="000000" w:themeColor="text1"/>
                <w:sz w:val="24"/>
                <w:szCs w:val="21"/>
                <w14:textFill>
                  <w14:solidFill>
                    <w14:schemeClr w14:val="tx1"/>
                  </w14:solidFill>
                </w14:textFill>
              </w:rPr>
              <w:t>收集后</w:t>
            </w:r>
            <w:r>
              <w:rPr>
                <w:rFonts w:hint="eastAsia" w:cs="Times New Roman"/>
                <w:color w:val="000000" w:themeColor="text1"/>
                <w:sz w:val="24"/>
                <w:szCs w:val="21"/>
                <w:u w:val="single"/>
                <w:lang w:val="en-US" w:eastAsia="zh-CN"/>
                <w14:textFill>
                  <w14:solidFill>
                    <w14:schemeClr w14:val="tx1"/>
                  </w14:solidFill>
                </w14:textFill>
              </w:rPr>
              <w:t>暂存灰渣间</w:t>
            </w:r>
            <w:r>
              <w:rPr>
                <w:rFonts w:hint="eastAsia" w:cs="Times New Roman"/>
                <w:color w:val="000000" w:themeColor="text1"/>
                <w:sz w:val="24"/>
                <w:szCs w:val="21"/>
                <w:lang w:val="en-US" w:eastAsia="zh-CN"/>
                <w14:textFill>
                  <w14:solidFill>
                    <w14:schemeClr w14:val="tx1"/>
                  </w14:solidFill>
                </w14:textFill>
              </w:rPr>
              <w:t>，定期</w:t>
            </w:r>
            <w:r>
              <w:rPr>
                <w:rFonts w:hint="default" w:ascii="Times New Roman" w:hAnsi="Times New Roman" w:cs="Times New Roman"/>
                <w:color w:val="000000" w:themeColor="text1"/>
                <w:sz w:val="24"/>
                <w:szCs w:val="21"/>
                <w14:textFill>
                  <w14:solidFill>
                    <w14:schemeClr w14:val="tx1"/>
                  </w14:solidFill>
                </w14:textFill>
              </w:rPr>
              <w:t>外运做农肥。</w:t>
            </w:r>
            <w:bookmarkEnd w:id="150"/>
          </w:p>
          <w:p w14:paraId="77EAE718">
            <w:pPr>
              <w:pStyle w:val="4"/>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⑤</w:t>
            </w:r>
            <w:r>
              <w:rPr>
                <w:rFonts w:hint="default" w:ascii="Times New Roman" w:hAnsi="Times New Roman" w:eastAsia="宋体" w:cs="Times New Roman"/>
                <w:color w:val="000000" w:themeColor="text1"/>
                <w:highlight w:val="none"/>
                <w:lang w:val="en-US" w:eastAsia="zh-CN"/>
                <w14:textFill>
                  <w14:solidFill>
                    <w14:schemeClr w14:val="tx1"/>
                  </w14:solidFill>
                </w14:textFill>
              </w:rPr>
              <w:t>S5</w:t>
            </w: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除尘器粉尘</w:t>
            </w:r>
          </w:p>
          <w:p w14:paraId="07525325">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生物质燃料燃烧过程中将会有烟尘产生，烟尘经陶瓷多管旋风除尘器及布袋除尘器处理后，大部分烟尘被除尘器收集，形成</w:t>
            </w:r>
            <w:r>
              <w:rPr>
                <w:rFonts w:hint="default" w:ascii="Times New Roman" w:hAnsi="Times New Roman" w:cs="Times New Roman"/>
                <w:color w:val="000000" w:themeColor="text1"/>
                <w:highlight w:val="none"/>
                <w:lang w:eastAsia="zh-CN"/>
                <w14:textFill>
                  <w14:solidFill>
                    <w14:schemeClr w14:val="tx1"/>
                  </w14:solidFill>
                </w14:textFill>
              </w:rPr>
              <w:t>除尘器粉尘</w:t>
            </w:r>
            <w:r>
              <w:rPr>
                <w:rFonts w:hint="default" w:ascii="Times New Roman" w:hAnsi="Times New Roman" w:cs="Times New Roman"/>
                <w:color w:val="000000" w:themeColor="text1"/>
                <w:highlight w:val="none"/>
                <w14:textFill>
                  <w14:solidFill>
                    <w14:schemeClr w14:val="tx1"/>
                  </w14:solidFill>
                </w14:textFill>
              </w:rPr>
              <w:t>。根据前文，颗粒物产生量为</w:t>
            </w:r>
            <w:r>
              <w:rPr>
                <w:rFonts w:hint="default" w:ascii="Times New Roman" w:hAnsi="Times New Roman" w:cs="Times New Roman"/>
                <w:color w:val="000000" w:themeColor="text1"/>
                <w:highlight w:val="none"/>
                <w:lang w:eastAsia="zh-CN"/>
                <w14:textFill>
                  <w14:solidFill>
                    <w14:schemeClr w14:val="tx1"/>
                  </w14:solidFill>
                </w14:textFill>
              </w:rPr>
              <w:t>4.471</w:t>
            </w:r>
            <w:r>
              <w:rPr>
                <w:rFonts w:hint="default" w:ascii="Times New Roman" w:hAnsi="Times New Roman" w:cs="Times New Roman"/>
                <w:color w:val="000000" w:themeColor="text1"/>
                <w:highlight w:val="none"/>
                <w14:textFill>
                  <w14:solidFill>
                    <w14:schemeClr w14:val="tx1"/>
                  </w14:solidFill>
                </w14:textFill>
              </w:rPr>
              <w:t>t/a，排放量为</w:t>
            </w:r>
            <w:r>
              <w:rPr>
                <w:rFonts w:hint="default" w:ascii="Times New Roman" w:hAnsi="Times New Roman" w:cs="Times New Roman"/>
                <w:color w:val="000000" w:themeColor="text1"/>
                <w:highlight w:val="none"/>
                <w:lang w:eastAsia="zh-CN"/>
                <w14:textFill>
                  <w14:solidFill>
                    <w14:schemeClr w14:val="tx1"/>
                  </w14:solidFill>
                </w14:textFill>
              </w:rPr>
              <w:t>0.0447t/a</w:t>
            </w:r>
            <w:r>
              <w:rPr>
                <w:rFonts w:hint="default" w:ascii="Times New Roman" w:hAnsi="Times New Roman" w:cs="Times New Roman"/>
                <w:color w:val="000000" w:themeColor="text1"/>
                <w:highlight w:val="none"/>
                <w14:textFill>
                  <w14:solidFill>
                    <w14:schemeClr w14:val="tx1"/>
                  </w14:solidFill>
                </w14:textFill>
              </w:rPr>
              <w:t>，则</w:t>
            </w:r>
            <w:r>
              <w:rPr>
                <w:rFonts w:hint="default" w:ascii="Times New Roman" w:hAnsi="Times New Roman" w:cs="Times New Roman"/>
                <w:color w:val="000000" w:themeColor="text1"/>
                <w:highlight w:val="none"/>
                <w:lang w:eastAsia="zh-CN"/>
                <w14:textFill>
                  <w14:solidFill>
                    <w14:schemeClr w14:val="tx1"/>
                  </w14:solidFill>
                </w14:textFill>
              </w:rPr>
              <w:t>除尘器粉尘</w:t>
            </w:r>
            <w:r>
              <w:rPr>
                <w:rFonts w:hint="default" w:ascii="Times New Roman" w:hAnsi="Times New Roman" w:cs="Times New Roman"/>
                <w:color w:val="000000" w:themeColor="text1"/>
                <w:highlight w:val="none"/>
                <w14:textFill>
                  <w14:solidFill>
                    <w14:schemeClr w14:val="tx1"/>
                  </w14:solidFill>
                </w14:textFill>
              </w:rPr>
              <w:t>的收集量为</w:t>
            </w:r>
            <w:r>
              <w:rPr>
                <w:rFonts w:hint="eastAsia" w:cs="Times New Roman"/>
                <w:color w:val="000000" w:themeColor="text1"/>
                <w:highlight w:val="none"/>
                <w:lang w:val="en-US" w:eastAsia="zh-CN"/>
                <w14:textFill>
                  <w14:solidFill>
                    <w14:schemeClr w14:val="tx1"/>
                  </w14:solidFill>
                </w14:textFill>
              </w:rPr>
              <w:t>4.4263</w:t>
            </w:r>
            <w:r>
              <w:rPr>
                <w:rFonts w:hint="default" w:ascii="Times New Roman" w:hAnsi="Times New Roman" w:cs="Times New Roman"/>
                <w:color w:val="000000" w:themeColor="text1"/>
                <w:highlight w:val="none"/>
                <w:lang w:val="en-US" w:eastAsia="zh-CN"/>
                <w14:textFill>
                  <w14:solidFill>
                    <w14:schemeClr w14:val="tx1"/>
                  </w14:solidFill>
                </w14:textFill>
              </w:rPr>
              <w:t>t/a</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eastAsia="zh-CN"/>
                <w14:textFill>
                  <w14:solidFill>
                    <w14:schemeClr w14:val="tx1"/>
                  </w14:solidFill>
                </w14:textFill>
              </w:rPr>
              <w:t>除尘器粉尘</w:t>
            </w:r>
            <w:r>
              <w:rPr>
                <w:rFonts w:hint="default" w:ascii="Times New Roman" w:hAnsi="Times New Roman" w:cs="Times New Roman"/>
                <w:color w:val="000000" w:themeColor="text1"/>
                <w:highlight w:val="none"/>
                <w14:textFill>
                  <w14:solidFill>
                    <w14:schemeClr w14:val="tx1"/>
                  </w14:solidFill>
                </w14:textFill>
              </w:rPr>
              <w:t>为生物质燃料在高温下气化的杂质，主要成分为农林废弃物灰烬，含有碳、钠、硅、钾、镁等元素，为一般工业固废，</w:t>
            </w:r>
            <w:r>
              <w:rPr>
                <w:rFonts w:hint="eastAsia" w:cs="Times New Roman"/>
                <w:color w:val="000000" w:themeColor="text1"/>
                <w:sz w:val="24"/>
                <w:szCs w:val="21"/>
                <w:u w:val="single"/>
                <w:lang w:val="en-US" w:eastAsia="zh-CN"/>
                <w14:textFill>
                  <w14:solidFill>
                    <w14:schemeClr w14:val="tx1"/>
                  </w14:solidFill>
                </w14:textFill>
              </w:rPr>
              <w:t>暂存灰渣间</w:t>
            </w:r>
            <w:r>
              <w:rPr>
                <w:rFonts w:hint="eastAsia" w:cs="Times New Roman"/>
                <w:color w:val="000000" w:themeColor="text1"/>
                <w:sz w:val="24"/>
                <w:szCs w:val="21"/>
                <w:lang w:val="en-US" w:eastAsia="zh-CN"/>
                <w14:textFill>
                  <w14:solidFill>
                    <w14:schemeClr w14:val="tx1"/>
                  </w14:solidFill>
                </w14:textFill>
              </w:rPr>
              <w:t>，定期</w:t>
            </w:r>
            <w:r>
              <w:rPr>
                <w:rFonts w:hint="default" w:ascii="Times New Roman" w:hAnsi="Times New Roman" w:cs="Times New Roman"/>
                <w:color w:val="000000" w:themeColor="text1"/>
                <w:highlight w:val="none"/>
                <w14:textFill>
                  <w14:solidFill>
                    <w14:schemeClr w14:val="tx1"/>
                  </w14:solidFill>
                </w14:textFill>
              </w:rPr>
              <w:t>外运做农肥。</w:t>
            </w:r>
          </w:p>
          <w:p w14:paraId="4A0C6C17">
            <w:pPr>
              <w:pStyle w:val="4"/>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⑥</w:t>
            </w:r>
            <w:r>
              <w:rPr>
                <w:rFonts w:hint="default" w:ascii="Times New Roman" w:hAnsi="Times New Roman" w:cs="Times New Roman"/>
                <w:color w:val="000000" w:themeColor="text1"/>
                <w:highlight w:val="none"/>
                <w:lang w:eastAsia="zh-CN"/>
                <w14:textFill>
                  <w14:solidFill>
                    <w14:schemeClr w14:val="tx1"/>
                  </w14:solidFill>
                </w14:textFill>
              </w:rPr>
              <w:t>S</w:t>
            </w:r>
            <w:r>
              <w:rPr>
                <w:rFonts w:hint="default" w:ascii="Times New Roman" w:hAnsi="Times New Roman" w:cs="Times New Roman"/>
                <w:color w:val="000000" w:themeColor="text1"/>
                <w:highlight w:val="none"/>
                <w:lang w:val="en-US" w:eastAsia="zh-CN"/>
                <w14:textFill>
                  <w14:solidFill>
                    <w14:schemeClr w14:val="tx1"/>
                  </w14:solidFill>
                </w14:textFill>
              </w:rPr>
              <w:t>6废布袋</w:t>
            </w:r>
          </w:p>
          <w:p w14:paraId="345C0C21">
            <w:pPr>
              <w:pStyle w:val="4"/>
              <w:ind w:firstLine="48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本项目袋式除尘器平均2年更换一次布袋，袋式除尘器中有</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个滤袋，每个滤袋重约10kg，则更换产生的废滤袋量为</w:t>
            </w:r>
            <w:r>
              <w:rPr>
                <w:rFonts w:hint="default" w:ascii="Times New Roman" w:hAnsi="Times New Roman" w:cs="Times New Roman"/>
                <w:color w:val="000000" w:themeColor="text1"/>
                <w:highlight w:val="none"/>
                <w:lang w:val="en-US" w:eastAsia="zh-CN"/>
                <w14:textFill>
                  <w14:solidFill>
                    <w14:schemeClr w14:val="tx1"/>
                  </w14:solidFill>
                </w14:textFill>
              </w:rPr>
              <w:t>0.02</w:t>
            </w:r>
            <w:r>
              <w:rPr>
                <w:rFonts w:hint="default" w:ascii="Times New Roman" w:hAnsi="Times New Roman" w:cs="Times New Roman"/>
                <w:color w:val="000000" w:themeColor="text1"/>
                <w:highlight w:val="none"/>
                <w14:textFill>
                  <w14:solidFill>
                    <w14:schemeClr w14:val="tx1"/>
                  </w14:solidFill>
                </w14:textFill>
              </w:rPr>
              <w:t>t/a</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为</w:t>
            </w:r>
            <w:r>
              <w:rPr>
                <w:rFonts w:hint="default" w:ascii="Times New Roman" w:hAnsi="Times New Roman" w:cs="Times New Roman"/>
                <w:color w:val="000000" w:themeColor="text1"/>
                <w:sz w:val="24"/>
                <w:szCs w:val="24"/>
                <w:highlight w:val="none"/>
                <w14:textFill>
                  <w14:solidFill>
                    <w14:schemeClr w14:val="tx1"/>
                  </w14:solidFill>
                </w14:textFill>
              </w:rPr>
              <w:t>一般工业固废，</w:t>
            </w:r>
            <w:r>
              <w:rPr>
                <w:rFonts w:hint="eastAsia" w:cs="Times New Roman"/>
                <w:color w:val="000000" w:themeColor="text1"/>
                <w:sz w:val="24"/>
                <w:szCs w:val="24"/>
                <w:highlight w:val="none"/>
                <w:u w:val="single"/>
                <w:lang w:val="en-US" w:eastAsia="zh-CN"/>
                <w14:textFill>
                  <w14:solidFill>
                    <w14:schemeClr w14:val="tx1"/>
                  </w14:solidFill>
                </w14:textFill>
              </w:rPr>
              <w:t>依托现有项目一般固废间暂存，</w:t>
            </w:r>
            <w:r>
              <w:rPr>
                <w:rFonts w:hint="eastAsia" w:cs="Times New Roman"/>
                <w:color w:val="000000" w:themeColor="text1"/>
                <w:sz w:val="24"/>
                <w:szCs w:val="24"/>
                <w:highlight w:val="none"/>
                <w:lang w:val="en-US" w:eastAsia="zh-CN"/>
                <w14:textFill>
                  <w14:solidFill>
                    <w14:schemeClr w14:val="tx1"/>
                  </w14:solidFill>
                </w14:textFill>
              </w:rPr>
              <w:t>定期</w:t>
            </w:r>
            <w:r>
              <w:rPr>
                <w:rFonts w:hint="default" w:ascii="Times New Roman" w:hAnsi="Times New Roman" w:cs="Times New Roman"/>
                <w:color w:val="000000" w:themeColor="text1"/>
                <w:sz w:val="24"/>
                <w:szCs w:val="24"/>
                <w:highlight w:val="none"/>
                <w:lang w:eastAsia="zh-CN"/>
                <w14:textFill>
                  <w14:solidFill>
                    <w14:schemeClr w14:val="tx1"/>
                  </w14:solidFill>
                </w14:textFill>
              </w:rPr>
              <w:t>外售一般固废处置单位处置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p>
          <w:p w14:paraId="7EE0201F">
            <w:pPr>
              <w:pStyle w:val="4"/>
              <w:ind w:firstLine="48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⑦</w:t>
            </w:r>
            <w:r>
              <w:rPr>
                <w:rFonts w:hint="default" w:ascii="Times New Roman" w:hAnsi="Times New Roman" w:cs="Times New Roman"/>
                <w:color w:val="000000" w:themeColor="text1"/>
                <w:highlight w:val="none"/>
                <w:lang w:eastAsia="zh-CN"/>
                <w14:textFill>
                  <w14:solidFill>
                    <w14:schemeClr w14:val="tx1"/>
                  </w14:solidFill>
                </w14:textFill>
              </w:rPr>
              <w:t>S</w:t>
            </w:r>
            <w:r>
              <w:rPr>
                <w:rFonts w:hint="default"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14:ligatures w14:val="standardContextual"/>
              </w:rPr>
              <w:t>废润滑油及废油桶</w:t>
            </w:r>
          </w:p>
          <w:p w14:paraId="3568A950">
            <w:pPr>
              <w:pStyle w:val="4"/>
              <w:ind w:firstLine="480"/>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项目锅炉及相关设备运行过程中会定期进行保养，保养需要用到润滑油，使用过程会产生一定量的废润滑油及废油桶</w:t>
            </w:r>
            <w:bookmarkStart w:id="151" w:name="OLE_LINK89"/>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u w:val="single"/>
                <w:lang w:val="en-US" w:eastAsia="zh-CN"/>
                <w14:textFill>
                  <w14:solidFill>
                    <w14:schemeClr w14:val="tx1"/>
                  </w14:solidFill>
                </w14:textFill>
              </w:rPr>
              <w:t>废油</w:t>
            </w:r>
            <w:r>
              <w:rPr>
                <w:rFonts w:hint="default" w:cs="Times New Roman"/>
                <w:color w:val="000000" w:themeColor="text1"/>
                <w:highlight w:val="none"/>
                <w:u w:val="single"/>
                <w:lang w:eastAsia="zh-CN"/>
                <w14:textFill>
                  <w14:solidFill>
                    <w14:schemeClr w14:val="tx1"/>
                  </w14:solidFill>
                </w14:textFill>
              </w:rPr>
              <w:t>产生量约为0.0</w:t>
            </w:r>
            <w:r>
              <w:rPr>
                <w:rFonts w:hint="eastAsia" w:cs="Times New Roman"/>
                <w:color w:val="000000" w:themeColor="text1"/>
                <w:highlight w:val="none"/>
                <w:u w:val="single"/>
                <w:lang w:val="en-US" w:eastAsia="zh-CN"/>
                <w14:textFill>
                  <w14:solidFill>
                    <w14:schemeClr w14:val="tx1"/>
                  </w14:solidFill>
                </w14:textFill>
              </w:rPr>
              <w:t>15</w:t>
            </w:r>
            <w:r>
              <w:rPr>
                <w:rFonts w:hint="default" w:cs="Times New Roman"/>
                <w:color w:val="000000" w:themeColor="text1"/>
                <w:highlight w:val="none"/>
                <w:u w:val="single"/>
                <w:lang w:eastAsia="zh-CN"/>
                <w14:textFill>
                  <w14:solidFill>
                    <w14:schemeClr w14:val="tx1"/>
                  </w14:solidFill>
                </w14:textFill>
              </w:rPr>
              <w:t>t/a</w:t>
            </w:r>
            <w:bookmarkEnd w:id="151"/>
            <w:bookmarkStart w:id="152" w:name="OLE_LINK40"/>
            <w:r>
              <w:rPr>
                <w:rFonts w:hint="eastAsia" w:cs="Times New Roman"/>
                <w:color w:val="000000" w:themeColor="text1"/>
                <w:highlight w:val="none"/>
                <w:u w:val="single"/>
                <w:lang w:eastAsia="zh-CN"/>
                <w14:textFill>
                  <w14:solidFill>
                    <w14:schemeClr w14:val="tx1"/>
                  </w14:solidFill>
                </w14:textFill>
              </w:rPr>
              <w:t>，废润滑油的废物类别为“HW08废矿物油与含矿物油废物”，废物代码为“900-214-08”（车辆、轮船及其他机械维修过程中产生的废发动机油、制动器油、自动变速器油、齿轮油等废润滑油）；</w:t>
            </w:r>
            <w:r>
              <w:rPr>
                <w:rFonts w:hint="default" w:ascii="Times New Roman" w:hAnsi="Times New Roman" w:cs="Times New Roman"/>
                <w:color w:val="000000" w:themeColor="text1"/>
                <w:highlight w:val="none"/>
                <w:u w:val="single"/>
                <w14:textFill>
                  <w14:solidFill>
                    <w14:schemeClr w14:val="tx1"/>
                  </w14:solidFill>
                </w14:textFill>
              </w:rPr>
              <w:t>废油桶</w:t>
            </w:r>
            <w:r>
              <w:rPr>
                <w:rFonts w:hint="eastAsia" w:cs="Times New Roman"/>
                <w:color w:val="000000" w:themeColor="text1"/>
                <w:highlight w:val="none"/>
                <w:u w:val="single"/>
                <w:lang w:val="en-US" w:eastAsia="zh-CN"/>
                <w14:textFill>
                  <w14:solidFill>
                    <w14:schemeClr w14:val="tx1"/>
                  </w14:solidFill>
                </w14:textFill>
              </w:rPr>
              <w:t>产生量</w:t>
            </w:r>
            <w:r>
              <w:rPr>
                <w:rFonts w:hint="default" w:cs="Times New Roman"/>
                <w:color w:val="000000" w:themeColor="text1"/>
                <w:highlight w:val="none"/>
                <w:u w:val="single"/>
                <w:lang w:eastAsia="zh-CN"/>
                <w14:textFill>
                  <w14:solidFill>
                    <w14:schemeClr w14:val="tx1"/>
                  </w14:solidFill>
                </w14:textFill>
              </w:rPr>
              <w:t>0.0</w:t>
            </w:r>
            <w:r>
              <w:rPr>
                <w:rFonts w:hint="eastAsia" w:cs="Times New Roman"/>
                <w:color w:val="000000" w:themeColor="text1"/>
                <w:highlight w:val="none"/>
                <w:u w:val="single"/>
                <w:lang w:val="en-US" w:eastAsia="zh-CN"/>
                <w14:textFill>
                  <w14:solidFill>
                    <w14:schemeClr w14:val="tx1"/>
                  </w14:solidFill>
                </w14:textFill>
              </w:rPr>
              <w:t>05</w:t>
            </w:r>
            <w:r>
              <w:rPr>
                <w:rFonts w:hint="default" w:cs="Times New Roman"/>
                <w:color w:val="000000" w:themeColor="text1"/>
                <w:highlight w:val="none"/>
                <w:u w:val="single"/>
                <w:lang w:eastAsia="zh-CN"/>
                <w14:textFill>
                  <w14:solidFill>
                    <w14:schemeClr w14:val="tx1"/>
                  </w14:solidFill>
                </w14:textFill>
              </w:rPr>
              <w:t>t/a</w:t>
            </w:r>
            <w:r>
              <w:rPr>
                <w:rFonts w:hint="eastAsia" w:cs="Times New Roman"/>
                <w:color w:val="000000" w:themeColor="text1"/>
                <w:highlight w:val="none"/>
                <w:u w:val="single"/>
                <w:lang w:eastAsia="zh-CN"/>
                <w14:textFill>
                  <w14:solidFill>
                    <w14:schemeClr w14:val="tx1"/>
                  </w14:solidFill>
                </w14:textFill>
              </w:rPr>
              <w:t>，废物类别为“HW08废矿物油与含矿物油废物”，废物代码为“900-249-08”（其他生产、销售、使用过程中产生的废矿物油及沾染矿物油的废弃包装物）。</w:t>
            </w:r>
            <w:bookmarkEnd w:id="152"/>
            <w:r>
              <w:rPr>
                <w:rFonts w:hint="eastAsia" w:cs="Times New Roman"/>
                <w:color w:val="000000" w:themeColor="text1"/>
                <w:highlight w:val="none"/>
                <w:u w:val="single"/>
                <w:lang w:val="en-US" w:eastAsia="zh-CN"/>
                <w14:textFill>
                  <w14:solidFill>
                    <w14:schemeClr w14:val="tx1"/>
                  </w14:solidFill>
                </w14:textFill>
              </w:rPr>
              <w:t>废油及废油桶</w:t>
            </w:r>
            <w:bookmarkStart w:id="153" w:name="OLE_LINK72"/>
            <w:r>
              <w:rPr>
                <w:rFonts w:hint="default" w:ascii="Times New Roman" w:hAnsi="Times New Roman" w:cs="Times New Roman"/>
                <w:color w:val="000000" w:themeColor="text1"/>
                <w:highlight w:val="none"/>
                <w:u w:val="single"/>
                <w14:textFill>
                  <w14:solidFill>
                    <w14:schemeClr w14:val="tx1"/>
                  </w14:solidFill>
                </w14:textFill>
              </w:rPr>
              <w:t>集中收集</w:t>
            </w:r>
            <w:r>
              <w:rPr>
                <w:rFonts w:hint="eastAsia" w:cs="Times New Roman"/>
                <w:color w:val="000000" w:themeColor="text1"/>
                <w:highlight w:val="none"/>
                <w:u w:val="single"/>
                <w:lang w:val="en-US" w:eastAsia="zh-CN"/>
                <w14:textFill>
                  <w14:solidFill>
                    <w14:schemeClr w14:val="tx1"/>
                  </w14:solidFill>
                </w14:textFill>
              </w:rPr>
              <w:t>依托现有</w:t>
            </w:r>
            <w:r>
              <w:rPr>
                <w:rFonts w:hint="default" w:ascii="Times New Roman" w:hAnsi="Times New Roman" w:cs="Times New Roman"/>
                <w:color w:val="000000" w:themeColor="text1"/>
                <w:highlight w:val="none"/>
                <w:u w:val="single"/>
                <w14:textFill>
                  <w14:solidFill>
                    <w14:schemeClr w14:val="tx1"/>
                  </w14:solidFill>
                </w14:textFill>
              </w:rPr>
              <w:t>危废暂存间</w:t>
            </w:r>
            <w:r>
              <w:rPr>
                <w:rFonts w:hint="eastAsia" w:cs="Times New Roman"/>
                <w:color w:val="000000" w:themeColor="text1"/>
                <w:highlight w:val="none"/>
                <w:u w:val="single"/>
                <w:lang w:val="en-US" w:eastAsia="zh-CN"/>
                <w14:textFill>
                  <w14:solidFill>
                    <w14:schemeClr w14:val="tx1"/>
                  </w14:solidFill>
                </w14:textFill>
              </w:rPr>
              <w:t>暂存</w:t>
            </w:r>
            <w:r>
              <w:rPr>
                <w:rFonts w:hint="default" w:ascii="Times New Roman" w:hAnsi="Times New Roman" w:cs="Times New Roman"/>
                <w:color w:val="000000" w:themeColor="text1"/>
                <w:highlight w:val="none"/>
                <w:u w:val="single"/>
                <w14:textFill>
                  <w14:solidFill>
                    <w14:schemeClr w14:val="tx1"/>
                  </w14:solidFill>
                </w14:textFill>
              </w:rPr>
              <w:t>，</w:t>
            </w:r>
            <w:r>
              <w:rPr>
                <w:rFonts w:hint="eastAsia" w:cs="Times New Roman"/>
                <w:color w:val="000000" w:themeColor="text1"/>
                <w:highlight w:val="none"/>
                <w:u w:val="single"/>
                <w:lang w:val="en-US" w:eastAsia="zh-CN"/>
                <w14:textFill>
                  <w14:solidFill>
                    <w14:schemeClr w14:val="tx1"/>
                  </w14:solidFill>
                </w14:textFill>
              </w:rPr>
              <w:t>定期</w:t>
            </w:r>
            <w:r>
              <w:rPr>
                <w:rFonts w:hint="default" w:ascii="Times New Roman" w:hAnsi="Times New Roman" w:cs="Times New Roman"/>
                <w:color w:val="000000" w:themeColor="text1"/>
                <w:highlight w:val="none"/>
                <w:u w:val="single"/>
                <w14:textFill>
                  <w14:solidFill>
                    <w14:schemeClr w14:val="tx1"/>
                  </w14:solidFill>
                </w14:textFill>
              </w:rPr>
              <w:t>委托有资质单位处置。</w:t>
            </w:r>
            <w:bookmarkEnd w:id="153"/>
          </w:p>
          <w:p w14:paraId="1FC2C95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⑥S</w:t>
            </w:r>
            <w:r>
              <w:rPr>
                <w:rFonts w:hint="default"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14:textFill>
                  <w14:solidFill>
                    <w14:schemeClr w14:val="tx1"/>
                  </w14:solidFill>
                </w14:textFill>
              </w:rPr>
              <w:t>废含油抹布</w:t>
            </w:r>
          </w:p>
          <w:p w14:paraId="51372B5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设备维护保养过程会产生一定量的废含油抹布，产生量约为0.01t/a，属于危险废物，危废类别为HW09其他废物，危废代码为</w:t>
            </w:r>
            <w:bookmarkStart w:id="154" w:name="OLE_LINK50"/>
            <w:r>
              <w:rPr>
                <w:rFonts w:hint="default" w:ascii="Times New Roman" w:hAnsi="Times New Roman" w:cs="Times New Roman"/>
                <w:color w:val="000000" w:themeColor="text1"/>
                <w:highlight w:val="none"/>
                <w14:textFill>
                  <w14:solidFill>
                    <w14:schemeClr w14:val="tx1"/>
                  </w14:solidFill>
                </w14:textFill>
              </w:rPr>
              <w:t>900-041-49</w:t>
            </w:r>
            <w:bookmarkEnd w:id="154"/>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u w:val="single"/>
                <w:lang w:val="en-US" w:eastAsia="zh-CN"/>
                <w14:textFill>
                  <w14:solidFill>
                    <w14:schemeClr w14:val="tx1"/>
                  </w14:solidFill>
                </w14:textFill>
              </w:rPr>
              <w:t>依托现有</w:t>
            </w:r>
            <w:r>
              <w:rPr>
                <w:rFonts w:hint="default" w:ascii="Times New Roman" w:hAnsi="Times New Roman" w:cs="Times New Roman"/>
                <w:color w:val="000000" w:themeColor="text1"/>
                <w:highlight w:val="none"/>
                <w:u w:val="single"/>
                <w14:textFill>
                  <w14:solidFill>
                    <w14:schemeClr w14:val="tx1"/>
                  </w14:solidFill>
                </w14:textFill>
              </w:rPr>
              <w:t>危废暂存间</w:t>
            </w:r>
            <w:r>
              <w:rPr>
                <w:rFonts w:hint="eastAsia" w:cs="Times New Roman"/>
                <w:color w:val="000000" w:themeColor="text1"/>
                <w:highlight w:val="none"/>
                <w:u w:val="single"/>
                <w:lang w:val="en-US" w:eastAsia="zh-CN"/>
                <w14:textFill>
                  <w14:solidFill>
                    <w14:schemeClr w14:val="tx1"/>
                  </w14:solidFill>
                </w14:textFill>
              </w:rPr>
              <w:t>暂存</w:t>
            </w:r>
            <w:r>
              <w:rPr>
                <w:rFonts w:hint="default" w:ascii="Times New Roman" w:hAnsi="Times New Roman"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定期</w:t>
            </w:r>
            <w:r>
              <w:rPr>
                <w:rFonts w:hint="default" w:ascii="Times New Roman" w:hAnsi="Times New Roman" w:cs="Times New Roman"/>
                <w:color w:val="000000" w:themeColor="text1"/>
                <w:highlight w:val="none"/>
                <w14:textFill>
                  <w14:solidFill>
                    <w14:schemeClr w14:val="tx1"/>
                  </w14:solidFill>
                </w14:textFill>
              </w:rPr>
              <w:t>委托有资质单位处置。</w:t>
            </w:r>
          </w:p>
          <w:p w14:paraId="3AC8F6FA">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固体废物的产生情况见下表，固废代码根据《固体废物分类与代码目录（2024）》以及《国家危险废物名录（2025年版）确定。</w:t>
            </w:r>
          </w:p>
          <w:p w14:paraId="107FAED2">
            <w:pPr>
              <w:pStyle w:val="34"/>
              <w:rPr>
                <w:rFonts w:hint="default" w:ascii="Times New Roman" w:hAnsi="Times New Roman" w:cs="Times New Roman"/>
                <w:color w:val="000000" w:themeColor="text1"/>
                <w:highlight w:val="none"/>
                <w14:textFill>
                  <w14:solidFill>
                    <w14:schemeClr w14:val="tx1"/>
                  </w14:solidFill>
                </w14:textFill>
              </w:rPr>
            </w:pPr>
            <w:bookmarkStart w:id="155" w:name="_Ref192750457"/>
            <w:bookmarkStart w:id="156" w:name="_Ref176914655"/>
          </w:p>
          <w:p w14:paraId="16429018">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表4- 1</w:t>
            </w:r>
            <w:bookmarkEnd w:id="155"/>
            <w:r>
              <w:rPr>
                <w:rFonts w:hint="default" w:ascii="Times New Roman" w:hAnsi="Times New Roman" w:cs="Times New Roman"/>
                <w:color w:val="000000" w:themeColor="text1"/>
                <w:highlight w:val="none"/>
                <w:lang w:val="en-US" w:eastAsia="zh-CN"/>
                <w14:textFill>
                  <w14:solidFill>
                    <w14:schemeClr w14:val="tx1"/>
                  </w14:solidFill>
                </w14:textFill>
              </w:rPr>
              <w:t>6</w:t>
            </w:r>
            <w:r>
              <w:rPr>
                <w:rFonts w:hint="default" w:ascii="Times New Roman" w:hAnsi="Times New Roman" w:cs="Times New Roman"/>
                <w:color w:val="000000" w:themeColor="text1"/>
                <w:highlight w:val="none"/>
                <w14:textFill>
                  <w14:solidFill>
                    <w14:schemeClr w14:val="tx1"/>
                  </w14:solidFill>
                </w14:textFill>
              </w:rPr>
              <w:t>：项目固体废物的产生情况汇总</w:t>
            </w:r>
            <w:bookmarkEnd w:id="156"/>
          </w:p>
          <w:tbl>
            <w:tblPr>
              <w:tblStyle w:val="4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33"/>
              <w:gridCol w:w="1686"/>
              <w:gridCol w:w="911"/>
              <w:gridCol w:w="1559"/>
              <w:gridCol w:w="1028"/>
              <w:gridCol w:w="799"/>
              <w:gridCol w:w="799"/>
              <w:gridCol w:w="918"/>
            </w:tblGrid>
            <w:tr w14:paraId="26690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434" w:type="pct"/>
                  <w:gridSpan w:val="2"/>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10081F65">
                  <w:pPr>
                    <w:pStyle w:val="35"/>
                    <w:widowControl w:val="0"/>
                    <w:overflowPunct w:val="0"/>
                    <w:autoSpaceDE w:val="0"/>
                    <w:autoSpaceDN w:val="0"/>
                    <w:bidi w:val="0"/>
                    <w:snapToGrid w:val="0"/>
                    <w:rPr>
                      <w:rFonts w:hint="default" w:ascii="Times New Roman" w:hAnsi="Times New Roman" w:cs="Times New Roman"/>
                      <w:b/>
                      <w:bCs/>
                      <w:color w:val="000000" w:themeColor="text1"/>
                      <w:highlight w:val="none"/>
                      <w14:textFill>
                        <w14:solidFill>
                          <w14:schemeClr w14:val="tx1"/>
                        </w14:solidFill>
                      </w14:textFill>
                      <w14:ligatures w14:val="standardContextual"/>
                    </w:rPr>
                  </w:pPr>
                  <w:r>
                    <w:rPr>
                      <w:rFonts w:hint="default" w:ascii="Times New Roman" w:hAnsi="Times New Roman" w:cs="Times New Roman"/>
                      <w:b/>
                      <w:bCs/>
                      <w:color w:val="000000" w:themeColor="text1"/>
                      <w:highlight w:val="none"/>
                      <w14:textFill>
                        <w14:solidFill>
                          <w14:schemeClr w14:val="tx1"/>
                        </w14:solidFill>
                      </w14:textFill>
                      <w14:ligatures w14:val="standardContextual"/>
                    </w:rPr>
                    <w:t>固废名称</w:t>
                  </w:r>
                </w:p>
              </w:tc>
              <w:tc>
                <w:tcPr>
                  <w:tcW w:w="54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DE9DC7A">
                  <w:pPr>
                    <w:pStyle w:val="35"/>
                    <w:widowControl w:val="0"/>
                    <w:overflowPunct w:val="0"/>
                    <w:autoSpaceDE w:val="0"/>
                    <w:autoSpaceDN w:val="0"/>
                    <w:bidi w:val="0"/>
                    <w:snapToGrid w:val="0"/>
                    <w:rPr>
                      <w:rFonts w:hint="default" w:ascii="Times New Roman" w:hAnsi="Times New Roman" w:cs="Times New Roman"/>
                      <w:b/>
                      <w:bCs/>
                      <w:color w:val="000000" w:themeColor="text1"/>
                      <w:highlight w:val="none"/>
                      <w14:textFill>
                        <w14:solidFill>
                          <w14:schemeClr w14:val="tx1"/>
                        </w14:solidFill>
                      </w14:textFill>
                      <w14:ligatures w14:val="standardContextual"/>
                    </w:rPr>
                  </w:pPr>
                  <w:r>
                    <w:rPr>
                      <w:rFonts w:hint="default" w:ascii="Times New Roman" w:hAnsi="Times New Roman" w:cs="Times New Roman"/>
                      <w:b/>
                      <w:bCs/>
                      <w:color w:val="000000" w:themeColor="text1"/>
                      <w:highlight w:val="none"/>
                      <w14:textFill>
                        <w14:solidFill>
                          <w14:schemeClr w14:val="tx1"/>
                        </w14:solidFill>
                      </w14:textFill>
                      <w14:ligatures w14:val="standardContextual"/>
                    </w:rPr>
                    <w:t>固废类型</w:t>
                  </w:r>
                </w:p>
              </w:tc>
              <w:tc>
                <w:tcPr>
                  <w:tcW w:w="92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1DF311D">
                  <w:pPr>
                    <w:pStyle w:val="35"/>
                    <w:widowControl w:val="0"/>
                    <w:overflowPunct w:val="0"/>
                    <w:autoSpaceDE w:val="0"/>
                    <w:autoSpaceDN w:val="0"/>
                    <w:bidi w:val="0"/>
                    <w:snapToGrid w:val="0"/>
                    <w:rPr>
                      <w:rFonts w:hint="default" w:ascii="Times New Roman" w:hAnsi="Times New Roman" w:cs="Times New Roman"/>
                      <w:b/>
                      <w:bCs/>
                      <w:color w:val="000000" w:themeColor="text1"/>
                      <w:highlight w:val="none"/>
                      <w14:textFill>
                        <w14:solidFill>
                          <w14:schemeClr w14:val="tx1"/>
                        </w14:solidFill>
                      </w14:textFill>
                      <w14:ligatures w14:val="standardContextual"/>
                    </w:rPr>
                  </w:pPr>
                  <w:r>
                    <w:rPr>
                      <w:rFonts w:hint="default" w:ascii="Times New Roman" w:hAnsi="Times New Roman" w:cs="Times New Roman"/>
                      <w:b/>
                      <w:bCs/>
                      <w:color w:val="000000" w:themeColor="text1"/>
                      <w:highlight w:val="none"/>
                      <w14:textFill>
                        <w14:solidFill>
                          <w14:schemeClr w14:val="tx1"/>
                        </w14:solidFill>
                      </w14:textFill>
                      <w14:ligatures w14:val="standardContextual"/>
                    </w:rPr>
                    <w:t>废物类别及代码</w:t>
                  </w:r>
                </w:p>
              </w:tc>
              <w:tc>
                <w:tcPr>
                  <w:tcW w:w="609"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70F45F9">
                  <w:pPr>
                    <w:pStyle w:val="35"/>
                    <w:widowControl w:val="0"/>
                    <w:overflowPunct w:val="0"/>
                    <w:autoSpaceDE w:val="0"/>
                    <w:autoSpaceDN w:val="0"/>
                    <w:bidi w:val="0"/>
                    <w:snapToGrid w:val="0"/>
                    <w:rPr>
                      <w:rFonts w:hint="default" w:ascii="Times New Roman" w:hAnsi="Times New Roman" w:cs="Times New Roman"/>
                      <w:b/>
                      <w:bCs/>
                      <w:color w:val="000000" w:themeColor="text1"/>
                      <w:highlight w:val="none"/>
                      <w14:textFill>
                        <w14:solidFill>
                          <w14:schemeClr w14:val="tx1"/>
                        </w14:solidFill>
                      </w14:textFill>
                      <w14:ligatures w14:val="standardContextual"/>
                    </w:rPr>
                  </w:pPr>
                  <w:r>
                    <w:rPr>
                      <w:rFonts w:hint="default" w:ascii="Times New Roman" w:hAnsi="Times New Roman" w:cs="Times New Roman"/>
                      <w:b/>
                      <w:bCs/>
                      <w:color w:val="000000" w:themeColor="text1"/>
                      <w:highlight w:val="none"/>
                      <w14:textFill>
                        <w14:solidFill>
                          <w14:schemeClr w14:val="tx1"/>
                        </w14:solidFill>
                      </w14:textFill>
                      <w14:ligatures w14:val="standardContextual"/>
                    </w:rPr>
                    <w:t>物理</w:t>
                  </w:r>
                </w:p>
                <w:p w14:paraId="1D598E48">
                  <w:pPr>
                    <w:pStyle w:val="35"/>
                    <w:widowControl w:val="0"/>
                    <w:overflowPunct w:val="0"/>
                    <w:autoSpaceDE w:val="0"/>
                    <w:autoSpaceDN w:val="0"/>
                    <w:bidi w:val="0"/>
                    <w:snapToGrid w:val="0"/>
                    <w:rPr>
                      <w:rFonts w:hint="default" w:ascii="Times New Roman" w:hAnsi="Times New Roman" w:cs="Times New Roman"/>
                      <w:b/>
                      <w:bCs/>
                      <w:color w:val="000000" w:themeColor="text1"/>
                      <w:highlight w:val="none"/>
                      <w14:textFill>
                        <w14:solidFill>
                          <w14:schemeClr w14:val="tx1"/>
                        </w14:solidFill>
                      </w14:textFill>
                      <w14:ligatures w14:val="standardContextual"/>
                    </w:rPr>
                  </w:pPr>
                  <w:r>
                    <w:rPr>
                      <w:rFonts w:hint="default" w:ascii="Times New Roman" w:hAnsi="Times New Roman" w:cs="Times New Roman"/>
                      <w:b/>
                      <w:bCs/>
                      <w:color w:val="000000" w:themeColor="text1"/>
                      <w:highlight w:val="none"/>
                      <w14:textFill>
                        <w14:solidFill>
                          <w14:schemeClr w14:val="tx1"/>
                        </w14:solidFill>
                      </w14:textFill>
                      <w14:ligatures w14:val="standardContextual"/>
                    </w:rPr>
                    <w:t>性状</w:t>
                  </w:r>
                </w:p>
              </w:tc>
              <w:tc>
                <w:tcPr>
                  <w:tcW w:w="47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AC43958">
                  <w:pPr>
                    <w:pStyle w:val="35"/>
                    <w:widowControl w:val="0"/>
                    <w:overflowPunct w:val="0"/>
                    <w:autoSpaceDE w:val="0"/>
                    <w:autoSpaceDN w:val="0"/>
                    <w:bidi w:val="0"/>
                    <w:snapToGrid w:val="0"/>
                    <w:rPr>
                      <w:rFonts w:hint="default" w:ascii="Times New Roman" w:hAnsi="Times New Roman" w:cs="Times New Roman"/>
                      <w:b/>
                      <w:bCs/>
                      <w:color w:val="000000" w:themeColor="text1"/>
                      <w:highlight w:val="none"/>
                      <w14:textFill>
                        <w14:solidFill>
                          <w14:schemeClr w14:val="tx1"/>
                        </w14:solidFill>
                      </w14:textFill>
                      <w14:ligatures w14:val="standardContextual"/>
                    </w:rPr>
                  </w:pPr>
                  <w:r>
                    <w:rPr>
                      <w:rFonts w:hint="default" w:ascii="Times New Roman" w:hAnsi="Times New Roman" w:cs="Times New Roman"/>
                      <w:b/>
                      <w:bCs/>
                      <w:color w:val="000000" w:themeColor="text1"/>
                      <w:highlight w:val="none"/>
                      <w14:textFill>
                        <w14:solidFill>
                          <w14:schemeClr w14:val="tx1"/>
                        </w14:solidFill>
                      </w14:textFill>
                      <w14:ligatures w14:val="standardContextual"/>
                    </w:rPr>
                    <w:t>产生量t/a</w:t>
                  </w:r>
                </w:p>
              </w:tc>
              <w:tc>
                <w:tcPr>
                  <w:tcW w:w="47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877B2A1">
                  <w:pPr>
                    <w:pStyle w:val="35"/>
                    <w:widowControl w:val="0"/>
                    <w:overflowPunct w:val="0"/>
                    <w:autoSpaceDE w:val="0"/>
                    <w:autoSpaceDN w:val="0"/>
                    <w:bidi w:val="0"/>
                    <w:snapToGrid w:val="0"/>
                    <w:rPr>
                      <w:rFonts w:hint="default" w:ascii="Times New Roman" w:hAnsi="Times New Roman" w:cs="Times New Roman"/>
                      <w:b/>
                      <w:bCs/>
                      <w:color w:val="000000" w:themeColor="text1"/>
                      <w:highlight w:val="none"/>
                      <w14:textFill>
                        <w14:solidFill>
                          <w14:schemeClr w14:val="tx1"/>
                        </w14:solidFill>
                      </w14:textFill>
                      <w14:ligatures w14:val="standardContextual"/>
                    </w:rPr>
                  </w:pPr>
                  <w:r>
                    <w:rPr>
                      <w:rFonts w:hint="default" w:ascii="Times New Roman" w:hAnsi="Times New Roman" w:cs="Times New Roman"/>
                      <w:b/>
                      <w:bCs/>
                      <w:color w:val="000000" w:themeColor="text1"/>
                      <w:highlight w:val="none"/>
                      <w14:textFill>
                        <w14:solidFill>
                          <w14:schemeClr w14:val="tx1"/>
                        </w14:solidFill>
                      </w14:textFill>
                      <w14:ligatures w14:val="standardContextual"/>
                    </w:rPr>
                    <w:t>处置量t/a</w:t>
                  </w:r>
                </w:p>
              </w:tc>
              <w:tc>
                <w:tcPr>
                  <w:tcW w:w="544" w:type="pct"/>
                  <w:tcBorders>
                    <w:top w:val="single" w:color="auto" w:sz="12" w:space="0"/>
                    <w:bottom w:val="single" w:color="auto" w:sz="12" w:space="0"/>
                    <w:right w:val="nil"/>
                    <w:insideH w:val="single" w:sz="12" w:space="0"/>
                    <w:insideV w:val="single" w:sz="4" w:space="0"/>
                    <w:tl2br w:val="nil"/>
                    <w:tr2bl w:val="nil"/>
                  </w:tcBorders>
                  <w:vAlign w:val="center"/>
                </w:tcPr>
                <w:p w14:paraId="250C34AE">
                  <w:pPr>
                    <w:pStyle w:val="35"/>
                    <w:widowControl w:val="0"/>
                    <w:overflowPunct w:val="0"/>
                    <w:autoSpaceDE w:val="0"/>
                    <w:autoSpaceDN w:val="0"/>
                    <w:bidi w:val="0"/>
                    <w:snapToGrid w:val="0"/>
                    <w:rPr>
                      <w:rFonts w:hint="default" w:ascii="Times New Roman" w:hAnsi="Times New Roman" w:cs="Times New Roman"/>
                      <w:b/>
                      <w:bCs/>
                      <w:color w:val="000000" w:themeColor="text1"/>
                      <w:highlight w:val="none"/>
                      <w14:textFill>
                        <w14:solidFill>
                          <w14:schemeClr w14:val="tx1"/>
                        </w14:solidFill>
                      </w14:textFill>
                      <w14:ligatures w14:val="standardContextual"/>
                    </w:rPr>
                  </w:pPr>
                  <w:r>
                    <w:rPr>
                      <w:rFonts w:hint="default" w:ascii="Times New Roman" w:hAnsi="Times New Roman" w:cs="Times New Roman"/>
                      <w:b/>
                      <w:bCs/>
                      <w:color w:val="000000" w:themeColor="text1"/>
                      <w:highlight w:val="none"/>
                      <w14:textFill>
                        <w14:solidFill>
                          <w14:schemeClr w14:val="tx1"/>
                        </w14:solidFill>
                      </w14:textFill>
                      <w14:ligatures w14:val="standardContextual"/>
                    </w:rPr>
                    <w:t>处置去向</w:t>
                  </w:r>
                </w:p>
              </w:tc>
            </w:tr>
            <w:tr w14:paraId="7EE5A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702" w:hRule="atLeast"/>
                <w:jc w:val="center"/>
              </w:trPr>
              <w:tc>
                <w:tcPr>
                  <w:tcW w:w="435" w:type="pct"/>
                  <w:vAlign w:val="center"/>
                </w:tcPr>
                <w:p w14:paraId="1E8A8BEA">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pPr>
                  <w:bookmarkStart w:id="157" w:name="_Hlk191859217"/>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S1</w:t>
                  </w:r>
                </w:p>
              </w:tc>
              <w:tc>
                <w:tcPr>
                  <w:tcW w:w="999" w:type="pct"/>
                  <w:vAlign w:val="center"/>
                </w:tcPr>
                <w:p w14:paraId="311CA5D3">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沉淀池沉渣</w:t>
                  </w:r>
                </w:p>
              </w:tc>
              <w:tc>
                <w:tcPr>
                  <w:tcW w:w="540" w:type="pct"/>
                  <w:vMerge w:val="restart"/>
                  <w:vAlign w:val="center"/>
                </w:tcPr>
                <w:p w14:paraId="65D4F4F0">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一般固废</w:t>
                  </w:r>
                </w:p>
              </w:tc>
              <w:tc>
                <w:tcPr>
                  <w:tcW w:w="924" w:type="pct"/>
                  <w:vAlign w:val="center"/>
                </w:tcPr>
                <w:p w14:paraId="1EB6E8C4">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900-002-S02</w:t>
                  </w:r>
                </w:p>
              </w:tc>
              <w:tc>
                <w:tcPr>
                  <w:tcW w:w="609" w:type="pct"/>
                  <w:vAlign w:val="center"/>
                </w:tcPr>
                <w:p w14:paraId="3E82FF2E">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固态</w:t>
                  </w:r>
                </w:p>
              </w:tc>
              <w:tc>
                <w:tcPr>
                  <w:tcW w:w="473" w:type="pct"/>
                  <w:vAlign w:val="center"/>
                </w:tcPr>
                <w:p w14:paraId="27033A58">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0.67</w:t>
                  </w:r>
                </w:p>
              </w:tc>
              <w:tc>
                <w:tcPr>
                  <w:tcW w:w="473" w:type="pct"/>
                  <w:vAlign w:val="center"/>
                </w:tcPr>
                <w:p w14:paraId="3A3BCBA1">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0.67</w:t>
                  </w:r>
                </w:p>
              </w:tc>
              <w:tc>
                <w:tcPr>
                  <w:tcW w:w="544" w:type="pct"/>
                  <w:vMerge w:val="restart"/>
                  <w:vAlign w:val="center"/>
                </w:tcPr>
                <w:p w14:paraId="1978B9C3">
                  <w:pPr>
                    <w:pStyle w:val="35"/>
                    <w:widowControl w:val="0"/>
                    <w:overflowPunct w:val="0"/>
                    <w:autoSpaceDE w:val="0"/>
                    <w:autoSpaceDN w:val="0"/>
                    <w:bidi w:val="0"/>
                    <w:snapToGrid w:val="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u w:val="single"/>
                      <w:lang w:eastAsia="zh-CN"/>
                      <w14:textFill>
                        <w14:solidFill>
                          <w14:schemeClr w14:val="tx1"/>
                        </w14:solidFill>
                      </w14:textFill>
                      <w14:ligatures w14:val="standardContextual"/>
                    </w:rPr>
                    <w:t>外售一般固废处置单位处置</w:t>
                  </w:r>
                </w:p>
              </w:tc>
            </w:tr>
            <w:tr w14:paraId="267F4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647" w:hRule="atLeast"/>
                <w:jc w:val="center"/>
              </w:trPr>
              <w:tc>
                <w:tcPr>
                  <w:tcW w:w="435" w:type="pct"/>
                  <w:vAlign w:val="center"/>
                </w:tcPr>
                <w:p w14:paraId="7348E06A">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S2</w:t>
                  </w:r>
                </w:p>
              </w:tc>
              <w:tc>
                <w:tcPr>
                  <w:tcW w:w="999" w:type="pct"/>
                  <w:vAlign w:val="center"/>
                </w:tcPr>
                <w:p w14:paraId="107E590F">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废反渗透膜</w:t>
                  </w:r>
                </w:p>
              </w:tc>
              <w:tc>
                <w:tcPr>
                  <w:tcW w:w="540" w:type="pct"/>
                  <w:vMerge w:val="continue"/>
                  <w:vAlign w:val="center"/>
                </w:tcPr>
                <w:p w14:paraId="241C9BC7">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924" w:type="pct"/>
                  <w:vAlign w:val="center"/>
                </w:tcPr>
                <w:p w14:paraId="227F7784">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900-099-S03</w:t>
                  </w:r>
                </w:p>
              </w:tc>
              <w:tc>
                <w:tcPr>
                  <w:tcW w:w="609" w:type="pct"/>
                  <w:vAlign w:val="center"/>
                </w:tcPr>
                <w:p w14:paraId="24695C00">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固态</w:t>
                  </w:r>
                </w:p>
              </w:tc>
              <w:tc>
                <w:tcPr>
                  <w:tcW w:w="473" w:type="pct"/>
                  <w:vAlign w:val="center"/>
                </w:tcPr>
                <w:p w14:paraId="3CEE6254">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0</w:t>
                  </w:r>
                  <w:r>
                    <w:rPr>
                      <w:rFonts w:hint="eastAsia" w:cs="Times New Roman"/>
                      <w:color w:val="000000" w:themeColor="text1"/>
                      <w:highlight w:val="none"/>
                      <w:lang w:val="en-US" w:eastAsia="zh-CN"/>
                      <w14:textFill>
                        <w14:solidFill>
                          <w14:schemeClr w14:val="tx1"/>
                        </w14:solidFill>
                      </w14:textFill>
                      <w14:ligatures w14:val="standardContextual"/>
                    </w:rPr>
                    <w:t>.2</w:t>
                  </w:r>
                </w:p>
              </w:tc>
              <w:tc>
                <w:tcPr>
                  <w:tcW w:w="473" w:type="pct"/>
                  <w:vAlign w:val="center"/>
                </w:tcPr>
                <w:p w14:paraId="7D93A016">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0.</w:t>
                  </w:r>
                  <w:r>
                    <w:rPr>
                      <w:rFonts w:hint="eastAsia" w:cs="Times New Roman"/>
                      <w:color w:val="000000" w:themeColor="text1"/>
                      <w:highlight w:val="none"/>
                      <w:lang w:val="en-US" w:eastAsia="zh-CN"/>
                      <w14:textFill>
                        <w14:solidFill>
                          <w14:schemeClr w14:val="tx1"/>
                        </w14:solidFill>
                      </w14:textFill>
                      <w14:ligatures w14:val="standardContextual"/>
                    </w:rPr>
                    <w:t>2</w:t>
                  </w:r>
                </w:p>
              </w:tc>
              <w:tc>
                <w:tcPr>
                  <w:tcW w:w="544" w:type="pct"/>
                  <w:vMerge w:val="continue"/>
                  <w:vAlign w:val="center"/>
                </w:tcPr>
                <w:p w14:paraId="53FD19F7">
                  <w:pPr>
                    <w:pStyle w:val="35"/>
                    <w:widowControl w:val="0"/>
                    <w:overflowPunct w:val="0"/>
                    <w:autoSpaceDE w:val="0"/>
                    <w:autoSpaceDN w:val="0"/>
                    <w:bidi w:val="0"/>
                    <w:snapToGrid w:val="0"/>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r>
            <w:tr w14:paraId="2C8BF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35" w:type="pct"/>
                  <w:vAlign w:val="center"/>
                </w:tcPr>
                <w:p w14:paraId="01D31EA0">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S3</w:t>
                  </w:r>
                </w:p>
              </w:tc>
              <w:tc>
                <w:tcPr>
                  <w:tcW w:w="999" w:type="pct"/>
                  <w:vAlign w:val="center"/>
                </w:tcPr>
                <w:p w14:paraId="173D7ECA">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废超滤膜</w:t>
                  </w:r>
                </w:p>
              </w:tc>
              <w:tc>
                <w:tcPr>
                  <w:tcW w:w="540" w:type="pct"/>
                  <w:vMerge w:val="continue"/>
                  <w:vAlign w:val="center"/>
                </w:tcPr>
                <w:p w14:paraId="0702EC47">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924" w:type="pct"/>
                  <w:vAlign w:val="center"/>
                </w:tcPr>
                <w:p w14:paraId="592FF5AE">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900-008-S59</w:t>
                  </w:r>
                </w:p>
              </w:tc>
              <w:tc>
                <w:tcPr>
                  <w:tcW w:w="609" w:type="pct"/>
                  <w:vAlign w:val="center"/>
                </w:tcPr>
                <w:p w14:paraId="5CB1B327">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固态</w:t>
                  </w:r>
                </w:p>
              </w:tc>
              <w:tc>
                <w:tcPr>
                  <w:tcW w:w="473" w:type="pct"/>
                  <w:vAlign w:val="center"/>
                </w:tcPr>
                <w:p w14:paraId="22BA03D7">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0.</w:t>
                  </w:r>
                  <w:r>
                    <w:rPr>
                      <w:rFonts w:hint="eastAsia" w:cs="Times New Roman"/>
                      <w:color w:val="000000" w:themeColor="text1"/>
                      <w:highlight w:val="none"/>
                      <w:lang w:val="en-US" w:eastAsia="zh-CN"/>
                      <w14:textFill>
                        <w14:solidFill>
                          <w14:schemeClr w14:val="tx1"/>
                        </w14:solidFill>
                      </w14:textFill>
                      <w14:ligatures w14:val="standardContextual"/>
                    </w:rPr>
                    <w:t>1</w:t>
                  </w:r>
                </w:p>
              </w:tc>
              <w:tc>
                <w:tcPr>
                  <w:tcW w:w="473" w:type="pct"/>
                  <w:vAlign w:val="center"/>
                </w:tcPr>
                <w:p w14:paraId="2343348E">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0.</w:t>
                  </w:r>
                  <w:r>
                    <w:rPr>
                      <w:rFonts w:hint="eastAsia" w:cs="Times New Roman"/>
                      <w:color w:val="000000" w:themeColor="text1"/>
                      <w:highlight w:val="none"/>
                      <w:lang w:val="en-US" w:eastAsia="zh-CN"/>
                      <w14:textFill>
                        <w14:solidFill>
                          <w14:schemeClr w14:val="tx1"/>
                        </w14:solidFill>
                      </w14:textFill>
                      <w14:ligatures w14:val="standardContextual"/>
                    </w:rPr>
                    <w:t>1</w:t>
                  </w:r>
                </w:p>
              </w:tc>
              <w:tc>
                <w:tcPr>
                  <w:tcW w:w="544" w:type="pct"/>
                  <w:vMerge w:val="continue"/>
                  <w:vAlign w:val="center"/>
                </w:tcPr>
                <w:p w14:paraId="266797CF">
                  <w:pPr>
                    <w:pStyle w:val="35"/>
                    <w:widowControl w:val="0"/>
                    <w:overflowPunct w:val="0"/>
                    <w:autoSpaceDE w:val="0"/>
                    <w:autoSpaceDN w:val="0"/>
                    <w:bidi w:val="0"/>
                    <w:snapToGrid w:val="0"/>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r>
            <w:tr w14:paraId="6903B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7" w:hRule="atLeast"/>
                <w:jc w:val="center"/>
              </w:trPr>
              <w:tc>
                <w:tcPr>
                  <w:tcW w:w="435" w:type="pct"/>
                  <w:vAlign w:val="center"/>
                </w:tcPr>
                <w:p w14:paraId="4B49A56B">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S4</w:t>
                  </w:r>
                </w:p>
              </w:tc>
              <w:tc>
                <w:tcPr>
                  <w:tcW w:w="999" w:type="pct"/>
                  <w:vAlign w:val="center"/>
                </w:tcPr>
                <w:p w14:paraId="1BE7ECAD">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生物质锅炉炉渣</w:t>
                  </w:r>
                </w:p>
              </w:tc>
              <w:tc>
                <w:tcPr>
                  <w:tcW w:w="540" w:type="pct"/>
                  <w:vMerge w:val="continue"/>
                  <w:vAlign w:val="center"/>
                </w:tcPr>
                <w:p w14:paraId="1B03558E">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924" w:type="pct"/>
                  <w:vAlign w:val="center"/>
                </w:tcPr>
                <w:p w14:paraId="4530D765">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900-009-S59</w:t>
                  </w:r>
                </w:p>
              </w:tc>
              <w:tc>
                <w:tcPr>
                  <w:tcW w:w="609" w:type="pct"/>
                  <w:vAlign w:val="center"/>
                </w:tcPr>
                <w:p w14:paraId="067BD279">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固态</w:t>
                  </w:r>
                </w:p>
              </w:tc>
              <w:tc>
                <w:tcPr>
                  <w:tcW w:w="473" w:type="pct"/>
                  <w:vAlign w:val="center"/>
                </w:tcPr>
                <w:p w14:paraId="1EDB3B98">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231.094</w:t>
                  </w:r>
                </w:p>
              </w:tc>
              <w:tc>
                <w:tcPr>
                  <w:tcW w:w="473" w:type="pct"/>
                  <w:vAlign w:val="center"/>
                </w:tcPr>
                <w:p w14:paraId="37BD4376">
                  <w:pPr>
                    <w:pStyle w:val="35"/>
                    <w:widowControl w:val="0"/>
                    <w:overflowPunct w:val="0"/>
                    <w:autoSpaceDE w:val="0"/>
                    <w:autoSpaceDN w:val="0"/>
                    <w:bidi w:val="0"/>
                    <w:snapToGrid w:val="0"/>
                    <w:rPr>
                      <w:rFonts w:hint="default" w:ascii="Times New Roman" w:hAnsi="Times New Roman" w:cs="Times New Roman"/>
                      <w:i/>
                      <w:iCs/>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231.094</w:t>
                  </w:r>
                </w:p>
              </w:tc>
              <w:tc>
                <w:tcPr>
                  <w:tcW w:w="544" w:type="pct"/>
                  <w:vMerge w:val="restart"/>
                  <w:vAlign w:val="center"/>
                </w:tcPr>
                <w:p w14:paraId="1722DCFB">
                  <w:pPr>
                    <w:pStyle w:val="35"/>
                    <w:widowControl w:val="0"/>
                    <w:overflowPunct w:val="0"/>
                    <w:autoSpaceDE w:val="0"/>
                    <w:autoSpaceDN w:val="0"/>
                    <w:bidi w:val="0"/>
                    <w:snapToGrid w:val="0"/>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eastAsia" w:cs="Times New Roman"/>
                      <w:color w:val="000000" w:themeColor="text1"/>
                      <w:sz w:val="21"/>
                      <w:szCs w:val="21"/>
                      <w:highlight w:val="none"/>
                      <w:lang w:val="en-US" w:eastAsia="zh-CN"/>
                      <w14:textFill>
                        <w14:solidFill>
                          <w14:schemeClr w14:val="tx1"/>
                        </w14:solidFill>
                      </w14:textFill>
                      <w14:ligatures w14:val="standardContextual"/>
                    </w:rPr>
                    <w:t>定期</w:t>
                  </w:r>
                  <w:r>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t>外运做农肥</w:t>
                  </w:r>
                </w:p>
              </w:tc>
            </w:tr>
            <w:tr w14:paraId="52C0A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12" w:hRule="atLeast"/>
                <w:jc w:val="center"/>
              </w:trPr>
              <w:tc>
                <w:tcPr>
                  <w:tcW w:w="435" w:type="pct"/>
                  <w:vAlign w:val="center"/>
                </w:tcPr>
                <w:p w14:paraId="73BE56CE">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S5</w:t>
                  </w:r>
                </w:p>
              </w:tc>
              <w:tc>
                <w:tcPr>
                  <w:tcW w:w="999" w:type="pct"/>
                  <w:vAlign w:val="center"/>
                </w:tcPr>
                <w:p w14:paraId="2951F439">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除尘器粉尘</w:t>
                  </w:r>
                </w:p>
              </w:tc>
              <w:tc>
                <w:tcPr>
                  <w:tcW w:w="540" w:type="pct"/>
                  <w:vMerge w:val="continue"/>
                  <w:vAlign w:val="center"/>
                </w:tcPr>
                <w:p w14:paraId="7A139973">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924" w:type="pct"/>
                  <w:vAlign w:val="center"/>
                </w:tcPr>
                <w:p w14:paraId="6E23B597">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900-009-S59</w:t>
                  </w:r>
                </w:p>
              </w:tc>
              <w:tc>
                <w:tcPr>
                  <w:tcW w:w="609" w:type="pct"/>
                  <w:vAlign w:val="center"/>
                </w:tcPr>
                <w:p w14:paraId="302278FC">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固态</w:t>
                  </w:r>
                </w:p>
              </w:tc>
              <w:tc>
                <w:tcPr>
                  <w:tcW w:w="473" w:type="pct"/>
                  <w:vAlign w:val="center"/>
                </w:tcPr>
                <w:p w14:paraId="70AA37C0">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4.4263</w:t>
                  </w:r>
                </w:p>
              </w:tc>
              <w:tc>
                <w:tcPr>
                  <w:tcW w:w="473" w:type="pct"/>
                  <w:vAlign w:val="center"/>
                </w:tcPr>
                <w:p w14:paraId="4E8FDB66">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4.4263</w:t>
                  </w:r>
                </w:p>
              </w:tc>
              <w:tc>
                <w:tcPr>
                  <w:tcW w:w="544" w:type="pct"/>
                  <w:vMerge w:val="continue"/>
                  <w:vAlign w:val="center"/>
                </w:tcPr>
                <w:p w14:paraId="3B84320E">
                  <w:pPr>
                    <w:pStyle w:val="35"/>
                    <w:widowControl w:val="0"/>
                    <w:overflowPunct w:val="0"/>
                    <w:autoSpaceDE w:val="0"/>
                    <w:autoSpaceDN w:val="0"/>
                    <w:bidi w:val="0"/>
                    <w:snapToGrid w:val="0"/>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p>
              </w:tc>
            </w:tr>
            <w:tr w14:paraId="3A283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435" w:type="pct"/>
                  <w:vAlign w:val="center"/>
                </w:tcPr>
                <w:p w14:paraId="4BD64B9B">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S</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6</w:t>
                  </w:r>
                </w:p>
              </w:tc>
              <w:tc>
                <w:tcPr>
                  <w:tcW w:w="999" w:type="pct"/>
                  <w:vAlign w:val="center"/>
                </w:tcPr>
                <w:p w14:paraId="7D5EBE00">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废布袋</w:t>
                  </w:r>
                </w:p>
              </w:tc>
              <w:tc>
                <w:tcPr>
                  <w:tcW w:w="540" w:type="pct"/>
                  <w:vMerge w:val="continue"/>
                  <w:vAlign w:val="center"/>
                </w:tcPr>
                <w:p w14:paraId="6A7DAC0C">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924" w:type="pct"/>
                  <w:vAlign w:val="center"/>
                </w:tcPr>
                <w:p w14:paraId="12D7B21A">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900-008-S59</w:t>
                  </w:r>
                </w:p>
              </w:tc>
              <w:tc>
                <w:tcPr>
                  <w:tcW w:w="609" w:type="pct"/>
                  <w:vAlign w:val="center"/>
                </w:tcPr>
                <w:p w14:paraId="6044D1ED">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固态</w:t>
                  </w:r>
                </w:p>
              </w:tc>
              <w:tc>
                <w:tcPr>
                  <w:tcW w:w="473" w:type="pct"/>
                  <w:vAlign w:val="center"/>
                </w:tcPr>
                <w:p w14:paraId="40BE1B37">
                  <w:pPr>
                    <w:pStyle w:val="35"/>
                    <w:widowControl w:val="0"/>
                    <w:overflowPunct w:val="0"/>
                    <w:autoSpaceDE w:val="0"/>
                    <w:autoSpaceDN w:val="0"/>
                    <w:bidi w:val="0"/>
                    <w:snapToGrid w:val="0"/>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0.0</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2</w:t>
                  </w:r>
                </w:p>
              </w:tc>
              <w:tc>
                <w:tcPr>
                  <w:tcW w:w="473" w:type="pct"/>
                  <w:vAlign w:val="center"/>
                </w:tcPr>
                <w:p w14:paraId="60E73F32">
                  <w:pPr>
                    <w:pStyle w:val="35"/>
                    <w:widowControl w:val="0"/>
                    <w:overflowPunct w:val="0"/>
                    <w:autoSpaceDE w:val="0"/>
                    <w:autoSpaceDN w:val="0"/>
                    <w:bidi w:val="0"/>
                    <w:snapToGrid w:val="0"/>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0.0</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2</w:t>
                  </w:r>
                </w:p>
              </w:tc>
              <w:tc>
                <w:tcPr>
                  <w:tcW w:w="544" w:type="pct"/>
                  <w:vAlign w:val="center"/>
                </w:tcPr>
                <w:p w14:paraId="30984990">
                  <w:pPr>
                    <w:pStyle w:val="35"/>
                    <w:widowControl w:val="0"/>
                    <w:overflowPunct w:val="0"/>
                    <w:autoSpaceDE w:val="0"/>
                    <w:autoSpaceDN w:val="0"/>
                    <w:bidi w:val="0"/>
                    <w:snapToGrid w:val="0"/>
                    <w:rPr>
                      <w:rFonts w:hint="default" w:ascii="Times New Roman" w:hAnsi="Times New Roman" w:cs="Times New Roman"/>
                      <w:color w:val="000000" w:themeColor="text1"/>
                      <w:sz w:val="21"/>
                      <w:szCs w:val="21"/>
                      <w:highlight w:val="none"/>
                      <w14:textFill>
                        <w14:solidFill>
                          <w14:schemeClr w14:val="tx1"/>
                        </w14:solidFill>
                      </w14:textFill>
                      <w14:ligatures w14:val="standardContextual"/>
                    </w:rPr>
                  </w:pPr>
                  <w:r>
                    <w:rPr>
                      <w:rFonts w:hint="default" w:ascii="Times New Roman" w:hAnsi="Times New Roman" w:cs="Times New Roman"/>
                      <w:color w:val="000000" w:themeColor="text1"/>
                      <w:sz w:val="21"/>
                      <w:szCs w:val="21"/>
                      <w:highlight w:val="none"/>
                      <w:u w:val="single"/>
                      <w:lang w:eastAsia="zh-CN"/>
                      <w14:textFill>
                        <w14:solidFill>
                          <w14:schemeClr w14:val="tx1"/>
                        </w14:solidFill>
                      </w14:textFill>
                      <w14:ligatures w14:val="standardContextual"/>
                    </w:rPr>
                    <w:t>外售一般固废处置单位处置</w:t>
                  </w:r>
                </w:p>
              </w:tc>
            </w:tr>
            <w:tr w14:paraId="17B3B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35" w:type="pct"/>
                  <w:vMerge w:val="restart"/>
                  <w:shd w:val="clear" w:color="auto" w:fill="auto"/>
                  <w:vAlign w:val="center"/>
                </w:tcPr>
                <w:p w14:paraId="7735152F">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pPr>
                  <w:bookmarkStart w:id="158" w:name="_Ref175583056"/>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S</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7</w:t>
                  </w:r>
                </w:p>
              </w:tc>
              <w:tc>
                <w:tcPr>
                  <w:tcW w:w="999" w:type="pct"/>
                  <w:shd w:val="clear" w:color="auto" w:fill="auto"/>
                  <w:vAlign w:val="center"/>
                </w:tcPr>
                <w:p w14:paraId="2A888339">
                  <w:pPr>
                    <w:pStyle w:val="35"/>
                    <w:widowControl w:val="0"/>
                    <w:overflowPunct w:val="0"/>
                    <w:autoSpaceDE w:val="0"/>
                    <w:autoSpaceDN w:val="0"/>
                    <w:bidi w:val="0"/>
                    <w:snapToGrid w:val="0"/>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废润滑油</w:t>
                  </w:r>
                </w:p>
              </w:tc>
              <w:tc>
                <w:tcPr>
                  <w:tcW w:w="540" w:type="pct"/>
                  <w:vMerge w:val="restart"/>
                  <w:shd w:val="clear" w:color="auto" w:fill="auto"/>
                  <w:vAlign w:val="center"/>
                </w:tcPr>
                <w:p w14:paraId="00785A4C">
                  <w:pPr>
                    <w:pStyle w:val="35"/>
                    <w:widowControl w:val="0"/>
                    <w:overflowPunct w:val="0"/>
                    <w:autoSpaceDE w:val="0"/>
                    <w:autoSpaceDN w:val="0"/>
                    <w:bidi w:val="0"/>
                    <w:snapToGrid w:val="0"/>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危险废物</w:t>
                  </w:r>
                </w:p>
              </w:tc>
              <w:tc>
                <w:tcPr>
                  <w:tcW w:w="924" w:type="pct"/>
                  <w:shd w:val="clear" w:color="auto" w:fill="auto"/>
                  <w:vAlign w:val="center"/>
                </w:tcPr>
                <w:p w14:paraId="66AFFB62">
                  <w:pPr>
                    <w:pStyle w:val="35"/>
                    <w:widowControl w:val="0"/>
                    <w:overflowPunct w:val="0"/>
                    <w:autoSpaceDE w:val="0"/>
                    <w:autoSpaceDN w:val="0"/>
                    <w:bidi w:val="0"/>
                    <w:snapToGrid w:val="0"/>
                    <w:rPr>
                      <w:rFonts w:hint="default" w:ascii="Times New Roman" w:hAnsi="Times New Roman" w:cs="Times New Roman"/>
                      <w:color w:val="000000" w:themeColor="text1"/>
                      <w:highlight w:val="none"/>
                      <w:u w:val="singl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HW08（</w:t>
                  </w:r>
                  <w:r>
                    <w:rPr>
                      <w:rFonts w:hint="eastAsia" w:cs="Times New Roman"/>
                      <w:color w:val="000000" w:themeColor="text1"/>
                      <w:highlight w:val="none"/>
                      <w:u w:val="single"/>
                      <w:lang w:eastAsia="zh-CN"/>
                      <w14:textFill>
                        <w14:solidFill>
                          <w14:schemeClr w14:val="tx1"/>
                        </w14:solidFill>
                      </w14:textFill>
                      <w14:ligatures w14:val="standardContextual"/>
                    </w:rPr>
                    <w:t>900-214-08</w:t>
                  </w: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w:t>
                  </w:r>
                </w:p>
              </w:tc>
              <w:tc>
                <w:tcPr>
                  <w:tcW w:w="609" w:type="pct"/>
                  <w:shd w:val="clear" w:color="auto" w:fill="auto"/>
                  <w:vAlign w:val="center"/>
                </w:tcPr>
                <w:p w14:paraId="61951D0A">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液态</w:t>
                  </w:r>
                </w:p>
              </w:tc>
              <w:tc>
                <w:tcPr>
                  <w:tcW w:w="473" w:type="pct"/>
                  <w:shd w:val="clear" w:color="auto" w:fill="auto"/>
                  <w:vAlign w:val="center"/>
                </w:tcPr>
                <w:p w14:paraId="777A310C">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0.0</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2</w:t>
                  </w:r>
                </w:p>
              </w:tc>
              <w:tc>
                <w:tcPr>
                  <w:tcW w:w="473" w:type="pct"/>
                  <w:shd w:val="clear" w:color="auto" w:fill="auto"/>
                  <w:vAlign w:val="center"/>
                </w:tcPr>
                <w:p w14:paraId="02DB93B6">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0.02</w:t>
                  </w:r>
                </w:p>
              </w:tc>
              <w:tc>
                <w:tcPr>
                  <w:tcW w:w="544" w:type="pct"/>
                  <w:vMerge w:val="restart"/>
                  <w:vAlign w:val="center"/>
                </w:tcPr>
                <w:p w14:paraId="7F88528B">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委托有资质单位处置</w:t>
                  </w:r>
                </w:p>
              </w:tc>
            </w:tr>
            <w:tr w14:paraId="7E905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35" w:type="pct"/>
                  <w:vMerge w:val="continue"/>
                  <w:shd w:val="clear" w:color="auto" w:fill="auto"/>
                  <w:vAlign w:val="center"/>
                </w:tcPr>
                <w:p w14:paraId="7B39870F">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pPr>
                </w:p>
              </w:tc>
              <w:tc>
                <w:tcPr>
                  <w:tcW w:w="999" w:type="pct"/>
                  <w:shd w:val="clear" w:color="auto" w:fill="auto"/>
                  <w:vAlign w:val="center"/>
                </w:tcPr>
                <w:p w14:paraId="2FDC9ECA">
                  <w:pPr>
                    <w:pStyle w:val="35"/>
                    <w:widowControl w:val="0"/>
                    <w:overflowPunct w:val="0"/>
                    <w:autoSpaceDE w:val="0"/>
                    <w:autoSpaceDN w:val="0"/>
                    <w:bidi w:val="0"/>
                    <w:snapToGrid w:val="0"/>
                    <w:rPr>
                      <w:rFonts w:hint="default" w:ascii="Times New Roman" w:hAnsi="Times New Roman" w:cs="Times New Roman"/>
                      <w:color w:val="000000" w:themeColor="text1"/>
                      <w:highlight w:val="none"/>
                      <w:u w:val="singl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废油桶</w:t>
                  </w:r>
                </w:p>
              </w:tc>
              <w:tc>
                <w:tcPr>
                  <w:tcW w:w="540" w:type="pct"/>
                  <w:vMerge w:val="continue"/>
                  <w:shd w:val="clear" w:color="auto" w:fill="auto"/>
                  <w:vAlign w:val="center"/>
                </w:tcPr>
                <w:p w14:paraId="758C1539">
                  <w:pPr>
                    <w:pStyle w:val="35"/>
                    <w:widowControl w:val="0"/>
                    <w:overflowPunct w:val="0"/>
                    <w:autoSpaceDE w:val="0"/>
                    <w:autoSpaceDN w:val="0"/>
                    <w:bidi w:val="0"/>
                    <w:snapToGrid w:val="0"/>
                    <w:rPr>
                      <w:rFonts w:hint="default" w:ascii="Times New Roman" w:hAnsi="Times New Roman" w:cs="Times New Roman"/>
                      <w:color w:val="000000" w:themeColor="text1"/>
                      <w:highlight w:val="none"/>
                      <w:u w:val="single"/>
                      <w14:textFill>
                        <w14:solidFill>
                          <w14:schemeClr w14:val="tx1"/>
                        </w14:solidFill>
                      </w14:textFill>
                      <w14:ligatures w14:val="standardContextual"/>
                    </w:rPr>
                  </w:pPr>
                </w:p>
              </w:tc>
              <w:tc>
                <w:tcPr>
                  <w:tcW w:w="924" w:type="pct"/>
                  <w:shd w:val="clear" w:color="auto" w:fill="auto"/>
                  <w:vAlign w:val="center"/>
                </w:tcPr>
                <w:p w14:paraId="517FD824">
                  <w:pPr>
                    <w:pStyle w:val="35"/>
                    <w:widowControl w:val="0"/>
                    <w:overflowPunct w:val="0"/>
                    <w:autoSpaceDE w:val="0"/>
                    <w:autoSpaceDN w:val="0"/>
                    <w:bidi w:val="0"/>
                    <w:snapToGrid w:val="0"/>
                    <w:rPr>
                      <w:rFonts w:hint="default" w:ascii="Times New Roman" w:hAnsi="Times New Roman" w:cs="Times New Roman"/>
                      <w:color w:val="000000" w:themeColor="text1"/>
                      <w:highlight w:val="none"/>
                      <w:u w:val="single"/>
                      <w14:textFill>
                        <w14:solidFill>
                          <w14:schemeClr w14:val="tx1"/>
                        </w14:solidFill>
                      </w14:textFill>
                      <w14:ligatures w14:val="standardContextual"/>
                    </w:rPr>
                  </w:pP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HW08（</w:t>
                  </w:r>
                  <w:r>
                    <w:rPr>
                      <w:rFonts w:hint="eastAsia" w:cs="Times New Roman"/>
                      <w:color w:val="000000" w:themeColor="text1"/>
                      <w:highlight w:val="none"/>
                      <w:u w:val="single"/>
                      <w:lang w:eastAsia="zh-CN"/>
                      <w14:textFill>
                        <w14:solidFill>
                          <w14:schemeClr w14:val="tx1"/>
                        </w14:solidFill>
                      </w14:textFill>
                      <w14:ligatures w14:val="standardContextual"/>
                    </w:rPr>
                    <w:t>900-249-08</w:t>
                  </w:r>
                  <w:r>
                    <w:rPr>
                      <w:rFonts w:hint="default" w:ascii="Times New Roman" w:hAnsi="Times New Roman" w:cs="Times New Roman"/>
                      <w:color w:val="000000" w:themeColor="text1"/>
                      <w:highlight w:val="none"/>
                      <w:u w:val="single"/>
                      <w14:textFill>
                        <w14:solidFill>
                          <w14:schemeClr w14:val="tx1"/>
                        </w14:solidFill>
                      </w14:textFill>
                      <w14:ligatures w14:val="standardContextual"/>
                    </w:rPr>
                    <w:t>）</w:t>
                  </w:r>
                </w:p>
              </w:tc>
              <w:tc>
                <w:tcPr>
                  <w:tcW w:w="609" w:type="pct"/>
                  <w:shd w:val="clear" w:color="auto" w:fill="auto"/>
                  <w:vAlign w:val="center"/>
                </w:tcPr>
                <w:p w14:paraId="5AEA352E">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473" w:type="pct"/>
                  <w:shd w:val="clear" w:color="auto" w:fill="auto"/>
                  <w:vAlign w:val="center"/>
                </w:tcPr>
                <w:p w14:paraId="40340AC4">
                  <w:pPr>
                    <w:pStyle w:val="35"/>
                    <w:widowControl w:val="0"/>
                    <w:overflowPunct w:val="0"/>
                    <w:autoSpaceDE w:val="0"/>
                    <w:autoSpaceDN w:val="0"/>
                    <w:bidi w:val="0"/>
                    <w:snapToGrid w:val="0"/>
                    <w:rPr>
                      <w:rFonts w:hint="default" w:ascii="Times New Roman" w:hAnsi="Times New Roman" w:eastAsia="宋体"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0.015</w:t>
                  </w:r>
                </w:p>
              </w:tc>
              <w:tc>
                <w:tcPr>
                  <w:tcW w:w="473" w:type="pct"/>
                  <w:shd w:val="clear" w:color="auto" w:fill="auto"/>
                  <w:vAlign w:val="center"/>
                </w:tcPr>
                <w:p w14:paraId="5FA11BFD">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0.015</w:t>
                  </w:r>
                </w:p>
              </w:tc>
              <w:tc>
                <w:tcPr>
                  <w:tcW w:w="544" w:type="pct"/>
                  <w:vMerge w:val="continue"/>
                  <w:vAlign w:val="center"/>
                </w:tcPr>
                <w:p w14:paraId="5486F1B9">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p>
              </w:tc>
            </w:tr>
            <w:tr w14:paraId="1BF0DA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35" w:type="pct"/>
                  <w:shd w:val="clear" w:color="auto" w:fill="auto"/>
                  <w:vAlign w:val="center"/>
                </w:tcPr>
                <w:p w14:paraId="347C4686">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S</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8</w:t>
                  </w:r>
                </w:p>
              </w:tc>
              <w:tc>
                <w:tcPr>
                  <w:tcW w:w="999" w:type="pct"/>
                  <w:shd w:val="clear" w:color="auto" w:fill="auto"/>
                  <w:vAlign w:val="center"/>
                </w:tcPr>
                <w:p w14:paraId="074763AC">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废含油抹布</w:t>
                  </w:r>
                </w:p>
              </w:tc>
              <w:tc>
                <w:tcPr>
                  <w:tcW w:w="540" w:type="pct"/>
                  <w:shd w:val="clear" w:color="auto" w:fill="auto"/>
                  <w:vAlign w:val="center"/>
                </w:tcPr>
                <w:p w14:paraId="0D26B188">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危险废物</w:t>
                  </w:r>
                </w:p>
              </w:tc>
              <w:tc>
                <w:tcPr>
                  <w:tcW w:w="924" w:type="pct"/>
                  <w:shd w:val="clear" w:color="auto" w:fill="auto"/>
                  <w:vAlign w:val="center"/>
                </w:tcPr>
                <w:p w14:paraId="3F019A75">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HW49（900-041-49）</w:t>
                  </w:r>
                </w:p>
              </w:tc>
              <w:tc>
                <w:tcPr>
                  <w:tcW w:w="609" w:type="pct"/>
                  <w:shd w:val="clear" w:color="auto" w:fill="auto"/>
                  <w:vAlign w:val="center"/>
                </w:tcPr>
                <w:p w14:paraId="5E1F3C19">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固态</w:t>
                  </w:r>
                </w:p>
              </w:tc>
              <w:tc>
                <w:tcPr>
                  <w:tcW w:w="473" w:type="pct"/>
                  <w:shd w:val="clear" w:color="auto" w:fill="auto"/>
                  <w:vAlign w:val="center"/>
                </w:tcPr>
                <w:p w14:paraId="50E94760">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0.01</w:t>
                  </w:r>
                </w:p>
              </w:tc>
              <w:tc>
                <w:tcPr>
                  <w:tcW w:w="473" w:type="pct"/>
                  <w:shd w:val="clear" w:color="auto" w:fill="auto"/>
                  <w:vAlign w:val="center"/>
                </w:tcPr>
                <w:p w14:paraId="159B4F9A">
                  <w:pPr>
                    <w:pStyle w:val="35"/>
                    <w:widowControl w:val="0"/>
                    <w:overflowPunct w:val="0"/>
                    <w:autoSpaceDE w:val="0"/>
                    <w:autoSpaceDN w:val="0"/>
                    <w:bidi w:val="0"/>
                    <w:snapToGrid w:val="0"/>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0.01</w:t>
                  </w:r>
                </w:p>
              </w:tc>
              <w:tc>
                <w:tcPr>
                  <w:tcW w:w="544" w:type="pct"/>
                  <w:vMerge w:val="continue"/>
                  <w:vAlign w:val="center"/>
                </w:tcPr>
                <w:p w14:paraId="530E37BB">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p>
              </w:tc>
            </w:tr>
            <w:bookmarkEnd w:id="157"/>
          </w:tbl>
          <w:p w14:paraId="5B56F82B">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2、固废处置、暂存影响分析</w:t>
            </w:r>
          </w:p>
          <w:p w14:paraId="3F36F9B9">
            <w:pPr>
              <w:pStyle w:val="38"/>
              <w:bidi w:val="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1）一般固废</w:t>
            </w:r>
          </w:p>
          <w:p w14:paraId="2238133D">
            <w:pPr>
              <w:pStyle w:val="34"/>
              <w:rPr>
                <w:rFonts w:hint="default" w:ascii="Times New Roman" w:hAnsi="Times New Roman" w:cs="Times New Roman"/>
                <w:color w:val="000000" w:themeColor="text1"/>
                <w:highlight w:val="none"/>
                <w14:textFill>
                  <w14:solidFill>
                    <w14:schemeClr w14:val="tx1"/>
                  </w14:solidFill>
                </w14:textFill>
              </w:rPr>
            </w:pPr>
            <w:bookmarkStart w:id="159" w:name="OLE_LINK55"/>
            <w:r>
              <w:rPr>
                <w:rFonts w:hint="default" w:ascii="Times New Roman" w:hAnsi="Times New Roman" w:cs="Times New Roman"/>
                <w:color w:val="000000" w:themeColor="text1"/>
                <w:highlight w:val="none"/>
                <w14:textFill>
                  <w14:solidFill>
                    <w14:schemeClr w14:val="tx1"/>
                  </w14:solidFill>
                </w14:textFill>
              </w:rPr>
              <w:t>表4- 1</w:t>
            </w:r>
            <w:bookmarkEnd w:id="158"/>
            <w:r>
              <w:rPr>
                <w:rFonts w:hint="default" w:ascii="Times New Roman" w:hAns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w:t>
            </w:r>
            <w:bookmarkEnd w:id="159"/>
            <w:r>
              <w:rPr>
                <w:rFonts w:hint="default" w:ascii="Times New Roman" w:hAnsi="Times New Roman" w:cs="Times New Roman"/>
                <w:color w:val="000000" w:themeColor="text1"/>
                <w:highlight w:val="none"/>
                <w14:textFill>
                  <w14:solidFill>
                    <w14:schemeClr w14:val="tx1"/>
                  </w14:solidFill>
                </w14:textFill>
              </w:rPr>
              <w:t>项目一般固废贮存场所（设施）基本情况一览表</w:t>
            </w:r>
          </w:p>
          <w:tbl>
            <w:tblPr>
              <w:tblStyle w:val="4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2"/>
              <w:gridCol w:w="1783"/>
              <w:gridCol w:w="2017"/>
              <w:gridCol w:w="975"/>
              <w:gridCol w:w="1194"/>
              <w:gridCol w:w="763"/>
              <w:gridCol w:w="1043"/>
            </w:tblGrid>
            <w:tr w14:paraId="6629D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2"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2F1D91C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序号</w:t>
                  </w:r>
                </w:p>
              </w:tc>
              <w:tc>
                <w:tcPr>
                  <w:tcW w:w="105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97906D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一般贮存场所（设施）名称</w:t>
                  </w:r>
                </w:p>
              </w:tc>
              <w:tc>
                <w:tcPr>
                  <w:tcW w:w="119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FC279A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位置</w:t>
                  </w:r>
                </w:p>
              </w:tc>
              <w:tc>
                <w:tcPr>
                  <w:tcW w:w="57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9C5F91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占地面积</w:t>
                  </w:r>
                </w:p>
              </w:tc>
              <w:tc>
                <w:tcPr>
                  <w:tcW w:w="70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B31202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贮存方式</w:t>
                  </w:r>
                </w:p>
              </w:tc>
              <w:tc>
                <w:tcPr>
                  <w:tcW w:w="45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3FA924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最大贮存</w:t>
                  </w:r>
                </w:p>
              </w:tc>
              <w:tc>
                <w:tcPr>
                  <w:tcW w:w="617" w:type="pct"/>
                  <w:tcBorders>
                    <w:top w:val="single" w:color="auto" w:sz="12" w:space="0"/>
                    <w:bottom w:val="single" w:color="auto" w:sz="12" w:space="0"/>
                    <w:right w:val="nil"/>
                    <w:insideH w:val="single" w:sz="12" w:space="0"/>
                    <w:insideV w:val="single" w:sz="4" w:space="0"/>
                    <w:tl2br w:val="nil"/>
                    <w:tr2bl w:val="nil"/>
                  </w:tcBorders>
                  <w:vAlign w:val="center"/>
                </w:tcPr>
                <w:p w14:paraId="39CCD14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贮存</w:t>
                  </w:r>
                </w:p>
                <w:p w14:paraId="0E6EF1C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周期</w:t>
                  </w:r>
                </w:p>
              </w:tc>
            </w:tr>
            <w:tr w14:paraId="0216B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2" w:type="pct"/>
                  <w:vAlign w:val="center"/>
                </w:tcPr>
                <w:p w14:paraId="216E5BE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w:t>
                  </w:r>
                </w:p>
              </w:tc>
              <w:tc>
                <w:tcPr>
                  <w:tcW w:w="1056" w:type="pct"/>
                  <w:vAlign w:val="center"/>
                </w:tcPr>
                <w:p w14:paraId="5113912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灰渣间</w:t>
                  </w:r>
                </w:p>
              </w:tc>
              <w:tc>
                <w:tcPr>
                  <w:tcW w:w="1195" w:type="pct"/>
                  <w:vAlign w:val="center"/>
                </w:tcPr>
                <w:p w14:paraId="41D8B2A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厂区除盐水箱东侧</w:t>
                  </w:r>
                </w:p>
              </w:tc>
              <w:tc>
                <w:tcPr>
                  <w:tcW w:w="578" w:type="pct"/>
                  <w:vAlign w:val="center"/>
                </w:tcPr>
                <w:p w14:paraId="017B27D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30</w:t>
                  </w:r>
                  <w:r>
                    <w:rPr>
                      <w:rFonts w:hint="default" w:ascii="Times New Roman" w:hAnsi="Times New Roman" w:cs="Times New Roman"/>
                      <w:color w:val="000000" w:themeColor="text1"/>
                      <w:highlight w:val="none"/>
                      <w14:textFill>
                        <w14:solidFill>
                          <w14:schemeClr w14:val="tx1"/>
                        </w14:solidFill>
                      </w14:textFill>
                      <w14:ligatures w14:val="standardContextual"/>
                    </w:rPr>
                    <w:t>m</w:t>
                  </w:r>
                  <w:r>
                    <w:rPr>
                      <w:rFonts w:hint="default" w:ascii="Times New Roman" w:hAnsi="Times New Roman" w:cs="Times New Roman"/>
                      <w:color w:val="000000" w:themeColor="text1"/>
                      <w:highlight w:val="none"/>
                      <w:vertAlign w:val="superscript"/>
                      <w14:textFill>
                        <w14:solidFill>
                          <w14:schemeClr w14:val="tx1"/>
                        </w14:solidFill>
                      </w14:textFill>
                      <w14:ligatures w14:val="standardContextual"/>
                    </w:rPr>
                    <w:t>2</w:t>
                  </w:r>
                </w:p>
              </w:tc>
              <w:tc>
                <w:tcPr>
                  <w:tcW w:w="707" w:type="pct"/>
                  <w:vAlign w:val="center"/>
                </w:tcPr>
                <w:p w14:paraId="1385ACD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分类贮存</w:t>
                  </w:r>
                </w:p>
              </w:tc>
              <w:tc>
                <w:tcPr>
                  <w:tcW w:w="452" w:type="pct"/>
                  <w:vAlign w:val="center"/>
                </w:tcPr>
                <w:p w14:paraId="5482F4B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eastAsia" w:cs="Times New Roman"/>
                      <w:color w:val="000000" w:themeColor="text1"/>
                      <w:highlight w:val="none"/>
                      <w:lang w:val="en-US" w:eastAsia="zh-CN"/>
                      <w14:textFill>
                        <w14:solidFill>
                          <w14:schemeClr w14:val="tx1"/>
                        </w14:solidFill>
                      </w14:textFill>
                      <w14:ligatures w14:val="standardContextual"/>
                    </w:rPr>
                    <w:t>5</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0</w:t>
                  </w:r>
                  <w:r>
                    <w:rPr>
                      <w:rFonts w:hint="default" w:ascii="Times New Roman" w:hAnsi="Times New Roman" w:cs="Times New Roman"/>
                      <w:color w:val="000000" w:themeColor="text1"/>
                      <w:highlight w:val="none"/>
                      <w14:textFill>
                        <w14:solidFill>
                          <w14:schemeClr w14:val="tx1"/>
                        </w14:solidFill>
                      </w14:textFill>
                      <w14:ligatures w14:val="standardContextual"/>
                    </w:rPr>
                    <w:t>t</w:t>
                  </w:r>
                </w:p>
              </w:tc>
              <w:tc>
                <w:tcPr>
                  <w:tcW w:w="617" w:type="pct"/>
                  <w:vAlign w:val="center"/>
                </w:tcPr>
                <w:p w14:paraId="50CD529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1月</w:t>
                  </w:r>
                </w:p>
              </w:tc>
            </w:tr>
          </w:tbl>
          <w:p w14:paraId="15B8FE4B">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一般固废间满足相应防渗漏、防雨淋、防扬尘等环境保护要求的前提下，项目营运产生的一般固体废物均能得到合理处置，对环境影响不大。</w:t>
            </w:r>
          </w:p>
          <w:p w14:paraId="1C6AF18E">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2）危险废物</w:t>
            </w:r>
          </w:p>
          <w:p w14:paraId="07EB4FD0">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根据《建设项目危险废物环境影响评价指南》（环保部公告[2017]43 号）、《危险废物贮存污染控制标准》（GB18597-2023）中的相关要求，本项目危险废物产排汇总以及临时贮存场所如下：</w:t>
            </w:r>
          </w:p>
          <w:p w14:paraId="557B6144">
            <w:pPr>
              <w:pStyle w:val="34"/>
              <w:rPr>
                <w:rFonts w:hint="default" w:ascii="Times New Roman" w:hAnsi="Times New Roman" w:cs="Times New Roman"/>
                <w:color w:val="000000" w:themeColor="text1"/>
                <w:highlight w:val="none"/>
                <w14:textFill>
                  <w14:solidFill>
                    <w14:schemeClr w14:val="tx1"/>
                  </w14:solidFill>
                </w14:textFill>
              </w:rPr>
            </w:pPr>
          </w:p>
          <w:p w14:paraId="484087BD">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表4- 1</w:t>
            </w:r>
            <w:r>
              <w:rPr>
                <w:rFonts w:hint="default" w:ascii="Times New Roman" w:hAnsi="Times New Roman" w:cs="Times New Roman"/>
                <w:color w:val="000000" w:themeColor="text1"/>
                <w:highlight w:val="none"/>
                <w:lang w:val="en-US" w:eastAsia="zh-CN"/>
                <w14:textFill>
                  <w14:solidFill>
                    <w14:schemeClr w14:val="tx1"/>
                  </w14:solidFill>
                </w14:textFill>
              </w:rPr>
              <w:t>8</w:t>
            </w:r>
            <w:r>
              <w:rPr>
                <w:rFonts w:hint="default" w:ascii="Times New Roman" w:hAnsi="Times New Roman" w:cs="Times New Roman"/>
                <w:color w:val="000000" w:themeColor="text1"/>
                <w:highlight w:val="none"/>
                <w14:textFill>
                  <w14:solidFill>
                    <w14:schemeClr w14:val="tx1"/>
                  </w14:solidFill>
                </w14:textFill>
              </w:rPr>
              <w:t>：危险废物产生情况一览表</w:t>
            </w:r>
          </w:p>
          <w:tbl>
            <w:tblPr>
              <w:tblStyle w:val="4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21"/>
              <w:gridCol w:w="786"/>
              <w:gridCol w:w="1714"/>
              <w:gridCol w:w="907"/>
              <w:gridCol w:w="758"/>
              <w:gridCol w:w="468"/>
              <w:gridCol w:w="738"/>
              <w:gridCol w:w="738"/>
              <w:gridCol w:w="744"/>
              <w:gridCol w:w="1162"/>
            </w:tblGrid>
            <w:tr w14:paraId="692919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45" w:hRule="atLeast"/>
                <w:jc w:val="center"/>
              </w:trPr>
              <w:tc>
                <w:tcPr>
                  <w:tcW w:w="250"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6623C58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序号</w:t>
                  </w:r>
                </w:p>
              </w:tc>
              <w:tc>
                <w:tcPr>
                  <w:tcW w:w="46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A8193F8">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危废名称</w:t>
                  </w:r>
                </w:p>
              </w:tc>
              <w:tc>
                <w:tcPr>
                  <w:tcW w:w="101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DF0B2D5">
                  <w:pPr>
                    <w:keepLines w:val="0"/>
                    <w:widowControl w:val="0"/>
                    <w:suppressLineNumbers w:val="0"/>
                    <w:suppressAutoHyphens w:val="0"/>
                    <w:wordWrap w:val="0"/>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危废类别及代码</w:t>
                  </w:r>
                </w:p>
              </w:tc>
              <w:tc>
                <w:tcPr>
                  <w:tcW w:w="53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0C5795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产生量（t/a）</w:t>
                  </w:r>
                </w:p>
              </w:tc>
              <w:tc>
                <w:tcPr>
                  <w:tcW w:w="449"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450F3D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产生工序</w:t>
                  </w:r>
                </w:p>
              </w:tc>
              <w:tc>
                <w:tcPr>
                  <w:tcW w:w="27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E5BD7C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形态</w:t>
                  </w:r>
                </w:p>
              </w:tc>
              <w:tc>
                <w:tcPr>
                  <w:tcW w:w="43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C18B80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有害成分</w:t>
                  </w:r>
                </w:p>
              </w:tc>
              <w:tc>
                <w:tcPr>
                  <w:tcW w:w="43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3076D1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产废周期</w:t>
                  </w:r>
                </w:p>
              </w:tc>
              <w:tc>
                <w:tcPr>
                  <w:tcW w:w="441"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5FBF65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危险特性</w:t>
                  </w:r>
                </w:p>
              </w:tc>
              <w:tc>
                <w:tcPr>
                  <w:tcW w:w="688" w:type="pct"/>
                  <w:tcBorders>
                    <w:top w:val="single" w:color="auto" w:sz="12" w:space="0"/>
                    <w:bottom w:val="single" w:color="auto" w:sz="12" w:space="0"/>
                    <w:right w:val="nil"/>
                    <w:insideH w:val="single" w:sz="12" w:space="0"/>
                    <w:insideV w:val="single" w:sz="4" w:space="0"/>
                    <w:tl2br w:val="nil"/>
                    <w:tr2bl w:val="nil"/>
                  </w:tcBorders>
                  <w:vAlign w:val="center"/>
                </w:tcPr>
                <w:p w14:paraId="379FA85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污染防治措施</w:t>
                  </w:r>
                </w:p>
              </w:tc>
            </w:tr>
            <w:tr w14:paraId="378296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 w:hRule="atLeast"/>
                <w:jc w:val="center"/>
              </w:trPr>
              <w:tc>
                <w:tcPr>
                  <w:tcW w:w="250" w:type="pct"/>
                  <w:vAlign w:val="center"/>
                </w:tcPr>
                <w:p w14:paraId="7328769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w:t>
                  </w:r>
                </w:p>
              </w:tc>
              <w:tc>
                <w:tcPr>
                  <w:tcW w:w="465" w:type="pct"/>
                  <w:vAlign w:val="center"/>
                </w:tcPr>
                <w:p w14:paraId="7BD05AB7">
                  <w:pPr>
                    <w:pStyle w:val="35"/>
                    <w:widowControl w:val="0"/>
                    <w:overflowPunct w:val="0"/>
                    <w:autoSpaceDE w:val="0"/>
                    <w:autoSpaceDN w:val="0"/>
                    <w:bidi w:val="0"/>
                    <w:snapToGrid w:val="0"/>
                    <w:rPr>
                      <w:rFonts w:hint="default" w:ascii="Times New Roman" w:hAnsi="Times New Roman" w:eastAsia="宋体" w:cs="Times New Roman"/>
                      <w:color w:val="000000" w:themeColor="text1"/>
                      <w:kern w:val="18"/>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lang w:eastAsia="zh-CN"/>
                      <w14:textFill>
                        <w14:solidFill>
                          <w14:schemeClr w14:val="tx1"/>
                        </w14:solidFill>
                      </w14:textFill>
                      <w14:ligatures w14:val="standardContextual"/>
                    </w:rPr>
                    <w:t>S</w:t>
                  </w:r>
                  <w:r>
                    <w:rPr>
                      <w:rFonts w:hint="default" w:ascii="Times New Roman" w:hAnsi="Times New Roman" w:cs="Times New Roman"/>
                      <w:color w:val="000000" w:themeColor="text1"/>
                      <w:lang w:val="en-US" w:eastAsia="zh-CN"/>
                      <w14:textFill>
                        <w14:solidFill>
                          <w14:schemeClr w14:val="tx1"/>
                        </w14:solidFill>
                      </w14:textFill>
                      <w14:ligatures w14:val="standardContextual"/>
                    </w:rPr>
                    <w:t>7</w:t>
                  </w:r>
                  <w:r>
                    <w:rPr>
                      <w:rFonts w:hint="default" w:ascii="Times New Roman" w:hAnsi="Times New Roman" w:cs="Times New Roman"/>
                      <w:color w:val="000000" w:themeColor="text1"/>
                      <w14:textFill>
                        <w14:solidFill>
                          <w14:schemeClr w14:val="tx1"/>
                        </w14:solidFill>
                      </w14:textFill>
                      <w14:ligatures w14:val="standardContextual"/>
                    </w:rPr>
                    <w:t>废润滑油及废油桶</w:t>
                  </w:r>
                </w:p>
              </w:tc>
              <w:tc>
                <w:tcPr>
                  <w:tcW w:w="1015" w:type="pct"/>
                  <w:vAlign w:val="center"/>
                </w:tcPr>
                <w:p w14:paraId="662566EF">
                  <w:pPr>
                    <w:widowControl w:val="0"/>
                    <w:wordWrap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HW08</w:t>
                  </w:r>
                </w:p>
                <w:p w14:paraId="663120DB">
                  <w:pPr>
                    <w:widowControl w:val="0"/>
                    <w:wordWrap w:val="0"/>
                    <w:overflowPunct w:val="0"/>
                    <w:autoSpaceDE w:val="0"/>
                    <w:autoSpaceDN w:val="0"/>
                    <w:snapToGrid w:val="0"/>
                    <w:jc w:val="center"/>
                    <w:rPr>
                      <w:rFonts w:hint="default" w:ascii="Times New Roman" w:hAnsi="Times New Roman" w:cs="Times New Roman"/>
                      <w:bCs/>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（900-249-08）</w:t>
                  </w:r>
                </w:p>
              </w:tc>
              <w:tc>
                <w:tcPr>
                  <w:tcW w:w="537" w:type="pct"/>
                  <w:vAlign w:val="center"/>
                </w:tcPr>
                <w:p w14:paraId="4E980DB1">
                  <w:pPr>
                    <w:widowControl w:val="0"/>
                    <w:overflowPunct w:val="0"/>
                    <w:autoSpaceDE w:val="0"/>
                    <w:autoSpaceDN w:val="0"/>
                    <w:snapToGrid w:val="0"/>
                    <w:jc w:val="center"/>
                    <w:rPr>
                      <w:rFonts w:hint="default" w:ascii="Times New Roman" w:hAnsi="Times New Roman" w:eastAsia="宋体" w:cs="Times New Roman"/>
                      <w:bCs/>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0.0</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2</w:t>
                  </w:r>
                </w:p>
              </w:tc>
              <w:tc>
                <w:tcPr>
                  <w:tcW w:w="449" w:type="pct"/>
                  <w:vAlign w:val="center"/>
                </w:tcPr>
                <w:p w14:paraId="31B124E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设备维修</w:t>
                  </w:r>
                </w:p>
              </w:tc>
              <w:tc>
                <w:tcPr>
                  <w:tcW w:w="277" w:type="pct"/>
                  <w:vAlign w:val="center"/>
                </w:tcPr>
                <w:p w14:paraId="1C2E7FC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液/固</w:t>
                  </w:r>
                </w:p>
              </w:tc>
              <w:tc>
                <w:tcPr>
                  <w:tcW w:w="437" w:type="pct"/>
                  <w:vAlign w:val="center"/>
                </w:tcPr>
                <w:p w14:paraId="4303805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矿物油等</w:t>
                  </w:r>
                </w:p>
              </w:tc>
              <w:tc>
                <w:tcPr>
                  <w:tcW w:w="437" w:type="pct"/>
                  <w:vAlign w:val="center"/>
                </w:tcPr>
                <w:p w14:paraId="4C37B10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一年</w:t>
                  </w:r>
                </w:p>
              </w:tc>
              <w:tc>
                <w:tcPr>
                  <w:tcW w:w="441" w:type="pct"/>
                  <w:vAlign w:val="center"/>
                </w:tcPr>
                <w:p w14:paraId="2859251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T，I</w:t>
                  </w:r>
                </w:p>
              </w:tc>
              <w:tc>
                <w:tcPr>
                  <w:tcW w:w="688" w:type="pct"/>
                  <w:vMerge w:val="restart"/>
                  <w:vAlign w:val="center"/>
                </w:tcPr>
                <w:p w14:paraId="60DF2FE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定期交由有资质单位处置</w:t>
                  </w:r>
                </w:p>
              </w:tc>
            </w:tr>
            <w:tr w14:paraId="0CFA4E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 w:hRule="atLeast"/>
                <w:jc w:val="center"/>
              </w:trPr>
              <w:tc>
                <w:tcPr>
                  <w:tcW w:w="250" w:type="pct"/>
                  <w:vAlign w:val="center"/>
                </w:tcPr>
                <w:p w14:paraId="49C32C79">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2</w:t>
                  </w:r>
                </w:p>
              </w:tc>
              <w:tc>
                <w:tcPr>
                  <w:tcW w:w="465" w:type="pct"/>
                  <w:vAlign w:val="center"/>
                </w:tcPr>
                <w:p w14:paraId="0ED254BA">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S</w:t>
                  </w:r>
                  <w:r>
                    <w:rPr>
                      <w:rFonts w:hint="default" w:ascii="Times New Roman" w:hAnsi="Times New Roman" w:cs="Times New Roman"/>
                      <w:color w:val="000000" w:themeColor="text1"/>
                      <w:lang w:val="en-US" w:eastAsia="zh-CN"/>
                      <w14:textFill>
                        <w14:solidFill>
                          <w14:schemeClr w14:val="tx1"/>
                        </w14:solidFill>
                      </w14:textFill>
                      <w14:ligatures w14:val="standardContextual"/>
                    </w:rPr>
                    <w:t>8</w:t>
                  </w:r>
                  <w:r>
                    <w:rPr>
                      <w:rFonts w:hint="default" w:ascii="Times New Roman" w:hAnsi="Times New Roman" w:cs="Times New Roman"/>
                      <w:color w:val="000000" w:themeColor="text1"/>
                      <w14:textFill>
                        <w14:solidFill>
                          <w14:schemeClr w14:val="tx1"/>
                        </w14:solidFill>
                      </w14:textFill>
                      <w14:ligatures w14:val="standardContextual"/>
                    </w:rPr>
                    <w:t>废含油抹布</w:t>
                  </w:r>
                </w:p>
              </w:tc>
              <w:tc>
                <w:tcPr>
                  <w:tcW w:w="1015" w:type="pct"/>
                  <w:vAlign w:val="center"/>
                </w:tcPr>
                <w:p w14:paraId="7D9A6BB0">
                  <w:pPr>
                    <w:widowControl w:val="0"/>
                    <w:wordWrap w:val="0"/>
                    <w:overflowPunct w:val="0"/>
                    <w:autoSpaceDE w:val="0"/>
                    <w:autoSpaceDN w:val="0"/>
                    <w:snapToGrid w:val="0"/>
                    <w:jc w:val="cente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HW49</w:t>
                  </w:r>
                </w:p>
                <w:p w14:paraId="2CC89B06">
                  <w:pPr>
                    <w:widowControl w:val="0"/>
                    <w:wordWrap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（900-041-49）</w:t>
                  </w:r>
                </w:p>
              </w:tc>
              <w:tc>
                <w:tcPr>
                  <w:tcW w:w="537" w:type="pct"/>
                  <w:vAlign w:val="center"/>
                </w:tcPr>
                <w:p w14:paraId="7CA7678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0.01</w:t>
                  </w:r>
                </w:p>
              </w:tc>
              <w:tc>
                <w:tcPr>
                  <w:tcW w:w="449" w:type="pct"/>
                  <w:vAlign w:val="center"/>
                </w:tcPr>
                <w:p w14:paraId="5F92439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设备维修</w:t>
                  </w:r>
                </w:p>
              </w:tc>
              <w:tc>
                <w:tcPr>
                  <w:tcW w:w="277" w:type="pct"/>
                  <w:vAlign w:val="center"/>
                </w:tcPr>
                <w:p w14:paraId="53433C79">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固</w:t>
                  </w:r>
                </w:p>
              </w:tc>
              <w:tc>
                <w:tcPr>
                  <w:tcW w:w="437" w:type="pct"/>
                  <w:vAlign w:val="center"/>
                </w:tcPr>
                <w:p w14:paraId="12C35DC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矿物油等</w:t>
                  </w:r>
                </w:p>
              </w:tc>
              <w:tc>
                <w:tcPr>
                  <w:tcW w:w="437" w:type="pct"/>
                  <w:vAlign w:val="center"/>
                </w:tcPr>
                <w:p w14:paraId="10DC818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一年</w:t>
                  </w:r>
                </w:p>
              </w:tc>
              <w:tc>
                <w:tcPr>
                  <w:tcW w:w="441" w:type="pct"/>
                  <w:vAlign w:val="center"/>
                </w:tcPr>
                <w:p w14:paraId="06B6261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eastAsia="Helvetica" w:cs="Times New Roman"/>
                      <w:i w:val="0"/>
                      <w:iCs w:val="0"/>
                      <w:caps w:val="0"/>
                      <w:color w:val="000000" w:themeColor="text1"/>
                      <w:spacing w:val="0"/>
                      <w:sz w:val="21"/>
                      <w:szCs w:val="21"/>
                      <w:shd w:val="clear" w:fill="FFFFFF"/>
                      <w14:textFill>
                        <w14:solidFill>
                          <w14:schemeClr w14:val="tx1"/>
                        </w14:solidFill>
                      </w14:textFill>
                      <w14:ligatures w14:val="standardContextual"/>
                    </w:rPr>
                    <w:t>T</w:t>
                  </w:r>
                </w:p>
              </w:tc>
              <w:tc>
                <w:tcPr>
                  <w:tcW w:w="688" w:type="pct"/>
                  <w:vMerge w:val="continue"/>
                  <w:vAlign w:val="center"/>
                </w:tcPr>
                <w:p w14:paraId="7FE64C0E">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r>
          </w:tbl>
          <w:p w14:paraId="338A4FF6">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表4- 1</w:t>
            </w:r>
            <w:r>
              <w:rPr>
                <w:rFonts w:hint="default" w:ascii="Times New Roman" w:hAnsi="Times New Roman" w:cs="Times New Roman"/>
                <w:color w:val="000000" w:themeColor="text1"/>
                <w:highlight w:val="none"/>
                <w:lang w:val="en-US" w:eastAsia="zh-CN"/>
                <w14:textFill>
                  <w14:solidFill>
                    <w14:schemeClr w14:val="tx1"/>
                  </w14:solidFill>
                </w14:textFill>
              </w:rPr>
              <w:t>9</w:t>
            </w:r>
            <w:r>
              <w:rPr>
                <w:rFonts w:hint="default" w:ascii="Times New Roman" w:hAnsi="Times New Roman" w:cs="Times New Roman"/>
                <w:color w:val="000000" w:themeColor="text1"/>
                <w:highlight w:val="none"/>
                <w14:textFill>
                  <w14:solidFill>
                    <w14:schemeClr w14:val="tx1"/>
                  </w14:solidFill>
                </w14:textFill>
              </w:rPr>
              <w:t>：项目危险废物贮存场所基本情况表</w:t>
            </w:r>
          </w:p>
          <w:tbl>
            <w:tblPr>
              <w:tblStyle w:val="4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99"/>
              <w:gridCol w:w="1384"/>
              <w:gridCol w:w="968"/>
              <w:gridCol w:w="1240"/>
              <w:gridCol w:w="686"/>
              <w:gridCol w:w="703"/>
              <w:gridCol w:w="853"/>
              <w:gridCol w:w="809"/>
              <w:gridCol w:w="893"/>
            </w:tblGrid>
            <w:tr w14:paraId="67564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80" w:hRule="atLeast"/>
                <w:jc w:val="center"/>
              </w:trPr>
              <w:tc>
                <w:tcPr>
                  <w:tcW w:w="533"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72580EF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贮存场所名称</w:t>
                  </w:r>
                </w:p>
              </w:tc>
              <w:tc>
                <w:tcPr>
                  <w:tcW w:w="820"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B28751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危废名称</w:t>
                  </w:r>
                </w:p>
              </w:tc>
              <w:tc>
                <w:tcPr>
                  <w:tcW w:w="57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6E8F39F">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危废类别</w:t>
                  </w:r>
                </w:p>
              </w:tc>
              <w:tc>
                <w:tcPr>
                  <w:tcW w:w="73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5B7641D">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危废代码</w:t>
                  </w:r>
                </w:p>
              </w:tc>
              <w:tc>
                <w:tcPr>
                  <w:tcW w:w="40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D77BA39">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位置</w:t>
                  </w:r>
                </w:p>
              </w:tc>
              <w:tc>
                <w:tcPr>
                  <w:tcW w:w="41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0F6E35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面积</w:t>
                  </w:r>
                </w:p>
              </w:tc>
              <w:tc>
                <w:tcPr>
                  <w:tcW w:w="505"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5AFE07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贮存方式及要求</w:t>
                  </w:r>
                </w:p>
              </w:tc>
              <w:tc>
                <w:tcPr>
                  <w:tcW w:w="479"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727C379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贮存能力</w:t>
                  </w:r>
                </w:p>
              </w:tc>
              <w:tc>
                <w:tcPr>
                  <w:tcW w:w="529" w:type="pct"/>
                  <w:tcBorders>
                    <w:top w:val="single" w:color="auto" w:sz="12" w:space="0"/>
                    <w:bottom w:val="single" w:color="auto" w:sz="12" w:space="0"/>
                    <w:right w:val="nil"/>
                    <w:insideH w:val="single" w:sz="12" w:space="0"/>
                    <w:insideV w:val="single" w:sz="4" w:space="0"/>
                    <w:tl2br w:val="nil"/>
                    <w:tr2bl w:val="nil"/>
                  </w:tcBorders>
                  <w:vAlign w:val="center"/>
                </w:tcPr>
                <w:p w14:paraId="4261DEDA">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t>贮存周期</w:t>
                  </w:r>
                </w:p>
              </w:tc>
            </w:tr>
            <w:tr w14:paraId="7C26D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533" w:type="pct"/>
                  <w:vMerge w:val="restart"/>
                  <w:vAlign w:val="center"/>
                </w:tcPr>
                <w:p w14:paraId="724BF14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危废贮存库</w:t>
                  </w:r>
                </w:p>
              </w:tc>
              <w:tc>
                <w:tcPr>
                  <w:tcW w:w="820" w:type="pct"/>
                  <w:vAlign w:val="center"/>
                </w:tcPr>
                <w:p w14:paraId="7654A893">
                  <w:pPr>
                    <w:pStyle w:val="35"/>
                    <w:widowControl w:val="0"/>
                    <w:overflowPunct w:val="0"/>
                    <w:autoSpaceDE w:val="0"/>
                    <w:autoSpaceDN w:val="0"/>
                    <w:bidi w:val="0"/>
                    <w:snapToGrid w:val="0"/>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lang w:eastAsia="zh-CN"/>
                      <w14:textFill>
                        <w14:solidFill>
                          <w14:schemeClr w14:val="tx1"/>
                        </w14:solidFill>
                      </w14:textFill>
                      <w14:ligatures w14:val="standardContextual"/>
                    </w:rPr>
                    <w:t>S</w:t>
                  </w:r>
                  <w:r>
                    <w:rPr>
                      <w:rFonts w:hint="default" w:ascii="Times New Roman" w:hAnsi="Times New Roman" w:cs="Times New Roman"/>
                      <w:color w:val="000000" w:themeColor="text1"/>
                      <w:lang w:val="en-US" w:eastAsia="zh-CN"/>
                      <w14:textFill>
                        <w14:solidFill>
                          <w14:schemeClr w14:val="tx1"/>
                        </w14:solidFill>
                      </w14:textFill>
                      <w14:ligatures w14:val="standardContextual"/>
                    </w:rPr>
                    <w:t>7</w:t>
                  </w:r>
                  <w:r>
                    <w:rPr>
                      <w:rFonts w:hint="default" w:ascii="Times New Roman" w:hAnsi="Times New Roman" w:cs="Times New Roman"/>
                      <w:color w:val="000000" w:themeColor="text1"/>
                      <w14:textFill>
                        <w14:solidFill>
                          <w14:schemeClr w14:val="tx1"/>
                        </w14:solidFill>
                      </w14:textFill>
                      <w14:ligatures w14:val="standardContextual"/>
                    </w:rPr>
                    <w:t>废润滑油及废油桶</w:t>
                  </w:r>
                </w:p>
              </w:tc>
              <w:tc>
                <w:tcPr>
                  <w:tcW w:w="573" w:type="pct"/>
                  <w:vAlign w:val="center"/>
                </w:tcPr>
                <w:p w14:paraId="3F7B2E5F">
                  <w:pPr>
                    <w:widowControl w:val="0"/>
                    <w:overflowPunct w:val="0"/>
                    <w:autoSpaceDE w:val="0"/>
                    <w:autoSpaceDN w:val="0"/>
                    <w:snapToGrid w:val="0"/>
                    <w:jc w:val="center"/>
                    <w:rPr>
                      <w:rFonts w:hint="default" w:ascii="Times New Roman" w:hAnsi="Times New Roman" w:cs="Times New Roman"/>
                      <w:bCs/>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HW08</w:t>
                  </w:r>
                </w:p>
              </w:tc>
              <w:tc>
                <w:tcPr>
                  <w:tcW w:w="734" w:type="pct"/>
                  <w:vAlign w:val="center"/>
                </w:tcPr>
                <w:p w14:paraId="69CCDEA6">
                  <w:pPr>
                    <w:widowControl w:val="0"/>
                    <w:overflowPunct w:val="0"/>
                    <w:autoSpaceDE w:val="0"/>
                    <w:autoSpaceDN w:val="0"/>
                    <w:snapToGrid w:val="0"/>
                    <w:jc w:val="center"/>
                    <w:rPr>
                      <w:rFonts w:hint="default" w:ascii="Times New Roman" w:hAnsi="Times New Roman" w:cs="Times New Roman"/>
                      <w:bCs/>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900-249-08</w:t>
                  </w:r>
                </w:p>
              </w:tc>
              <w:tc>
                <w:tcPr>
                  <w:tcW w:w="406" w:type="pct"/>
                  <w:vMerge w:val="restart"/>
                  <w:vAlign w:val="center"/>
                </w:tcPr>
                <w:p w14:paraId="42D56F27">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危废间</w:t>
                  </w:r>
                </w:p>
              </w:tc>
              <w:tc>
                <w:tcPr>
                  <w:tcW w:w="416" w:type="pct"/>
                  <w:vMerge w:val="restart"/>
                  <w:vAlign w:val="center"/>
                </w:tcPr>
                <w:p w14:paraId="7057BB5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100</w:t>
                  </w:r>
                  <w:r>
                    <w:rPr>
                      <w:rFonts w:hint="default" w:ascii="Times New Roman" w:hAnsi="Times New Roman" w:cs="Times New Roman"/>
                      <w:color w:val="000000" w:themeColor="text1"/>
                      <w:highlight w:val="none"/>
                      <w14:textFill>
                        <w14:solidFill>
                          <w14:schemeClr w14:val="tx1"/>
                        </w14:solidFill>
                      </w14:textFill>
                      <w14:ligatures w14:val="standardContextual"/>
                    </w:rPr>
                    <w:t>m</w:t>
                  </w:r>
                  <w:r>
                    <w:rPr>
                      <w:rFonts w:hint="default" w:ascii="Times New Roman" w:hAnsi="Times New Roman" w:cs="Times New Roman"/>
                      <w:color w:val="000000" w:themeColor="text1"/>
                      <w:highlight w:val="none"/>
                      <w:vertAlign w:val="superscript"/>
                      <w14:textFill>
                        <w14:solidFill>
                          <w14:schemeClr w14:val="tx1"/>
                        </w14:solidFill>
                      </w14:textFill>
                      <w14:ligatures w14:val="standardContextual"/>
                    </w:rPr>
                    <w:t>2</w:t>
                  </w:r>
                </w:p>
              </w:tc>
              <w:tc>
                <w:tcPr>
                  <w:tcW w:w="505" w:type="pct"/>
                  <w:vAlign w:val="center"/>
                </w:tcPr>
                <w:p w14:paraId="69DF982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桶装</w:t>
                  </w:r>
                </w:p>
              </w:tc>
              <w:tc>
                <w:tcPr>
                  <w:tcW w:w="479" w:type="pct"/>
                  <w:vMerge w:val="restart"/>
                  <w:vAlign w:val="center"/>
                </w:tcPr>
                <w:p w14:paraId="3051756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1t</w:t>
                  </w:r>
                </w:p>
              </w:tc>
              <w:tc>
                <w:tcPr>
                  <w:tcW w:w="529" w:type="pct"/>
                  <w:vMerge w:val="restart"/>
                  <w:vAlign w:val="center"/>
                </w:tcPr>
                <w:p w14:paraId="2D194F0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一年</w:t>
                  </w:r>
                </w:p>
              </w:tc>
            </w:tr>
            <w:tr w14:paraId="275B47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5" w:hRule="atLeast"/>
                <w:jc w:val="center"/>
              </w:trPr>
              <w:tc>
                <w:tcPr>
                  <w:tcW w:w="533" w:type="pct"/>
                  <w:vMerge w:val="continue"/>
                  <w:vAlign w:val="center"/>
                </w:tcPr>
                <w:p w14:paraId="10966A2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820" w:type="pct"/>
                  <w:vAlign w:val="center"/>
                </w:tcPr>
                <w:p w14:paraId="62AF233F">
                  <w:pPr>
                    <w:pStyle w:val="35"/>
                    <w:widowControl w:val="0"/>
                    <w:overflowPunct w:val="0"/>
                    <w:autoSpaceDE w:val="0"/>
                    <w:autoSpaceDN w:val="0"/>
                    <w:bidi w:val="0"/>
                    <w:snapToGrid w:val="0"/>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S</w:t>
                  </w:r>
                  <w:r>
                    <w:rPr>
                      <w:rFonts w:hint="default" w:ascii="Times New Roman" w:hAnsi="Times New Roman" w:cs="Times New Roman"/>
                      <w:color w:val="000000" w:themeColor="text1"/>
                      <w:lang w:val="en-US" w:eastAsia="zh-CN"/>
                      <w14:textFill>
                        <w14:solidFill>
                          <w14:schemeClr w14:val="tx1"/>
                        </w14:solidFill>
                      </w14:textFill>
                      <w14:ligatures w14:val="standardContextual"/>
                    </w:rPr>
                    <w:t>8</w:t>
                  </w:r>
                  <w:r>
                    <w:rPr>
                      <w:rFonts w:hint="default" w:ascii="Times New Roman" w:hAnsi="Times New Roman" w:cs="Times New Roman"/>
                      <w:color w:val="000000" w:themeColor="text1"/>
                      <w14:textFill>
                        <w14:solidFill>
                          <w14:schemeClr w14:val="tx1"/>
                        </w14:solidFill>
                      </w14:textFill>
                      <w14:ligatures w14:val="standardContextual"/>
                    </w:rPr>
                    <w:t>废含油抹布</w:t>
                  </w:r>
                </w:p>
              </w:tc>
              <w:tc>
                <w:tcPr>
                  <w:tcW w:w="573" w:type="pct"/>
                  <w:vAlign w:val="center"/>
                </w:tcPr>
                <w:p w14:paraId="6651524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HW</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4</w:t>
                  </w:r>
                  <w:r>
                    <w:rPr>
                      <w:rFonts w:hint="default" w:ascii="Times New Roman" w:hAnsi="Times New Roman" w:cs="Times New Roman"/>
                      <w:color w:val="000000" w:themeColor="text1"/>
                      <w:highlight w:val="none"/>
                      <w14:textFill>
                        <w14:solidFill>
                          <w14:schemeClr w14:val="tx1"/>
                        </w14:solidFill>
                      </w14:textFill>
                      <w14:ligatures w14:val="standardContextual"/>
                    </w:rPr>
                    <w:t>9</w:t>
                  </w:r>
                </w:p>
              </w:tc>
              <w:tc>
                <w:tcPr>
                  <w:tcW w:w="734" w:type="pct"/>
                  <w:vAlign w:val="center"/>
                </w:tcPr>
                <w:p w14:paraId="4D1B810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900-041-49</w:t>
                  </w:r>
                </w:p>
              </w:tc>
              <w:tc>
                <w:tcPr>
                  <w:tcW w:w="406" w:type="pct"/>
                  <w:vMerge w:val="continue"/>
                  <w:vAlign w:val="center"/>
                </w:tcPr>
                <w:p w14:paraId="4B15153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416" w:type="pct"/>
                  <w:vMerge w:val="continue"/>
                  <w:vAlign w:val="center"/>
                </w:tcPr>
                <w:p w14:paraId="2C64448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505" w:type="pct"/>
                  <w:vAlign w:val="center"/>
                </w:tcPr>
                <w:p w14:paraId="195AFF3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袋装</w:t>
                  </w:r>
                </w:p>
              </w:tc>
              <w:tc>
                <w:tcPr>
                  <w:tcW w:w="479" w:type="pct"/>
                  <w:vMerge w:val="continue"/>
                  <w:vAlign w:val="center"/>
                </w:tcPr>
                <w:p w14:paraId="29CD3C4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c>
                <w:tcPr>
                  <w:tcW w:w="529" w:type="pct"/>
                  <w:vMerge w:val="continue"/>
                  <w:vAlign w:val="center"/>
                </w:tcPr>
                <w:p w14:paraId="1B5DB806">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p>
              </w:tc>
            </w:tr>
          </w:tbl>
          <w:p w14:paraId="05614F87">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3、固废环境管理要求</w:t>
            </w:r>
          </w:p>
          <w:p w14:paraId="64AC73F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一般工业固废场所的建设应满足相应防渗漏、防雨淋、防扬尘等环境保护相关要求。具体为：贮存区采取防风防雨措施、严禁露天堆放；各类固废应分类收集；贮存区按照《环境保护图形标志——固体废物贮存（处置）场》(GB15562.2)的要求设置环保图形标志；指定专人进行日常管理。</w:t>
            </w:r>
          </w:p>
          <w:p w14:paraId="1F0907C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根据《国家危险废物名录》规定，本项目产生的危险废物，应按要求交由有资质单位处理。交由有资质单位处理前，危险废物的存储应</w:t>
            </w:r>
            <w:r>
              <w:rPr>
                <w:rFonts w:hint="default" w:ascii="Times New Roman" w:hAnsi="Times New Roman" w:cs="Times New Roman"/>
                <w:color w:val="000000" w:themeColor="text1"/>
                <w:highlight w:val="none"/>
                <w:lang w:val="en-US" w:eastAsia="zh-CN"/>
                <w14:textFill>
                  <w14:solidFill>
                    <w14:schemeClr w14:val="tx1"/>
                  </w14:solidFill>
                </w14:textFill>
              </w:rPr>
              <w:t>依托现有危废</w:t>
            </w:r>
            <w:r>
              <w:rPr>
                <w:rFonts w:hint="eastAsia" w:cs="Times New Roman"/>
                <w:color w:val="000000" w:themeColor="text1"/>
                <w:highlight w:val="none"/>
                <w:lang w:val="en-US" w:eastAsia="zh-CN"/>
                <w14:textFill>
                  <w14:solidFill>
                    <w14:schemeClr w14:val="tx1"/>
                  </w14:solidFill>
                </w14:textFill>
              </w:rPr>
              <w:t>暂存间</w:t>
            </w:r>
            <w:r>
              <w:rPr>
                <w:rFonts w:hint="default" w:ascii="Times New Roman" w:hAnsi="Times New Roman" w:cs="Times New Roman"/>
                <w:color w:val="000000" w:themeColor="text1"/>
                <w:highlight w:val="none"/>
                <w14:textFill>
                  <w14:solidFill>
                    <w14:schemeClr w14:val="tx1"/>
                  </w14:solidFill>
                </w14:textFill>
              </w:rPr>
              <w:t>面积为</w:t>
            </w:r>
            <w:r>
              <w:rPr>
                <w:rFonts w:hint="default" w:ascii="Times New Roman" w:hAnsi="Times New Roman" w:cs="Times New Roman"/>
                <w:color w:val="000000" w:themeColor="text1"/>
                <w:highlight w:val="none"/>
                <w:lang w:val="en-US" w:eastAsia="zh-CN"/>
                <w14:textFill>
                  <w14:solidFill>
                    <w14:schemeClr w14:val="tx1"/>
                  </w14:solidFill>
                </w14:textFill>
              </w:rPr>
              <w:t>100</w:t>
            </w:r>
            <w:r>
              <w:rPr>
                <w:rFonts w:hint="default" w:ascii="Times New Roman" w:hAnsi="Times New Roman" w:cs="Times New Roman"/>
                <w:color w:val="000000" w:themeColor="text1"/>
                <w:highlight w:val="none"/>
                <w14:textFill>
                  <w14:solidFill>
                    <w14:schemeClr w14:val="tx1"/>
                  </w14:solidFill>
                </w14:textFill>
              </w:rPr>
              <w:t>m</w:t>
            </w:r>
            <w:r>
              <w:rPr>
                <w:rFonts w:hint="default" w:ascii="Times New Roman" w:hAnsi="Times New Roman" w:cs="Times New Roman"/>
                <w:color w:val="000000" w:themeColor="text1"/>
                <w:highlight w:val="none"/>
                <w:vertAlign w:val="super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，定期转运。</w:t>
            </w:r>
          </w:p>
          <w:p w14:paraId="4CB8A254">
            <w:pPr>
              <w:pStyle w:val="4"/>
              <w:ind w:firstLine="480"/>
              <w:rPr>
                <w:rFonts w:hint="default" w:ascii="Times New Roman" w:hAnsi="Times New Roman" w:cs="Times New Roman"/>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①</w:t>
            </w:r>
            <w:r>
              <w:rPr>
                <w:rFonts w:hint="eastAsia" w:ascii="Times New Roman" w:hAnsi="Times New Roman" w:cs="Times New Roman"/>
                <w:color w:val="000000" w:themeColor="text1"/>
                <w:highlight w:val="none"/>
                <w:u w:val="single"/>
                <w:lang w:val="en-US" w:eastAsia="zh-CN"/>
                <w14:textFill>
                  <w14:solidFill>
                    <w14:schemeClr w14:val="tx1"/>
                  </w14:solidFill>
                </w14:textFill>
              </w:rPr>
              <w:t>现有</w:t>
            </w:r>
            <w:r>
              <w:rPr>
                <w:rFonts w:hint="default" w:ascii="Times New Roman" w:hAnsi="Times New Roman" w:cs="Times New Roman"/>
                <w:color w:val="000000" w:themeColor="text1"/>
                <w:highlight w:val="none"/>
                <w:u w:val="single"/>
                <w14:textFill>
                  <w14:solidFill>
                    <w14:schemeClr w14:val="tx1"/>
                  </w14:solidFill>
                </w14:textFill>
              </w:rPr>
              <w:t>危废贮存库按照《危险废物贮存污染控制标准》（GB18597-2023）的有关要求建设</w:t>
            </w:r>
            <w:r>
              <w:rPr>
                <w:rFonts w:hint="eastAsia" w:cs="Times New Roman"/>
                <w:color w:val="000000" w:themeColor="text1"/>
                <w:highlight w:val="none"/>
                <w:u w:val="single"/>
                <w:lang w:eastAsia="zh-CN"/>
                <w14:textFill>
                  <w14:solidFill>
                    <w14:schemeClr w14:val="tx1"/>
                  </w14:solidFill>
                </w14:textFill>
              </w:rPr>
              <w:t>，</w:t>
            </w:r>
            <w:r>
              <w:rPr>
                <w:rFonts w:hint="eastAsia" w:cs="Times New Roman"/>
                <w:color w:val="000000" w:themeColor="text1"/>
                <w:highlight w:val="none"/>
                <w:u w:val="single"/>
                <w:lang w:val="en-US" w:eastAsia="zh-CN"/>
                <w14:textFill>
                  <w14:solidFill>
                    <w14:schemeClr w14:val="tx1"/>
                  </w14:solidFill>
                </w14:textFill>
              </w:rPr>
              <w:t>危险废物置于单独的危废间内，满足</w:t>
            </w:r>
            <w:r>
              <w:rPr>
                <w:rFonts w:hint="default" w:ascii="Times New Roman" w:hAnsi="Times New Roman" w:cs="Times New Roman"/>
                <w:color w:val="000000" w:themeColor="text1"/>
                <w:highlight w:val="none"/>
                <w:u w:val="single"/>
                <w14:textFill>
                  <w14:solidFill>
                    <w14:schemeClr w14:val="tx1"/>
                  </w14:solidFill>
                </w14:textFill>
              </w:rPr>
              <w:t>防风、防晒、防雨、防漏、防渗、防腐</w:t>
            </w:r>
            <w:r>
              <w:rPr>
                <w:rFonts w:hint="eastAsia" w:cs="Times New Roman"/>
                <w:color w:val="000000" w:themeColor="text1"/>
                <w:highlight w:val="none"/>
                <w:u w:val="single"/>
                <w:lang w:val="en-US" w:eastAsia="zh-CN"/>
                <w14:textFill>
                  <w14:solidFill>
                    <w14:schemeClr w14:val="tx1"/>
                  </w14:solidFill>
                </w14:textFill>
              </w:rPr>
              <w:t>要求</w:t>
            </w:r>
            <w:r>
              <w:rPr>
                <w:rFonts w:hint="eastAsia" w:cs="Times New Roman"/>
                <w:color w:val="000000" w:themeColor="text1"/>
                <w:highlight w:val="none"/>
                <w:u w:val="single"/>
                <w:lang w:eastAsia="zh-CN"/>
                <w14:textFill>
                  <w14:solidFill>
                    <w14:schemeClr w14:val="tx1"/>
                  </w14:solidFill>
                </w14:textFill>
              </w:rPr>
              <w:t>；</w:t>
            </w:r>
            <w:r>
              <w:rPr>
                <w:rFonts w:hint="eastAsia" w:cs="Times New Roman"/>
                <w:color w:val="000000" w:themeColor="text1"/>
                <w:highlight w:val="none"/>
                <w:u w:val="single"/>
                <w:lang w:val="en-US" w:eastAsia="zh-CN"/>
                <w14:textFill>
                  <w14:solidFill>
                    <w14:schemeClr w14:val="tx1"/>
                  </w14:solidFill>
                </w14:textFill>
              </w:rPr>
              <w:t>危废间内</w:t>
            </w:r>
            <w:r>
              <w:rPr>
                <w:rFonts w:hint="default" w:ascii="Times New Roman" w:hAnsi="Times New Roman" w:cs="Times New Roman"/>
                <w:color w:val="000000" w:themeColor="text1"/>
                <w:highlight w:val="none"/>
                <w:u w:val="single"/>
                <w14:textFill>
                  <w14:solidFill>
                    <w14:schemeClr w14:val="tx1"/>
                  </w14:solidFill>
                </w14:textFill>
              </w:rPr>
              <w:t>危险废物</w:t>
            </w:r>
            <w:r>
              <w:rPr>
                <w:rFonts w:hint="eastAsia" w:cs="Times New Roman"/>
                <w:color w:val="000000" w:themeColor="text1"/>
                <w:highlight w:val="none"/>
                <w:u w:val="single"/>
                <w:lang w:val="en-US" w:eastAsia="zh-CN"/>
                <w14:textFill>
                  <w14:solidFill>
                    <w14:schemeClr w14:val="tx1"/>
                  </w14:solidFill>
                </w14:textFill>
              </w:rPr>
              <w:t>分区存放</w:t>
            </w:r>
            <w:r>
              <w:rPr>
                <w:rFonts w:hint="default" w:ascii="Times New Roman" w:hAnsi="Times New Roman" w:cs="Times New Roman"/>
                <w:color w:val="000000" w:themeColor="text1"/>
                <w:highlight w:val="none"/>
                <w:u w:val="single"/>
                <w14:textFill>
                  <w14:solidFill>
                    <w14:schemeClr w14:val="tx1"/>
                  </w14:solidFill>
                </w14:textFill>
              </w:rPr>
              <w:t>，避免不相容的危险废物接触、混合。</w:t>
            </w:r>
          </w:p>
          <w:p w14:paraId="65C6C0BF">
            <w:pPr>
              <w:pStyle w:val="4"/>
              <w:ind w:firstLine="480"/>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②使用符合标准的容器盛装危险废物。</w:t>
            </w:r>
          </w:p>
          <w:p w14:paraId="47689D82">
            <w:pPr>
              <w:pStyle w:val="4"/>
              <w:ind w:firstLine="480"/>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③危险废物暂存场所设有专人负责管理，定期对所暂存的危险废物容器进行检查，若发现破损，可以及时采取措施清理更换。同时，已按照相关要求找有资质单位处理。</w:t>
            </w:r>
          </w:p>
          <w:p w14:paraId="36761FB4">
            <w:pPr>
              <w:pStyle w:val="4"/>
              <w:ind w:firstLine="480"/>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④危险废物贮存设施已根据贮存的废物种类和特性按照《危险废物识别标志设置技术规范》（HJ 1276-2022）设置标志，且将标签粘贴于盛装危险废物的容器上。</w:t>
            </w:r>
          </w:p>
          <w:p w14:paraId="1711F0F4">
            <w:pPr>
              <w:pStyle w:val="4"/>
              <w:ind w:firstLine="480"/>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⑤危废暂存间内设置托盘，避免危险废物在暂存、搬运过程中及事故状态下流出危废暂存库。</w:t>
            </w:r>
          </w:p>
          <w:p w14:paraId="0D505F33">
            <w:pPr>
              <w:pStyle w:val="4"/>
              <w:ind w:firstLine="480"/>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⑥将危险废物与其他废物分开存放，按处置去向分别存放。</w:t>
            </w:r>
          </w:p>
          <w:p w14:paraId="5B652E2D">
            <w:pPr>
              <w:pStyle w:val="4"/>
              <w:ind w:firstLine="480"/>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⑦建设单位应设专人看管，并</w:t>
            </w:r>
            <w:r>
              <w:rPr>
                <w:rFonts w:hint="eastAsia" w:cs="Times New Roman"/>
                <w:color w:val="000000" w:themeColor="text1"/>
                <w:highlight w:val="none"/>
                <w:u w:val="single"/>
                <w:lang w:eastAsia="zh-CN"/>
                <w14:textFill>
                  <w14:solidFill>
                    <w14:schemeClr w14:val="tx1"/>
                  </w14:solidFill>
                </w14:textFill>
              </w:rPr>
              <w:t>做好</w:t>
            </w:r>
            <w:r>
              <w:rPr>
                <w:rFonts w:hint="default" w:ascii="Times New Roman" w:hAnsi="Times New Roman" w:cs="Times New Roman"/>
                <w:color w:val="000000" w:themeColor="text1"/>
                <w:highlight w:val="none"/>
                <w:u w:val="single"/>
                <w14:textFill>
                  <w14:solidFill>
                    <w14:schemeClr w14:val="tx1"/>
                  </w14:solidFill>
                </w14:textFill>
              </w:rPr>
              <w:t>危险废物情况的记录，记录须注明危险废物的名称、来源、数量、特性和包装容器的类别、入库日期、存放库位、废物出库日期及接收单位名称；及时转移各类危险废物，建立处置登记制度，严格执行危险废物转移联单制度，严禁固废随意处置。</w:t>
            </w:r>
          </w:p>
          <w:p w14:paraId="52529145">
            <w:pPr>
              <w:pStyle w:val="4"/>
              <w:ind w:firstLine="480"/>
              <w:rPr>
                <w:rFonts w:hint="default" w:ascii="Times New Roman" w:hAnsi="Times New Roman" w:cs="Times New Roman"/>
                <w:color w:val="000000" w:themeColor="text1"/>
                <w:highlight w:val="none"/>
                <w:u w:val="single"/>
                <w14:textFill>
                  <w14:solidFill>
                    <w14:schemeClr w14:val="tx1"/>
                  </w14:solidFill>
                </w14:textFill>
              </w:rPr>
            </w:pPr>
            <w:r>
              <w:rPr>
                <w:rFonts w:hint="default" w:ascii="Times New Roman" w:hAnsi="Times New Roman" w:cs="Times New Roman"/>
                <w:color w:val="000000" w:themeColor="text1"/>
                <w:highlight w:val="none"/>
                <w:u w:val="single"/>
                <w14:textFill>
                  <w14:solidFill>
                    <w14:schemeClr w14:val="tx1"/>
                  </w14:solidFill>
                </w14:textFill>
              </w:rPr>
              <w:t>综上，本项目固废依托</w:t>
            </w:r>
            <w:r>
              <w:rPr>
                <w:rFonts w:hint="eastAsia" w:cs="Times New Roman"/>
                <w:color w:val="000000" w:themeColor="text1"/>
                <w:highlight w:val="none"/>
                <w:u w:val="single"/>
                <w:lang w:val="en-US" w:eastAsia="zh-CN"/>
                <w14:textFill>
                  <w14:solidFill>
                    <w14:schemeClr w14:val="tx1"/>
                  </w14:solidFill>
                </w14:textFill>
              </w:rPr>
              <w:t>现有项目危废暂存间</w:t>
            </w:r>
            <w:r>
              <w:rPr>
                <w:rFonts w:hint="default" w:ascii="Times New Roman" w:hAnsi="Times New Roman" w:cs="Times New Roman"/>
                <w:color w:val="000000" w:themeColor="text1"/>
                <w:highlight w:val="none"/>
                <w:u w:val="single"/>
                <w14:textFill>
                  <w14:solidFill>
                    <w14:schemeClr w14:val="tx1"/>
                  </w14:solidFill>
                </w14:textFill>
              </w:rPr>
              <w:t>暂存具备可行性。</w:t>
            </w:r>
          </w:p>
          <w:p w14:paraId="612DA037">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4、危险废物运输管理要求</w:t>
            </w:r>
          </w:p>
          <w:p w14:paraId="2255E8B5">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本评价要求建设单位危险废物运输转移过程按照《危险废物收集贮存运输技术规范》（HJ2025-2012）要求：</w:t>
            </w:r>
          </w:p>
          <w:p w14:paraId="0AC81280">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委托有危险废物经营许可证的单位进行收集运输，在收集运输危险废物时，应根据危险废物经营许可证核发的有关规定建立相应的规章制度和污染防治措施，包括危险废物分析管理制度、安全管理制度、污染防治措施等；</w:t>
            </w:r>
          </w:p>
          <w:p w14:paraId="43E3618B">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②危险废物转移过程按《危险废物转移管理办法》执行；</w:t>
            </w:r>
          </w:p>
          <w:p w14:paraId="01C1FF02">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③危险废物运输过程中一旦发生意外事故，运输单位及相关部门应根据风险程度采取如下措施：</w:t>
            </w:r>
          </w:p>
          <w:p w14:paraId="3E26B18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A.设立事故警戒线，启动应急预案，并按《突发环境事件信息报告办法》（2011年4月18日环境保护部令第17号公布自2011年5月1日起施行）要求进行报告；</w:t>
            </w:r>
          </w:p>
          <w:p w14:paraId="1847DC8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B.若造成事故的危险物有剧毒性、易燃性、爆炸性或高传染性，应立即疏散人群，并请求环境保护、消防、医疗、公安等相关部门支援；</w:t>
            </w:r>
          </w:p>
          <w:p w14:paraId="04E7DFF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C.对事故现场受到污染的土壤和水体等环境介质应进行相应的清理和修复；</w:t>
            </w:r>
          </w:p>
          <w:p w14:paraId="74719DD9">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D.清理过程中产生的所有危险废物均应按危险废物进行管理和处置；</w:t>
            </w:r>
          </w:p>
          <w:p w14:paraId="18C0383B">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E.进入现场清理和包装危险废物的人员应受过专业培训，穿着防护服，并佩戴相应的防护用具。</w:t>
            </w:r>
          </w:p>
          <w:p w14:paraId="6FCE320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④危险废物运输时应按腐蚀性、毒性、易燃性、反应性和感染性等危险特性对危险废物进行分类、包装并设置相应的标志及标签。</w:t>
            </w:r>
          </w:p>
          <w:p w14:paraId="0D1CE889">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危险废物运输过程中采取上述措施后，可有效防止危险废物运输过程中散落、泄漏，减轻对环境的影响。同时本评价建议危险废物道路运输符合《道路危险货物运输管理规定》（</w:t>
            </w:r>
            <w:r>
              <w:rPr>
                <w:rFonts w:hint="eastAsia" w:cs="Times New Roman"/>
                <w:color w:val="000000" w:themeColor="text1"/>
                <w:highlight w:val="none"/>
                <w:lang w:eastAsia="zh-CN"/>
                <w14:textFill>
                  <w14:solidFill>
                    <w14:schemeClr w14:val="tx1"/>
                  </w14:solidFill>
                </w14:textFill>
              </w:rPr>
              <w:t>交通运输部</w:t>
            </w:r>
            <w:r>
              <w:rPr>
                <w:rFonts w:hint="default" w:ascii="Times New Roman" w:hAnsi="Times New Roman" w:cs="Times New Roman"/>
                <w:color w:val="000000" w:themeColor="text1"/>
                <w:highlight w:val="none"/>
                <w14:textFill>
                  <w14:solidFill>
                    <w14:schemeClr w14:val="tx1"/>
                  </w14:solidFill>
                </w14:textFill>
              </w:rPr>
              <w:t>令</w:t>
            </w:r>
            <w:r>
              <w:rPr>
                <w:rFonts w:hint="eastAsia" w:cs="Times New Roman"/>
                <w:color w:val="000000" w:themeColor="text1"/>
                <w:highlight w:val="none"/>
                <w:lang w:eastAsia="zh-CN"/>
                <w14:textFill>
                  <w14:solidFill>
                    <w14:schemeClr w14:val="tx1"/>
                  </w14:solidFill>
                </w14:textFill>
              </w:rPr>
              <w:t>〔2005〕9号</w:t>
            </w:r>
            <w:r>
              <w:rPr>
                <w:rFonts w:hint="default" w:ascii="Times New Roman" w:hAnsi="Times New Roman" w:cs="Times New Roman"/>
                <w:color w:val="000000" w:themeColor="text1"/>
                <w:highlight w:val="none"/>
                <w14:textFill>
                  <w14:solidFill>
                    <w14:schemeClr w14:val="tx1"/>
                  </w14:solidFill>
                </w14:textFill>
              </w:rPr>
              <w:t>）、JT617以及JT618执行，运输路线尽量避开村庄、居民小区、学校等环境敏感点，减轻对其影响。</w:t>
            </w:r>
          </w:p>
          <w:p w14:paraId="7BB9F7A5">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五、地下水及土壤</w:t>
            </w:r>
          </w:p>
          <w:p w14:paraId="4FEC5165">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本项目为</w:t>
            </w:r>
            <w:r>
              <w:rPr>
                <w:rFonts w:hint="default" w:ascii="Times New Roman" w:hAnsi="Times New Roman" w:cs="Times New Roman"/>
                <w:color w:val="000000" w:themeColor="text1"/>
                <w:highlight w:val="none"/>
                <w:lang w:eastAsia="zh-CN"/>
                <w14:textFill>
                  <w14:solidFill>
                    <w14:schemeClr w14:val="tx1"/>
                  </w14:solidFill>
                </w14:textFill>
              </w:rPr>
              <w:t>广西中马投控分布式能源有限公司供热配套锅炉增容改造项目，</w:t>
            </w:r>
            <w:r>
              <w:rPr>
                <w:rFonts w:hint="default" w:ascii="Times New Roman" w:hAnsi="Times New Roman" w:cs="Times New Roman"/>
                <w:color w:val="000000" w:themeColor="text1"/>
                <w:highlight w:val="none"/>
                <w:lang w:val="en-US" w:eastAsia="zh-CN"/>
                <w14:textFill>
                  <w14:solidFill>
                    <w14:schemeClr w14:val="tx1"/>
                  </w14:solidFill>
                </w14:textFill>
              </w:rPr>
              <w:t>运营期</w:t>
            </w:r>
            <w:r>
              <w:rPr>
                <w:rFonts w:hint="default" w:ascii="Times New Roman" w:hAnsi="Times New Roman" w:cs="Times New Roman"/>
                <w:color w:val="000000" w:themeColor="text1"/>
                <w:highlight w:val="none"/>
                <w14:textFill>
                  <w14:solidFill>
                    <w14:schemeClr w14:val="tx1"/>
                  </w14:solidFill>
                </w14:textFill>
              </w:rPr>
              <w:t>主要为锅炉等公辅工程运行产生的影响，主要污染物为锅炉废水、蒸汽锅炉配套软水制备过程中产生的浓水</w:t>
            </w:r>
            <w:r>
              <w:rPr>
                <w:rFonts w:hint="eastAsia" w:cs="Times New Roman"/>
                <w:color w:val="000000" w:themeColor="text1"/>
                <w:highlight w:val="none"/>
                <w:lang w:eastAsia="zh-CN"/>
                <w14:textFill>
                  <w14:solidFill>
                    <w14:schemeClr w14:val="tx1"/>
                  </w14:solidFill>
                </w14:textFill>
              </w:rPr>
              <w:t>，以及</w:t>
            </w:r>
            <w:r>
              <w:rPr>
                <w:rFonts w:hint="default" w:ascii="Times New Roman" w:hAnsi="Times New Roman" w:cs="Times New Roman"/>
                <w:color w:val="000000" w:themeColor="text1"/>
                <w:highlight w:val="none"/>
                <w14:textFill>
                  <w14:solidFill>
                    <w14:schemeClr w14:val="tx1"/>
                  </w14:solidFill>
                </w14:textFill>
              </w:rPr>
              <w:t>沉淀池沉渣</w:t>
            </w:r>
            <w:r>
              <w:rPr>
                <w:rFonts w:hint="default" w:ascii="Times New Roman" w:hAnsi="Times New Roman" w:cs="Times New Roman"/>
                <w:color w:val="000000" w:themeColor="text1"/>
                <w:highlight w:val="none"/>
                <w:lang w:val="en-US" w:eastAsia="zh-CN"/>
                <w14:textFill>
                  <w14:solidFill>
                    <w14:schemeClr w14:val="tx1"/>
                  </w14:solidFill>
                </w14:textFill>
              </w:rPr>
              <w:t>及</w:t>
            </w:r>
            <w:r>
              <w:rPr>
                <w:rFonts w:hint="default" w:ascii="Times New Roman" w:hAnsi="Times New Roman" w:cs="Times New Roman"/>
                <w:color w:val="000000" w:themeColor="text1"/>
                <w:highlight w:val="none"/>
                <w14:textFill>
                  <w14:solidFill>
                    <w14:schemeClr w14:val="tx1"/>
                  </w14:solidFill>
                </w14:textFill>
              </w:rPr>
              <w:t>废反渗透膜、废超滤膜</w:t>
            </w:r>
            <w:r>
              <w:rPr>
                <w:rFonts w:hint="default" w:ascii="Times New Roman" w:hAnsi="Times New Roman" w:cs="Times New Roman"/>
                <w:color w:val="000000" w:themeColor="text1"/>
                <w:highlight w:val="none"/>
                <w:lang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生物质锅炉生产过程中产生的</w:t>
            </w:r>
            <w:r>
              <w:rPr>
                <w:rFonts w:hint="default" w:ascii="Times New Roman" w:hAnsi="Times New Roman" w:cs="Times New Roman"/>
                <w:color w:val="000000" w:themeColor="text1"/>
                <w:highlight w:val="none"/>
                <w14:textFill>
                  <w14:solidFill>
                    <w14:schemeClr w14:val="tx1"/>
                  </w14:solidFill>
                </w14:textFill>
              </w:rPr>
              <w:t>生物质锅炉炉渣、除尘器粉尘、废布袋、废润滑油及废油桶、废含油抹布等固体废物。</w:t>
            </w:r>
          </w:p>
          <w:p w14:paraId="134F3B1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地下水防渗原则：根据地下水污染防治措施和对策，“坚持源头控制、分区防控、污染监控。应急响应、重点突出饮用水源水质安全”的原则。</w:t>
            </w:r>
          </w:p>
          <w:p w14:paraId="012E1A7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1）源头控制</w:t>
            </w:r>
          </w:p>
          <w:p w14:paraId="7BB20B2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项目应根据国家现行相关规范加强环境管理，采取防治和降低污染物跑冒、漏、滴、漏的措施。正常生产过程中应加强巡检及时处理污染物跑、冒漏、滴、漏。同时应加强对防渗工程检查，若发现防渗密封材料老化或损坏，应及时维修更换。</w:t>
            </w:r>
          </w:p>
          <w:p w14:paraId="015F6DA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②对工艺、设备、污水储存及处理构筑物采取控制措施，</w:t>
            </w:r>
            <w:r>
              <w:rPr>
                <w:rFonts w:hint="eastAsia" w:cs="Times New Roman"/>
                <w:color w:val="000000" w:themeColor="text1"/>
                <w:highlight w:val="none"/>
                <w:lang w:eastAsia="zh-CN"/>
                <w14:textFill>
                  <w14:solidFill>
                    <w14:schemeClr w14:val="tx1"/>
                  </w14:solidFill>
                </w14:textFill>
              </w:rPr>
              <w:t>防止</w:t>
            </w:r>
            <w:r>
              <w:rPr>
                <w:rFonts w:hint="default" w:ascii="Times New Roman" w:hAnsi="Times New Roman" w:cs="Times New Roman"/>
                <w:color w:val="000000" w:themeColor="text1"/>
                <w:highlight w:val="none"/>
                <w14:textFill>
                  <w14:solidFill>
                    <w14:schemeClr w14:val="tx1"/>
                  </w14:solidFill>
                </w14:textFill>
              </w:rPr>
              <w:t>污染物跑冒、漏、滴、漏，将污染物泄漏的环境污染事故降至最低限度。</w:t>
            </w:r>
          </w:p>
          <w:p w14:paraId="5446A012">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2）分区防治措施</w:t>
            </w:r>
          </w:p>
          <w:p w14:paraId="678AC59B">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本项目危废贮存库防渗设计要求等效黏土防渗层Mb≥6.0m，K≤1×10</w:t>
            </w:r>
            <w:r>
              <w:rPr>
                <w:rFonts w:hint="default" w:ascii="Times New Roman" w:hAnsi="Times New Roman" w:cs="Times New Roman"/>
                <w:color w:val="000000" w:themeColor="text1"/>
                <w:highlight w:val="none"/>
                <w:vertAlign w:val="superscript"/>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cm/s或参照GB18598执行。</w:t>
            </w:r>
          </w:p>
          <w:p w14:paraId="3527F59C">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本项目其余锅炉房区域、化粪池，按一般防渗区进行处理，防渗要求达到等效黏土防渗层 Mb&gt;1.5m，K≤10</w:t>
            </w:r>
            <w:r>
              <w:rPr>
                <w:rFonts w:hint="default" w:ascii="Times New Roman" w:hAnsi="Times New Roman" w:cs="Times New Roman"/>
                <w:color w:val="000000" w:themeColor="text1"/>
                <w:highlight w:val="none"/>
                <w:vertAlign w:val="superscript"/>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cm/s。</w:t>
            </w:r>
          </w:p>
          <w:p w14:paraId="14B2B99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厂区道路为简单防渗区，采取一般地面硬化措施。</w:t>
            </w:r>
          </w:p>
          <w:p w14:paraId="267BB56A">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在确保防渗措施得以落实，并加强环境管理的前提下，可有效控制场地内的废水污染物下渗现象，对地下水及土壤环境的影响较小。</w:t>
            </w:r>
          </w:p>
          <w:p w14:paraId="3F3B22E0">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根据HJ610-2016和HJ964-2018，本项目可不设置地下水和土壤跟踪监控点。</w:t>
            </w:r>
          </w:p>
          <w:p w14:paraId="456A637C">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六、生态</w:t>
            </w:r>
          </w:p>
          <w:p w14:paraId="4124A17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选址区以人工生态系统为主，项目对生态环境的影响主要体现在项目运营期。项目运营期，废气、废水污染物经处理后达标排放，且排放量较小，不会造成周围大气环境和地表水环境的恶化，故本项目的建设对生态环境影响较小。</w:t>
            </w:r>
          </w:p>
          <w:p w14:paraId="30CF6929">
            <w:pPr>
              <w:pStyle w:val="7"/>
              <w:rPr>
                <w:rFonts w:hint="default" w:ascii="Times New Roman" w:hAnsi="Times New Roman" w:cs="Times New Roman"/>
                <w:color w:val="000000" w:themeColor="text1"/>
                <w:highlight w:val="none"/>
                <w14:textFill>
                  <w14:solidFill>
                    <w14:schemeClr w14:val="tx1"/>
                  </w14:solidFill>
                </w14:textFill>
              </w:rPr>
            </w:pPr>
            <w:bookmarkStart w:id="160" w:name="_Ref192750652"/>
            <w:r>
              <w:rPr>
                <w:rFonts w:hint="default" w:ascii="Times New Roman" w:hAnsi="Times New Roman" w:cs="Times New Roman"/>
                <w:color w:val="000000" w:themeColor="text1"/>
                <w:highlight w:val="none"/>
                <w14:textFill>
                  <w14:solidFill>
                    <w14:schemeClr w14:val="tx1"/>
                  </w14:solidFill>
                </w14:textFill>
              </w:rPr>
              <w:t>七、环境风险</w:t>
            </w:r>
            <w:bookmarkEnd w:id="160"/>
          </w:p>
          <w:p w14:paraId="48315E9B">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境风险评价的目的是分析和预测项目存在的潜在危险、有害因素，项目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环境风险评价的工作重点是预测事故发生引起厂界外人群的伤害、环境质量的恶化。</w:t>
            </w:r>
          </w:p>
          <w:p w14:paraId="3D625EC5">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根据《建设项目环境风险评价技术导则》（HJ169-2018），并结合本项目实际运营情况，确定本项目环境风险评价应把事故引起厂界外人群的伤害、环境质量恶化的预测和防护作为评价工作重点。</w:t>
            </w:r>
          </w:p>
          <w:p w14:paraId="3E0DDFE7">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1、风险调查</w:t>
            </w:r>
          </w:p>
          <w:p w14:paraId="2B5CA79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本次环境风险源调查：危险物质数量和分布情况的风险调查指本项目所涉及的危险物质及其贮存场所。</w:t>
            </w:r>
          </w:p>
          <w:p w14:paraId="131158B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根据《建设项目环境风险评价技术导则》（HJ169-2018）附录 B“突发环境事件风险物质及临界量清单”以及《企业突发环境事件风险分析方法》（HJ941-2018）内容，本项目</w:t>
            </w:r>
            <w:bookmarkStart w:id="161" w:name="OLE_LINK277"/>
            <w:r>
              <w:rPr>
                <w:rFonts w:hint="default" w:ascii="Times New Roman" w:hAnsi="Times New Roman" w:cs="Times New Roman"/>
                <w:color w:val="000000" w:themeColor="text1"/>
                <w:highlight w:val="none"/>
                <w14:textFill>
                  <w14:solidFill>
                    <w14:schemeClr w14:val="tx1"/>
                  </w14:solidFill>
                </w14:textFill>
              </w:rPr>
              <w:t>不涉及风险物质。</w:t>
            </w:r>
            <w:bookmarkEnd w:id="161"/>
          </w:p>
          <w:p w14:paraId="2B333604">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2、环境风险潜势初判</w:t>
            </w:r>
          </w:p>
          <w:p w14:paraId="7308945E">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依据《建设项目环境风险评价技术导则》（HJ 168-2018）中规定，根据企业生产、使用、存储过程中涉及的有毒有害、易燃易爆物质，参见风险导则附录 B 确定危险物质的临界量。定量分析危险物质数量与临界量的比值（Q）和所属行业及生产工艺特点（M），按附录C对危险物质及工艺系统危险性（P）等级进行判断。</w:t>
            </w:r>
          </w:p>
          <w:p w14:paraId="72EF9445">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危险物质数量与临界量比值（Q）：</w:t>
            </w:r>
          </w:p>
          <w:p w14:paraId="53EA62E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危险物质包括风险导则附录B中的全部风险物质。判断企业生产原料、产品、中间产品、副产品、催化剂、辅助生产物料、燃料、“三废”污染物等是否涉及风险物质（混合或稀释的风险物质按其组分比例折算成纯物质），计算所涉及的每种危险物质在厂界内的最大存在总量与其在附录 B 中对应临界量的比值Q。在不同厂区的同一种物质，按其在厂界内的最大存在总量计算。对于长输管线项目，按照两个截断阀室之间管段危险物质最大存在总量计算：</w:t>
            </w:r>
          </w:p>
          <w:p w14:paraId="535794CE">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①当企业只涉及一种风险物质时，该物质的数量与其临界量比值，即为Q：</w:t>
            </w:r>
          </w:p>
          <w:p w14:paraId="5D15B302">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②当存在多种危险物质时，则按式（C.1）计算物质总量与其临界量比值（Q）：</w:t>
            </w:r>
          </w:p>
          <w:p w14:paraId="30FE5AC2">
            <w:pPr>
              <w:pStyle w:val="36"/>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bidi="ar"/>
                <w14:textFill>
                  <w14:solidFill>
                    <w14:schemeClr w14:val="tx1"/>
                  </w14:solidFill>
                </w14:textFill>
              </w:rPr>
              <w:drawing>
                <wp:inline distT="0" distB="0" distL="114300" distR="114300">
                  <wp:extent cx="2466975" cy="542925"/>
                  <wp:effectExtent l="0" t="0" r="9525" b="9525"/>
                  <wp:docPr id="42"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descr="IMG_256"/>
                          <pic:cNvPicPr>
                            <a:picLocks noChangeAspect="1"/>
                          </pic:cNvPicPr>
                        </pic:nvPicPr>
                        <pic:blipFill>
                          <a:blip r:embed="rId26"/>
                          <a:stretch>
                            <a:fillRect/>
                          </a:stretch>
                        </pic:blipFill>
                        <pic:spPr>
                          <a:xfrm>
                            <a:off x="0" y="0"/>
                            <a:ext cx="2466975" cy="542925"/>
                          </a:xfrm>
                          <a:prstGeom prst="rect">
                            <a:avLst/>
                          </a:prstGeom>
                          <a:noFill/>
                          <a:ln w="9525">
                            <a:noFill/>
                          </a:ln>
                        </pic:spPr>
                      </pic:pic>
                    </a:graphicData>
                  </a:graphic>
                </wp:inline>
              </w:drawing>
            </w:r>
          </w:p>
          <w:p w14:paraId="5EFAADC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式中：q</w:t>
            </w:r>
            <w:r>
              <w:rPr>
                <w:rFonts w:hint="default" w:ascii="Times New Roman" w:hAnsi="Times New Roman" w:cs="Times New Roman"/>
                <w:color w:val="000000" w:themeColor="text1"/>
                <w:highlight w:val="none"/>
                <w:vertAlign w:val="subscript"/>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，q</w:t>
            </w:r>
            <w:r>
              <w:rPr>
                <w:rFonts w:hint="default" w:ascii="Times New Roman" w:hAnsi="Times New Roman" w:cs="Times New Roman"/>
                <w:color w:val="000000" w:themeColor="text1"/>
                <w:highlight w:val="none"/>
                <w:vertAlign w:val="sub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，...，q</w:t>
            </w:r>
            <w:r>
              <w:rPr>
                <w:rFonts w:hint="default" w:ascii="Times New Roman" w:hAnsi="Times New Roman" w:cs="Times New Roman"/>
                <w:color w:val="000000" w:themeColor="text1"/>
                <w:highlight w:val="none"/>
                <w:vertAlign w:val="subscript"/>
                <w14:textFill>
                  <w14:solidFill>
                    <w14:schemeClr w14:val="tx1"/>
                  </w14:solidFill>
                </w14:textFill>
              </w:rPr>
              <w:t>n</w:t>
            </w:r>
            <w:r>
              <w:rPr>
                <w:rFonts w:hint="default" w:ascii="Times New Roman" w:hAnsi="Times New Roman" w:cs="Times New Roman"/>
                <w:color w:val="000000" w:themeColor="text1"/>
                <w:highlight w:val="none"/>
                <w14:textFill>
                  <w14:solidFill>
                    <w14:schemeClr w14:val="tx1"/>
                  </w14:solidFill>
                </w14:textFill>
              </w:rPr>
              <w:t>——每种危险物质的最大存在总量，t；</w:t>
            </w:r>
          </w:p>
          <w:p w14:paraId="195A2796">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Q</w:t>
            </w:r>
            <w:r>
              <w:rPr>
                <w:rFonts w:hint="default" w:ascii="Times New Roman" w:hAnsi="Times New Roman" w:cs="Times New Roman"/>
                <w:color w:val="000000" w:themeColor="text1"/>
                <w:highlight w:val="none"/>
                <w:vertAlign w:val="subscript"/>
                <w14:textFill>
                  <w14:solidFill>
                    <w14:schemeClr w14:val="tx1"/>
                  </w14:solidFill>
                </w14:textFill>
              </w:rPr>
              <w:t>1</w:t>
            </w:r>
            <w:r>
              <w:rPr>
                <w:rFonts w:hint="default" w:ascii="Times New Roman" w:hAnsi="Times New Roman" w:cs="Times New Roman"/>
                <w:color w:val="000000" w:themeColor="text1"/>
                <w:highlight w:val="none"/>
                <w14:textFill>
                  <w14:solidFill>
                    <w14:schemeClr w14:val="tx1"/>
                  </w14:solidFill>
                </w14:textFill>
              </w:rPr>
              <w:t>，Q</w:t>
            </w:r>
            <w:r>
              <w:rPr>
                <w:rFonts w:hint="default" w:ascii="Times New Roman" w:hAnsi="Times New Roman" w:cs="Times New Roman"/>
                <w:color w:val="000000" w:themeColor="text1"/>
                <w:highlight w:val="none"/>
                <w:vertAlign w:val="sub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，...，Q</w:t>
            </w:r>
            <w:r>
              <w:rPr>
                <w:rFonts w:hint="default" w:ascii="Times New Roman" w:hAnsi="Times New Roman" w:cs="Times New Roman"/>
                <w:color w:val="000000" w:themeColor="text1"/>
                <w:highlight w:val="none"/>
                <w:vertAlign w:val="subscript"/>
                <w14:textFill>
                  <w14:solidFill>
                    <w14:schemeClr w14:val="tx1"/>
                  </w14:solidFill>
                </w14:textFill>
              </w:rPr>
              <w:t>n</w:t>
            </w:r>
            <w:r>
              <w:rPr>
                <w:rFonts w:hint="default" w:ascii="Times New Roman" w:hAnsi="Times New Roman" w:cs="Times New Roman"/>
                <w:color w:val="000000" w:themeColor="text1"/>
                <w:highlight w:val="none"/>
                <w14:textFill>
                  <w14:solidFill>
                    <w14:schemeClr w14:val="tx1"/>
                  </w14:solidFill>
                </w14:textFill>
              </w:rPr>
              <w:t>——每种危险物质的临界量，t。</w:t>
            </w:r>
          </w:p>
          <w:p w14:paraId="7D2E682A">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当Q＜1时，该项目环境风险潜势为Ⅰ；</w:t>
            </w:r>
          </w:p>
          <w:p w14:paraId="0C6A3D86">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当Q≥1时，将Q值划分为：①1≤Q＜10；②10≤Q＜100；③Q≥100。</w:t>
            </w:r>
          </w:p>
          <w:p w14:paraId="46B3FAF7">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针对企业的生产原料、燃料、辅助生产原料等，对照《建设项目环境风险评价技术导则》（HJ168-2018）中附录B筛选环境风险物质，本项目涉及的风险物质主要为危险废物。</w:t>
            </w:r>
          </w:p>
          <w:p w14:paraId="11EBE54F">
            <w:pPr>
              <w:pStyle w:val="34"/>
              <w:rPr>
                <w:rFonts w:hint="default" w:ascii="Times New Roman" w:hAnsi="Times New Roman" w:cs="Times New Roman"/>
                <w:color w:val="000000" w:themeColor="text1"/>
                <w:highlight w:val="none"/>
                <w14:textFill>
                  <w14:solidFill>
                    <w14:schemeClr w14:val="tx1"/>
                  </w14:solidFill>
                </w14:textFill>
              </w:rPr>
            </w:pPr>
            <w:bookmarkStart w:id="162" w:name="_Ref184219022"/>
            <w:r>
              <w:rPr>
                <w:rFonts w:hint="default" w:ascii="Times New Roman" w:hAnsi="Times New Roman" w:cs="Times New Roman"/>
                <w:color w:val="000000" w:themeColor="text1"/>
                <w:highlight w:val="none"/>
                <w14:textFill>
                  <w14:solidFill>
                    <w14:schemeClr w14:val="tx1"/>
                  </w14:solidFill>
                </w14:textFill>
              </w:rPr>
              <w:t>表4-</w:t>
            </w:r>
            <w:r>
              <w:rPr>
                <w:rFonts w:hint="default" w:ascii="Times New Roman" w:hAnsi="Times New Roman" w:cs="Times New Roman"/>
                <w:color w:val="000000" w:themeColor="text1"/>
                <w:highlight w:val="none"/>
                <w:lang w:val="en-US" w:eastAsia="zh-CN"/>
                <w14:textFill>
                  <w14:solidFill>
                    <w14:schemeClr w14:val="tx1"/>
                  </w14:solidFill>
                </w14:textFill>
              </w:rPr>
              <w:t>20</w:t>
            </w:r>
            <w:r>
              <w:rPr>
                <w:rFonts w:hint="default" w:ascii="Times New Roman" w:hAnsi="Times New Roman" w:cs="Times New Roman"/>
                <w:color w:val="000000" w:themeColor="text1"/>
                <w:highlight w:val="none"/>
                <w14:textFill>
                  <w14:solidFill>
                    <w14:schemeClr w14:val="tx1"/>
                  </w14:solidFill>
                </w14:textFill>
              </w:rPr>
              <w:t>：建设项目Q值确定表</w:t>
            </w:r>
            <w:bookmarkEnd w:id="162"/>
          </w:p>
          <w:tbl>
            <w:tblPr>
              <w:tblStyle w:val="4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84"/>
              <w:gridCol w:w="2332"/>
              <w:gridCol w:w="1546"/>
              <w:gridCol w:w="2350"/>
              <w:gridCol w:w="927"/>
            </w:tblGrid>
            <w:tr w14:paraId="12505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60" w:type="pct"/>
                  <w:tcBorders>
                    <w:insideH w:val="single" w:sz="12" w:space="0"/>
                    <w:insideV w:val="single" w:sz="4" w:space="0"/>
                    <w:tl2br w:val="nil"/>
                    <w:tr2bl w:val="nil"/>
                  </w:tcBorders>
                  <w:vAlign w:val="center"/>
                </w:tcPr>
                <w:p w14:paraId="77286E8C">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lang w:bidi="ar"/>
                      <w14:textFill>
                        <w14:solidFill>
                          <w14:schemeClr w14:val="tx1"/>
                        </w14:solidFill>
                      </w14:textFill>
                      <w14:ligatures w14:val="standardContextual"/>
                    </w:rPr>
                    <w:t>物质名称</w:t>
                  </w:r>
                </w:p>
              </w:tc>
              <w:tc>
                <w:tcPr>
                  <w:tcW w:w="1381" w:type="pct"/>
                  <w:tcBorders>
                    <w:insideH w:val="single" w:sz="12" w:space="0"/>
                    <w:insideV w:val="single" w:sz="4" w:space="0"/>
                    <w:tl2br w:val="nil"/>
                    <w:tr2bl w:val="nil"/>
                  </w:tcBorders>
                  <w:vAlign w:val="center"/>
                </w:tcPr>
                <w:p w14:paraId="5466360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lang w:bidi="ar"/>
                      <w14:textFill>
                        <w14:solidFill>
                          <w14:schemeClr w14:val="tx1"/>
                        </w14:solidFill>
                      </w14:textFill>
                      <w14:ligatures w14:val="standardContextual"/>
                    </w:rPr>
                    <w:t>最大存在总量qn/t</w:t>
                  </w:r>
                </w:p>
              </w:tc>
              <w:tc>
                <w:tcPr>
                  <w:tcW w:w="916" w:type="pct"/>
                  <w:tcBorders>
                    <w:insideH w:val="single" w:sz="12" w:space="0"/>
                    <w:insideV w:val="single" w:sz="4" w:space="0"/>
                    <w:tl2br w:val="nil"/>
                    <w:tr2bl w:val="nil"/>
                  </w:tcBorders>
                  <w:vAlign w:val="center"/>
                </w:tcPr>
                <w:p w14:paraId="04AD2D34">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lang w:bidi="ar"/>
                      <w14:textFill>
                        <w14:solidFill>
                          <w14:schemeClr w14:val="tx1"/>
                        </w14:solidFill>
                      </w14:textFill>
                      <w14:ligatures w14:val="standardContextual"/>
                    </w:rPr>
                    <w:t>临界量Qn/t</w:t>
                  </w:r>
                </w:p>
              </w:tc>
              <w:tc>
                <w:tcPr>
                  <w:tcW w:w="1392" w:type="pct"/>
                  <w:tcBorders>
                    <w:insideH w:val="single" w:sz="12" w:space="0"/>
                    <w:insideV w:val="single" w:sz="4" w:space="0"/>
                    <w:tl2br w:val="nil"/>
                    <w:tr2bl w:val="nil"/>
                  </w:tcBorders>
                  <w:vAlign w:val="center"/>
                </w:tcPr>
                <w:p w14:paraId="4EABA7E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lang w:bidi="ar"/>
                      <w14:textFill>
                        <w14:solidFill>
                          <w14:schemeClr w14:val="tx1"/>
                        </w14:solidFill>
                      </w14:textFill>
                      <w14:ligatures w14:val="standardContextual"/>
                    </w:rPr>
                    <w:t>该种危险物质Q值</w:t>
                  </w:r>
                </w:p>
              </w:tc>
              <w:tc>
                <w:tcPr>
                  <w:tcW w:w="549" w:type="pct"/>
                  <w:tcBorders>
                    <w:insideH w:val="single" w:sz="12" w:space="0"/>
                    <w:insideV w:val="single" w:sz="4" w:space="0"/>
                    <w:tl2br w:val="nil"/>
                    <w:tr2bl w:val="nil"/>
                  </w:tcBorders>
                  <w:vAlign w:val="center"/>
                </w:tcPr>
                <w:p w14:paraId="1825A68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lang w:bidi="ar"/>
                      <w14:textFill>
                        <w14:solidFill>
                          <w14:schemeClr w14:val="tx1"/>
                        </w14:solidFill>
                      </w14:textFill>
                      <w14:ligatures w14:val="standardContextual"/>
                    </w:rPr>
                    <w:t>合计</w:t>
                  </w:r>
                </w:p>
              </w:tc>
            </w:tr>
            <w:tr w14:paraId="0348D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60" w:type="pct"/>
                  <w:tcBorders>
                    <w:tl2br w:val="nil"/>
                    <w:tr2bl w:val="nil"/>
                  </w:tcBorders>
                  <w:vAlign w:val="center"/>
                </w:tcPr>
                <w:p w14:paraId="2668C4F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bookmarkStart w:id="163" w:name="_Hlk192169491"/>
                  <w:r>
                    <w:rPr>
                      <w:rFonts w:hint="default" w:ascii="Times New Roman" w:hAnsi="Times New Roman" w:cs="Times New Roman"/>
                      <w:color w:val="000000" w:themeColor="text1"/>
                      <w:highlight w:val="none"/>
                      <w14:textFill>
                        <w14:solidFill>
                          <w14:schemeClr w14:val="tx1"/>
                        </w14:solidFill>
                      </w14:textFill>
                      <w14:ligatures w14:val="standardContextual"/>
                    </w:rPr>
                    <w:t>危险废物</w:t>
                  </w:r>
                </w:p>
              </w:tc>
              <w:tc>
                <w:tcPr>
                  <w:tcW w:w="1381" w:type="pct"/>
                  <w:tcBorders>
                    <w:tl2br w:val="nil"/>
                    <w:tr2bl w:val="nil"/>
                  </w:tcBorders>
                  <w:vAlign w:val="center"/>
                </w:tcPr>
                <w:p w14:paraId="254E6CD4">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eastAsia="zh-CN" w:bidi="ar"/>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0.0</w:t>
                  </w:r>
                  <w:r>
                    <w:rPr>
                      <w:rFonts w:hint="default" w:ascii="Times New Roman" w:hAnsi="Times New Roman" w:cs="Times New Roman"/>
                      <w:color w:val="000000" w:themeColor="text1"/>
                      <w:highlight w:val="none"/>
                      <w:lang w:val="en-US" w:eastAsia="zh-CN" w:bidi="ar"/>
                      <w14:textFill>
                        <w14:solidFill>
                          <w14:schemeClr w14:val="tx1"/>
                        </w14:solidFill>
                      </w14:textFill>
                      <w14:ligatures w14:val="standardContextual"/>
                    </w:rPr>
                    <w:t>3</w:t>
                  </w:r>
                </w:p>
              </w:tc>
              <w:tc>
                <w:tcPr>
                  <w:tcW w:w="916" w:type="pct"/>
                  <w:tcBorders>
                    <w:tl2br w:val="nil"/>
                    <w:tr2bl w:val="nil"/>
                  </w:tcBorders>
                  <w:vAlign w:val="center"/>
                </w:tcPr>
                <w:p w14:paraId="4A50A155">
                  <w:pPr>
                    <w:widowControl w:val="0"/>
                    <w:overflowPunct w:val="0"/>
                    <w:autoSpaceDE w:val="0"/>
                    <w:autoSpaceDN w:val="0"/>
                    <w:snapToGrid w:val="0"/>
                    <w:jc w:val="center"/>
                    <w:rPr>
                      <w:rFonts w:hint="default" w:ascii="Times New Roman" w:hAnsi="Times New Roman" w:cs="Times New Roman"/>
                      <w:color w:val="000000" w:themeColor="text1"/>
                      <w:highlight w:val="none"/>
                      <w:lang w:bidi="ar"/>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50</w:t>
                  </w:r>
                </w:p>
              </w:tc>
              <w:tc>
                <w:tcPr>
                  <w:tcW w:w="1392" w:type="pct"/>
                  <w:tcBorders>
                    <w:tl2br w:val="nil"/>
                    <w:tr2bl w:val="nil"/>
                  </w:tcBorders>
                  <w:vAlign w:val="center"/>
                </w:tcPr>
                <w:p w14:paraId="28D1EFEC">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14:ligatures w14:val="standardContextual"/>
                    </w:rPr>
                  </w:pPr>
                  <w:bookmarkStart w:id="164" w:name="OLE_LINK43"/>
                  <w:r>
                    <w:rPr>
                      <w:rFonts w:hint="default" w:ascii="Times New Roman" w:hAnsi="Times New Roman" w:cs="Times New Roman"/>
                      <w:color w:val="000000" w:themeColor="text1"/>
                      <w:highlight w:val="none"/>
                      <w14:textFill>
                        <w14:solidFill>
                          <w14:schemeClr w14:val="tx1"/>
                        </w14:solidFill>
                      </w14:textFill>
                      <w14:ligatures w14:val="standardContextual"/>
                    </w:rPr>
                    <w:t>0.00</w:t>
                  </w:r>
                  <w:bookmarkEnd w:id="164"/>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06</w:t>
                  </w:r>
                </w:p>
              </w:tc>
              <w:tc>
                <w:tcPr>
                  <w:tcW w:w="549" w:type="pct"/>
                  <w:tcBorders>
                    <w:tl2br w:val="nil"/>
                    <w:tr2bl w:val="nil"/>
                  </w:tcBorders>
                  <w:vAlign w:val="center"/>
                </w:tcPr>
                <w:p w14:paraId="3C66A35D">
                  <w:pPr>
                    <w:widowControl w:val="0"/>
                    <w:overflowPunct w:val="0"/>
                    <w:autoSpaceDE w:val="0"/>
                    <w:autoSpaceDN w:val="0"/>
                    <w:snapToGrid w:val="0"/>
                    <w:jc w:val="center"/>
                    <w:rPr>
                      <w:rFonts w:hint="default" w:ascii="Times New Roman" w:hAnsi="Times New Roman" w:eastAsia="宋体" w:cs="Times New Roman"/>
                      <w:color w:val="000000" w:themeColor="text1"/>
                      <w:highlight w:val="none"/>
                      <w:lang w:val="en-US" w:eastAsia="zh-CN" w:bidi="ar"/>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t>0.00</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06</w:t>
                  </w:r>
                </w:p>
              </w:tc>
            </w:tr>
            <w:bookmarkEnd w:id="163"/>
          </w:tbl>
          <w:p w14:paraId="1717371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由上表可知，本项目Q值＜1，本项目环境风险潜势划分为Ⅰ级，环境风险评价仅做简单分析即可。</w:t>
            </w:r>
          </w:p>
          <w:p w14:paraId="77B45E88">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3、可能影响途径</w:t>
            </w:r>
          </w:p>
          <w:p w14:paraId="39C077DC">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风险事故根据有毒有害物质的发生起因，分为火灾、爆炸和</w:t>
            </w:r>
            <w:r>
              <w:rPr>
                <w:rFonts w:hint="default" w:ascii="Times New Roman" w:hAnsi="Times New Roman" w:cs="Times New Roman"/>
                <w:color w:val="000000" w:themeColor="text1"/>
                <w:highlight w:val="none"/>
                <w:lang w:eastAsia="zh-CN"/>
                <w14:textFill>
                  <w14:solidFill>
                    <w14:schemeClr w14:val="tx1"/>
                  </w14:solidFill>
                </w14:textFill>
              </w:rPr>
              <w:t>泄漏</w:t>
            </w:r>
            <w:r>
              <w:rPr>
                <w:rFonts w:hint="default" w:ascii="Times New Roman" w:hAnsi="Times New Roman" w:cs="Times New Roman"/>
                <w:color w:val="000000" w:themeColor="text1"/>
                <w:highlight w:val="none"/>
                <w14:textFill>
                  <w14:solidFill>
                    <w14:schemeClr w14:val="tx1"/>
                  </w14:solidFill>
                </w14:textFill>
              </w:rPr>
              <w:t>三种类型。本项目不考虑自然灾害如地震、洪水、台风等引起的事故风险。具体表现为以下几种：</w:t>
            </w:r>
            <w:bookmarkStart w:id="165" w:name="OLE_LINK278"/>
            <w:r>
              <w:rPr>
                <w:rFonts w:hint="default" w:ascii="Times New Roman" w:hAnsi="Times New Roman" w:cs="Times New Roman"/>
                <w:color w:val="000000" w:themeColor="text1"/>
                <w:highlight w:val="none"/>
                <w14:textFill>
                  <w14:solidFill>
                    <w14:schemeClr w14:val="tx1"/>
                  </w14:solidFill>
                </w14:textFill>
              </w:rPr>
              <w:t>生物质成型颗粒</w:t>
            </w:r>
            <w:bookmarkEnd w:id="165"/>
            <w:r>
              <w:rPr>
                <w:rFonts w:hint="default" w:ascii="Times New Roman" w:hAnsi="Times New Roman" w:cs="Times New Roman"/>
                <w:color w:val="000000" w:themeColor="text1"/>
                <w:highlight w:val="none"/>
                <w14:textFill>
                  <w14:solidFill>
                    <w14:schemeClr w14:val="tx1"/>
                  </w14:solidFill>
                </w14:textFill>
              </w:rPr>
              <w:t>发生火灾，</w:t>
            </w:r>
            <w:r>
              <w:rPr>
                <w:rFonts w:hint="default" w:ascii="Times New Roman" w:hAnsi="Times New Roman" w:cs="Times New Roman"/>
                <w:color w:val="000000" w:themeColor="text1"/>
                <w:highlight w:val="none"/>
                <w:lang w:val="en-US" w:eastAsia="zh-CN"/>
                <w14:textFill>
                  <w14:solidFill>
                    <w14:schemeClr w14:val="tx1"/>
                  </w14:solidFill>
                </w14:textFill>
              </w:rPr>
              <w:t>危险废物泄漏；生物质颗粒</w:t>
            </w:r>
            <w:r>
              <w:rPr>
                <w:rFonts w:hint="default" w:ascii="Times New Roman" w:hAnsi="Times New Roman" w:cs="Times New Roman"/>
                <w:color w:val="000000" w:themeColor="text1"/>
                <w:highlight w:val="none"/>
                <w14:textFill>
                  <w14:solidFill>
                    <w14:schemeClr w14:val="tx1"/>
                  </w14:solidFill>
                </w14:textFill>
              </w:rPr>
              <w:t>产生的火灾及火灾伴生/次生物质</w:t>
            </w:r>
            <w:r>
              <w:rPr>
                <w:rFonts w:hint="default" w:ascii="Times New Roman" w:hAnsi="Times New Roman" w:cs="Times New Roman"/>
                <w:color w:val="000000" w:themeColor="text1"/>
                <w:highlight w:val="none"/>
                <w14:textFill>
                  <w14:solidFill>
                    <w14:schemeClr w14:val="tx1"/>
                  </w14:solidFill>
                </w14:textFill>
                <w14:ligatures w14:val="standardContextual"/>
              </w:rPr>
              <w:t>发生火灾，产生的废气影响大气环境</w:t>
            </w:r>
            <w:r>
              <w:rPr>
                <w:rFonts w:hint="default" w:ascii="Times New Roman" w:hAnsi="Times New Roman" w:cs="Times New Roman"/>
                <w:color w:val="000000" w:themeColor="text1"/>
                <w:highlight w:val="none"/>
                <w:lang w:eastAsia="zh-CN"/>
                <w14:textFill>
                  <w14:solidFill>
                    <w14:schemeClr w14:val="tx1"/>
                  </w14:solidFill>
                </w14:textFill>
                <w14:ligatures w14:val="standardContextual"/>
              </w:rPr>
              <w:t>，</w:t>
            </w:r>
            <w:r>
              <w:rPr>
                <w:rFonts w:hint="default" w:ascii="Times New Roman" w:hAnsi="Times New Roman" w:cs="Times New Roman"/>
                <w:color w:val="000000" w:themeColor="text1"/>
                <w:highlight w:val="none"/>
                <w:lang w:val="en-US" w:eastAsia="zh-CN"/>
                <w14:textFill>
                  <w14:solidFill>
                    <w14:schemeClr w14:val="tx1"/>
                  </w14:solidFill>
                </w14:textFill>
                <w14:ligatures w14:val="standardContextual"/>
              </w:rPr>
              <w:t>危险废物泄漏</w:t>
            </w:r>
            <w:r>
              <w:rPr>
                <w:rFonts w:hint="default" w:ascii="Times New Roman" w:hAnsi="Times New Roman" w:cs="Times New Roman"/>
                <w:color w:val="000000" w:themeColor="text1"/>
                <w:highlight w:val="none"/>
                <w14:textFill>
                  <w14:solidFill>
                    <w14:schemeClr w14:val="tx1"/>
                  </w14:solidFill>
                </w14:textFill>
              </w:rPr>
              <w:t>产生渗入</w:t>
            </w:r>
            <w:r>
              <w:rPr>
                <w:rFonts w:hint="default" w:ascii="Times New Roman" w:hAnsi="Times New Roman" w:cs="Times New Roman"/>
                <w:color w:val="000000" w:themeColor="text1"/>
                <w:highlight w:val="none"/>
                <w:lang w:val="en-US" w:eastAsia="zh-CN"/>
                <w14:textFill>
                  <w14:solidFill>
                    <w14:schemeClr w14:val="tx1"/>
                  </w14:solidFill>
                </w14:textFill>
              </w:rPr>
              <w:t>有影响</w:t>
            </w:r>
            <w:r>
              <w:rPr>
                <w:rFonts w:hint="default" w:ascii="Times New Roman" w:hAnsi="Times New Roman" w:cs="Times New Roman"/>
                <w:color w:val="000000" w:themeColor="text1"/>
                <w:highlight w:val="none"/>
                <w14:textFill>
                  <w14:solidFill>
                    <w14:schemeClr w14:val="tx1"/>
                  </w14:solidFill>
                </w14:textFill>
              </w:rPr>
              <w:t>地下</w:t>
            </w:r>
            <w:r>
              <w:rPr>
                <w:rFonts w:hint="eastAsia" w:cs="Times New Roman"/>
                <w:color w:val="000000" w:themeColor="text1"/>
                <w:highlight w:val="none"/>
                <w:lang w:val="en-US" w:eastAsia="zh-CN"/>
                <w14:textFill>
                  <w14:solidFill>
                    <w14:schemeClr w14:val="tx1"/>
                  </w14:solidFill>
                </w14:textFill>
              </w:rPr>
              <w:t>水、</w:t>
            </w:r>
            <w:r>
              <w:rPr>
                <w:rFonts w:hint="default" w:ascii="Times New Roman" w:hAnsi="Times New Roman" w:cs="Times New Roman"/>
                <w:color w:val="000000" w:themeColor="text1"/>
                <w:highlight w:val="none"/>
                <w14:textFill>
                  <w14:solidFill>
                    <w14:schemeClr w14:val="tx1"/>
                  </w14:solidFill>
                </w14:textFill>
              </w:rPr>
              <w:t>土壤的风险，造成水体、土壤污染。</w:t>
            </w:r>
          </w:p>
          <w:p w14:paraId="6DFA9DEB">
            <w:pPr>
              <w:pStyle w:val="34"/>
              <w:rPr>
                <w:rFonts w:hint="default" w:ascii="Times New Roman" w:hAnsi="Times New Roman" w:cs="Times New Roman"/>
                <w:color w:val="000000" w:themeColor="text1"/>
                <w:highlight w:val="none"/>
                <w14:textFill>
                  <w14:solidFill>
                    <w14:schemeClr w14:val="tx1"/>
                  </w14:solidFill>
                </w14:textFill>
              </w:rPr>
            </w:pPr>
            <w:bookmarkStart w:id="166" w:name="_Ref176905772"/>
            <w:r>
              <w:rPr>
                <w:rFonts w:hint="default" w:ascii="Times New Roman" w:hAnsi="Times New Roman" w:cs="Times New Roman"/>
                <w:color w:val="000000" w:themeColor="text1"/>
                <w:highlight w:val="none"/>
                <w14:textFill>
                  <w14:solidFill>
                    <w14:schemeClr w14:val="tx1"/>
                  </w14:solidFill>
                </w14:textFill>
              </w:rPr>
              <w:t xml:space="preserve">表4- </w:t>
            </w:r>
            <w:r>
              <w:rPr>
                <w:rFonts w:hint="default" w:ascii="Times New Roman" w:hAnsi="Times New Roman" w:cs="Times New Roman"/>
                <w:color w:val="000000" w:themeColor="text1"/>
                <w:highlight w:val="none"/>
                <w:lang w:val="en-US" w:eastAsia="zh-CN"/>
                <w14:textFill>
                  <w14:solidFill>
                    <w14:schemeClr w14:val="tx1"/>
                  </w14:solidFill>
                </w14:textFill>
              </w:rPr>
              <w:t>21</w:t>
            </w:r>
            <w:r>
              <w:rPr>
                <w:rFonts w:hint="default" w:ascii="Times New Roman" w:hAnsi="Times New Roman" w:cs="Times New Roman"/>
                <w:color w:val="000000" w:themeColor="text1"/>
                <w:highlight w:val="none"/>
                <w14:textFill>
                  <w14:solidFill>
                    <w14:schemeClr w14:val="tx1"/>
                  </w14:solidFill>
                </w14:textFill>
              </w:rPr>
              <w:t>：风险影响途径识别表</w:t>
            </w:r>
            <w:bookmarkEnd w:id="166"/>
          </w:p>
          <w:tbl>
            <w:tblPr>
              <w:tblStyle w:val="4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88"/>
              <w:gridCol w:w="1304"/>
              <w:gridCol w:w="1087"/>
              <w:gridCol w:w="871"/>
              <w:gridCol w:w="1532"/>
              <w:gridCol w:w="1609"/>
              <w:gridCol w:w="687"/>
              <w:gridCol w:w="959"/>
            </w:tblGrid>
            <w:tr w14:paraId="3E65ED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0"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46BD0150">
                  <w:pPr>
                    <w:pStyle w:val="35"/>
                    <w:widowControl w:val="0"/>
                    <w:overflowPunct w:val="0"/>
                    <w:autoSpaceDE w:val="0"/>
                    <w:autoSpaceDN w:val="0"/>
                    <w:bidi w:val="0"/>
                    <w:snapToGrid w:val="0"/>
                    <w:rPr>
                      <w:rFonts w:hint="default" w:ascii="Times New Roman" w:hAnsi="Times New Roman" w:cs="Times New Roman"/>
                      <w:b/>
                      <w:bCs/>
                      <w:color w:val="000000" w:themeColor="text1"/>
                      <w14:textFill>
                        <w14:solidFill>
                          <w14:schemeClr w14:val="tx1"/>
                        </w14:solidFill>
                      </w14:textFill>
                      <w14:ligatures w14:val="standardContextual"/>
                    </w:rPr>
                  </w:pPr>
                  <w:r>
                    <w:rPr>
                      <w:rFonts w:hint="default" w:ascii="Times New Roman" w:hAnsi="Times New Roman" w:cs="Times New Roman"/>
                      <w:b/>
                      <w:bCs/>
                      <w:color w:val="000000" w:themeColor="text1"/>
                      <w14:textFill>
                        <w14:solidFill>
                          <w14:schemeClr w14:val="tx1"/>
                        </w14:solidFill>
                      </w14:textFill>
                      <w14:ligatures w14:val="standardContextual"/>
                    </w:rPr>
                    <w:t>序号</w:t>
                  </w:r>
                </w:p>
              </w:tc>
              <w:tc>
                <w:tcPr>
                  <w:tcW w:w="772"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96F25FE">
                  <w:pPr>
                    <w:pStyle w:val="35"/>
                    <w:widowControl w:val="0"/>
                    <w:overflowPunct w:val="0"/>
                    <w:autoSpaceDE w:val="0"/>
                    <w:autoSpaceDN w:val="0"/>
                    <w:bidi w:val="0"/>
                    <w:snapToGrid w:val="0"/>
                    <w:rPr>
                      <w:rFonts w:hint="default" w:ascii="Times New Roman" w:hAnsi="Times New Roman" w:cs="Times New Roman"/>
                      <w:b/>
                      <w:bCs/>
                      <w:color w:val="000000" w:themeColor="text1"/>
                      <w14:textFill>
                        <w14:solidFill>
                          <w14:schemeClr w14:val="tx1"/>
                        </w14:solidFill>
                      </w14:textFill>
                      <w14:ligatures w14:val="standardContextual"/>
                    </w:rPr>
                  </w:pPr>
                  <w:r>
                    <w:rPr>
                      <w:rFonts w:hint="default" w:ascii="Times New Roman" w:hAnsi="Times New Roman" w:cs="Times New Roman"/>
                      <w:b/>
                      <w:bCs/>
                      <w:color w:val="000000" w:themeColor="text1"/>
                      <w14:textFill>
                        <w14:solidFill>
                          <w14:schemeClr w14:val="tx1"/>
                        </w14:solidFill>
                      </w14:textFill>
                      <w14:ligatures w14:val="standardContextual"/>
                    </w:rPr>
                    <w:t>危险单元</w:t>
                  </w:r>
                </w:p>
              </w:tc>
              <w:tc>
                <w:tcPr>
                  <w:tcW w:w="644"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623C4F43">
                  <w:pPr>
                    <w:pStyle w:val="35"/>
                    <w:widowControl w:val="0"/>
                    <w:overflowPunct w:val="0"/>
                    <w:autoSpaceDE w:val="0"/>
                    <w:autoSpaceDN w:val="0"/>
                    <w:bidi w:val="0"/>
                    <w:snapToGrid w:val="0"/>
                    <w:rPr>
                      <w:rFonts w:hint="default" w:ascii="Times New Roman" w:hAnsi="Times New Roman" w:cs="Times New Roman"/>
                      <w:b/>
                      <w:bCs/>
                      <w:color w:val="000000" w:themeColor="text1"/>
                      <w14:textFill>
                        <w14:solidFill>
                          <w14:schemeClr w14:val="tx1"/>
                        </w14:solidFill>
                      </w14:textFill>
                      <w14:ligatures w14:val="standardContextual"/>
                    </w:rPr>
                  </w:pPr>
                  <w:r>
                    <w:rPr>
                      <w:rFonts w:hint="default" w:ascii="Times New Roman" w:hAnsi="Times New Roman" w:cs="Times New Roman"/>
                      <w:b/>
                      <w:bCs/>
                      <w:color w:val="000000" w:themeColor="text1"/>
                      <w14:textFill>
                        <w14:solidFill>
                          <w14:schemeClr w14:val="tx1"/>
                        </w14:solidFill>
                      </w14:textFill>
                      <w14:ligatures w14:val="standardContextual"/>
                    </w:rPr>
                    <w:t>风险源</w:t>
                  </w:r>
                </w:p>
              </w:tc>
              <w:tc>
                <w:tcPr>
                  <w:tcW w:w="516"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32F9A317">
                  <w:pPr>
                    <w:pStyle w:val="35"/>
                    <w:widowControl w:val="0"/>
                    <w:overflowPunct w:val="0"/>
                    <w:autoSpaceDE w:val="0"/>
                    <w:autoSpaceDN w:val="0"/>
                    <w:bidi w:val="0"/>
                    <w:snapToGrid w:val="0"/>
                    <w:rPr>
                      <w:rFonts w:hint="default" w:ascii="Times New Roman" w:hAnsi="Times New Roman" w:cs="Times New Roman"/>
                      <w:b/>
                      <w:bCs/>
                      <w:color w:val="000000" w:themeColor="text1"/>
                      <w14:textFill>
                        <w14:solidFill>
                          <w14:schemeClr w14:val="tx1"/>
                        </w14:solidFill>
                      </w14:textFill>
                      <w14:ligatures w14:val="standardContextual"/>
                    </w:rPr>
                  </w:pPr>
                  <w:r>
                    <w:rPr>
                      <w:rFonts w:hint="default" w:ascii="Times New Roman" w:hAnsi="Times New Roman" w:cs="Times New Roman"/>
                      <w:b/>
                      <w:bCs/>
                      <w:color w:val="000000" w:themeColor="text1"/>
                      <w14:textFill>
                        <w14:solidFill>
                          <w14:schemeClr w14:val="tx1"/>
                        </w14:solidFill>
                      </w14:textFill>
                      <w14:ligatures w14:val="standardContextual"/>
                    </w:rPr>
                    <w:t>主要危险物质</w:t>
                  </w:r>
                </w:p>
              </w:tc>
              <w:tc>
                <w:tcPr>
                  <w:tcW w:w="90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5922051D">
                  <w:pPr>
                    <w:pStyle w:val="35"/>
                    <w:widowControl w:val="0"/>
                    <w:overflowPunct w:val="0"/>
                    <w:autoSpaceDE w:val="0"/>
                    <w:autoSpaceDN w:val="0"/>
                    <w:bidi w:val="0"/>
                    <w:snapToGrid w:val="0"/>
                    <w:rPr>
                      <w:rFonts w:hint="default" w:ascii="Times New Roman" w:hAnsi="Times New Roman" w:cs="Times New Roman"/>
                      <w:b/>
                      <w:bCs/>
                      <w:color w:val="000000" w:themeColor="text1"/>
                      <w14:textFill>
                        <w14:solidFill>
                          <w14:schemeClr w14:val="tx1"/>
                        </w14:solidFill>
                      </w14:textFill>
                      <w14:ligatures w14:val="standardContextual"/>
                    </w:rPr>
                  </w:pPr>
                  <w:r>
                    <w:rPr>
                      <w:rFonts w:hint="default" w:ascii="Times New Roman" w:hAnsi="Times New Roman" w:cs="Times New Roman"/>
                      <w:b/>
                      <w:bCs/>
                      <w:color w:val="000000" w:themeColor="text1"/>
                      <w14:textFill>
                        <w14:solidFill>
                          <w14:schemeClr w14:val="tx1"/>
                        </w14:solidFill>
                      </w14:textFill>
                      <w14:ligatures w14:val="standardContextual"/>
                    </w:rPr>
                    <w:t>环境风险类型</w:t>
                  </w:r>
                </w:p>
              </w:tc>
              <w:tc>
                <w:tcPr>
                  <w:tcW w:w="95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25094695">
                  <w:pPr>
                    <w:pStyle w:val="35"/>
                    <w:widowControl w:val="0"/>
                    <w:overflowPunct w:val="0"/>
                    <w:autoSpaceDE w:val="0"/>
                    <w:autoSpaceDN w:val="0"/>
                    <w:bidi w:val="0"/>
                    <w:snapToGrid w:val="0"/>
                    <w:rPr>
                      <w:rFonts w:hint="default" w:ascii="Times New Roman" w:hAnsi="Times New Roman" w:cs="Times New Roman"/>
                      <w:b/>
                      <w:bCs/>
                      <w:color w:val="000000" w:themeColor="text1"/>
                      <w14:textFill>
                        <w14:solidFill>
                          <w14:schemeClr w14:val="tx1"/>
                        </w14:solidFill>
                      </w14:textFill>
                      <w14:ligatures w14:val="standardContextual"/>
                    </w:rPr>
                  </w:pPr>
                  <w:r>
                    <w:rPr>
                      <w:rFonts w:hint="default" w:ascii="Times New Roman" w:hAnsi="Times New Roman" w:cs="Times New Roman"/>
                      <w:b/>
                      <w:bCs/>
                      <w:color w:val="000000" w:themeColor="text1"/>
                      <w14:textFill>
                        <w14:solidFill>
                          <w14:schemeClr w14:val="tx1"/>
                        </w14:solidFill>
                      </w14:textFill>
                      <w14:ligatures w14:val="standardContextual"/>
                    </w:rPr>
                    <w:t>影响途径</w:t>
                  </w:r>
                </w:p>
              </w:tc>
              <w:tc>
                <w:tcPr>
                  <w:tcW w:w="407"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F917D8A">
                  <w:pPr>
                    <w:pStyle w:val="35"/>
                    <w:widowControl w:val="0"/>
                    <w:overflowPunct w:val="0"/>
                    <w:autoSpaceDE w:val="0"/>
                    <w:autoSpaceDN w:val="0"/>
                    <w:bidi w:val="0"/>
                    <w:snapToGrid w:val="0"/>
                    <w:rPr>
                      <w:rFonts w:hint="default" w:ascii="Times New Roman" w:hAnsi="Times New Roman" w:cs="Times New Roman"/>
                      <w:b/>
                      <w:bCs/>
                      <w:color w:val="000000" w:themeColor="text1"/>
                      <w14:textFill>
                        <w14:solidFill>
                          <w14:schemeClr w14:val="tx1"/>
                        </w14:solidFill>
                      </w14:textFill>
                      <w14:ligatures w14:val="standardContextual"/>
                    </w:rPr>
                  </w:pPr>
                  <w:r>
                    <w:rPr>
                      <w:rFonts w:hint="default" w:ascii="Times New Roman" w:hAnsi="Times New Roman" w:cs="Times New Roman"/>
                      <w:b/>
                      <w:bCs/>
                      <w:color w:val="000000" w:themeColor="text1"/>
                      <w14:textFill>
                        <w14:solidFill>
                          <w14:schemeClr w14:val="tx1"/>
                        </w14:solidFill>
                      </w14:textFill>
                      <w14:ligatures w14:val="standardContextual"/>
                    </w:rPr>
                    <w:t>伴生/次生污染物</w:t>
                  </w:r>
                </w:p>
              </w:tc>
              <w:tc>
                <w:tcPr>
                  <w:tcW w:w="568" w:type="pct"/>
                  <w:tcBorders>
                    <w:top w:val="single" w:color="auto" w:sz="12" w:space="0"/>
                    <w:bottom w:val="single" w:color="auto" w:sz="12" w:space="0"/>
                    <w:right w:val="nil"/>
                    <w:insideH w:val="single" w:sz="12" w:space="0"/>
                    <w:insideV w:val="single" w:sz="4" w:space="0"/>
                    <w:tl2br w:val="nil"/>
                    <w:tr2bl w:val="nil"/>
                  </w:tcBorders>
                  <w:vAlign w:val="center"/>
                </w:tcPr>
                <w:p w14:paraId="0EBDAC84">
                  <w:pPr>
                    <w:pStyle w:val="35"/>
                    <w:widowControl w:val="0"/>
                    <w:overflowPunct w:val="0"/>
                    <w:autoSpaceDE w:val="0"/>
                    <w:autoSpaceDN w:val="0"/>
                    <w:bidi w:val="0"/>
                    <w:snapToGrid w:val="0"/>
                    <w:rPr>
                      <w:rFonts w:hint="default" w:ascii="Times New Roman" w:hAnsi="Times New Roman" w:cs="Times New Roman"/>
                      <w:b/>
                      <w:bCs/>
                      <w:color w:val="000000" w:themeColor="text1"/>
                      <w14:textFill>
                        <w14:solidFill>
                          <w14:schemeClr w14:val="tx1"/>
                        </w14:solidFill>
                      </w14:textFill>
                      <w14:ligatures w14:val="standardContextual"/>
                    </w:rPr>
                  </w:pPr>
                  <w:r>
                    <w:rPr>
                      <w:rFonts w:hint="default" w:ascii="Times New Roman" w:hAnsi="Times New Roman" w:cs="Times New Roman"/>
                      <w:b/>
                      <w:bCs/>
                      <w:color w:val="000000" w:themeColor="text1"/>
                      <w14:textFill>
                        <w14:solidFill>
                          <w14:schemeClr w14:val="tx1"/>
                        </w14:solidFill>
                      </w14:textFill>
                      <w14:ligatures w14:val="standardContextual"/>
                    </w:rPr>
                    <w:t>可能影响的环境敏感目标</w:t>
                  </w:r>
                </w:p>
              </w:tc>
            </w:tr>
            <w:tr w14:paraId="08750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0" w:type="pct"/>
                  <w:vAlign w:val="center"/>
                </w:tcPr>
                <w:p w14:paraId="62FD73D2">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1</w:t>
                  </w:r>
                </w:p>
              </w:tc>
              <w:tc>
                <w:tcPr>
                  <w:tcW w:w="772" w:type="pct"/>
                  <w:vAlign w:val="center"/>
                </w:tcPr>
                <w:p w14:paraId="5A9189AC">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bookmarkStart w:id="167" w:name="OLE_LINK280"/>
                  <w:r>
                    <w:rPr>
                      <w:rFonts w:hint="default" w:ascii="Times New Roman" w:hAnsi="Times New Roman" w:cs="Times New Roman"/>
                      <w:color w:val="000000" w:themeColor="text1"/>
                      <w14:textFill>
                        <w14:solidFill>
                          <w14:schemeClr w14:val="tx1"/>
                        </w14:solidFill>
                      </w14:textFill>
                      <w14:ligatures w14:val="standardContextual"/>
                    </w:rPr>
                    <w:t>锅炉房</w:t>
                  </w:r>
                  <w:bookmarkEnd w:id="167"/>
                </w:p>
              </w:tc>
              <w:tc>
                <w:tcPr>
                  <w:tcW w:w="644" w:type="pct"/>
                  <w:vAlign w:val="center"/>
                </w:tcPr>
                <w:p w14:paraId="36FA2811">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料仓</w:t>
                  </w:r>
                </w:p>
              </w:tc>
              <w:tc>
                <w:tcPr>
                  <w:tcW w:w="516" w:type="pct"/>
                  <w:vAlign w:val="center"/>
                </w:tcPr>
                <w:p w14:paraId="1F63132E">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生物质成型颗粒</w:t>
                  </w:r>
                </w:p>
              </w:tc>
              <w:tc>
                <w:tcPr>
                  <w:tcW w:w="907" w:type="pct"/>
                  <w:vAlign w:val="center"/>
                </w:tcPr>
                <w:p w14:paraId="0B6FB810">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火灾</w:t>
                  </w:r>
                </w:p>
              </w:tc>
              <w:tc>
                <w:tcPr>
                  <w:tcW w:w="953" w:type="pct"/>
                  <w:vAlign w:val="center"/>
                </w:tcPr>
                <w:p w14:paraId="62033F48">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发生火灾，产生的废气影响大气环境</w:t>
                  </w:r>
                </w:p>
              </w:tc>
              <w:tc>
                <w:tcPr>
                  <w:tcW w:w="407" w:type="pct"/>
                  <w:vAlign w:val="center"/>
                </w:tcPr>
                <w:p w14:paraId="3373A439">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CO</w:t>
                  </w:r>
                  <w:bookmarkStart w:id="168" w:name="OLE_LINK134"/>
                  <w:r>
                    <w:rPr>
                      <w:rFonts w:hint="default" w:ascii="Times New Roman" w:hAnsi="Times New Roman" w:cs="Times New Roman"/>
                      <w:color w:val="000000" w:themeColor="text1"/>
                      <w14:textFill>
                        <w14:solidFill>
                          <w14:schemeClr w14:val="tx1"/>
                        </w14:solidFill>
                      </w14:textFill>
                      <w14:ligatures w14:val="standardContextual"/>
                    </w:rPr>
                    <w:t>、</w:t>
                  </w:r>
                  <w:bookmarkStart w:id="169" w:name="OLE_LINK281"/>
                  <w:r>
                    <w:rPr>
                      <w:rFonts w:hint="default" w:ascii="Times New Roman" w:hAnsi="Times New Roman" w:cs="Times New Roman"/>
                      <w:color w:val="000000" w:themeColor="text1"/>
                      <w14:textFill>
                        <w14:solidFill>
                          <w14:schemeClr w14:val="tx1"/>
                        </w14:solidFill>
                      </w14:textFill>
                      <w14:ligatures w14:val="standardContextual"/>
                    </w:rPr>
                    <w:t>NOx</w:t>
                  </w:r>
                  <w:bookmarkEnd w:id="168"/>
                  <w:bookmarkEnd w:id="169"/>
                </w:p>
              </w:tc>
              <w:tc>
                <w:tcPr>
                  <w:tcW w:w="568" w:type="pct"/>
                  <w:vAlign w:val="center"/>
                </w:tcPr>
                <w:p w14:paraId="7A96B969">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大气环境</w:t>
                  </w:r>
                </w:p>
              </w:tc>
            </w:tr>
            <w:tr w14:paraId="01DFF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0" w:type="pct"/>
                  <w:vAlign w:val="center"/>
                </w:tcPr>
                <w:p w14:paraId="06150B65">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2</w:t>
                  </w:r>
                </w:p>
              </w:tc>
              <w:tc>
                <w:tcPr>
                  <w:tcW w:w="772" w:type="pct"/>
                  <w:vAlign w:val="center"/>
                </w:tcPr>
                <w:p w14:paraId="5B8E6D43">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bookmarkStart w:id="170" w:name="OLE_LINK125"/>
                  <w:r>
                    <w:rPr>
                      <w:rFonts w:hint="default" w:ascii="Times New Roman" w:hAnsi="Times New Roman" w:cs="Times New Roman"/>
                      <w:color w:val="000000" w:themeColor="text1"/>
                      <w14:textFill>
                        <w14:solidFill>
                          <w14:schemeClr w14:val="tx1"/>
                        </w14:solidFill>
                      </w14:textFill>
                      <w14:ligatures w14:val="standardContextual"/>
                    </w:rPr>
                    <w:t>锅炉房</w:t>
                  </w:r>
                  <w:bookmarkEnd w:id="170"/>
                </w:p>
              </w:tc>
              <w:tc>
                <w:tcPr>
                  <w:tcW w:w="644" w:type="pct"/>
                  <w:vAlign w:val="center"/>
                </w:tcPr>
                <w:p w14:paraId="1178959C">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废气处理设施</w:t>
                  </w:r>
                </w:p>
              </w:tc>
              <w:tc>
                <w:tcPr>
                  <w:tcW w:w="516" w:type="pct"/>
                  <w:vAlign w:val="center"/>
                </w:tcPr>
                <w:p w14:paraId="5DA780D3">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颗粒物、SO</w:t>
                  </w:r>
                  <w:r>
                    <w:rPr>
                      <w:rFonts w:hint="default" w:ascii="Times New Roman" w:hAnsi="Times New Roman" w:cs="Times New Roman"/>
                      <w:color w:val="000000" w:themeColor="text1"/>
                      <w:vertAlign w:val="subscript"/>
                      <w14:textFill>
                        <w14:solidFill>
                          <w14:schemeClr w14:val="tx1"/>
                        </w14:solidFill>
                      </w14:textFill>
                      <w14:ligatures w14:val="standardContextual"/>
                    </w:rPr>
                    <w:t>2</w:t>
                  </w:r>
                  <w:r>
                    <w:rPr>
                      <w:rFonts w:hint="default" w:ascii="Times New Roman" w:hAnsi="Times New Roman" w:cs="Times New Roman"/>
                      <w:color w:val="000000" w:themeColor="text1"/>
                      <w14:textFill>
                        <w14:solidFill>
                          <w14:schemeClr w14:val="tx1"/>
                        </w14:solidFill>
                      </w14:textFill>
                      <w14:ligatures w14:val="standardContextual"/>
                    </w:rPr>
                    <w:t>、NOx</w:t>
                  </w:r>
                </w:p>
              </w:tc>
              <w:tc>
                <w:tcPr>
                  <w:tcW w:w="907" w:type="pct"/>
                  <w:vAlign w:val="center"/>
                </w:tcPr>
                <w:p w14:paraId="66F43318">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超标排放</w:t>
                  </w:r>
                </w:p>
              </w:tc>
              <w:tc>
                <w:tcPr>
                  <w:tcW w:w="953" w:type="pct"/>
                  <w:vAlign w:val="center"/>
                </w:tcPr>
                <w:p w14:paraId="20F357E1">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产生的废气影响大气环境及周围人群</w:t>
                  </w:r>
                </w:p>
              </w:tc>
              <w:tc>
                <w:tcPr>
                  <w:tcW w:w="407" w:type="pct"/>
                  <w:vAlign w:val="center"/>
                </w:tcPr>
                <w:p w14:paraId="668F8C8D">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w:t>
                  </w:r>
                </w:p>
              </w:tc>
              <w:tc>
                <w:tcPr>
                  <w:tcW w:w="568" w:type="pct"/>
                  <w:vAlign w:val="center"/>
                </w:tcPr>
                <w:p w14:paraId="2FA23929">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大气环境、人群健康</w:t>
                  </w:r>
                </w:p>
              </w:tc>
            </w:tr>
            <w:tr w14:paraId="77C447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0" w:type="pct"/>
                  <w:vAlign w:val="center"/>
                </w:tcPr>
                <w:p w14:paraId="727AA1F8">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3</w:t>
                  </w:r>
                </w:p>
              </w:tc>
              <w:tc>
                <w:tcPr>
                  <w:tcW w:w="772" w:type="pct"/>
                  <w:vAlign w:val="center"/>
                </w:tcPr>
                <w:p w14:paraId="430A202B">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锅炉房</w:t>
                  </w:r>
                </w:p>
              </w:tc>
              <w:tc>
                <w:tcPr>
                  <w:tcW w:w="644" w:type="pct"/>
                  <w:vAlign w:val="center"/>
                </w:tcPr>
                <w:p w14:paraId="5E1A216C">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危废贮存库</w:t>
                  </w:r>
                </w:p>
              </w:tc>
              <w:tc>
                <w:tcPr>
                  <w:tcW w:w="516" w:type="pct"/>
                  <w:vAlign w:val="center"/>
                </w:tcPr>
                <w:p w14:paraId="11D34F23">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危险废物</w:t>
                  </w:r>
                </w:p>
              </w:tc>
              <w:tc>
                <w:tcPr>
                  <w:tcW w:w="907" w:type="pct"/>
                  <w:vAlign w:val="center"/>
                </w:tcPr>
                <w:p w14:paraId="29B28F68">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lang w:eastAsia="zh-CN"/>
                      <w14:textFill>
                        <w14:solidFill>
                          <w14:schemeClr w14:val="tx1"/>
                        </w14:solidFill>
                      </w14:textFill>
                      <w14:ligatures w14:val="standardContextual"/>
                    </w:rPr>
                    <w:t>泄漏</w:t>
                  </w:r>
                  <w:r>
                    <w:rPr>
                      <w:rFonts w:hint="default" w:ascii="Times New Roman" w:hAnsi="Times New Roman" w:cs="Times New Roman"/>
                      <w:color w:val="000000" w:themeColor="text1"/>
                      <w14:textFill>
                        <w14:solidFill>
                          <w14:schemeClr w14:val="tx1"/>
                        </w14:solidFill>
                      </w14:textFill>
                      <w14:ligatures w14:val="standardContextual"/>
                    </w:rPr>
                    <w:t>、火灾</w:t>
                  </w:r>
                </w:p>
              </w:tc>
              <w:tc>
                <w:tcPr>
                  <w:tcW w:w="953" w:type="pct"/>
                  <w:vAlign w:val="center"/>
                </w:tcPr>
                <w:p w14:paraId="003A13DC">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发生泄漏、火灾，产生的废水污染地表水体和地下水；产生的废气影响大气环境及周围人群</w:t>
                  </w:r>
                </w:p>
              </w:tc>
              <w:tc>
                <w:tcPr>
                  <w:tcW w:w="407" w:type="pct"/>
                  <w:vAlign w:val="center"/>
                </w:tcPr>
                <w:p w14:paraId="0F1F7865">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CO、NOx</w:t>
                  </w:r>
                </w:p>
              </w:tc>
              <w:tc>
                <w:tcPr>
                  <w:tcW w:w="568" w:type="pct"/>
                  <w:vAlign w:val="center"/>
                </w:tcPr>
                <w:p w14:paraId="11AB3A86">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地表水、地下水、大气环境、人群健康</w:t>
                  </w:r>
                </w:p>
              </w:tc>
            </w:tr>
            <w:tr w14:paraId="1EFAD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30" w:type="pct"/>
                  <w:vAlign w:val="center"/>
                </w:tcPr>
                <w:p w14:paraId="488A25B1">
                  <w:pPr>
                    <w:pStyle w:val="35"/>
                    <w:widowControl w:val="0"/>
                    <w:overflowPunct w:val="0"/>
                    <w:autoSpaceDE w:val="0"/>
                    <w:autoSpaceDN w:val="0"/>
                    <w:bidi w:val="0"/>
                    <w:snapToGrid w:val="0"/>
                    <w:rPr>
                      <w:rFonts w:hint="default" w:ascii="Times New Roman" w:hAnsi="Times New Roman" w:cs="Times New Roman"/>
                      <w:color w:val="000000" w:themeColor="text1"/>
                      <w:lang w:val="en-US" w:eastAsia="zh-CN"/>
                      <w14:textFill>
                        <w14:solidFill>
                          <w14:schemeClr w14:val="tx1"/>
                        </w14:solidFill>
                      </w14:textFill>
                      <w14:ligatures w14:val="standardContextual"/>
                    </w:rPr>
                  </w:pPr>
                  <w:r>
                    <w:rPr>
                      <w:rFonts w:hint="default" w:ascii="Times New Roman" w:hAnsi="Times New Roman" w:cs="Times New Roman"/>
                      <w:color w:val="000000" w:themeColor="text1"/>
                      <w:lang w:val="en-US" w:eastAsia="zh-CN"/>
                      <w14:textFill>
                        <w14:solidFill>
                          <w14:schemeClr w14:val="tx1"/>
                        </w14:solidFill>
                      </w14:textFill>
                      <w14:ligatures w14:val="standardContextual"/>
                    </w:rPr>
                    <w:t>4</w:t>
                  </w:r>
                </w:p>
              </w:tc>
              <w:tc>
                <w:tcPr>
                  <w:tcW w:w="772" w:type="pct"/>
                  <w:vAlign w:val="center"/>
                </w:tcPr>
                <w:p w14:paraId="7A5D9CCE">
                  <w:pPr>
                    <w:pStyle w:val="35"/>
                    <w:widowControl w:val="0"/>
                    <w:overflowPunct w:val="0"/>
                    <w:autoSpaceDE w:val="0"/>
                    <w:autoSpaceDN w:val="0"/>
                    <w:bidi w:val="0"/>
                    <w:snapToGrid w:val="0"/>
                    <w:rPr>
                      <w:rFonts w:hint="default" w:ascii="Times New Roman" w:hAnsi="Times New Roman" w:cs="Times New Roman"/>
                      <w:color w:val="000000" w:themeColor="text1"/>
                      <w:lang w:val="en-US" w:eastAsia="zh-CN"/>
                      <w14:textFill>
                        <w14:solidFill>
                          <w14:schemeClr w14:val="tx1"/>
                        </w14:solidFill>
                      </w14:textFill>
                      <w14:ligatures w14:val="standardContextual"/>
                    </w:rPr>
                  </w:pPr>
                  <w:r>
                    <w:rPr>
                      <w:rFonts w:hint="default" w:ascii="Times New Roman" w:hAnsi="Times New Roman" w:cs="Times New Roman"/>
                      <w:color w:val="000000" w:themeColor="text1"/>
                      <w:lang w:val="en-US" w:eastAsia="zh-CN"/>
                      <w14:textFill>
                        <w14:solidFill>
                          <w14:schemeClr w14:val="tx1"/>
                        </w14:solidFill>
                      </w14:textFill>
                      <w14:ligatures w14:val="standardContextual"/>
                    </w:rPr>
                    <w:t>危废间</w:t>
                  </w:r>
                </w:p>
              </w:tc>
              <w:tc>
                <w:tcPr>
                  <w:tcW w:w="644" w:type="pct"/>
                  <w:vAlign w:val="center"/>
                </w:tcPr>
                <w:p w14:paraId="7BE6DAE6">
                  <w:pPr>
                    <w:pStyle w:val="35"/>
                    <w:widowControl w:val="0"/>
                    <w:overflowPunct w:val="0"/>
                    <w:autoSpaceDE w:val="0"/>
                    <w:autoSpaceDN w:val="0"/>
                    <w:bidi w:val="0"/>
                    <w:snapToGrid w:val="0"/>
                    <w:rPr>
                      <w:rFonts w:hint="default" w:ascii="Times New Roman" w:hAnsi="Times New Roman" w:cs="Times New Roman"/>
                      <w:color w:val="000000" w:themeColor="text1"/>
                      <w:lang w:val="en-US" w:eastAsia="zh-CN"/>
                      <w14:textFill>
                        <w14:solidFill>
                          <w14:schemeClr w14:val="tx1"/>
                        </w14:solidFill>
                      </w14:textFill>
                      <w14:ligatures w14:val="standardContextual"/>
                    </w:rPr>
                  </w:pPr>
                  <w:r>
                    <w:rPr>
                      <w:rFonts w:hint="default" w:ascii="Times New Roman" w:hAnsi="Times New Roman" w:cs="Times New Roman"/>
                      <w:color w:val="000000" w:themeColor="text1"/>
                      <w:lang w:val="en-US" w:eastAsia="zh-CN"/>
                      <w14:textFill>
                        <w14:solidFill>
                          <w14:schemeClr w14:val="tx1"/>
                        </w14:solidFill>
                      </w14:textFill>
                      <w14:ligatures w14:val="standardContextual"/>
                    </w:rPr>
                    <w:t>危废暂存间</w:t>
                  </w:r>
                </w:p>
              </w:tc>
              <w:tc>
                <w:tcPr>
                  <w:tcW w:w="516" w:type="pct"/>
                  <w:shd w:val="clear" w:color="auto" w:fill="auto"/>
                  <w:vAlign w:val="center"/>
                </w:tcPr>
                <w:p w14:paraId="0CBE30EE">
                  <w:pPr>
                    <w:pStyle w:val="35"/>
                    <w:widowControl w:val="0"/>
                    <w:overflowPunct w:val="0"/>
                    <w:autoSpaceDE w:val="0"/>
                    <w:autoSpaceDN w:val="0"/>
                    <w:bidi w:val="0"/>
                    <w:snapToGrid w:val="0"/>
                    <w:rPr>
                      <w:rFonts w:hint="default" w:ascii="Times New Roman" w:hAnsi="Times New Roman" w:cs="Times New Roman"/>
                      <w:color w:val="000000" w:themeColor="text1"/>
                      <w:lang w:val="en-US" w:eastAsia="zh-CN"/>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危险废物</w:t>
                  </w:r>
                </w:p>
              </w:tc>
              <w:tc>
                <w:tcPr>
                  <w:tcW w:w="907" w:type="pct"/>
                  <w:shd w:val="clear" w:color="auto" w:fill="auto"/>
                  <w:vAlign w:val="center"/>
                </w:tcPr>
                <w:p w14:paraId="301A189F">
                  <w:pPr>
                    <w:pStyle w:val="35"/>
                    <w:widowControl w:val="0"/>
                    <w:overflowPunct w:val="0"/>
                    <w:autoSpaceDE w:val="0"/>
                    <w:autoSpaceDN w:val="0"/>
                    <w:bidi w:val="0"/>
                    <w:snapToGrid w:val="0"/>
                    <w:rPr>
                      <w:rFonts w:hint="default" w:ascii="Times New Roman" w:hAnsi="Times New Roman" w:cs="Times New Roman"/>
                      <w:color w:val="000000" w:themeColor="text1"/>
                      <w:lang w:val="en-US" w:eastAsia="zh-CN"/>
                      <w14:textFill>
                        <w14:solidFill>
                          <w14:schemeClr w14:val="tx1"/>
                        </w14:solidFill>
                      </w14:textFill>
                      <w14:ligatures w14:val="standardContextual"/>
                    </w:rPr>
                  </w:pPr>
                  <w:r>
                    <w:rPr>
                      <w:rFonts w:hint="default" w:ascii="Times New Roman" w:hAnsi="Times New Roman" w:cs="Times New Roman"/>
                      <w:color w:val="000000" w:themeColor="text1"/>
                      <w:lang w:eastAsia="zh-CN"/>
                      <w14:textFill>
                        <w14:solidFill>
                          <w14:schemeClr w14:val="tx1"/>
                        </w14:solidFill>
                      </w14:textFill>
                      <w14:ligatures w14:val="standardContextual"/>
                    </w:rPr>
                    <w:t>泄漏</w:t>
                  </w:r>
                  <w:r>
                    <w:rPr>
                      <w:rFonts w:hint="default" w:ascii="Times New Roman" w:hAnsi="Times New Roman" w:cs="Times New Roman"/>
                      <w:color w:val="000000" w:themeColor="text1"/>
                      <w14:textFill>
                        <w14:solidFill>
                          <w14:schemeClr w14:val="tx1"/>
                        </w14:solidFill>
                      </w14:textFill>
                      <w14:ligatures w14:val="standardContextual"/>
                    </w:rPr>
                    <w:t>、火灾</w:t>
                  </w:r>
                </w:p>
              </w:tc>
              <w:tc>
                <w:tcPr>
                  <w:tcW w:w="953" w:type="pct"/>
                  <w:vAlign w:val="center"/>
                </w:tcPr>
                <w:p w14:paraId="13715172">
                  <w:pPr>
                    <w:pStyle w:val="35"/>
                    <w:widowControl w:val="0"/>
                    <w:overflowPunct w:val="0"/>
                    <w:autoSpaceDE w:val="0"/>
                    <w:autoSpaceDN w:val="0"/>
                    <w:bidi w:val="0"/>
                    <w:snapToGrid w:val="0"/>
                    <w:rPr>
                      <w:rFonts w:hint="default" w:ascii="Times New Roman" w:hAnsi="Times New Roman" w:cs="Times New Roman"/>
                      <w:color w:val="000000" w:themeColor="text1"/>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发生泄漏、火灾，产生的废水污染地表水体和地下水</w:t>
                  </w:r>
                </w:p>
              </w:tc>
              <w:tc>
                <w:tcPr>
                  <w:tcW w:w="407" w:type="pct"/>
                  <w:shd w:val="clear" w:color="auto" w:fill="auto"/>
                  <w:vAlign w:val="center"/>
                </w:tcPr>
                <w:p w14:paraId="24D0D4A2">
                  <w:pPr>
                    <w:pStyle w:val="35"/>
                    <w:widowControl w:val="0"/>
                    <w:overflowPunct w:val="0"/>
                    <w:autoSpaceDE w:val="0"/>
                    <w:autoSpaceDN w:val="0"/>
                    <w:bidi w:val="0"/>
                    <w:snapToGrid w:val="0"/>
                    <w:rPr>
                      <w:rFonts w:hint="default" w:ascii="Times New Roman" w:hAnsi="Times New Roman" w:cs="Times New Roman"/>
                      <w:color w:val="000000" w:themeColor="text1"/>
                      <w:lang w:val="en-US" w:eastAsia="zh-CN"/>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CO、NOx</w:t>
                  </w:r>
                </w:p>
              </w:tc>
              <w:tc>
                <w:tcPr>
                  <w:tcW w:w="568" w:type="pct"/>
                  <w:shd w:val="clear" w:color="auto" w:fill="auto"/>
                  <w:vAlign w:val="center"/>
                </w:tcPr>
                <w:p w14:paraId="6FAFD047">
                  <w:pPr>
                    <w:pStyle w:val="35"/>
                    <w:widowControl w:val="0"/>
                    <w:overflowPunct w:val="0"/>
                    <w:autoSpaceDE w:val="0"/>
                    <w:autoSpaceDN w:val="0"/>
                    <w:bidi w:val="0"/>
                    <w:snapToGrid w:val="0"/>
                    <w:rPr>
                      <w:rFonts w:hint="default" w:ascii="Times New Roman" w:hAnsi="Times New Roman" w:cs="Times New Roman"/>
                      <w:color w:val="000000" w:themeColor="text1"/>
                      <w:lang w:val="en-US" w:eastAsia="zh-CN"/>
                      <w14:textFill>
                        <w14:solidFill>
                          <w14:schemeClr w14:val="tx1"/>
                        </w14:solidFill>
                      </w14:textFill>
                      <w14:ligatures w14:val="standardContextual"/>
                    </w:rPr>
                  </w:pPr>
                  <w:r>
                    <w:rPr>
                      <w:rFonts w:hint="default" w:ascii="Times New Roman" w:hAnsi="Times New Roman" w:cs="Times New Roman"/>
                      <w:color w:val="000000" w:themeColor="text1"/>
                      <w14:textFill>
                        <w14:solidFill>
                          <w14:schemeClr w14:val="tx1"/>
                        </w14:solidFill>
                      </w14:textFill>
                      <w14:ligatures w14:val="standardContextual"/>
                    </w:rPr>
                    <w:t>地表水、地下水、大气环境、人群健康</w:t>
                  </w:r>
                </w:p>
              </w:tc>
            </w:tr>
          </w:tbl>
          <w:p w14:paraId="48821237">
            <w:pPr>
              <w:pStyle w:val="4"/>
              <w:ind w:firstLine="482"/>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4、环境风险防范措施</w:t>
            </w:r>
          </w:p>
          <w:p w14:paraId="22D56FFD">
            <w:pPr>
              <w:pStyle w:val="4"/>
              <w:ind w:firstLine="480"/>
              <w:rPr>
                <w:rFonts w:hint="default" w:ascii="Times New Roman" w:hAnsi="Times New Roman" w:cs="Times New Roman"/>
                <w:color w:val="000000" w:themeColor="text1"/>
                <w:highlight w:val="none"/>
                <w14:textFill>
                  <w14:solidFill>
                    <w14:schemeClr w14:val="tx1"/>
                  </w14:solidFill>
                </w14:textFill>
              </w:rPr>
            </w:pPr>
            <w:bookmarkStart w:id="171" w:name="I、原料、产品贮存火灾风险防范措施"/>
            <w:r>
              <w:rPr>
                <w:rFonts w:hint="default" w:ascii="Times New Roman" w:hAnsi="Times New Roman" w:cs="Times New Roman"/>
                <w:color w:val="000000" w:themeColor="text1"/>
                <w:highlight w:val="none"/>
                <w14:textFill>
                  <w14:solidFill>
                    <w14:schemeClr w14:val="tx1"/>
                  </w14:solidFill>
                </w14:textFill>
              </w:rPr>
              <w:t>I、</w:t>
            </w:r>
            <w:bookmarkEnd w:id="171"/>
            <w:r>
              <w:rPr>
                <w:rFonts w:hint="default" w:ascii="Times New Roman" w:hAnsi="Times New Roman" w:cs="Times New Roman"/>
                <w:color w:val="000000" w:themeColor="text1"/>
                <w:highlight w:val="none"/>
                <w14:textFill>
                  <w14:solidFill>
                    <w14:schemeClr w14:val="tx1"/>
                  </w14:solidFill>
                </w14:textFill>
              </w:rPr>
              <w:t>生物质成型颗粒遇明火引发的火灾产生的伴生/次生事故风险</w:t>
            </w:r>
          </w:p>
          <w:p w14:paraId="432DCA80">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锅炉房存储的生物质燃料遇明火引发的火灾产生的伴生/次生有毒有害气体污染物排放，造成大气污染。火灾消防尾水一同通过雨水管网流入区域地表水体，造成区域地表水体的污染。</w:t>
            </w:r>
          </w:p>
          <w:p w14:paraId="46BFCC8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厂区生物质燃料集中分区暂存，暂存区禁止明火，设置灭火设施，建设单位杜绝消防废水进入自然水体环境。</w:t>
            </w:r>
          </w:p>
          <w:p w14:paraId="40FDC1E5">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II、废气事故排放</w:t>
            </w:r>
          </w:p>
          <w:p w14:paraId="309249EA">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废气处理过程处理设施发生设备故障会造成废气无组织排放，短时间内可能造成环境空气质量超标，甚至对人体健康造成危害。</w:t>
            </w:r>
          </w:p>
          <w:p w14:paraId="2CA81C80">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建设方应采取措施杜绝此类环境风险发生，若发生环保设备故障，建设方应立即停止生产，寻找原因，原因不查明严禁开工生产，同时应及时上报环保局备案，避免污染物经大气扩散对周边敏感目标空气环境造成不良影响。</w:t>
            </w:r>
          </w:p>
          <w:p w14:paraId="476FFC0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同时建设单位应严格落实本评价提出的废气防治措施，企业对废气处理系统进行定期与不定期检查，及时维修或更换不良部件，保证废气治理设施正常运行，确保废气处理达标排放。</w:t>
            </w:r>
            <w:bookmarkStart w:id="172" w:name="VII突发事故应急预案"/>
          </w:p>
          <w:p w14:paraId="370849F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III危险废物</w:t>
            </w:r>
            <w:r>
              <w:rPr>
                <w:rFonts w:hint="default" w:ascii="Times New Roman" w:hAnsi="Times New Roman" w:cs="Times New Roman"/>
                <w:color w:val="000000" w:themeColor="text1"/>
                <w:highlight w:val="none"/>
                <w:lang w:eastAsia="zh-CN"/>
                <w14:textFill>
                  <w14:solidFill>
                    <w14:schemeClr w14:val="tx1"/>
                  </w14:solidFill>
                </w14:textFill>
              </w:rPr>
              <w:t>泄漏</w:t>
            </w:r>
            <w:r>
              <w:rPr>
                <w:rFonts w:hint="default" w:ascii="Times New Roman" w:hAnsi="Times New Roman" w:cs="Times New Roman"/>
                <w:color w:val="000000" w:themeColor="text1"/>
                <w:highlight w:val="none"/>
                <w14:textFill>
                  <w14:solidFill>
                    <w14:schemeClr w14:val="tx1"/>
                  </w14:solidFill>
                </w14:textFill>
              </w:rPr>
              <w:t>、火灾等产生的伴生/次生事故风险</w:t>
            </w:r>
          </w:p>
          <w:p w14:paraId="54E45A6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本项目润滑油储存场所设防渗漏、防腐蚀、防淋溶、防流失措施。危废贮存库</w:t>
            </w:r>
            <w:r>
              <w:rPr>
                <w:rFonts w:hint="eastAsia" w:cs="Times New Roman"/>
                <w:color w:val="000000" w:themeColor="text1"/>
                <w:highlight w:val="none"/>
                <w:lang w:eastAsia="zh-CN"/>
                <w14:textFill>
                  <w14:solidFill>
                    <w14:schemeClr w14:val="tx1"/>
                  </w14:solidFill>
                </w14:textFill>
              </w:rPr>
              <w:t>应</w:t>
            </w:r>
            <w:r>
              <w:rPr>
                <w:rFonts w:hint="default" w:ascii="Times New Roman" w:hAnsi="Times New Roman" w:cs="Times New Roman"/>
                <w:color w:val="000000" w:themeColor="text1"/>
                <w:highlight w:val="none"/>
                <w14:textFill>
                  <w14:solidFill>
                    <w14:schemeClr w14:val="tx1"/>
                  </w14:solidFill>
                </w14:textFill>
              </w:rPr>
              <w:t>严格按照《危险废物贮存污染控制标准》(GB18597-2023)的要求设计，做好防风、防雨、防晒、防渗，防止二次污染，按要求设置危废暂存间标识。地面采用坚固、防渗、耐腐蚀的材料建造，并设计有堵截泄漏的裙脚、围堰等设施。库内废物定期由专用运输车辆运至危险废物处置单位进行处置。企业油类原料储存区增设集液托盘或设置围堰，收集从桶中泄漏的物料；设置应急空桶备用；准备沙土、干燥石灰等</w:t>
            </w:r>
            <w:r>
              <w:rPr>
                <w:rFonts w:hint="eastAsia" w:cs="Times New Roman"/>
                <w:color w:val="000000" w:themeColor="text1"/>
                <w:highlight w:val="none"/>
                <w:lang w:eastAsia="zh-CN"/>
                <w14:textFill>
                  <w14:solidFill>
                    <w14:schemeClr w14:val="tx1"/>
                  </w14:solidFill>
                </w14:textFill>
              </w:rPr>
              <w:t>其他不</w:t>
            </w:r>
            <w:r>
              <w:rPr>
                <w:rFonts w:hint="default" w:ascii="Times New Roman" w:hAnsi="Times New Roman" w:cs="Times New Roman"/>
                <w:color w:val="000000" w:themeColor="text1"/>
                <w:highlight w:val="none"/>
                <w14:textFill>
                  <w14:solidFill>
                    <w14:schemeClr w14:val="tx1"/>
                  </w14:solidFill>
                </w14:textFill>
              </w:rPr>
              <w:t>燃材料、吸油毡等吸附材料用于吸附泄漏物料油。</w:t>
            </w:r>
          </w:p>
          <w:p w14:paraId="30390366">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IV突发事故应急预案</w:t>
            </w:r>
            <w:bookmarkEnd w:id="172"/>
          </w:p>
          <w:p w14:paraId="76474955">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按要求编制应急预案，其组织机构包含突发环境污染事故工作组（指挥部）、指挥部由总指挥（公司总经理）、副总指挥（分管生产的副总经理、分管环保的副总经理）、其他成员（调度处处长、环保处处长、安全处处长、保卫处处长和公司办主任）。并根据应急预案的要求配备基本的应急物资，如消火栓、灭火器、消防水池、防毒面具、应急药品、警示牌等。明确紧急情况下企业应按事发地人民政府环保部门要求，配合开展工作。明确应急监测方案，包括污染现场、实验室应急监测方法、仪器、药剂。突发环境事件发生时企业环境监测机构要立即开展应急监测，在政府部门到达后，则配合政府部门相关机构进行监测。</w:t>
            </w:r>
          </w:p>
          <w:p w14:paraId="42E6E6D1">
            <w:pPr>
              <w:pStyle w:val="4"/>
              <w:ind w:firstLine="482"/>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5、环境风险结论</w:t>
            </w:r>
          </w:p>
          <w:p w14:paraId="6D20A4E2">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通过风险防范措施的设立和应急预案的建立，可以较为</w:t>
            </w:r>
            <w:r>
              <w:rPr>
                <w:rFonts w:hint="eastAsia" w:cs="Times New Roman"/>
                <w:color w:val="000000" w:themeColor="text1"/>
                <w:highlight w:val="none"/>
                <w:lang w:eastAsia="zh-CN"/>
                <w14:textFill>
                  <w14:solidFill>
                    <w14:schemeClr w14:val="tx1"/>
                  </w14:solidFill>
                </w14:textFill>
              </w:rPr>
              <w:t>有效地</w:t>
            </w:r>
            <w:r>
              <w:rPr>
                <w:rFonts w:hint="default" w:ascii="Times New Roman" w:hAnsi="Times New Roman" w:cs="Times New Roman"/>
                <w:color w:val="000000" w:themeColor="text1"/>
                <w:highlight w:val="none"/>
                <w14:textFill>
                  <w14:solidFill>
                    <w14:schemeClr w14:val="tx1"/>
                  </w14:solidFill>
                </w14:textFill>
              </w:rPr>
              <w:t>最大限度</w:t>
            </w:r>
            <w:r>
              <w:rPr>
                <w:rFonts w:hint="eastAsia" w:cs="Times New Roman"/>
                <w:color w:val="000000" w:themeColor="text1"/>
                <w:highlight w:val="none"/>
                <w:lang w:eastAsia="zh-CN"/>
                <w14:textFill>
                  <w14:solidFill>
                    <w14:schemeClr w14:val="tx1"/>
                  </w14:solidFill>
                </w14:textFill>
              </w:rPr>
              <w:t>防止</w:t>
            </w:r>
            <w:r>
              <w:rPr>
                <w:rFonts w:hint="default" w:ascii="Times New Roman" w:hAnsi="Times New Roman" w:cs="Times New Roman"/>
                <w:color w:val="000000" w:themeColor="text1"/>
                <w:highlight w:val="none"/>
                <w14:textFill>
                  <w14:solidFill>
                    <w14:schemeClr w14:val="tx1"/>
                  </w14:solidFill>
                </w14:textFill>
              </w:rPr>
              <w:t>风险事故的发生和有效处置，并结合企业在运营过程中不断制定和完善的风险防范措施和应急预案，在此情况下，建设单位环境风险可以有效防控，对环境的不利影响可以得到有效的控制，项目风险水平在可接受的范围内。</w:t>
            </w:r>
          </w:p>
          <w:p w14:paraId="79A53F2D">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八、环境管理</w:t>
            </w:r>
          </w:p>
          <w:p w14:paraId="11B2D04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环境管理和污染源监测是建设单位内部污染源监督管理的重要组成部分。在企业中建立健全的环保机构，加强环保管理工作，开展厂内环境监测、监督，并把环保工作纳入生产管理，有助于控制和减少污染物的排放、促进资源的合理回用，对减轻环境污染、保护环境有着重要意义。</w:t>
            </w:r>
          </w:p>
          <w:p w14:paraId="687FA6A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（1）环境管理</w:t>
            </w:r>
          </w:p>
          <w:p w14:paraId="04E4D9E5">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1）环境管理目的</w:t>
            </w:r>
          </w:p>
          <w:p w14:paraId="1C5E15C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根据《中华人民共和国环境保护法》（2015年1月1日施行），环境管理目的是：“为保护和改善环境，防治污染和其他公害，保障公众健康，推进生态文明建设，促进经济社会可持续发展”。</w:t>
            </w:r>
          </w:p>
          <w:p w14:paraId="4B73F1BB">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2）环境管理要求</w:t>
            </w:r>
          </w:p>
          <w:p w14:paraId="0F21307C">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①建设单位需设专门的环境管理部门，安排专门环保人员，负责项目运行过程中环境管理、环境监控等工作，并受项目所在地主管部门、生态环境部门的监督和指导。</w:t>
            </w:r>
          </w:p>
          <w:p w14:paraId="7BDD088E">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②安排专人定期对环保设施进行检查、维修、保养等工作，确保环保设施长期、稳定、达标运行。</w:t>
            </w:r>
          </w:p>
          <w:p w14:paraId="366CA6E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③定期对员工进行环境保护教育、培训，增强员工的环保意识。</w:t>
            </w:r>
          </w:p>
          <w:p w14:paraId="4109223A">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（2）严格落实排污许可证制度</w:t>
            </w:r>
          </w:p>
          <w:p w14:paraId="285EDDEB">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1）落实按证排污责任</w:t>
            </w:r>
          </w:p>
          <w:p w14:paraId="6661E376">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14:paraId="0FA7938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2）实行自行监测和定期报告制度</w:t>
            </w:r>
          </w:p>
          <w:p w14:paraId="4C18F561">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依法开展自行监测，安装或使用监测设备应符合国家有关环境监测、计量认证规定和技术规范，保障数据合法有效，保证设备正常运行，妥善保存原始记录，建立准确完整的环境管理台账。如实向生态环境部门报告排污许可证执行情况，依法向社会公开污染物排放数据并对数据真实性负责。排放情况与排污许可证要求不符的，应及时向生态环境部门报告。</w:t>
            </w:r>
          </w:p>
          <w:p w14:paraId="77AFB04B">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（3）排污许可证管理</w:t>
            </w:r>
          </w:p>
          <w:p w14:paraId="512D8BF2">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依据关于印发《关于发布排污许可证承诺书样本、排污许可证申请表和排污许可证格式的通知》的通知（环规财[2018]80号），排污许可证管理要求如下：</w:t>
            </w:r>
          </w:p>
          <w:p w14:paraId="5AD3FE5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1）排污许可证的变更</w:t>
            </w:r>
          </w:p>
          <w:p w14:paraId="338B5BD5">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在排污许可证有效期内，建设单位发生以下事项变化的，应当在规定时间内向原核发机关提出变更排污许可证的申请：排污单位名称、注册地址、法定代表人或者实际负责人等正本中载明的基本信息发生变更之日起二十日内。</w:t>
            </w:r>
          </w:p>
          <w:p w14:paraId="1623296A">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②排污单位在原场址内实施新改扩建项目应当开展环境影响评价的，在通过环境影响评价审批或者备案后，产生实际排污行为之前二十日内。</w:t>
            </w:r>
          </w:p>
          <w:p w14:paraId="771874FA">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③国家或地方实施新污染物排放标准的，核发机关应主动通知排污单位进行变更，排污单位在接到通知后二十日内申请变更。</w:t>
            </w:r>
          </w:p>
          <w:p w14:paraId="464ECCAB">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④政府相关文件或与其他企业达成协议，进行区域替代实现减量排放的，应在文件或协议规定时限内提出变更申请。</w:t>
            </w:r>
          </w:p>
          <w:p w14:paraId="51B235FB">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⑤需要进行变更的其他情形。</w:t>
            </w:r>
          </w:p>
          <w:p w14:paraId="17E6241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2）排污许可证的补办</w:t>
            </w:r>
          </w:p>
          <w:p w14:paraId="0BC3D66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排污许可证发生遗失、损毁的，建设单位应当在三十日内向原核发机关申请补领排污许可证，遗失排污许可证的还应同时提交遗失声明，损毁排污许可证的还应同时交回被损毁的许可证。核发机关应当在收到补领申请后十日内补发排污许可证，并及时在国家排污许可证管理信息平台上进行公告。</w:t>
            </w:r>
          </w:p>
          <w:p w14:paraId="0017431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3）其他相关要求</w:t>
            </w:r>
          </w:p>
          <w:p w14:paraId="56F1CA96">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①排污口位置和数量、排放方式、排放去向、排放污染物种类、排放浓度和排放量、执行的排放标准等符合排污许可证的规定，不得私设暗管或以其他方式逃避监管。</w:t>
            </w:r>
          </w:p>
          <w:p w14:paraId="70BDFB3B">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②落实重污染天气应急管控措施、遵守法律规定的最新环境保护要求等。按排污许可证规定的监测点位、监测因子、监测频次和相关监测技术规范开展自行监测并公开。</w:t>
            </w:r>
          </w:p>
          <w:p w14:paraId="22FCC619">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③按规范进行台账记录，主要内容包括生产信息、燃料、原辅材料使用情况、污染防治设施运行记录、监测数据等。</w:t>
            </w:r>
          </w:p>
          <w:p w14:paraId="2919782C">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④按排污许可证规定，定期在国家排污许可证管理信息平台填报信息，编制排污许可证执行报告，及时报送有核发权的生态环境主管部门并公开，执行报告主要内容包括生产信息、污染防治设施运行情况、污染物按证排放情况等。</w:t>
            </w:r>
          </w:p>
          <w:p w14:paraId="6CA3197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⑤法律法规规定的其他义务。</w:t>
            </w:r>
          </w:p>
          <w:p w14:paraId="5C88AE2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4）根据《关于做好环境影响评价制度与排污许可制衔接相关工作的通知》（环办环评[2017]84号），本项目与排污许可制度衔接工作如下：</w:t>
            </w:r>
          </w:p>
          <w:p w14:paraId="3DFCFD90">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①在排污许可管理中，应严格按照本评价的要求核发排污许可证；</w:t>
            </w:r>
          </w:p>
          <w:p w14:paraId="13726A1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②在核发排污许可证时应严格核定排放口数量、位置以及每个排放口的污染物种类、允许排放浓度和允许排放量、排放方式、排放去向、自行监测计划等与污染物排放相关的主要内容；</w:t>
            </w:r>
          </w:p>
          <w:p w14:paraId="27C8030F">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③项目在发生实际排污行为之前，排污单位应当按照国家环境保护相关法律法规申请排污许可证，不得无证排污或不按证排污。</w:t>
            </w:r>
          </w:p>
          <w:p w14:paraId="57B462DB">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九、排污口规范化措施</w:t>
            </w:r>
          </w:p>
          <w:p w14:paraId="6ABDE2AD">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废水排放口、固定噪声源、固体废物贮存和烟囱（排气筒）必须按照《江西省排污口设置与规范化整治管理办法》进行建设，应符合“一明显、二合理、三便于”的要求，即环保标志明显，排污口设置合理，便于采集样品、便于监测计量、便于公众参与和监督管理。同时要求按照《环境保护图形标志实施细则（试行）》（环监[1996]463号）的规定，设置与排污口相应的图形标志牌。</w:t>
            </w:r>
          </w:p>
          <w:p w14:paraId="460DD1A6">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（1）烟囱（排气筒）设置取样口，并具备采样监测条件，废水排放口设置取样口，附近竖立图形标志牌。</w:t>
            </w:r>
          </w:p>
          <w:p w14:paraId="3F8C1010">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排污口管理。建设单位应在各个排污口处竖立标志牌，并如实填写《中华人民共和国规范化排污口标记登记证》，由生态环境部门签发。生态环境部门和建设单位可分别按以下内容建立排污口管理的专门档案：排污口性质和编号；位置；排放主要污染物种类、数量、浓度；排放去向；达标情况；治理设施运行情况及整改意见。</w:t>
            </w:r>
          </w:p>
          <w:p w14:paraId="7FACCCC4">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（3）环境保护图形标志</w:t>
            </w:r>
          </w:p>
          <w:p w14:paraId="352F42D3">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在厂区的废水排放口、废气排放源、固体废物贮存处置场应设置环境保护图形标志，图形符号分为提示图形和警告图形符号两种，分别按GB15562.1-1995、GB15562.2-1995及修改单执行。环</w:t>
            </w:r>
            <w:r>
              <w:rPr>
                <w:rFonts w:hint="eastAsia" w:cs="Times New Roman"/>
                <w:color w:val="000000" w:themeColor="text1"/>
                <w:highlight w:val="none"/>
                <w:lang w:eastAsia="zh-CN"/>
                <w14:textFill>
                  <w14:solidFill>
                    <w14:schemeClr w14:val="tx1"/>
                  </w14:solidFill>
                </w14:textFill>
              </w:rPr>
              <w:t>境保</w:t>
            </w:r>
            <w:r>
              <w:rPr>
                <w:rFonts w:hint="default" w:ascii="Times New Roman" w:hAnsi="Times New Roman" w:cs="Times New Roman"/>
                <w:color w:val="000000" w:themeColor="text1"/>
                <w:highlight w:val="none"/>
                <w14:textFill>
                  <w14:solidFill>
                    <w14:schemeClr w14:val="tx1"/>
                  </w14:solidFill>
                </w14:textFill>
              </w:rPr>
              <w:t>护图形标志的形状及颜色及环境保护图形符号如下：</w:t>
            </w:r>
          </w:p>
          <w:p w14:paraId="6DC45568">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 xml:space="preserve">表4- </w:t>
            </w:r>
            <w:r>
              <w:rPr>
                <w:rFonts w:hint="default" w:ascii="Times New Roman" w:hAnsi="Times New Roman" w:cs="Times New Roman"/>
                <w:color w:val="000000" w:themeColor="text1"/>
                <w:highlight w:val="none"/>
                <w:lang w:val="en-US" w:eastAsia="zh-CN"/>
                <w14:textFill>
                  <w14:solidFill>
                    <w14:schemeClr w14:val="tx1"/>
                  </w14:solidFill>
                </w14:textFill>
              </w:rPr>
              <w:t>22</w:t>
            </w:r>
            <w:r>
              <w:rPr>
                <w:rFonts w:hint="default" w:ascii="Times New Roman" w:hAnsi="Times New Roman" w:cs="Times New Roman"/>
                <w:color w:val="000000" w:themeColor="text1"/>
                <w:highlight w:val="none"/>
                <w14:textFill>
                  <w14:solidFill>
                    <w14:schemeClr w14:val="tx1"/>
                  </w14:solidFill>
                </w14:textFill>
              </w:rPr>
              <w:t>：环境保护图形标志的形状及颜色表</w:t>
            </w:r>
          </w:p>
          <w:tbl>
            <w:tblPr>
              <w:tblStyle w:val="4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2360"/>
              <w:gridCol w:w="2025"/>
              <w:gridCol w:w="2027"/>
              <w:gridCol w:w="2027"/>
            </w:tblGrid>
            <w:tr w14:paraId="206D5B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98" w:type="pct"/>
                  <w:tcBorders>
                    <w:insideH w:val="single" w:sz="12" w:space="0"/>
                    <w:insideV w:val="single" w:sz="4" w:space="0"/>
                    <w:tl2br w:val="nil"/>
                    <w:tr2bl w:val="nil"/>
                  </w:tcBorders>
                  <w:vAlign w:val="center"/>
                </w:tcPr>
                <w:p w14:paraId="3EC18D31">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lang w:bidi="ar"/>
                      <w14:textFill>
                        <w14:solidFill>
                          <w14:schemeClr w14:val="tx1"/>
                        </w14:solidFill>
                      </w14:textFill>
                      <w14:ligatures w14:val="standardContextual"/>
                    </w:rPr>
                    <w:t>标志名称</w:t>
                  </w:r>
                </w:p>
              </w:tc>
              <w:tc>
                <w:tcPr>
                  <w:tcW w:w="1199" w:type="pct"/>
                  <w:tcBorders>
                    <w:insideH w:val="single" w:sz="12" w:space="0"/>
                    <w:insideV w:val="single" w:sz="4" w:space="0"/>
                    <w:tl2br w:val="nil"/>
                    <w:tr2bl w:val="nil"/>
                  </w:tcBorders>
                  <w:vAlign w:val="center"/>
                </w:tcPr>
                <w:p w14:paraId="69912123">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lang w:bidi="ar"/>
                      <w14:textFill>
                        <w14:solidFill>
                          <w14:schemeClr w14:val="tx1"/>
                        </w14:solidFill>
                      </w14:textFill>
                      <w14:ligatures w14:val="standardContextual"/>
                    </w:rPr>
                    <w:t>形状</w:t>
                  </w:r>
                </w:p>
              </w:tc>
              <w:tc>
                <w:tcPr>
                  <w:tcW w:w="1200" w:type="pct"/>
                  <w:tcBorders>
                    <w:insideH w:val="single" w:sz="12" w:space="0"/>
                    <w:insideV w:val="single" w:sz="4" w:space="0"/>
                    <w:tl2br w:val="nil"/>
                    <w:tr2bl w:val="nil"/>
                  </w:tcBorders>
                  <w:vAlign w:val="center"/>
                </w:tcPr>
                <w:p w14:paraId="197A1C6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lang w:bidi="ar"/>
                      <w14:textFill>
                        <w14:solidFill>
                          <w14:schemeClr w14:val="tx1"/>
                        </w14:solidFill>
                      </w14:textFill>
                      <w14:ligatures w14:val="standardContextual"/>
                    </w:rPr>
                    <w:t>背景颜色</w:t>
                  </w:r>
                </w:p>
              </w:tc>
              <w:tc>
                <w:tcPr>
                  <w:tcW w:w="1200" w:type="pct"/>
                  <w:tcBorders>
                    <w:insideH w:val="single" w:sz="12" w:space="0"/>
                    <w:insideV w:val="single" w:sz="4" w:space="0"/>
                    <w:tl2br w:val="nil"/>
                    <w:tr2bl w:val="nil"/>
                  </w:tcBorders>
                  <w:vAlign w:val="center"/>
                </w:tcPr>
                <w:p w14:paraId="5881B695">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lang w:bidi="ar"/>
                      <w14:textFill>
                        <w14:solidFill>
                          <w14:schemeClr w14:val="tx1"/>
                        </w14:solidFill>
                      </w14:textFill>
                      <w14:ligatures w14:val="standardContextual"/>
                    </w:rPr>
                    <w:t>图形颜色</w:t>
                  </w:r>
                </w:p>
              </w:tc>
            </w:tr>
            <w:tr w14:paraId="6F62E6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98" w:type="pct"/>
                  <w:tcBorders>
                    <w:tl2br w:val="nil"/>
                    <w:tr2bl w:val="nil"/>
                  </w:tcBorders>
                  <w:vAlign w:val="center"/>
                </w:tcPr>
                <w:p w14:paraId="43DAA78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警告标志</w:t>
                  </w:r>
                </w:p>
              </w:tc>
              <w:tc>
                <w:tcPr>
                  <w:tcW w:w="1199" w:type="pct"/>
                  <w:tcBorders>
                    <w:tl2br w:val="nil"/>
                    <w:tr2bl w:val="nil"/>
                  </w:tcBorders>
                  <w:vAlign w:val="center"/>
                </w:tcPr>
                <w:p w14:paraId="12EA566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三角形边框</w:t>
                  </w:r>
                </w:p>
              </w:tc>
              <w:tc>
                <w:tcPr>
                  <w:tcW w:w="1200" w:type="pct"/>
                  <w:tcBorders>
                    <w:tl2br w:val="nil"/>
                    <w:tr2bl w:val="nil"/>
                  </w:tcBorders>
                  <w:vAlign w:val="center"/>
                </w:tcPr>
                <w:p w14:paraId="2967617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黄色</w:t>
                  </w:r>
                </w:p>
              </w:tc>
              <w:tc>
                <w:tcPr>
                  <w:tcW w:w="1200" w:type="pct"/>
                  <w:tcBorders>
                    <w:tl2br w:val="nil"/>
                    <w:tr2bl w:val="nil"/>
                  </w:tcBorders>
                  <w:vAlign w:val="center"/>
                </w:tcPr>
                <w:p w14:paraId="53B6AB76">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黑色</w:t>
                  </w:r>
                </w:p>
              </w:tc>
            </w:tr>
            <w:tr w14:paraId="034DD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398" w:type="pct"/>
                  <w:tcBorders>
                    <w:tl2br w:val="nil"/>
                    <w:tr2bl w:val="nil"/>
                  </w:tcBorders>
                  <w:vAlign w:val="center"/>
                </w:tcPr>
                <w:p w14:paraId="29AA648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提示标志</w:t>
                  </w:r>
                </w:p>
              </w:tc>
              <w:tc>
                <w:tcPr>
                  <w:tcW w:w="1199" w:type="pct"/>
                  <w:tcBorders>
                    <w:tl2br w:val="nil"/>
                    <w:tr2bl w:val="nil"/>
                  </w:tcBorders>
                  <w:vAlign w:val="center"/>
                </w:tcPr>
                <w:p w14:paraId="670FA4F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正方形边框</w:t>
                  </w:r>
                </w:p>
              </w:tc>
              <w:tc>
                <w:tcPr>
                  <w:tcW w:w="1200" w:type="pct"/>
                  <w:tcBorders>
                    <w:tl2br w:val="nil"/>
                    <w:tr2bl w:val="nil"/>
                  </w:tcBorders>
                  <w:vAlign w:val="center"/>
                </w:tcPr>
                <w:p w14:paraId="6CCE324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绿色</w:t>
                  </w:r>
                </w:p>
              </w:tc>
              <w:tc>
                <w:tcPr>
                  <w:tcW w:w="1200" w:type="pct"/>
                  <w:tcBorders>
                    <w:tl2br w:val="nil"/>
                    <w:tr2bl w:val="nil"/>
                  </w:tcBorders>
                  <w:vAlign w:val="center"/>
                </w:tcPr>
                <w:p w14:paraId="0B344B1F">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白色</w:t>
                  </w:r>
                </w:p>
              </w:tc>
            </w:tr>
          </w:tbl>
          <w:p w14:paraId="25B72E7A">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 xml:space="preserve">表4- </w:t>
            </w:r>
            <w:r>
              <w:rPr>
                <w:rFonts w:hint="default" w:ascii="Times New Roman" w:hAnsi="Times New Roman" w:cs="Times New Roman"/>
                <w:color w:val="000000" w:themeColor="text1"/>
                <w:highlight w:val="none"/>
                <w:lang w:val="en-US" w:eastAsia="zh-CN"/>
                <w14:textFill>
                  <w14:solidFill>
                    <w14:schemeClr w14:val="tx1"/>
                  </w14:solidFill>
                </w14:textFill>
              </w:rPr>
              <w:t>23</w:t>
            </w:r>
            <w:r>
              <w:rPr>
                <w:rFonts w:hint="default" w:ascii="Times New Roman" w:hAnsi="Times New Roman" w:cs="Times New Roman"/>
                <w:color w:val="000000" w:themeColor="text1"/>
                <w:highlight w:val="none"/>
                <w14:textFill>
                  <w14:solidFill>
                    <w14:schemeClr w14:val="tx1"/>
                  </w14:solidFill>
                </w14:textFill>
              </w:rPr>
              <w:t>：环境保护图形符号一览表</w:t>
            </w:r>
          </w:p>
          <w:tbl>
            <w:tblPr>
              <w:tblStyle w:val="4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07"/>
              <w:gridCol w:w="2369"/>
              <w:gridCol w:w="1694"/>
              <w:gridCol w:w="926"/>
              <w:gridCol w:w="3043"/>
            </w:tblGrid>
            <w:tr w14:paraId="0F7CB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1" w:type="pct"/>
                  <w:tcBorders>
                    <w:top w:val="single" w:color="auto" w:sz="12" w:space="0"/>
                    <w:left w:val="nil"/>
                    <w:bottom w:val="single" w:color="auto" w:sz="12" w:space="0"/>
                    <w:right w:val="single" w:color="auto" w:sz="4" w:space="0"/>
                    <w:insideH w:val="single" w:sz="12" w:space="0"/>
                    <w:insideV w:val="single" w:sz="4" w:space="0"/>
                    <w:tl2br w:val="nil"/>
                    <w:tr2bl w:val="nil"/>
                  </w:tcBorders>
                  <w:vAlign w:val="center"/>
                </w:tcPr>
                <w:p w14:paraId="04CB10C7">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lang w:bidi="ar"/>
                      <w14:textFill>
                        <w14:solidFill>
                          <w14:schemeClr w14:val="tx1"/>
                        </w14:solidFill>
                      </w14:textFill>
                      <w14:ligatures w14:val="standardContextual"/>
                    </w:rPr>
                    <w:t>序号</w:t>
                  </w:r>
                </w:p>
              </w:tc>
              <w:tc>
                <w:tcPr>
                  <w:tcW w:w="140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1587D136">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lang w:bidi="ar"/>
                      <w14:textFill>
                        <w14:solidFill>
                          <w14:schemeClr w14:val="tx1"/>
                        </w14:solidFill>
                      </w14:textFill>
                      <w14:ligatures w14:val="standardContextual"/>
                    </w:rPr>
                    <w:t>提示图标符号</w:t>
                  </w:r>
                </w:p>
              </w:tc>
              <w:tc>
                <w:tcPr>
                  <w:tcW w:w="1003"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E506A8B">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lang w:bidi="ar"/>
                      <w14:textFill>
                        <w14:solidFill>
                          <w14:schemeClr w14:val="tx1"/>
                        </w14:solidFill>
                      </w14:textFill>
                      <w14:ligatures w14:val="standardContextual"/>
                    </w:rPr>
                    <w:t>警告图标符号</w:t>
                  </w:r>
                </w:p>
              </w:tc>
              <w:tc>
                <w:tcPr>
                  <w:tcW w:w="548" w:type="pct"/>
                  <w:tcBorders>
                    <w:top w:val="single" w:color="auto" w:sz="12" w:space="0"/>
                    <w:bottom w:val="single" w:color="auto" w:sz="12" w:space="0"/>
                    <w:right w:val="single" w:color="auto" w:sz="4" w:space="0"/>
                    <w:insideH w:val="single" w:sz="12" w:space="0"/>
                    <w:insideV w:val="single" w:sz="4" w:space="0"/>
                    <w:tl2br w:val="nil"/>
                    <w:tr2bl w:val="nil"/>
                  </w:tcBorders>
                  <w:vAlign w:val="center"/>
                </w:tcPr>
                <w:p w14:paraId="461CF2F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lang w:bidi="ar"/>
                      <w14:textFill>
                        <w14:solidFill>
                          <w14:schemeClr w14:val="tx1"/>
                        </w14:solidFill>
                      </w14:textFill>
                      <w14:ligatures w14:val="standardContextual"/>
                    </w:rPr>
                    <w:t>名称</w:t>
                  </w:r>
                </w:p>
              </w:tc>
              <w:tc>
                <w:tcPr>
                  <w:tcW w:w="1803" w:type="pct"/>
                  <w:tcBorders>
                    <w:top w:val="single" w:color="auto" w:sz="12" w:space="0"/>
                    <w:bottom w:val="single" w:color="auto" w:sz="12" w:space="0"/>
                    <w:right w:val="nil"/>
                    <w:insideH w:val="single" w:sz="12" w:space="0"/>
                    <w:insideV w:val="single" w:sz="4" w:space="0"/>
                    <w:tl2br w:val="nil"/>
                    <w:tr2bl w:val="nil"/>
                  </w:tcBorders>
                  <w:vAlign w:val="center"/>
                </w:tcPr>
                <w:p w14:paraId="20BFCDA2">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rPr>
                      <w:rFonts w:hint="default" w:ascii="Times New Roman" w:hAnsi="Times New Roman" w:eastAsia="宋体" w:cs="Times New Roman"/>
                      <w:b/>
                      <w:i w:val="0"/>
                      <w:color w:val="000000" w:themeColor="text1"/>
                      <w:sz w:val="21"/>
                      <w:szCs w:val="21"/>
                      <w:highlight w:val="none"/>
                      <w14:textFill>
                        <w14:solidFill>
                          <w14:schemeClr w14:val="tx1"/>
                        </w14:solidFill>
                      </w14:textFill>
                      <w14:ligatures w14:val="standardContextual"/>
                    </w:rPr>
                  </w:pPr>
                  <w:r>
                    <w:rPr>
                      <w:rFonts w:hint="default" w:ascii="Times New Roman" w:hAnsi="Times New Roman" w:eastAsia="宋体" w:cs="Times New Roman"/>
                      <w:b/>
                      <w:i w:val="0"/>
                      <w:color w:val="000000" w:themeColor="text1"/>
                      <w:sz w:val="21"/>
                      <w:szCs w:val="21"/>
                      <w:highlight w:val="none"/>
                      <w:lang w:bidi="ar"/>
                      <w14:textFill>
                        <w14:solidFill>
                          <w14:schemeClr w14:val="tx1"/>
                        </w14:solidFill>
                      </w14:textFill>
                      <w14:ligatures w14:val="standardContextual"/>
                    </w:rPr>
                    <w:t>功能</w:t>
                  </w:r>
                </w:p>
              </w:tc>
            </w:tr>
            <w:tr w14:paraId="0FCC87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1" w:type="pct"/>
                  <w:vAlign w:val="center"/>
                </w:tcPr>
                <w:p w14:paraId="06462724">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1</w:t>
                  </w:r>
                </w:p>
              </w:tc>
              <w:tc>
                <w:tcPr>
                  <w:tcW w:w="1403" w:type="pct"/>
                  <w:vAlign w:val="center"/>
                </w:tcPr>
                <w:p w14:paraId="60DAF155">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drawing>
                      <wp:inline distT="0" distB="0" distL="114300" distR="114300">
                        <wp:extent cx="717550" cy="730250"/>
                        <wp:effectExtent l="0" t="0" r="6350" b="12700"/>
                        <wp:docPr id="41"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descr="IMG_257"/>
                                <pic:cNvPicPr>
                                  <a:picLocks noChangeAspect="1"/>
                                </pic:cNvPicPr>
                              </pic:nvPicPr>
                              <pic:blipFill>
                                <a:blip r:embed="rId27"/>
                                <a:stretch>
                                  <a:fillRect/>
                                </a:stretch>
                              </pic:blipFill>
                              <pic:spPr>
                                <a:xfrm>
                                  <a:off x="0" y="0"/>
                                  <a:ext cx="717550" cy="730250"/>
                                </a:xfrm>
                                <a:prstGeom prst="rect">
                                  <a:avLst/>
                                </a:prstGeom>
                                <a:noFill/>
                                <a:ln w="9525">
                                  <a:noFill/>
                                </a:ln>
                              </pic:spPr>
                            </pic:pic>
                          </a:graphicData>
                        </a:graphic>
                      </wp:inline>
                    </w:drawing>
                  </w:r>
                </w:p>
              </w:tc>
              <w:tc>
                <w:tcPr>
                  <w:tcW w:w="1003" w:type="pct"/>
                  <w:vAlign w:val="center"/>
                </w:tcPr>
                <w:p w14:paraId="742E70D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drawing>
                      <wp:inline distT="0" distB="0" distL="114300" distR="114300">
                        <wp:extent cx="542925" cy="533400"/>
                        <wp:effectExtent l="0" t="0" r="9525" b="0"/>
                        <wp:docPr id="37"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descr="IMG_258"/>
                                <pic:cNvPicPr>
                                  <a:picLocks noChangeAspect="1"/>
                                </pic:cNvPicPr>
                              </pic:nvPicPr>
                              <pic:blipFill>
                                <a:blip r:embed="rId28"/>
                                <a:stretch>
                                  <a:fillRect/>
                                </a:stretch>
                              </pic:blipFill>
                              <pic:spPr>
                                <a:xfrm>
                                  <a:off x="0" y="0"/>
                                  <a:ext cx="542925" cy="533400"/>
                                </a:xfrm>
                                <a:prstGeom prst="rect">
                                  <a:avLst/>
                                </a:prstGeom>
                                <a:noFill/>
                                <a:ln w="9525">
                                  <a:noFill/>
                                </a:ln>
                              </pic:spPr>
                            </pic:pic>
                          </a:graphicData>
                        </a:graphic>
                      </wp:inline>
                    </w:drawing>
                  </w:r>
                </w:p>
              </w:tc>
              <w:tc>
                <w:tcPr>
                  <w:tcW w:w="548" w:type="pct"/>
                  <w:vAlign w:val="center"/>
                </w:tcPr>
                <w:p w14:paraId="585FD20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废水排放口</w:t>
                  </w:r>
                </w:p>
              </w:tc>
              <w:tc>
                <w:tcPr>
                  <w:tcW w:w="1803" w:type="pct"/>
                  <w:vAlign w:val="center"/>
                </w:tcPr>
                <w:p w14:paraId="66B35A2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表示废水向水体排放</w:t>
                  </w:r>
                </w:p>
              </w:tc>
            </w:tr>
            <w:tr w14:paraId="327C4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1" w:type="pct"/>
                  <w:vAlign w:val="center"/>
                </w:tcPr>
                <w:p w14:paraId="4476CB8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2</w:t>
                  </w:r>
                </w:p>
              </w:tc>
              <w:tc>
                <w:tcPr>
                  <w:tcW w:w="1403" w:type="pct"/>
                  <w:vAlign w:val="center"/>
                </w:tcPr>
                <w:p w14:paraId="0FFE736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drawing>
                      <wp:inline distT="0" distB="0" distL="114300" distR="114300">
                        <wp:extent cx="692150" cy="692150"/>
                        <wp:effectExtent l="0" t="0" r="12700" b="12700"/>
                        <wp:docPr id="39" name="图片 2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descr="IMG_259"/>
                                <pic:cNvPicPr>
                                  <a:picLocks noChangeAspect="1"/>
                                </pic:cNvPicPr>
                              </pic:nvPicPr>
                              <pic:blipFill>
                                <a:blip r:embed="rId29"/>
                                <a:stretch>
                                  <a:fillRect/>
                                </a:stretch>
                              </pic:blipFill>
                              <pic:spPr>
                                <a:xfrm>
                                  <a:off x="0" y="0"/>
                                  <a:ext cx="692150" cy="692150"/>
                                </a:xfrm>
                                <a:prstGeom prst="rect">
                                  <a:avLst/>
                                </a:prstGeom>
                                <a:noFill/>
                                <a:ln w="9525">
                                  <a:noFill/>
                                </a:ln>
                              </pic:spPr>
                            </pic:pic>
                          </a:graphicData>
                        </a:graphic>
                      </wp:inline>
                    </w:drawing>
                  </w:r>
                </w:p>
              </w:tc>
              <w:tc>
                <w:tcPr>
                  <w:tcW w:w="1003" w:type="pct"/>
                  <w:vAlign w:val="center"/>
                </w:tcPr>
                <w:p w14:paraId="482C4C4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drawing>
                      <wp:inline distT="0" distB="0" distL="114300" distR="114300">
                        <wp:extent cx="571500" cy="561975"/>
                        <wp:effectExtent l="0" t="0" r="0" b="9525"/>
                        <wp:docPr id="36" name="图片 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IMG_260"/>
                                <pic:cNvPicPr>
                                  <a:picLocks noChangeAspect="1"/>
                                </pic:cNvPicPr>
                              </pic:nvPicPr>
                              <pic:blipFill>
                                <a:blip r:embed="rId30"/>
                                <a:stretch>
                                  <a:fillRect/>
                                </a:stretch>
                              </pic:blipFill>
                              <pic:spPr>
                                <a:xfrm>
                                  <a:off x="0" y="0"/>
                                  <a:ext cx="571500" cy="561975"/>
                                </a:xfrm>
                                <a:prstGeom prst="rect">
                                  <a:avLst/>
                                </a:prstGeom>
                                <a:noFill/>
                                <a:ln w="9525">
                                  <a:noFill/>
                                </a:ln>
                              </pic:spPr>
                            </pic:pic>
                          </a:graphicData>
                        </a:graphic>
                      </wp:inline>
                    </w:drawing>
                  </w:r>
                </w:p>
              </w:tc>
              <w:tc>
                <w:tcPr>
                  <w:tcW w:w="548" w:type="pct"/>
                  <w:vAlign w:val="center"/>
                </w:tcPr>
                <w:p w14:paraId="58BB08A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废气排放口</w:t>
                  </w:r>
                </w:p>
              </w:tc>
              <w:tc>
                <w:tcPr>
                  <w:tcW w:w="1803" w:type="pct"/>
                  <w:vAlign w:val="center"/>
                </w:tcPr>
                <w:p w14:paraId="127E28B8">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表示废气大气排放</w:t>
                  </w:r>
                </w:p>
              </w:tc>
            </w:tr>
            <w:tr w14:paraId="5C3B6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1" w:type="pct"/>
                  <w:vAlign w:val="center"/>
                </w:tcPr>
                <w:p w14:paraId="27F6D81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3</w:t>
                  </w:r>
                </w:p>
              </w:tc>
              <w:tc>
                <w:tcPr>
                  <w:tcW w:w="1403" w:type="pct"/>
                  <w:vAlign w:val="center"/>
                </w:tcPr>
                <w:p w14:paraId="6A3BEC5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drawing>
                      <wp:inline distT="0" distB="0" distL="114300" distR="114300">
                        <wp:extent cx="640080" cy="640080"/>
                        <wp:effectExtent l="0" t="0" r="7620" b="7620"/>
                        <wp:docPr id="38" name="图片 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descr="IMG_261"/>
                                <pic:cNvPicPr>
                                  <a:picLocks noChangeAspect="1"/>
                                </pic:cNvPicPr>
                              </pic:nvPicPr>
                              <pic:blipFill>
                                <a:blip r:embed="rId31"/>
                                <a:stretch>
                                  <a:fillRect/>
                                </a:stretch>
                              </pic:blipFill>
                              <pic:spPr>
                                <a:xfrm>
                                  <a:off x="0" y="0"/>
                                  <a:ext cx="640080" cy="640080"/>
                                </a:xfrm>
                                <a:prstGeom prst="rect">
                                  <a:avLst/>
                                </a:prstGeom>
                                <a:noFill/>
                                <a:ln w="9525">
                                  <a:noFill/>
                                </a:ln>
                              </pic:spPr>
                            </pic:pic>
                          </a:graphicData>
                        </a:graphic>
                      </wp:inline>
                    </w:drawing>
                  </w:r>
                </w:p>
              </w:tc>
              <w:tc>
                <w:tcPr>
                  <w:tcW w:w="1003" w:type="pct"/>
                  <w:vAlign w:val="center"/>
                </w:tcPr>
                <w:p w14:paraId="7771549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drawing>
                      <wp:inline distT="0" distB="0" distL="114300" distR="114300">
                        <wp:extent cx="523875" cy="485775"/>
                        <wp:effectExtent l="0" t="0" r="9525" b="9525"/>
                        <wp:docPr id="40" name="图片 3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descr="IMG_262"/>
                                <pic:cNvPicPr>
                                  <a:picLocks noChangeAspect="1"/>
                                </pic:cNvPicPr>
                              </pic:nvPicPr>
                              <pic:blipFill>
                                <a:blip r:embed="rId32"/>
                                <a:stretch>
                                  <a:fillRect/>
                                </a:stretch>
                              </pic:blipFill>
                              <pic:spPr>
                                <a:xfrm>
                                  <a:off x="0" y="0"/>
                                  <a:ext cx="523875" cy="485775"/>
                                </a:xfrm>
                                <a:prstGeom prst="rect">
                                  <a:avLst/>
                                </a:prstGeom>
                                <a:noFill/>
                                <a:ln w="9525">
                                  <a:noFill/>
                                </a:ln>
                              </pic:spPr>
                            </pic:pic>
                          </a:graphicData>
                        </a:graphic>
                      </wp:inline>
                    </w:drawing>
                  </w:r>
                </w:p>
              </w:tc>
              <w:tc>
                <w:tcPr>
                  <w:tcW w:w="548" w:type="pct"/>
                  <w:vAlign w:val="center"/>
                </w:tcPr>
                <w:p w14:paraId="2BBA2742">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spacing w:val="-1"/>
                      <w14:textFill>
                        <w14:solidFill>
                          <w14:schemeClr w14:val="tx1"/>
                        </w14:solidFill>
                      </w14:textFill>
                      <w14:ligatures w14:val="standardContextual"/>
                    </w:rPr>
                    <w:t>一般固体</w:t>
                  </w:r>
                  <w:r>
                    <w:rPr>
                      <w:rFonts w:hint="default" w:ascii="Times New Roman" w:hAnsi="Times New Roman" w:cs="Times New Roman"/>
                      <w:color w:val="000000" w:themeColor="text1"/>
                      <w:spacing w:val="-2"/>
                      <w14:textFill>
                        <w14:solidFill>
                          <w14:schemeClr w14:val="tx1"/>
                        </w14:solidFill>
                      </w14:textFill>
                      <w14:ligatures w14:val="standardContextual"/>
                    </w:rPr>
                    <w:t>废物</w:t>
                  </w:r>
                </w:p>
              </w:tc>
              <w:tc>
                <w:tcPr>
                  <w:tcW w:w="1803" w:type="pct"/>
                  <w:vAlign w:val="center"/>
                </w:tcPr>
                <w:p w14:paraId="42BE5E0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表示一般固体废物贮存、处置场</w:t>
                  </w:r>
                </w:p>
              </w:tc>
            </w:tr>
            <w:tr w14:paraId="05851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1" w:type="pct"/>
                  <w:vAlign w:val="center"/>
                </w:tcPr>
                <w:p w14:paraId="1D0AB6FA">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4</w:t>
                  </w:r>
                </w:p>
              </w:tc>
              <w:tc>
                <w:tcPr>
                  <w:tcW w:w="1403" w:type="pct"/>
                  <w:vAlign w:val="center"/>
                </w:tcPr>
                <w:p w14:paraId="6430F1E3">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drawing>
                      <wp:inline distT="0" distB="0" distL="114300" distR="114300">
                        <wp:extent cx="680720" cy="680720"/>
                        <wp:effectExtent l="0" t="0" r="5080" b="5080"/>
                        <wp:docPr id="44" name="图片 3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1" descr="IMG_263"/>
                                <pic:cNvPicPr>
                                  <a:picLocks noChangeAspect="1"/>
                                </pic:cNvPicPr>
                              </pic:nvPicPr>
                              <pic:blipFill>
                                <a:blip r:embed="rId33"/>
                                <a:stretch>
                                  <a:fillRect/>
                                </a:stretch>
                              </pic:blipFill>
                              <pic:spPr>
                                <a:xfrm>
                                  <a:off x="0" y="0"/>
                                  <a:ext cx="680720" cy="680720"/>
                                </a:xfrm>
                                <a:prstGeom prst="rect">
                                  <a:avLst/>
                                </a:prstGeom>
                                <a:noFill/>
                                <a:ln w="9525">
                                  <a:noFill/>
                                </a:ln>
                              </pic:spPr>
                            </pic:pic>
                          </a:graphicData>
                        </a:graphic>
                      </wp:inline>
                    </w:drawing>
                  </w:r>
                </w:p>
              </w:tc>
              <w:tc>
                <w:tcPr>
                  <w:tcW w:w="1003" w:type="pct"/>
                  <w:vAlign w:val="center"/>
                </w:tcPr>
                <w:p w14:paraId="1B13A98D">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drawing>
                      <wp:inline distT="0" distB="0" distL="114300" distR="114300">
                        <wp:extent cx="657225" cy="581025"/>
                        <wp:effectExtent l="0" t="0" r="9525" b="9525"/>
                        <wp:docPr id="45" name="图片 3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2" descr="IMG_264"/>
                                <pic:cNvPicPr>
                                  <a:picLocks noChangeAspect="1"/>
                                </pic:cNvPicPr>
                              </pic:nvPicPr>
                              <pic:blipFill>
                                <a:blip r:embed="rId34"/>
                                <a:stretch>
                                  <a:fillRect/>
                                </a:stretch>
                              </pic:blipFill>
                              <pic:spPr>
                                <a:xfrm>
                                  <a:off x="0" y="0"/>
                                  <a:ext cx="657225" cy="581025"/>
                                </a:xfrm>
                                <a:prstGeom prst="rect">
                                  <a:avLst/>
                                </a:prstGeom>
                                <a:noFill/>
                                <a:ln w="9525">
                                  <a:noFill/>
                                </a:ln>
                              </pic:spPr>
                            </pic:pic>
                          </a:graphicData>
                        </a:graphic>
                      </wp:inline>
                    </w:drawing>
                  </w:r>
                </w:p>
              </w:tc>
              <w:tc>
                <w:tcPr>
                  <w:tcW w:w="548" w:type="pct"/>
                  <w:vAlign w:val="center"/>
                </w:tcPr>
                <w:p w14:paraId="5233C790">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噪声排放源</w:t>
                  </w:r>
                </w:p>
              </w:tc>
              <w:tc>
                <w:tcPr>
                  <w:tcW w:w="1803" w:type="pct"/>
                  <w:vAlign w:val="center"/>
                </w:tcPr>
                <w:p w14:paraId="31F41256">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spacing w:val="-2"/>
                      <w14:textFill>
                        <w14:solidFill>
                          <w14:schemeClr w14:val="tx1"/>
                        </w14:solidFill>
                      </w14:textFill>
                      <w14:ligatures w14:val="standardContextual"/>
                    </w:rPr>
                    <w:t>表示噪声向外环境排放</w:t>
                  </w:r>
                </w:p>
              </w:tc>
            </w:tr>
            <w:tr w14:paraId="62FFA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41" w:type="pct"/>
                  <w:vAlign w:val="center"/>
                </w:tcPr>
                <w:p w14:paraId="6991C0CC">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5</w:t>
                  </w:r>
                </w:p>
              </w:tc>
              <w:tc>
                <w:tcPr>
                  <w:tcW w:w="1403" w:type="pct"/>
                  <w:vAlign w:val="center"/>
                </w:tcPr>
                <w:p w14:paraId="6912776B">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drawing>
                      <wp:inline distT="0" distB="0" distL="114300" distR="114300">
                        <wp:extent cx="1417320" cy="895350"/>
                        <wp:effectExtent l="0" t="0" r="1143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a:stretch>
                                  <a:fillRect/>
                                </a:stretch>
                              </pic:blipFill>
                              <pic:spPr>
                                <a:xfrm>
                                  <a:off x="0" y="0"/>
                                  <a:ext cx="1417320" cy="895350"/>
                                </a:xfrm>
                                <a:prstGeom prst="rect">
                                  <a:avLst/>
                                </a:prstGeom>
                                <a:noFill/>
                                <a:ln>
                                  <a:noFill/>
                                </a:ln>
                              </pic:spPr>
                            </pic:pic>
                          </a:graphicData>
                        </a:graphic>
                      </wp:inline>
                    </w:drawing>
                  </w:r>
                </w:p>
              </w:tc>
              <w:tc>
                <w:tcPr>
                  <w:tcW w:w="1003" w:type="pct"/>
                  <w:vAlign w:val="center"/>
                </w:tcPr>
                <w:p w14:paraId="6BABA9E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14:textFill>
                        <w14:solidFill>
                          <w14:schemeClr w14:val="tx1"/>
                        </w14:solidFill>
                      </w14:textFill>
                      <w14:ligatures w14:val="standardContextual"/>
                    </w:rPr>
                    <w:drawing>
                      <wp:inline distT="0" distB="0" distL="0" distR="0">
                        <wp:extent cx="658495" cy="579120"/>
                        <wp:effectExtent l="0" t="0" r="8255"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58800" cy="579600"/>
                                </a:xfrm>
                                <a:prstGeom prst="rect">
                                  <a:avLst/>
                                </a:prstGeom>
                                <a:noFill/>
                                <a:ln w="9525">
                                  <a:noFill/>
                                </a:ln>
                              </pic:spPr>
                            </pic:pic>
                          </a:graphicData>
                        </a:graphic>
                      </wp:inline>
                    </w:drawing>
                  </w:r>
                </w:p>
              </w:tc>
              <w:tc>
                <w:tcPr>
                  <w:tcW w:w="548" w:type="pct"/>
                  <w:vAlign w:val="center"/>
                </w:tcPr>
                <w:p w14:paraId="48F2C497">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危险废物</w:t>
                  </w:r>
                </w:p>
              </w:tc>
              <w:tc>
                <w:tcPr>
                  <w:tcW w:w="1803" w:type="pct"/>
                  <w:vAlign w:val="center"/>
                </w:tcPr>
                <w:p w14:paraId="17F60C61">
                  <w:pPr>
                    <w:widowControl w:val="0"/>
                    <w:overflowPunct w:val="0"/>
                    <w:autoSpaceDE w:val="0"/>
                    <w:autoSpaceDN w:val="0"/>
                    <w:snapToGrid w:val="0"/>
                    <w:jc w:val="center"/>
                    <w:rPr>
                      <w:rFonts w:hint="default" w:ascii="Times New Roman" w:hAnsi="Times New Roman" w:cs="Times New Roman"/>
                      <w:color w:val="000000" w:themeColor="text1"/>
                      <w:highlight w:val="none"/>
                      <w14:textFill>
                        <w14:solidFill>
                          <w14:schemeClr w14:val="tx1"/>
                        </w14:solidFill>
                      </w14:textFill>
                      <w14:ligatures w14:val="standardContextual"/>
                    </w:rPr>
                  </w:pPr>
                  <w:r>
                    <w:rPr>
                      <w:rFonts w:hint="default" w:ascii="Times New Roman" w:hAnsi="Times New Roman" w:cs="Times New Roman"/>
                      <w:color w:val="000000" w:themeColor="text1"/>
                      <w:highlight w:val="none"/>
                      <w:lang w:bidi="ar"/>
                      <w14:textFill>
                        <w14:solidFill>
                          <w14:schemeClr w14:val="tx1"/>
                        </w14:solidFill>
                      </w14:textFill>
                      <w14:ligatures w14:val="standardContextual"/>
                    </w:rPr>
                    <w:t>表示危险废物贮存、处置场</w:t>
                  </w:r>
                </w:p>
              </w:tc>
            </w:tr>
          </w:tbl>
          <w:p w14:paraId="0E2A961C">
            <w:pPr>
              <w:pStyle w:val="7"/>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十、环保投资</w:t>
            </w:r>
          </w:p>
          <w:p w14:paraId="2787D928">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本项目实施后运营期</w:t>
            </w:r>
            <w:r>
              <w:rPr>
                <w:rFonts w:hint="default" w:ascii="Times New Roman" w:hAnsi="Times New Roman" w:cs="Times New Roman"/>
                <w:color w:val="000000" w:themeColor="text1"/>
                <w:highlight w:val="none"/>
                <w:lang w:val="en-US" w:eastAsia="zh-CN"/>
                <w14:textFill>
                  <w14:solidFill>
                    <w14:schemeClr w14:val="tx1"/>
                  </w14:solidFill>
                </w14:textFill>
              </w:rPr>
              <w:t>环保投资</w:t>
            </w:r>
            <w:r>
              <w:rPr>
                <w:rFonts w:hint="default" w:ascii="Times New Roman" w:hAnsi="Times New Roman" w:cs="Times New Roman"/>
                <w:color w:val="000000" w:themeColor="text1"/>
                <w:highlight w:val="none"/>
                <w14:textFill>
                  <w14:solidFill>
                    <w14:schemeClr w14:val="tx1"/>
                  </w14:solidFill>
                </w14:textFill>
              </w:rPr>
              <w:t>如下：</w:t>
            </w:r>
          </w:p>
          <w:p w14:paraId="7541D764">
            <w:pPr>
              <w:pStyle w:val="34"/>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表4- 2</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：环保投资一览表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73"/>
              <w:gridCol w:w="4842"/>
              <w:gridCol w:w="1105"/>
              <w:gridCol w:w="918"/>
            </w:tblGrid>
            <w:tr w14:paraId="33124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2" w:type="pct"/>
                  <w:tcBorders>
                    <w:tl2br w:val="nil"/>
                    <w:tr2bl w:val="nil"/>
                  </w:tcBorders>
                  <w:noWrap w:val="0"/>
                  <w:vAlign w:val="center"/>
                </w:tcPr>
                <w:p w14:paraId="378B342C">
                  <w:pPr>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项目</w:t>
                  </w:r>
                </w:p>
              </w:tc>
              <w:tc>
                <w:tcPr>
                  <w:tcW w:w="2868" w:type="pct"/>
                  <w:tcBorders>
                    <w:tl2br w:val="nil"/>
                    <w:tr2bl w:val="nil"/>
                  </w:tcBorders>
                  <w:noWrap w:val="0"/>
                  <w:vAlign w:val="center"/>
                </w:tcPr>
                <w:p w14:paraId="6FC605BF">
                  <w:pPr>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环保建设规模</w:t>
                  </w:r>
                </w:p>
              </w:tc>
              <w:tc>
                <w:tcPr>
                  <w:tcW w:w="654" w:type="pct"/>
                  <w:tcBorders>
                    <w:tl2br w:val="nil"/>
                    <w:tr2bl w:val="nil"/>
                  </w:tcBorders>
                  <w:noWrap w:val="0"/>
                  <w:vAlign w:val="center"/>
                </w:tcPr>
                <w:p w14:paraId="3E74D1A7">
                  <w:pPr>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投资额</w:t>
                  </w:r>
                </w:p>
                <w:p w14:paraId="4299A82F">
                  <w:pPr>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（万元）</w:t>
                  </w:r>
                </w:p>
              </w:tc>
              <w:tc>
                <w:tcPr>
                  <w:tcW w:w="544" w:type="pct"/>
                  <w:tcBorders>
                    <w:tl2br w:val="nil"/>
                    <w:tr2bl w:val="nil"/>
                  </w:tcBorders>
                  <w:noWrap w:val="0"/>
                  <w:vAlign w:val="center"/>
                </w:tcPr>
                <w:p w14:paraId="7D86676C">
                  <w:pPr>
                    <w:bidi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备注</w:t>
                  </w:r>
                </w:p>
              </w:tc>
            </w:tr>
            <w:tr w14:paraId="02402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2" w:type="pct"/>
                  <w:tcBorders>
                    <w:tl2br w:val="nil"/>
                    <w:tr2bl w:val="nil"/>
                  </w:tcBorders>
                  <w:noWrap w:val="0"/>
                  <w:vAlign w:val="center"/>
                </w:tcPr>
                <w:p w14:paraId="0806640F">
                  <w:pPr>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废气治理</w:t>
                  </w:r>
                </w:p>
              </w:tc>
              <w:tc>
                <w:tcPr>
                  <w:tcW w:w="2868" w:type="pct"/>
                  <w:tcBorders>
                    <w:tl2br w:val="nil"/>
                    <w:tr2bl w:val="nil"/>
                  </w:tcBorders>
                  <w:noWrap w:val="0"/>
                  <w:vAlign w:val="center"/>
                </w:tcPr>
                <w:p w14:paraId="13FDAF77">
                  <w:pPr>
                    <w:bidi w:val="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DA00</w:t>
                  </w:r>
                  <w:r>
                    <w:rPr>
                      <w:rFonts w:hint="default" w:ascii="Times New Roman" w:hAnsi="Times New Roman" w:cs="Times New Roman"/>
                      <w:color w:val="000000" w:themeColor="text1"/>
                      <w:highlight w:val="none"/>
                      <w:lang w:val="en-US" w:eastAsia="zh-CN"/>
                      <w14:textFill>
                        <w14:solidFill>
                          <w14:schemeClr w14:val="tx1"/>
                        </w14:solidFill>
                      </w14:textFill>
                    </w:rPr>
                    <w:t>4</w:t>
                  </w:r>
                  <w:r>
                    <w:rPr>
                      <w:rFonts w:hint="default" w:ascii="Times New Roman" w:hAnsi="Times New Roman" w:cs="Times New Roman"/>
                      <w:color w:val="000000" w:themeColor="text1"/>
                      <w:highlight w:val="none"/>
                      <w14:textFill>
                        <w14:solidFill>
                          <w14:schemeClr w14:val="tx1"/>
                        </w14:solidFill>
                      </w14:textFill>
                    </w:rPr>
                    <w:t>：生物质锅炉废气（烟尘（颗粒物）、SO</w:t>
                  </w:r>
                  <w:r>
                    <w:rPr>
                      <w:rFonts w:hint="default" w:ascii="Times New Roman" w:hAnsi="Times New Roman" w:cs="Times New Roman"/>
                      <w:color w:val="000000" w:themeColor="text1"/>
                      <w:highlight w:val="none"/>
                      <w:vertAlign w:val="subscript"/>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、NOx经过“低氮燃烧</w:t>
                  </w:r>
                  <w:r>
                    <w:rPr>
                      <w:rFonts w:hint="default" w:ascii="Times New Roman" w:hAnsi="Times New Roman" w:cs="Times New Roman"/>
                      <w:color w:val="000000" w:themeColor="text1"/>
                      <w:highlight w:val="none"/>
                      <w:lang w:eastAsia="zh-CN"/>
                      <w14:textFill>
                        <w14:solidFill>
                          <w14:schemeClr w14:val="tx1"/>
                        </w14:solidFill>
                      </w14:textFill>
                    </w:rPr>
                    <w:t>+含陶瓷多管除尘器+布袋除尘器</w:t>
                  </w:r>
                  <w:r>
                    <w:rPr>
                      <w:rFonts w:hint="default" w:ascii="Times New Roman" w:hAnsi="Times New Roman" w:cs="Times New Roman"/>
                      <w:color w:val="000000" w:themeColor="text1"/>
                      <w:highlight w:val="none"/>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cs="Times New Roman"/>
                      <w:color w:val="000000" w:themeColor="text1"/>
                      <w:highlight w:val="none"/>
                      <w14:textFill>
                        <w14:solidFill>
                          <w14:schemeClr w14:val="tx1"/>
                        </w14:solidFill>
                      </w14:textFill>
                    </w:rPr>
                    <w:t>5m排气筒</w:t>
                  </w:r>
                  <w:r>
                    <w:rPr>
                      <w:rFonts w:hint="default" w:ascii="Times New Roman" w:hAnsi="Times New Roman" w:cs="Times New Roman"/>
                      <w:color w:val="000000" w:themeColor="text1"/>
                      <w:highlight w:val="none"/>
                      <w:lang w:val="en-US" w:eastAsia="zh-CN"/>
                      <w14:textFill>
                        <w14:solidFill>
                          <w14:schemeClr w14:val="tx1"/>
                        </w14:solidFill>
                      </w14:textFill>
                    </w:rPr>
                    <w:t>外排</w:t>
                  </w:r>
                </w:p>
              </w:tc>
              <w:tc>
                <w:tcPr>
                  <w:tcW w:w="654" w:type="pct"/>
                  <w:tcBorders>
                    <w:tl2br w:val="nil"/>
                    <w:tr2bl w:val="nil"/>
                  </w:tcBorders>
                  <w:noWrap w:val="0"/>
                  <w:vAlign w:val="center"/>
                </w:tcPr>
                <w:p w14:paraId="265B621F">
                  <w:pPr>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25</w:t>
                  </w:r>
                </w:p>
              </w:tc>
              <w:tc>
                <w:tcPr>
                  <w:tcW w:w="544" w:type="pct"/>
                  <w:tcBorders>
                    <w:tl2br w:val="nil"/>
                    <w:tr2bl w:val="nil"/>
                  </w:tcBorders>
                  <w:noWrap w:val="0"/>
                  <w:vAlign w:val="center"/>
                </w:tcPr>
                <w:p w14:paraId="5010806A">
                  <w:pPr>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新建</w:t>
                  </w:r>
                </w:p>
              </w:tc>
            </w:tr>
            <w:tr w14:paraId="62809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2" w:type="pct"/>
                  <w:tcBorders>
                    <w:tl2br w:val="nil"/>
                    <w:tr2bl w:val="nil"/>
                  </w:tcBorders>
                  <w:noWrap w:val="0"/>
                  <w:vAlign w:val="center"/>
                </w:tcPr>
                <w:p w14:paraId="7BD4986B">
                  <w:pPr>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废水治理</w:t>
                  </w:r>
                </w:p>
              </w:tc>
              <w:tc>
                <w:tcPr>
                  <w:tcW w:w="2868" w:type="pct"/>
                  <w:tcBorders>
                    <w:tl2br w:val="nil"/>
                    <w:tr2bl w:val="nil"/>
                  </w:tcBorders>
                  <w:noWrap w:val="0"/>
                  <w:vAlign w:val="center"/>
                </w:tcPr>
                <w:p w14:paraId="141C0800">
                  <w:pPr>
                    <w:bidi w:val="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依托现有</w:t>
                  </w:r>
                </w:p>
              </w:tc>
              <w:tc>
                <w:tcPr>
                  <w:tcW w:w="654" w:type="pct"/>
                  <w:tcBorders>
                    <w:tl2br w:val="nil"/>
                    <w:tr2bl w:val="nil"/>
                  </w:tcBorders>
                  <w:noWrap w:val="0"/>
                  <w:vAlign w:val="center"/>
                </w:tcPr>
                <w:p w14:paraId="4E445FA6">
                  <w:pPr>
                    <w:bidi w:val="0"/>
                    <w:jc w:val="center"/>
                    <w:rPr>
                      <w:rFonts w:hint="default" w:ascii="Times New Roman" w:hAnsi="Times New Roman"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0</w:t>
                  </w:r>
                </w:p>
              </w:tc>
              <w:tc>
                <w:tcPr>
                  <w:tcW w:w="544" w:type="pct"/>
                  <w:tcBorders>
                    <w:tl2br w:val="nil"/>
                    <w:tr2bl w:val="nil"/>
                  </w:tcBorders>
                  <w:noWrap w:val="0"/>
                  <w:vAlign w:val="center"/>
                </w:tcPr>
                <w:p w14:paraId="54FE67ED">
                  <w:pPr>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依托现有</w:t>
                  </w:r>
                </w:p>
              </w:tc>
            </w:tr>
            <w:tr w14:paraId="296E68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2" w:type="pct"/>
                  <w:tcBorders>
                    <w:tl2br w:val="nil"/>
                    <w:tr2bl w:val="nil"/>
                  </w:tcBorders>
                  <w:noWrap w:val="0"/>
                  <w:vAlign w:val="center"/>
                </w:tcPr>
                <w:p w14:paraId="78A8A0A3">
                  <w:pPr>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噪声治理</w:t>
                  </w:r>
                </w:p>
              </w:tc>
              <w:tc>
                <w:tcPr>
                  <w:tcW w:w="2868" w:type="pct"/>
                  <w:tcBorders>
                    <w:tl2br w:val="nil"/>
                    <w:tr2bl w:val="nil"/>
                  </w:tcBorders>
                  <w:noWrap w:val="0"/>
                  <w:vAlign w:val="center"/>
                </w:tcPr>
                <w:p w14:paraId="10AC8DE1">
                  <w:pPr>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厂房隔音、消声、设备减振等</w:t>
                  </w:r>
                </w:p>
              </w:tc>
              <w:tc>
                <w:tcPr>
                  <w:tcW w:w="654" w:type="pct"/>
                  <w:tcBorders>
                    <w:tl2br w:val="nil"/>
                    <w:tr2bl w:val="nil"/>
                  </w:tcBorders>
                  <w:noWrap w:val="0"/>
                  <w:vAlign w:val="center"/>
                </w:tcPr>
                <w:p w14:paraId="795EDB44">
                  <w:pPr>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p>
              </w:tc>
              <w:tc>
                <w:tcPr>
                  <w:tcW w:w="544" w:type="pct"/>
                  <w:tcBorders>
                    <w:tl2br w:val="nil"/>
                    <w:tr2bl w:val="nil"/>
                  </w:tcBorders>
                  <w:noWrap w:val="0"/>
                  <w:vAlign w:val="center"/>
                </w:tcPr>
                <w:p w14:paraId="497CFFE8">
                  <w:pPr>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新建</w:t>
                  </w:r>
                </w:p>
              </w:tc>
            </w:tr>
            <w:tr w14:paraId="0D418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2" w:type="pct"/>
                  <w:tcBorders>
                    <w:tl2br w:val="nil"/>
                    <w:tr2bl w:val="nil"/>
                  </w:tcBorders>
                  <w:noWrap w:val="0"/>
                  <w:vAlign w:val="center"/>
                </w:tcPr>
                <w:p w14:paraId="74C2E568">
                  <w:pPr>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固体废物处置</w:t>
                  </w:r>
                </w:p>
              </w:tc>
              <w:tc>
                <w:tcPr>
                  <w:tcW w:w="2868" w:type="pct"/>
                  <w:tcBorders>
                    <w:tl2br w:val="nil"/>
                    <w:tr2bl w:val="nil"/>
                  </w:tcBorders>
                  <w:noWrap w:val="0"/>
                  <w:vAlign w:val="center"/>
                </w:tcPr>
                <w:p w14:paraId="0F72E3F3">
                  <w:pPr>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新建灰渣</w:t>
                  </w:r>
                  <w:r>
                    <w:rPr>
                      <w:rFonts w:hint="eastAsia" w:cs="Times New Roman"/>
                      <w:color w:val="000000" w:themeColor="text1"/>
                      <w:highlight w:val="none"/>
                      <w:lang w:val="en-US" w:eastAsia="zh-CN"/>
                      <w14:textFill>
                        <w14:solidFill>
                          <w14:schemeClr w14:val="tx1"/>
                        </w14:solidFill>
                      </w14:textFill>
                    </w:rPr>
                    <w:t>间</w:t>
                  </w:r>
                </w:p>
              </w:tc>
              <w:tc>
                <w:tcPr>
                  <w:tcW w:w="654" w:type="pct"/>
                  <w:tcBorders>
                    <w:tl2br w:val="nil"/>
                    <w:tr2bl w:val="nil"/>
                  </w:tcBorders>
                  <w:noWrap w:val="0"/>
                  <w:vAlign w:val="center"/>
                </w:tcPr>
                <w:p w14:paraId="504F2866">
                  <w:pPr>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15</w:t>
                  </w:r>
                </w:p>
              </w:tc>
              <w:tc>
                <w:tcPr>
                  <w:tcW w:w="544" w:type="pct"/>
                  <w:tcBorders>
                    <w:tl2br w:val="nil"/>
                    <w:tr2bl w:val="nil"/>
                  </w:tcBorders>
                  <w:noWrap w:val="0"/>
                  <w:vAlign w:val="center"/>
                </w:tcPr>
                <w:p w14:paraId="3EAF362E">
                  <w:pPr>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新建</w:t>
                  </w:r>
                </w:p>
              </w:tc>
            </w:tr>
            <w:tr w14:paraId="7EFFC2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32" w:type="pct"/>
                  <w:tcBorders>
                    <w:tl2br w:val="nil"/>
                    <w:tr2bl w:val="nil"/>
                  </w:tcBorders>
                  <w:noWrap w:val="0"/>
                  <w:vAlign w:val="center"/>
                </w:tcPr>
                <w:p w14:paraId="3E113C3E">
                  <w:pPr>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合计</w:t>
                  </w:r>
                </w:p>
              </w:tc>
              <w:tc>
                <w:tcPr>
                  <w:tcW w:w="2868" w:type="pct"/>
                  <w:tcBorders>
                    <w:tl2br w:val="nil"/>
                    <w:tr2bl w:val="nil"/>
                  </w:tcBorders>
                  <w:noWrap w:val="0"/>
                  <w:vAlign w:val="center"/>
                </w:tcPr>
                <w:p w14:paraId="4BBE00FC">
                  <w:pPr>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654" w:type="pct"/>
                  <w:tcBorders>
                    <w:tl2br w:val="nil"/>
                    <w:tr2bl w:val="nil"/>
                  </w:tcBorders>
                  <w:noWrap w:val="0"/>
                  <w:vAlign w:val="center"/>
                </w:tcPr>
                <w:p w14:paraId="7C0E66E6">
                  <w:pPr>
                    <w:bidi w:val="0"/>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45</w:t>
                  </w:r>
                </w:p>
              </w:tc>
              <w:tc>
                <w:tcPr>
                  <w:tcW w:w="544" w:type="pct"/>
                  <w:tcBorders>
                    <w:tl2br w:val="nil"/>
                    <w:tr2bl w:val="nil"/>
                  </w:tcBorders>
                  <w:noWrap w:val="0"/>
                  <w:vAlign w:val="center"/>
                </w:tcPr>
                <w:p w14:paraId="4A7B1CC7">
                  <w:pPr>
                    <w:bidi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r>
          </w:tbl>
          <w:p w14:paraId="04D8A1FA">
            <w:pPr>
              <w:pStyle w:val="4"/>
              <w:bidi w:val="0"/>
              <w:rPr>
                <w:rFonts w:hint="default" w:ascii="Times New Roman" w:hAnsi="Times New Roman" w:cs="Times New Roman"/>
                <w:color w:val="000000" w:themeColor="text1"/>
                <w14:textFill>
                  <w14:solidFill>
                    <w14:schemeClr w14:val="tx1"/>
                  </w14:solidFill>
                </w14:textFill>
              </w:rPr>
            </w:pPr>
          </w:p>
          <w:p w14:paraId="59224C0C">
            <w:pPr>
              <w:pStyle w:val="4"/>
              <w:bidi w:val="0"/>
              <w:rPr>
                <w:rFonts w:hint="default" w:ascii="Times New Roman" w:hAnsi="Times New Roman" w:cs="Times New Roman"/>
                <w:color w:val="000000" w:themeColor="text1"/>
                <w14:textFill>
                  <w14:solidFill>
                    <w14:schemeClr w14:val="tx1"/>
                  </w14:solidFill>
                </w14:textFill>
              </w:rPr>
            </w:pPr>
          </w:p>
          <w:p w14:paraId="471DF6D9">
            <w:pPr>
              <w:pStyle w:val="4"/>
              <w:keepNext/>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tc>
      </w:tr>
    </w:tbl>
    <w:p w14:paraId="640926F4">
      <w:pPr>
        <w:pStyle w:val="8"/>
        <w:rPr>
          <w:rFonts w:hint="default" w:ascii="Times New Roman" w:hAnsi="Times New Roman" w:cs="Times New Roman"/>
          <w:b/>
          <w:color w:val="000000" w:themeColor="text1"/>
          <w:sz w:val="28"/>
          <w:szCs w:val="28"/>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735B8401">
      <w:pPr>
        <w:pStyle w:val="2"/>
        <w:rPr>
          <w:rFonts w:hint="default" w:ascii="Times New Roman" w:hAnsi="Times New Roman" w:cs="Times New Roman"/>
          <w:snapToGrid w:val="0"/>
          <w:color w:val="000000" w:themeColor="text1"/>
          <w:highlight w:val="none"/>
          <w14:textFill>
            <w14:solidFill>
              <w14:schemeClr w14:val="tx1"/>
            </w14:solidFill>
          </w14:textFill>
        </w:rPr>
      </w:pPr>
      <w:bookmarkStart w:id="173" w:name="_Toc25261"/>
      <w:bookmarkStart w:id="174" w:name="_Toc191861463"/>
      <w:bookmarkStart w:id="175" w:name="_Toc175609277"/>
      <w:bookmarkStart w:id="176" w:name="_Hlk54167917"/>
      <w:r>
        <w:rPr>
          <w:rFonts w:hint="default" w:ascii="Times New Roman" w:hAnsi="Times New Roman" w:cs="Times New Roman"/>
          <w:snapToGrid w:val="0"/>
          <w:color w:val="000000" w:themeColor="text1"/>
          <w:highlight w:val="none"/>
          <w14:textFill>
            <w14:solidFill>
              <w14:schemeClr w14:val="tx1"/>
            </w14:solidFill>
          </w14:textFill>
        </w:rPr>
        <w:t>环境保护措施监督检查清单</w:t>
      </w:r>
      <w:bookmarkEnd w:id="173"/>
      <w:bookmarkEnd w:id="174"/>
      <w:bookmarkEnd w:id="175"/>
      <w:bookmarkEnd w:id="176"/>
    </w:p>
    <w:tbl>
      <w:tblPr>
        <w:tblStyle w:val="16"/>
        <w:tblW w:w="50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294"/>
        <w:gridCol w:w="1113"/>
        <w:gridCol w:w="1523"/>
        <w:gridCol w:w="3335"/>
      </w:tblGrid>
      <w:tr w14:paraId="3B44A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77" w:type="pct"/>
            <w:tcBorders>
              <w:tl2br w:val="single" w:color="auto" w:sz="4" w:space="0"/>
            </w:tcBorders>
            <w:vAlign w:val="center"/>
          </w:tcPr>
          <w:p w14:paraId="10693DF2">
            <w:pPr>
              <w:snapToGrid w:val="0"/>
              <w:ind w:firstLine="240" w:firstLineChars="1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内容</w:t>
            </w:r>
          </w:p>
          <w:p w14:paraId="5FE31EDF">
            <w:pPr>
              <w:snapToGrid w:val="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要素</w:t>
            </w:r>
          </w:p>
        </w:tc>
        <w:tc>
          <w:tcPr>
            <w:tcW w:w="752" w:type="pct"/>
            <w:vAlign w:val="center"/>
          </w:tcPr>
          <w:p w14:paraId="5438CD5F">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排放口(编号、名称)/污染源</w:t>
            </w:r>
          </w:p>
        </w:tc>
        <w:tc>
          <w:tcPr>
            <w:tcW w:w="647" w:type="pct"/>
            <w:vAlign w:val="center"/>
          </w:tcPr>
          <w:p w14:paraId="74C3DF2C">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污染物项目</w:t>
            </w:r>
          </w:p>
        </w:tc>
        <w:tc>
          <w:tcPr>
            <w:tcW w:w="885" w:type="pct"/>
            <w:vAlign w:val="center"/>
          </w:tcPr>
          <w:p w14:paraId="42334343">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环境保护措施</w:t>
            </w:r>
          </w:p>
        </w:tc>
        <w:tc>
          <w:tcPr>
            <w:tcW w:w="1936" w:type="pct"/>
            <w:vAlign w:val="center"/>
          </w:tcPr>
          <w:p w14:paraId="3BD46138">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执行标准</w:t>
            </w:r>
          </w:p>
        </w:tc>
      </w:tr>
      <w:tr w14:paraId="358E4B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77" w:type="pct"/>
            <w:vAlign w:val="center"/>
          </w:tcPr>
          <w:p w14:paraId="04F7CCDB">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大气环境</w:t>
            </w:r>
          </w:p>
        </w:tc>
        <w:tc>
          <w:tcPr>
            <w:tcW w:w="752" w:type="pct"/>
            <w:vAlign w:val="center"/>
          </w:tcPr>
          <w:p w14:paraId="416C76D8">
            <w:pPr>
              <w:snapToGrid w:val="0"/>
              <w:jc w:val="center"/>
              <w:rPr>
                <w:rFonts w:hint="default" w:ascii="Times New Roman" w:hAnsi="Times New Roman" w:cs="Times New Roman"/>
                <w:color w:val="000000" w:themeColor="text1"/>
                <w:sz w:val="24"/>
                <w:highlight w:val="none"/>
                <w14:textFill>
                  <w14:solidFill>
                    <w14:schemeClr w14:val="tx1"/>
                  </w14:solidFill>
                </w14:textFill>
              </w:rPr>
            </w:pPr>
            <w:bookmarkStart w:id="177" w:name="OLE_LINK297"/>
            <w:r>
              <w:rPr>
                <w:rFonts w:hint="default" w:ascii="Times New Roman" w:hAnsi="Times New Roman" w:cs="Times New Roman"/>
                <w:color w:val="000000" w:themeColor="text1"/>
                <w:sz w:val="24"/>
                <w:highlight w:val="none"/>
                <w14:textFill>
                  <w14:solidFill>
                    <w14:schemeClr w14:val="tx1"/>
                  </w14:solidFill>
                </w14:textFill>
              </w:rPr>
              <w:t>生物质锅炉燃烧废气</w:t>
            </w:r>
            <w:bookmarkEnd w:id="177"/>
          </w:p>
        </w:tc>
        <w:tc>
          <w:tcPr>
            <w:tcW w:w="647" w:type="pct"/>
            <w:vAlign w:val="center"/>
          </w:tcPr>
          <w:p w14:paraId="2D9A3A20">
            <w:pPr>
              <w:jc w:val="center"/>
              <w:rPr>
                <w:rFonts w:hint="default" w:ascii="Times New Roman" w:hAnsi="Times New Roman" w:cs="Times New Roman"/>
                <w:color w:val="000000" w:themeColor="text1"/>
                <w:sz w:val="24"/>
                <w:highlight w:val="none"/>
                <w14:textFill>
                  <w14:solidFill>
                    <w14:schemeClr w14:val="tx1"/>
                  </w14:solidFill>
                </w14:textFill>
              </w:rPr>
            </w:pPr>
            <w:bookmarkStart w:id="178" w:name="OLE_LINK103"/>
            <w:bookmarkStart w:id="179" w:name="OLE_LINK102"/>
            <w:r>
              <w:rPr>
                <w:rFonts w:hint="default" w:ascii="Times New Roman" w:hAnsi="Times New Roman" w:cs="Times New Roman"/>
                <w:color w:val="000000" w:themeColor="text1"/>
                <w:sz w:val="24"/>
                <w:highlight w:val="none"/>
                <w14:textFill>
                  <w14:solidFill>
                    <w14:schemeClr w14:val="tx1"/>
                  </w14:solidFill>
                </w14:textFill>
              </w:rPr>
              <w:t>颗粒物</w:t>
            </w:r>
            <w:bookmarkEnd w:id="178"/>
            <w:bookmarkEnd w:id="179"/>
            <w:r>
              <w:rPr>
                <w:rFonts w:hint="default" w:ascii="Times New Roman" w:hAnsi="Times New Roman" w:cs="Times New Roman"/>
                <w:color w:val="000000" w:themeColor="text1"/>
                <w:sz w:val="24"/>
                <w:highlight w:val="none"/>
                <w14:textFill>
                  <w14:solidFill>
                    <w14:schemeClr w14:val="tx1"/>
                  </w14:solidFill>
                </w14:textFill>
              </w:rPr>
              <w:t>、</w:t>
            </w:r>
          </w:p>
          <w:p w14:paraId="21A29511">
            <w:pPr>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二氧化硫、</w:t>
            </w:r>
          </w:p>
          <w:p w14:paraId="6FAA751F">
            <w:pPr>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氮氧化物</w:t>
            </w:r>
          </w:p>
        </w:tc>
        <w:tc>
          <w:tcPr>
            <w:tcW w:w="885" w:type="pct"/>
            <w:vAlign w:val="center"/>
          </w:tcPr>
          <w:p w14:paraId="050D2D37">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低氮燃烧</w:t>
            </w:r>
            <w:r>
              <w:rPr>
                <w:rFonts w:hint="default" w:ascii="Times New Roman" w:hAnsi="Times New Roman" w:cs="Times New Roman"/>
                <w:color w:val="000000" w:themeColor="text1"/>
                <w:sz w:val="24"/>
                <w:highlight w:val="none"/>
                <w:lang w:eastAsia="zh-CN"/>
                <w14:textFill>
                  <w14:solidFill>
                    <w14:schemeClr w14:val="tx1"/>
                  </w14:solidFill>
                </w14:textFill>
              </w:rPr>
              <w:t>+含陶瓷多管除尘器+布袋除尘器</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5m排气筒</w:t>
            </w:r>
          </w:p>
        </w:tc>
        <w:tc>
          <w:tcPr>
            <w:tcW w:w="1936" w:type="pct"/>
            <w:vAlign w:val="center"/>
          </w:tcPr>
          <w:p w14:paraId="525A5C10">
            <w:pP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《锅炉大气污染物排放标准》（GB 13271-2014）新建燃煤锅炉废气污染物排放标准</w:t>
            </w:r>
          </w:p>
        </w:tc>
      </w:tr>
      <w:tr w14:paraId="46E5D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69" w:hRule="atLeast"/>
          <w:jc w:val="center"/>
        </w:trPr>
        <w:tc>
          <w:tcPr>
            <w:tcW w:w="777" w:type="pct"/>
            <w:vAlign w:val="center"/>
          </w:tcPr>
          <w:p w14:paraId="200BB2AD">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地表水环境</w:t>
            </w:r>
          </w:p>
        </w:tc>
        <w:tc>
          <w:tcPr>
            <w:tcW w:w="752" w:type="pct"/>
            <w:vAlign w:val="center"/>
          </w:tcPr>
          <w:p w14:paraId="0BABD307">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bookmarkStart w:id="180" w:name="OLE_LINK301"/>
            <w:r>
              <w:rPr>
                <w:rFonts w:hint="default" w:ascii="Times New Roman" w:hAnsi="Times New Roman" w:cs="Times New Roman"/>
                <w:color w:val="000000" w:themeColor="text1"/>
                <w:sz w:val="24"/>
                <w:szCs w:val="24"/>
                <w:highlight w:val="none"/>
                <w14:textFill>
                  <w14:solidFill>
                    <w14:schemeClr w14:val="tx1"/>
                  </w14:solidFill>
                </w14:textFill>
              </w:rPr>
              <w:t>软水制备废水、锅炉排污水</w:t>
            </w:r>
            <w:bookmarkEnd w:id="180"/>
          </w:p>
        </w:tc>
        <w:tc>
          <w:tcPr>
            <w:tcW w:w="647" w:type="pct"/>
            <w:vAlign w:val="center"/>
          </w:tcPr>
          <w:p w14:paraId="7A19837B">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COD、氨氮、SS</w:t>
            </w:r>
          </w:p>
        </w:tc>
        <w:tc>
          <w:tcPr>
            <w:tcW w:w="885" w:type="pct"/>
            <w:vAlign w:val="center"/>
          </w:tcPr>
          <w:p w14:paraId="020CCE41">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bookmarkStart w:id="181" w:name="OLE_LINK69"/>
            <w:r>
              <w:rPr>
                <w:rFonts w:hint="default" w:ascii="Times New Roman" w:hAnsi="Times New Roman" w:cs="Times New Roman"/>
                <w:color w:val="000000" w:themeColor="text1"/>
                <w:sz w:val="24"/>
                <w:szCs w:val="24"/>
                <w:highlight w:val="none"/>
                <w14:textFill>
                  <w14:solidFill>
                    <w14:schemeClr w14:val="tx1"/>
                  </w14:solidFill>
                </w14:textFill>
              </w:rPr>
              <w:t>直接经园区污水管网进入大榄坪污水处理厂处理</w:t>
            </w:r>
            <w:bookmarkEnd w:id="181"/>
          </w:p>
        </w:tc>
        <w:tc>
          <w:tcPr>
            <w:tcW w:w="1936" w:type="pct"/>
            <w:vAlign w:val="center"/>
          </w:tcPr>
          <w:p w14:paraId="3BA9C0C1">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大榄坪污水处理厂纳管标准</w:t>
            </w:r>
          </w:p>
        </w:tc>
      </w:tr>
      <w:tr w14:paraId="6E4FD2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77" w:type="pct"/>
            <w:vAlign w:val="center"/>
          </w:tcPr>
          <w:p w14:paraId="0C87160A">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声环境</w:t>
            </w:r>
          </w:p>
        </w:tc>
        <w:tc>
          <w:tcPr>
            <w:tcW w:w="752" w:type="pct"/>
            <w:vAlign w:val="center"/>
          </w:tcPr>
          <w:p w14:paraId="7997C0A2">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设备噪声</w:t>
            </w:r>
          </w:p>
        </w:tc>
        <w:tc>
          <w:tcPr>
            <w:tcW w:w="647" w:type="pct"/>
            <w:vAlign w:val="center"/>
          </w:tcPr>
          <w:p w14:paraId="1922951F">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连续等效A声级</w:t>
            </w:r>
          </w:p>
        </w:tc>
        <w:tc>
          <w:tcPr>
            <w:tcW w:w="885" w:type="pct"/>
            <w:vAlign w:val="center"/>
          </w:tcPr>
          <w:p w14:paraId="74315F9D">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消声、吸声、隔声、减震等</w:t>
            </w:r>
          </w:p>
        </w:tc>
        <w:tc>
          <w:tcPr>
            <w:tcW w:w="1936" w:type="pct"/>
            <w:vAlign w:val="center"/>
          </w:tcPr>
          <w:p w14:paraId="70605DE6">
            <w:pPr>
              <w:snapToGrid w:val="0"/>
              <w:jc w:val="center"/>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《工业企业厂界环境噪声排放标准》（GB12348-2008）表1中的3</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类标准值</w:t>
            </w:r>
          </w:p>
        </w:tc>
      </w:tr>
      <w:tr w14:paraId="70286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77" w:type="pct"/>
            <w:vAlign w:val="center"/>
          </w:tcPr>
          <w:p w14:paraId="19F030A9">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电磁辐射</w:t>
            </w:r>
          </w:p>
        </w:tc>
        <w:tc>
          <w:tcPr>
            <w:tcW w:w="752" w:type="pct"/>
            <w:vAlign w:val="center"/>
          </w:tcPr>
          <w:p w14:paraId="292FB90A">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647" w:type="pct"/>
            <w:vAlign w:val="center"/>
          </w:tcPr>
          <w:p w14:paraId="12ED4199">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885" w:type="pct"/>
            <w:vAlign w:val="center"/>
          </w:tcPr>
          <w:p w14:paraId="41EA6961">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1936" w:type="pct"/>
            <w:vAlign w:val="center"/>
          </w:tcPr>
          <w:p w14:paraId="545DC2D7">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r>
      <w:tr w14:paraId="08E052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77" w:type="pct"/>
            <w:vAlign w:val="center"/>
          </w:tcPr>
          <w:p w14:paraId="6046C337">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固体废物</w:t>
            </w:r>
          </w:p>
        </w:tc>
        <w:tc>
          <w:tcPr>
            <w:tcW w:w="4222" w:type="pct"/>
            <w:gridSpan w:val="4"/>
            <w:vAlign w:val="center"/>
          </w:tcPr>
          <w:p w14:paraId="422BD7D9">
            <w:pPr>
              <w:snapToGrid w:val="0"/>
              <w:jc w:val="left"/>
              <w:rPr>
                <w:rFonts w:hint="default" w:ascii="Times New Roman" w:hAnsi="Times New Roman"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一般工业固体废物：</w:t>
            </w:r>
            <w:r>
              <w:rPr>
                <w:rFonts w:hint="eastAsia" w:cs="Times New Roman"/>
                <w:color w:val="000000" w:themeColor="text1"/>
                <w:sz w:val="24"/>
                <w:szCs w:val="24"/>
                <w:highlight w:val="none"/>
                <w:u w:val="single"/>
                <w:lang w:val="en-US" w:eastAsia="zh-CN"/>
                <w14:textFill>
                  <w14:solidFill>
                    <w14:schemeClr w14:val="tx1"/>
                  </w14:solidFill>
                </w14:textFill>
              </w:rPr>
              <w:t>依托现有</w:t>
            </w:r>
            <w:r>
              <w:rPr>
                <w:rFonts w:hint="default" w:ascii="Times New Roman" w:hAnsi="Times New Roman" w:cs="Times New Roman"/>
                <w:color w:val="000000" w:themeColor="text1"/>
                <w:sz w:val="24"/>
                <w:szCs w:val="24"/>
                <w:highlight w:val="none"/>
                <w:u w:val="single"/>
                <w14:textFill>
                  <w14:solidFill>
                    <w14:schemeClr w14:val="tx1"/>
                  </w14:solidFill>
                </w14:textFill>
                <w14:ligatures w14:val="standardContextual"/>
              </w:rPr>
              <w:t>软化水系统</w:t>
            </w:r>
            <w:r>
              <w:rPr>
                <w:rFonts w:hint="eastAsia" w:cs="Times New Roman"/>
                <w:color w:val="000000" w:themeColor="text1"/>
                <w:sz w:val="24"/>
                <w:szCs w:val="24"/>
                <w:highlight w:val="none"/>
                <w:u w:val="single"/>
                <w:lang w:val="en-US" w:eastAsia="zh-CN"/>
                <w14:textFill>
                  <w14:solidFill>
                    <w14:schemeClr w14:val="tx1"/>
                  </w14:solidFill>
                </w14:textFill>
                <w14:ligatures w14:val="standardContextual"/>
              </w:rPr>
              <w:t>产生的</w:t>
            </w:r>
            <w:r>
              <w:rPr>
                <w:rFonts w:hint="default" w:ascii="Times New Roman" w:hAnsi="Times New Roman" w:cs="Times New Roman"/>
                <w:color w:val="000000" w:themeColor="text1"/>
                <w:sz w:val="24"/>
                <w:highlight w:val="none"/>
                <w:u w:val="single"/>
                <w:lang w:eastAsia="zh-CN"/>
                <w14:textFill>
                  <w14:solidFill>
                    <w14:schemeClr w14:val="tx1"/>
                  </w14:solidFill>
                </w14:textFill>
              </w:rPr>
              <w:t>S1沉淀池沉渣、S2废反渗透膜、S3废超滤膜、S</w:t>
            </w:r>
            <w:r>
              <w:rPr>
                <w:rFonts w:hint="default" w:ascii="Times New Roman" w:hAnsi="Times New Roman" w:cs="Times New Roman"/>
                <w:color w:val="000000" w:themeColor="text1"/>
                <w:sz w:val="24"/>
                <w:highlight w:val="none"/>
                <w:lang w:eastAsia="zh-CN"/>
                <w14:textFill>
                  <w14:solidFill>
                    <w14:schemeClr w14:val="tx1"/>
                  </w14:solidFill>
                </w14:textFill>
              </w:rPr>
              <w:t>6废布袋收集后外售一般固废处置单位处置；S4生物质锅炉炉渣、S5除尘器粉尘外运做农肥。</w:t>
            </w:r>
          </w:p>
          <w:p w14:paraId="71A34BFD">
            <w:pPr>
              <w:snapToGrid w:val="0"/>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危险废物：</w:t>
            </w:r>
            <w:r>
              <w:rPr>
                <w:rFonts w:hint="default" w:ascii="Times New Roman" w:hAnsi="Times New Roman" w:cs="Times New Roman"/>
                <w:color w:val="000000" w:themeColor="text1"/>
                <w:sz w:val="24"/>
                <w:szCs w:val="24"/>
                <w:lang w:eastAsia="zh-CN"/>
                <w14:textFill>
                  <w14:solidFill>
                    <w14:schemeClr w14:val="tx1"/>
                  </w14:solidFill>
                </w14:textFill>
              </w:rPr>
              <w:t>S</w:t>
            </w:r>
            <w:r>
              <w:rPr>
                <w:rFonts w:hint="default" w:ascii="Times New Roman" w:hAnsi="Times New Roman" w:cs="Times New Roman"/>
                <w:color w:val="000000" w:themeColor="text1"/>
                <w:sz w:val="24"/>
                <w:szCs w:val="24"/>
                <w:lang w:val="en-US" w:eastAsia="zh-CN"/>
                <w14:textFill>
                  <w14:solidFill>
                    <w14:schemeClr w14:val="tx1"/>
                  </w14:solidFill>
                </w14:textFill>
              </w:rPr>
              <w:t>7</w:t>
            </w:r>
            <w:r>
              <w:rPr>
                <w:rFonts w:hint="default" w:ascii="Times New Roman" w:hAnsi="Times New Roman" w:cs="Times New Roman"/>
                <w:color w:val="000000" w:themeColor="text1"/>
                <w:sz w:val="24"/>
                <w:szCs w:val="24"/>
                <w14:textFill>
                  <w14:solidFill>
                    <w14:schemeClr w14:val="tx1"/>
                  </w14:solidFill>
                </w14:textFill>
              </w:rPr>
              <w:t>废润滑油及废油桶</w:t>
            </w:r>
            <w:r>
              <w:rPr>
                <w:rFonts w:hint="default" w:ascii="Times New Roman" w:hAnsi="Times New Roman" w:cs="Times New Roman"/>
                <w:color w:val="000000" w:themeColor="text1"/>
                <w:sz w:val="24"/>
                <w:szCs w:val="24"/>
                <w:highlight w:val="none"/>
                <w14:textFill>
                  <w14:solidFill>
                    <w14:schemeClr w14:val="tx1"/>
                  </w14:solidFill>
                </w14:textFill>
              </w:rPr>
              <w:t>、S</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szCs w:val="24"/>
                <w:highlight w:val="none"/>
                <w14:textFill>
                  <w14:solidFill>
                    <w14:schemeClr w14:val="tx1"/>
                  </w14:solidFill>
                </w14:textFill>
              </w:rPr>
              <w:t>废含油抹布委托有资质单位处置。</w:t>
            </w:r>
          </w:p>
          <w:p w14:paraId="61EAD12E">
            <w:pPr>
              <w:snapToGrid w:val="0"/>
              <w:jc w:val="left"/>
              <w:rPr>
                <w:rFonts w:hint="default" w:ascii="Times New Roman" w:hAnsi="Times New Roman" w:cs="Times New Roman"/>
                <w:color w:val="000000" w:themeColor="text1"/>
                <w:sz w:val="24"/>
                <w:highlight w:val="none"/>
                <w14:textFill>
                  <w14:solidFill>
                    <w14:schemeClr w14:val="tx1"/>
                  </w14:solidFill>
                </w14:textFill>
              </w:rPr>
            </w:pPr>
            <w:bookmarkStart w:id="182" w:name="OLE_LINK99"/>
            <w:r>
              <w:rPr>
                <w:rFonts w:hint="default" w:ascii="Times New Roman" w:hAnsi="Times New Roman" w:cs="Times New Roman"/>
                <w:color w:val="000000" w:themeColor="text1"/>
                <w:sz w:val="24"/>
                <w:szCs w:val="24"/>
                <w:highlight w:val="none"/>
                <w14:textFill>
                  <w14:solidFill>
                    <w14:schemeClr w14:val="tx1"/>
                  </w14:solidFill>
                </w14:textFill>
              </w:rPr>
              <w:t>生活垃圾：交由环卫部门处置。</w:t>
            </w:r>
            <w:bookmarkEnd w:id="182"/>
          </w:p>
        </w:tc>
      </w:tr>
      <w:tr w14:paraId="186A76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77" w:type="pct"/>
            <w:vAlign w:val="center"/>
          </w:tcPr>
          <w:p w14:paraId="5E75F4E7">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土壤及地下水</w:t>
            </w:r>
          </w:p>
          <w:p w14:paraId="319AD3E5">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污染防治措施</w:t>
            </w:r>
          </w:p>
        </w:tc>
        <w:tc>
          <w:tcPr>
            <w:tcW w:w="4222" w:type="pct"/>
            <w:gridSpan w:val="4"/>
            <w:vAlign w:val="center"/>
          </w:tcPr>
          <w:p w14:paraId="6D7AC63C">
            <w:pPr>
              <w:snapToGrid w:val="0"/>
              <w:jc w:val="left"/>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按照厂区装置和生产特点做好分区防渗措施，设置环保机构及专责人，建立和完善环保管理及奖惩制度、加强环保设施运行管理等。</w:t>
            </w:r>
          </w:p>
        </w:tc>
      </w:tr>
      <w:tr w14:paraId="15666B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77" w:type="pct"/>
            <w:vAlign w:val="center"/>
          </w:tcPr>
          <w:p w14:paraId="51AD6EB1">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生态保护措施</w:t>
            </w:r>
          </w:p>
        </w:tc>
        <w:tc>
          <w:tcPr>
            <w:tcW w:w="4222" w:type="pct"/>
            <w:gridSpan w:val="4"/>
            <w:vAlign w:val="center"/>
          </w:tcPr>
          <w:p w14:paraId="7997FA9F">
            <w:pPr>
              <w:snapToGrid w:val="0"/>
              <w:jc w:val="center"/>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w:t>
            </w:r>
          </w:p>
        </w:tc>
      </w:tr>
      <w:tr w14:paraId="07E164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77" w:type="pct"/>
            <w:vAlign w:val="center"/>
          </w:tcPr>
          <w:p w14:paraId="59D851B9">
            <w:pPr>
              <w:snapToGrid w:val="0"/>
              <w:jc w:val="center"/>
              <w:rPr>
                <w:rFonts w:hint="default" w:ascii="Times New Roman" w:hAnsi="Times New Roman" w:cs="Times New Roman"/>
                <w:color w:val="000000" w:themeColor="text1"/>
                <w:spacing w:val="-8"/>
                <w:sz w:val="24"/>
                <w:highlight w:val="none"/>
                <w14:textFill>
                  <w14:solidFill>
                    <w14:schemeClr w14:val="tx1"/>
                  </w14:solidFill>
                </w14:textFill>
              </w:rPr>
            </w:pPr>
            <w:r>
              <w:rPr>
                <w:rFonts w:hint="default" w:ascii="Times New Roman" w:hAnsi="Times New Roman" w:cs="Times New Roman"/>
                <w:color w:val="000000" w:themeColor="text1"/>
                <w:spacing w:val="-8"/>
                <w:sz w:val="24"/>
                <w:highlight w:val="none"/>
                <w14:textFill>
                  <w14:solidFill>
                    <w14:schemeClr w14:val="tx1"/>
                  </w14:solidFill>
                </w14:textFill>
              </w:rPr>
              <w:t>环境风险防范措施</w:t>
            </w:r>
          </w:p>
        </w:tc>
        <w:tc>
          <w:tcPr>
            <w:tcW w:w="4222" w:type="pct"/>
            <w:gridSpan w:val="4"/>
            <w:vAlign w:val="center"/>
          </w:tcPr>
          <w:p w14:paraId="2E47FE2C">
            <w:pPr>
              <w:pStyle w:val="35"/>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加强设备日常维护，定期组织员工进行环保培训、提高员工环境风险防范意识。</w:t>
            </w:r>
          </w:p>
        </w:tc>
      </w:tr>
      <w:tr w14:paraId="36CEED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777" w:type="pct"/>
            <w:vAlign w:val="center"/>
          </w:tcPr>
          <w:p w14:paraId="01115124">
            <w:pPr>
              <w:snapToGrid w:val="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其他环境管理要求</w:t>
            </w:r>
          </w:p>
        </w:tc>
        <w:tc>
          <w:tcPr>
            <w:tcW w:w="4222" w:type="pct"/>
            <w:gridSpan w:val="4"/>
            <w:vAlign w:val="center"/>
          </w:tcPr>
          <w:p w14:paraId="21B260FA">
            <w:pPr>
              <w:snapToGrid w:val="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废气处理设施需由专人维护保养，严格执行操作规程；做好废气处理设施的日常运行记录，建立管理台帐，了解处理设施的动态信息，确保废气处理设施的正常运行；按照监测计划进行常规检测；排污口规范化管理；根据《建设项目竣工环境保护验收暂行办法》的规定，建设项目竣工后，建设单位应当如实查验、监测、记载建设项目环境保护设施的建设和调试情况，编制竣工环境保护验收报告。</w:t>
            </w:r>
          </w:p>
        </w:tc>
      </w:tr>
    </w:tbl>
    <w:p w14:paraId="6E5356C1">
      <w:pPr>
        <w:pStyle w:val="2"/>
        <w:rPr>
          <w:rFonts w:hint="default" w:ascii="Times New Roman" w:hAnsi="Times New Roman" w:cs="Times New Roman"/>
          <w:snapToGrid w:val="0"/>
          <w:color w:val="000000" w:themeColor="text1"/>
          <w:highlight w:val="none"/>
          <w14:textFill>
            <w14:solidFill>
              <w14:schemeClr w14:val="tx1"/>
            </w14:solidFill>
          </w14:textFill>
        </w:rPr>
      </w:pPr>
      <w:bookmarkStart w:id="183" w:name="_Toc4317"/>
      <w:bookmarkStart w:id="184" w:name="_Toc191861464"/>
      <w:bookmarkStart w:id="185" w:name="_Toc175609278"/>
      <w:r>
        <w:rPr>
          <w:rFonts w:hint="default" w:ascii="Times New Roman" w:hAnsi="Times New Roman" w:cs="Times New Roman"/>
          <w:snapToGrid w:val="0"/>
          <w:color w:val="000000" w:themeColor="text1"/>
          <w:highlight w:val="none"/>
          <w14:textFill>
            <w14:solidFill>
              <w14:schemeClr w14:val="tx1"/>
            </w14:solidFill>
          </w14:textFill>
        </w:rPr>
        <w:t>结论</w:t>
      </w:r>
      <w:bookmarkEnd w:id="183"/>
      <w:bookmarkEnd w:id="184"/>
      <w:bookmarkEnd w:id="185"/>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37"/>
      </w:tblGrid>
      <w:tr w14:paraId="2C2AFA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vAlign w:val="center"/>
          </w:tcPr>
          <w:p w14:paraId="2083CE38">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4E7E4D20">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41C1B8A1">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71974315">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1DFA51F8">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2EC3AF46">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74FFE76D">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0C1F1982">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57FCDD21">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1B459C99">
            <w:pPr>
              <w:pStyle w:val="4"/>
              <w:ind w:firstLine="48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本项目建设符合国家及地方产业政策，区域环境质量现状良好，无重大环境制约因素。评价认为该项目在满足本报告表提出的污染物防治措施与主体工程“三同时”的前提下，废气、噪声、废水达标排放，不会对当地环境质量产生明显不利影响，具有较好的社会效益和环境效益，从环境影响角度分析，该项目是可行的。</w:t>
            </w:r>
          </w:p>
          <w:p w14:paraId="3FB312E4">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6598361D">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7BF7940C">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142A5337">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1A83E48B">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358567B7">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2330E4D0">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50453C6D">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50DD0E10">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638D868D">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1A498274">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4F85810D">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73E1894E">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4B454382">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2D8E8ADC">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4908604E">
            <w:pPr>
              <w:pStyle w:val="4"/>
              <w:ind w:firstLine="480"/>
              <w:rPr>
                <w:rFonts w:hint="default" w:ascii="Times New Roman" w:hAnsi="Times New Roman" w:cs="Times New Roman"/>
                <w:color w:val="000000" w:themeColor="text1"/>
                <w:highlight w:val="none"/>
                <w14:textFill>
                  <w14:solidFill>
                    <w14:schemeClr w14:val="tx1"/>
                  </w14:solidFill>
                </w14:textFill>
              </w:rPr>
            </w:pPr>
          </w:p>
          <w:p w14:paraId="1E1D09D1">
            <w:pPr>
              <w:pStyle w:val="4"/>
              <w:ind w:left="0" w:leftChars="0" w:firstLine="0" w:firstLineChars="0"/>
              <w:rPr>
                <w:rFonts w:hint="default" w:ascii="Times New Roman" w:hAnsi="Times New Roman" w:cs="Times New Roman"/>
                <w:color w:val="000000" w:themeColor="text1"/>
                <w:highlight w:val="none"/>
                <w14:textFill>
                  <w14:solidFill>
                    <w14:schemeClr w14:val="tx1"/>
                  </w14:solidFill>
                </w14:textFill>
              </w:rPr>
            </w:pPr>
          </w:p>
        </w:tc>
      </w:tr>
    </w:tbl>
    <w:p w14:paraId="54D9DB0F">
      <w:pPr>
        <w:rPr>
          <w:rFonts w:hint="default" w:ascii="Times New Roman" w:hAnsi="Times New Roman" w:cs="Times New Roman"/>
          <w:color w:val="000000" w:themeColor="text1"/>
          <w:highlight w:val="none"/>
          <w14:textFill>
            <w14:solidFill>
              <w14:schemeClr w14:val="tx1"/>
            </w14:solidFill>
          </w14:textFill>
        </w:rPr>
        <w:sectPr>
          <w:footerReference r:id="rId9" w:type="default"/>
          <w:pgSz w:w="11906" w:h="16838"/>
          <w:pgMar w:top="1531" w:right="1984" w:bottom="1531" w:left="1701" w:header="851" w:footer="851" w:gutter="0"/>
          <w:pgBorders>
            <w:top w:val="none" w:sz="0" w:space="0"/>
            <w:left w:val="none" w:sz="0" w:space="0"/>
            <w:bottom w:val="none" w:sz="0" w:space="0"/>
            <w:right w:val="none" w:sz="0" w:space="0"/>
          </w:pgBorders>
          <w:cols w:space="720" w:num="1"/>
          <w:docGrid w:linePitch="312" w:charSpace="0"/>
        </w:sectPr>
      </w:pPr>
    </w:p>
    <w:p w14:paraId="519D18CA">
      <w:pPr>
        <w:rPr>
          <w:rFonts w:hint="default" w:ascii="Times New Roman" w:hAnsi="Times New Roman" w:cs="Times New Roman"/>
          <w:snapToGrid w:val="0"/>
          <w:color w:val="000000" w:themeColor="text1"/>
          <w:highlight w:val="none"/>
          <w14:textFill>
            <w14:solidFill>
              <w14:schemeClr w14:val="tx1"/>
            </w14:solidFill>
          </w14:textFill>
        </w:rPr>
      </w:pPr>
      <w:bookmarkStart w:id="186" w:name="_Toc175609279"/>
      <w:r>
        <w:rPr>
          <w:rFonts w:hint="default" w:ascii="Times New Roman" w:hAnsi="Times New Roman" w:cs="Times New Roman"/>
          <w:snapToGrid w:val="0"/>
          <w:color w:val="000000" w:themeColor="text1"/>
          <w:highlight w:val="none"/>
          <w14:textFill>
            <w14:solidFill>
              <w14:schemeClr w14:val="tx1"/>
            </w14:solidFill>
          </w14:textFill>
        </w:rPr>
        <w:t>附表</w:t>
      </w:r>
      <w:bookmarkEnd w:id="186"/>
    </w:p>
    <w:p w14:paraId="6B8801FC">
      <w:pPr>
        <w:pStyle w:val="34"/>
        <w:rPr>
          <w:rFonts w:hint="default" w:ascii="Times New Roman" w:hAnsi="Times New Roman" w:cs="Times New Roman"/>
          <w:snapToGrid w:val="0"/>
          <w:color w:val="000000" w:themeColor="text1"/>
          <w:highlight w:val="none"/>
          <w14:textFill>
            <w14:solidFill>
              <w14:schemeClr w14:val="tx1"/>
            </w14:solidFill>
          </w14:textFill>
        </w:rPr>
      </w:pPr>
      <w:r>
        <w:rPr>
          <w:rFonts w:hint="default" w:ascii="Times New Roman" w:hAnsi="Times New Roman" w:cs="Times New Roman"/>
          <w:snapToGrid w:val="0"/>
          <w:color w:val="000000" w:themeColor="text1"/>
          <w:highlight w:val="none"/>
          <w14:textFill>
            <w14:solidFill>
              <w14:schemeClr w14:val="tx1"/>
            </w14:solidFill>
          </w14:textFill>
        </w:rPr>
        <w:t>建设项目污染物排放量汇总表</w:t>
      </w:r>
    </w:p>
    <w:tbl>
      <w:tblPr>
        <w:tblStyle w:val="16"/>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4"/>
        <w:gridCol w:w="2028"/>
        <w:gridCol w:w="1597"/>
        <w:gridCol w:w="1458"/>
        <w:gridCol w:w="1449"/>
        <w:gridCol w:w="1601"/>
        <w:gridCol w:w="1600"/>
        <w:gridCol w:w="1600"/>
        <w:gridCol w:w="1601"/>
      </w:tblGrid>
      <w:tr w14:paraId="15862A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54" w:type="dxa"/>
            <w:tcBorders>
              <w:tl2br w:val="single" w:color="auto" w:sz="4" w:space="0"/>
            </w:tcBorders>
            <w:tcMar>
              <w:left w:w="28" w:type="dxa"/>
              <w:right w:w="28" w:type="dxa"/>
            </w:tcMar>
            <w:vAlign w:val="center"/>
          </w:tcPr>
          <w:p w14:paraId="7851E36E">
            <w:pPr>
              <w:spacing w:beforeLines="0" w:afterLines="0" w:line="240" w:lineRule="auto"/>
              <w:jc w:val="cente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t>项目</w:t>
            </w:r>
          </w:p>
          <w:p w14:paraId="52C8B01A">
            <w:pPr>
              <w:spacing w:beforeLines="0" w:afterLines="0" w:line="240" w:lineRule="auto"/>
              <w:jc w:val="cente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t>分类</w:t>
            </w:r>
          </w:p>
        </w:tc>
        <w:tc>
          <w:tcPr>
            <w:tcW w:w="2028" w:type="dxa"/>
            <w:tcMar>
              <w:left w:w="28" w:type="dxa"/>
              <w:right w:w="28" w:type="dxa"/>
            </w:tcMar>
            <w:vAlign w:val="center"/>
          </w:tcPr>
          <w:p w14:paraId="3E41EFA1">
            <w:pPr>
              <w:spacing w:beforeLines="0" w:afterLines="0" w:line="240" w:lineRule="auto"/>
              <w:jc w:val="cente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t>污染物名称</w:t>
            </w:r>
          </w:p>
        </w:tc>
        <w:tc>
          <w:tcPr>
            <w:tcW w:w="1597" w:type="dxa"/>
            <w:tcMar>
              <w:left w:w="28" w:type="dxa"/>
              <w:right w:w="28" w:type="dxa"/>
            </w:tcMar>
            <w:vAlign w:val="center"/>
          </w:tcPr>
          <w:p w14:paraId="60A66428">
            <w:pPr>
              <w:spacing w:beforeLines="0" w:afterLines="0" w:line="240" w:lineRule="auto"/>
              <w:jc w:val="cente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t>现有工程</w:t>
            </w:r>
          </w:p>
          <w:p w14:paraId="6A611AB1">
            <w:pPr>
              <w:spacing w:beforeLines="0" w:afterLines="0" w:line="240" w:lineRule="auto"/>
              <w:jc w:val="cente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t>排放量（固体废物产生量）</w:t>
            </w:r>
            <w:r>
              <w:rPr>
                <w:rFonts w:hint="default" w:ascii="Times New Roman" w:hAnsi="Times New Roman" w:cs="Times New Roman"/>
                <w:color w:val="000000" w:themeColor="text1"/>
                <w:kern w:val="2"/>
                <w:sz w:val="22"/>
                <w:szCs w:val="22"/>
                <w:highlight w:val="none"/>
                <w14:textFill>
                  <w14:solidFill>
                    <w14:schemeClr w14:val="tx1"/>
                  </w14:solidFill>
                </w14:textFill>
              </w:rPr>
              <w:t>①</w:t>
            </w:r>
          </w:p>
        </w:tc>
        <w:tc>
          <w:tcPr>
            <w:tcW w:w="1458" w:type="dxa"/>
            <w:tcMar>
              <w:left w:w="28" w:type="dxa"/>
              <w:right w:w="28" w:type="dxa"/>
            </w:tcMar>
            <w:vAlign w:val="center"/>
          </w:tcPr>
          <w:p w14:paraId="664B8F00">
            <w:pPr>
              <w:spacing w:beforeLines="0" w:afterLines="0" w:line="240" w:lineRule="auto"/>
              <w:jc w:val="cente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t>现有工程</w:t>
            </w:r>
          </w:p>
          <w:p w14:paraId="6D6F47A0">
            <w:pPr>
              <w:spacing w:beforeLines="0" w:afterLines="0" w:line="240" w:lineRule="auto"/>
              <w:jc w:val="cente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t>许可排放量</w:t>
            </w:r>
          </w:p>
          <w:p w14:paraId="2B994F17">
            <w:pPr>
              <w:spacing w:beforeLines="0" w:afterLines="0"/>
              <w:jc w:val="cente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pPr>
            <w:r>
              <w:rPr>
                <w:rFonts w:hint="default" w:ascii="Times New Roman" w:hAnsi="Times New Roman" w:cs="Times New Roman"/>
                <w:snapToGrid w:val="0"/>
                <w:color w:val="000000" w:themeColor="text1"/>
                <w:spacing w:val="-6"/>
                <w:kern w:val="21"/>
                <w:sz w:val="22"/>
                <w:szCs w:val="22"/>
                <w:highlight w:val="none"/>
                <w14:textFill>
                  <w14:solidFill>
                    <w14:schemeClr w14:val="tx1"/>
                  </w14:solidFill>
                </w14:textFill>
              </w:rPr>
              <w:t>②</w:t>
            </w:r>
          </w:p>
        </w:tc>
        <w:tc>
          <w:tcPr>
            <w:tcW w:w="1449" w:type="dxa"/>
            <w:tcMar>
              <w:left w:w="28" w:type="dxa"/>
              <w:right w:w="28" w:type="dxa"/>
            </w:tcMar>
            <w:vAlign w:val="center"/>
          </w:tcPr>
          <w:p w14:paraId="51F495AA">
            <w:pPr>
              <w:spacing w:beforeLines="0" w:afterLines="0" w:line="240" w:lineRule="auto"/>
              <w:jc w:val="cente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t>在建工程</w:t>
            </w:r>
          </w:p>
          <w:p w14:paraId="368BCBEE">
            <w:pPr>
              <w:spacing w:beforeLines="0" w:afterLines="0" w:line="240" w:lineRule="auto"/>
              <w:jc w:val="cente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t>排放量（固体废物产生量）</w:t>
            </w:r>
            <w:r>
              <w:rPr>
                <w:rFonts w:hint="default" w:ascii="Times New Roman" w:hAnsi="Times New Roman" w:cs="Times New Roman"/>
                <w:color w:val="000000" w:themeColor="text1"/>
                <w:kern w:val="2"/>
                <w:sz w:val="22"/>
                <w:szCs w:val="22"/>
                <w:highlight w:val="none"/>
                <w14:textFill>
                  <w14:solidFill>
                    <w14:schemeClr w14:val="tx1"/>
                  </w14:solidFill>
                </w14:textFill>
              </w:rPr>
              <w:t>③</w:t>
            </w:r>
          </w:p>
        </w:tc>
        <w:tc>
          <w:tcPr>
            <w:tcW w:w="1601" w:type="dxa"/>
            <w:tcMar>
              <w:left w:w="28" w:type="dxa"/>
              <w:right w:w="28" w:type="dxa"/>
            </w:tcMar>
            <w:vAlign w:val="center"/>
          </w:tcPr>
          <w:p w14:paraId="2AEE587C">
            <w:pPr>
              <w:spacing w:beforeLines="0" w:afterLines="0" w:line="240" w:lineRule="auto"/>
              <w:jc w:val="cente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t>本项目</w:t>
            </w:r>
          </w:p>
          <w:p w14:paraId="7527DA63">
            <w:pPr>
              <w:spacing w:beforeLines="0" w:afterLines="0" w:line="240" w:lineRule="auto"/>
              <w:jc w:val="cente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t>排放量（固体废物产生量）</w:t>
            </w:r>
            <w:r>
              <w:rPr>
                <w:rFonts w:hint="default" w:ascii="Times New Roman" w:hAnsi="Times New Roman" w:cs="Times New Roman"/>
                <w:color w:val="000000" w:themeColor="text1"/>
                <w:kern w:val="2"/>
                <w:sz w:val="22"/>
                <w:szCs w:val="22"/>
                <w:highlight w:val="none"/>
                <w14:textFill>
                  <w14:solidFill>
                    <w14:schemeClr w14:val="tx1"/>
                  </w14:solidFill>
                </w14:textFill>
              </w:rPr>
              <w:t>④</w:t>
            </w:r>
          </w:p>
        </w:tc>
        <w:tc>
          <w:tcPr>
            <w:tcW w:w="1600" w:type="dxa"/>
            <w:tcMar>
              <w:left w:w="28" w:type="dxa"/>
              <w:right w:w="28" w:type="dxa"/>
            </w:tcMar>
            <w:vAlign w:val="center"/>
          </w:tcPr>
          <w:p w14:paraId="6700D63A">
            <w:pPr>
              <w:spacing w:beforeLines="0" w:afterLines="0" w:line="240" w:lineRule="auto"/>
              <w:jc w:val="center"/>
              <w:rPr>
                <w:rFonts w:hint="default" w:ascii="Times New Roman" w:hAnsi="Times New Roman" w:eastAsia="黑体" w:cs="Times New Roman"/>
                <w:snapToGrid w:val="0"/>
                <w:color w:val="000000" w:themeColor="text1"/>
                <w:spacing w:val="-16"/>
                <w:kern w:val="21"/>
                <w:sz w:val="22"/>
                <w:szCs w:val="22"/>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2"/>
                <w:szCs w:val="22"/>
                <w:highlight w:val="none"/>
                <w14:textFill>
                  <w14:solidFill>
                    <w14:schemeClr w14:val="tx1"/>
                  </w14:solidFill>
                </w14:textFill>
              </w:rPr>
              <w:t>以新带老削减量</w:t>
            </w:r>
          </w:p>
          <w:p w14:paraId="710EC4DE">
            <w:pPr>
              <w:spacing w:beforeLines="0" w:afterLines="0" w:line="240" w:lineRule="auto"/>
              <w:jc w:val="center"/>
              <w:rPr>
                <w:rFonts w:hint="default" w:ascii="Times New Roman" w:hAnsi="Times New Roman" w:eastAsia="黑体" w:cs="Times New Roman"/>
                <w:snapToGrid w:val="0"/>
                <w:color w:val="000000" w:themeColor="text1"/>
                <w:spacing w:val="-16"/>
                <w:kern w:val="21"/>
                <w:sz w:val="22"/>
                <w:szCs w:val="22"/>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2"/>
                <w:szCs w:val="22"/>
                <w:highlight w:val="none"/>
                <w14:textFill>
                  <w14:solidFill>
                    <w14:schemeClr w14:val="tx1"/>
                  </w14:solidFill>
                </w14:textFill>
              </w:rPr>
              <w:t>（新建项目不填）</w:t>
            </w:r>
            <w:r>
              <w:rPr>
                <w:rFonts w:hint="default" w:ascii="Times New Roman" w:hAnsi="Times New Roman" w:cs="Times New Roman"/>
                <w:color w:val="000000" w:themeColor="text1"/>
                <w:kern w:val="2"/>
                <w:sz w:val="22"/>
                <w:szCs w:val="22"/>
                <w:highlight w:val="none"/>
                <w14:textFill>
                  <w14:solidFill>
                    <w14:schemeClr w14:val="tx1"/>
                  </w14:solidFill>
                </w14:textFill>
              </w:rPr>
              <w:t>⑤</w:t>
            </w:r>
          </w:p>
        </w:tc>
        <w:tc>
          <w:tcPr>
            <w:tcW w:w="1600" w:type="dxa"/>
            <w:tcMar>
              <w:left w:w="28" w:type="dxa"/>
              <w:right w:w="28" w:type="dxa"/>
            </w:tcMar>
            <w:vAlign w:val="center"/>
          </w:tcPr>
          <w:p w14:paraId="2B371002">
            <w:pPr>
              <w:spacing w:beforeLines="0" w:afterLines="0" w:line="240" w:lineRule="auto"/>
              <w:jc w:val="center"/>
              <w:rPr>
                <w:rFonts w:hint="default" w:ascii="Times New Roman" w:hAnsi="Times New Roman" w:eastAsia="黑体" w:cs="Times New Roman"/>
                <w:snapToGrid w:val="0"/>
                <w:color w:val="000000" w:themeColor="text1"/>
                <w:spacing w:val="-16"/>
                <w:kern w:val="21"/>
                <w:sz w:val="22"/>
                <w:szCs w:val="22"/>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2"/>
                <w:szCs w:val="22"/>
                <w:highlight w:val="none"/>
                <w14:textFill>
                  <w14:solidFill>
                    <w14:schemeClr w14:val="tx1"/>
                  </w14:solidFill>
                </w14:textFill>
              </w:rPr>
              <w:t>本项目建成后</w:t>
            </w:r>
          </w:p>
          <w:p w14:paraId="26380002">
            <w:pPr>
              <w:spacing w:beforeLines="0" w:afterLines="0" w:line="240" w:lineRule="auto"/>
              <w:jc w:val="center"/>
              <w:rPr>
                <w:rFonts w:hint="default" w:ascii="Times New Roman" w:hAnsi="Times New Roman" w:eastAsia="黑体" w:cs="Times New Roman"/>
                <w:snapToGrid w:val="0"/>
                <w:color w:val="000000" w:themeColor="text1"/>
                <w:spacing w:val="-16"/>
                <w:kern w:val="21"/>
                <w:sz w:val="22"/>
                <w:szCs w:val="22"/>
                <w:highlight w:val="none"/>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2"/>
                <w:szCs w:val="22"/>
                <w:highlight w:val="none"/>
                <w14:textFill>
                  <w14:solidFill>
                    <w14:schemeClr w14:val="tx1"/>
                  </w14:solidFill>
                </w14:textFill>
              </w:rPr>
              <w:t>全厂排放量（固体废物产生量）</w:t>
            </w:r>
            <w:r>
              <w:rPr>
                <w:rFonts w:hint="default" w:ascii="Times New Roman" w:hAnsi="Times New Roman" w:cs="Times New Roman"/>
                <w:color w:val="000000" w:themeColor="text1"/>
                <w:kern w:val="2"/>
                <w:sz w:val="22"/>
                <w:szCs w:val="22"/>
                <w:highlight w:val="none"/>
                <w14:textFill>
                  <w14:solidFill>
                    <w14:schemeClr w14:val="tx1"/>
                  </w14:solidFill>
                </w14:textFill>
              </w:rPr>
              <w:t>⑥</w:t>
            </w:r>
          </w:p>
        </w:tc>
        <w:tc>
          <w:tcPr>
            <w:tcW w:w="1601" w:type="dxa"/>
            <w:tcMar>
              <w:left w:w="28" w:type="dxa"/>
              <w:right w:w="28" w:type="dxa"/>
            </w:tcMar>
            <w:vAlign w:val="center"/>
          </w:tcPr>
          <w:p w14:paraId="40895B9C">
            <w:pPr>
              <w:spacing w:beforeLines="0" w:afterLines="0" w:line="240" w:lineRule="auto"/>
              <w:jc w:val="cente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t>变化量</w:t>
            </w:r>
          </w:p>
          <w:p w14:paraId="65088F71">
            <w:pPr>
              <w:spacing w:beforeLines="0" w:afterLines="0" w:line="240" w:lineRule="auto"/>
              <w:jc w:val="center"/>
              <w:rPr>
                <w:rFonts w:hint="default" w:ascii="Times New Roman" w:hAnsi="Times New Roman" w:eastAsia="黑体" w:cs="Times New Roman"/>
                <w:snapToGrid w:val="0"/>
                <w:color w:val="000000" w:themeColor="text1"/>
                <w:spacing w:val="-6"/>
                <w:kern w:val="21"/>
                <w:sz w:val="22"/>
                <w:szCs w:val="22"/>
                <w:highlight w:val="none"/>
                <w14:textFill>
                  <w14:solidFill>
                    <w14:schemeClr w14:val="tx1"/>
                  </w14:solidFill>
                </w14:textFill>
              </w:rPr>
            </w:pPr>
            <w:r>
              <w:rPr>
                <w:rFonts w:hint="default" w:ascii="Times New Roman" w:hAnsi="Times New Roman" w:cs="Times New Roman"/>
                <w:color w:val="000000" w:themeColor="text1"/>
                <w:kern w:val="2"/>
                <w:sz w:val="22"/>
                <w:szCs w:val="22"/>
                <w:highlight w:val="none"/>
                <w14:textFill>
                  <w14:solidFill>
                    <w14:schemeClr w14:val="tx1"/>
                  </w14:solidFill>
                </w14:textFill>
              </w:rPr>
              <w:t>⑦</w:t>
            </w:r>
          </w:p>
        </w:tc>
      </w:tr>
      <w:tr w14:paraId="362D3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dxa"/>
            <w:vMerge w:val="restart"/>
            <w:vAlign w:val="center"/>
          </w:tcPr>
          <w:p w14:paraId="2E6A0CAF">
            <w:pPr>
              <w:spacing w:beforeLines="0" w:afterLines="0" w:line="240" w:lineRule="auto"/>
              <w:jc w:val="center"/>
              <w:rPr>
                <w:rFonts w:hint="default" w:ascii="Times New Roman" w:hAnsi="Times New Roman" w:cs="Times New Roman"/>
                <w:snapToGrid w:val="0"/>
                <w:color w:val="000000" w:themeColor="text1"/>
                <w:kern w:val="21"/>
                <w:sz w:val="22"/>
                <w:szCs w:val="22"/>
                <w:highlight w:val="none"/>
                <w14:textFill>
                  <w14:solidFill>
                    <w14:schemeClr w14:val="tx1"/>
                  </w14:solidFill>
                </w14:textFill>
              </w:rPr>
            </w:pPr>
            <w:r>
              <w:rPr>
                <w:rFonts w:hint="default" w:ascii="Times New Roman" w:hAnsi="Times New Roman" w:cs="Times New Roman"/>
                <w:snapToGrid w:val="0"/>
                <w:color w:val="000000" w:themeColor="text1"/>
                <w:kern w:val="21"/>
                <w:sz w:val="22"/>
                <w:szCs w:val="22"/>
                <w:highlight w:val="none"/>
                <w14:textFill>
                  <w14:solidFill>
                    <w14:schemeClr w14:val="tx1"/>
                  </w14:solidFill>
                </w14:textFill>
              </w:rPr>
              <w:t>废气</w:t>
            </w:r>
          </w:p>
        </w:tc>
        <w:tc>
          <w:tcPr>
            <w:tcW w:w="2028" w:type="dxa"/>
            <w:vAlign w:val="center"/>
          </w:tcPr>
          <w:p w14:paraId="64C43479">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颗粒物</w:t>
            </w:r>
          </w:p>
        </w:tc>
        <w:tc>
          <w:tcPr>
            <w:tcW w:w="1597" w:type="dxa"/>
            <w:vAlign w:val="center"/>
          </w:tcPr>
          <w:p w14:paraId="4D7AC4B6">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eastAsia" w:cs="Times New Roman"/>
                <w:snapToGrid w:val="0"/>
                <w:color w:val="000000" w:themeColor="text1"/>
                <w:kern w:val="21"/>
                <w:sz w:val="24"/>
                <w:szCs w:val="24"/>
                <w:highlight w:val="none"/>
                <w:lang w:val="en-US" w:eastAsia="zh-CN"/>
                <w14:textFill>
                  <w14:solidFill>
                    <w14:schemeClr w14:val="tx1"/>
                  </w14:solidFill>
                </w14:textFill>
              </w:rPr>
              <w:t>1.79</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458" w:type="dxa"/>
            <w:vAlign w:val="center"/>
          </w:tcPr>
          <w:p w14:paraId="471EAE35">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eastAsia" w:cs="Times New Roman"/>
                <w:snapToGrid w:val="0"/>
                <w:color w:val="000000" w:themeColor="text1"/>
                <w:kern w:val="21"/>
                <w:sz w:val="24"/>
                <w:szCs w:val="24"/>
                <w:highlight w:val="none"/>
                <w:lang w:val="en-US" w:eastAsia="zh-CN"/>
                <w14:textFill>
                  <w14:solidFill>
                    <w14:schemeClr w14:val="tx1"/>
                  </w14:solidFill>
                </w14:textFill>
              </w:rPr>
              <w:t>15.38</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449" w:type="dxa"/>
            <w:vAlign w:val="center"/>
          </w:tcPr>
          <w:p w14:paraId="23F2A2BF">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1" w:type="dxa"/>
            <w:vAlign w:val="center"/>
          </w:tcPr>
          <w:p w14:paraId="6B9E2ADC">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eastAsia" w:cs="Times New Roman"/>
                <w:i w:val="0"/>
                <w:iCs w:val="0"/>
                <w:color w:val="000000" w:themeColor="text1"/>
                <w:kern w:val="0"/>
                <w:sz w:val="24"/>
                <w:szCs w:val="24"/>
                <w:highlight w:val="none"/>
                <w:u w:val="none"/>
                <w:lang w:val="en-US" w:eastAsia="zh-CN" w:bidi="ar"/>
                <w14:textFill>
                  <w14:solidFill>
                    <w14:schemeClr w14:val="tx1"/>
                  </w14:solidFill>
                </w14:textFill>
                <w14:ligatures w14:val="standardContextual"/>
              </w:rPr>
              <w:t>0.0447</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600" w:type="dxa"/>
            <w:vAlign w:val="center"/>
          </w:tcPr>
          <w:p w14:paraId="58988A60">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0" w:type="dxa"/>
            <w:vAlign w:val="center"/>
          </w:tcPr>
          <w:p w14:paraId="68EDA276">
            <w:pPr>
              <w:keepNext w:val="0"/>
              <w:keepLines w:val="0"/>
              <w:widowControl/>
              <w:suppressLineNumbers w:val="0"/>
              <w:jc w:val="center"/>
              <w:textAlignment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eastAsia" w:cs="Times New Roman"/>
                <w:i w:val="0"/>
                <w:iCs w:val="0"/>
                <w:color w:val="000000" w:themeColor="text1"/>
                <w:kern w:val="0"/>
                <w:sz w:val="24"/>
                <w:szCs w:val="24"/>
                <w:highlight w:val="none"/>
                <w:u w:val="none"/>
                <w:lang w:val="en-US" w:eastAsia="zh-CN" w:bidi="ar"/>
                <w14:textFill>
                  <w14:solidFill>
                    <w14:schemeClr w14:val="tx1"/>
                  </w14:solidFill>
                </w14:textFill>
              </w:rPr>
              <w:t>1.8347</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601" w:type="dxa"/>
            <w:vAlign w:val="center"/>
          </w:tcPr>
          <w:p w14:paraId="504C4AC2">
            <w:pPr>
              <w:keepNext w:val="0"/>
              <w:keepLines w:val="0"/>
              <w:widowControl/>
              <w:suppressLineNumbers w:val="0"/>
              <w:jc w:val="center"/>
              <w:textAlignment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eastAsia" w:cs="Times New Roman"/>
                <w:i w:val="0"/>
                <w:iCs w:val="0"/>
                <w:color w:val="000000" w:themeColor="text1"/>
                <w:kern w:val="0"/>
                <w:sz w:val="24"/>
                <w:szCs w:val="24"/>
                <w:highlight w:val="none"/>
                <w:u w:val="none"/>
                <w:lang w:val="en-US" w:eastAsia="zh-CN" w:bidi="ar"/>
                <w14:textFill>
                  <w14:solidFill>
                    <w14:schemeClr w14:val="tx1"/>
                  </w14:solidFill>
                </w14:textFill>
              </w:rPr>
              <w:t>+1.8347</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r>
      <w:tr w14:paraId="07B38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dxa"/>
            <w:vMerge w:val="continue"/>
            <w:vAlign w:val="center"/>
          </w:tcPr>
          <w:p w14:paraId="02438500">
            <w:pPr>
              <w:spacing w:beforeLines="0" w:afterLines="0" w:line="240" w:lineRule="auto"/>
              <w:rPr>
                <w:rFonts w:hint="default" w:ascii="Times New Roman" w:hAnsi="Times New Roman" w:cs="Times New Roman"/>
                <w:snapToGrid w:val="0"/>
                <w:color w:val="000000" w:themeColor="text1"/>
                <w:kern w:val="21"/>
                <w:sz w:val="22"/>
                <w:szCs w:val="22"/>
                <w:highlight w:val="none"/>
                <w14:textFill>
                  <w14:solidFill>
                    <w14:schemeClr w14:val="tx1"/>
                  </w14:solidFill>
                </w14:textFill>
              </w:rPr>
            </w:pPr>
          </w:p>
        </w:tc>
        <w:tc>
          <w:tcPr>
            <w:tcW w:w="2028" w:type="dxa"/>
            <w:vAlign w:val="center"/>
          </w:tcPr>
          <w:p w14:paraId="173ECAF4">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二氧化硫</w:t>
            </w:r>
          </w:p>
        </w:tc>
        <w:tc>
          <w:tcPr>
            <w:tcW w:w="1597" w:type="dxa"/>
            <w:vAlign w:val="center"/>
          </w:tcPr>
          <w:p w14:paraId="19979156">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1</w:t>
            </w:r>
            <w:r>
              <w:rPr>
                <w:rFonts w:hint="eastAsia" w:cs="Times New Roman"/>
                <w:snapToGrid w:val="0"/>
                <w:color w:val="000000" w:themeColor="text1"/>
                <w:kern w:val="21"/>
                <w:sz w:val="24"/>
                <w:szCs w:val="24"/>
                <w:highlight w:val="none"/>
                <w:lang w:val="en-US" w:eastAsia="zh-CN"/>
                <w14:textFill>
                  <w14:solidFill>
                    <w14:schemeClr w14:val="tx1"/>
                  </w14:solidFill>
                </w14:textFill>
              </w:rPr>
              <w:t>4</w:t>
            </w: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.09</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458" w:type="dxa"/>
            <w:vAlign w:val="center"/>
          </w:tcPr>
          <w:p w14:paraId="4F6F4F20">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15</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449" w:type="dxa"/>
            <w:vAlign w:val="center"/>
          </w:tcPr>
          <w:p w14:paraId="3CE81D42">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1" w:type="dxa"/>
            <w:vAlign w:val="center"/>
          </w:tcPr>
          <w:p w14:paraId="2BC1CF8E">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i w:val="0"/>
                <w:iCs w:val="0"/>
                <w:color w:val="000000" w:themeColor="text1"/>
                <w:kern w:val="0"/>
                <w:sz w:val="24"/>
                <w:szCs w:val="24"/>
                <w:highlight w:val="none"/>
                <w:u w:val="none"/>
                <w:lang w:val="en-US" w:eastAsia="zh-CN" w:bidi="ar"/>
                <w14:textFill>
                  <w14:solidFill>
                    <w14:schemeClr w14:val="tx1"/>
                  </w14:solidFill>
                </w14:textFill>
                <w14:ligatures w14:val="standardContextual"/>
              </w:rPr>
              <w:t>4.561</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600" w:type="dxa"/>
            <w:vAlign w:val="center"/>
          </w:tcPr>
          <w:p w14:paraId="44D5E227">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0" w:type="dxa"/>
            <w:vAlign w:val="center"/>
          </w:tcPr>
          <w:p w14:paraId="7903DFAE">
            <w:pPr>
              <w:keepNext w:val="0"/>
              <w:keepLines w:val="0"/>
              <w:widowControl/>
              <w:suppressLineNumbers w:val="0"/>
              <w:jc w:val="center"/>
              <w:textAlignment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highlight w:val="none"/>
                <w:u w:val="none"/>
                <w:lang w:val="en-US" w:eastAsia="zh-CN" w:bidi="ar"/>
                <w14:textFill>
                  <w14:solidFill>
                    <w14:schemeClr w14:val="tx1"/>
                  </w14:solidFill>
                </w14:textFill>
              </w:rPr>
              <w:t>18.651</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601" w:type="dxa"/>
            <w:vAlign w:val="center"/>
          </w:tcPr>
          <w:p w14:paraId="5B26B7B8">
            <w:pPr>
              <w:keepNext w:val="0"/>
              <w:keepLines w:val="0"/>
              <w:widowControl/>
              <w:suppressLineNumbers w:val="0"/>
              <w:jc w:val="center"/>
              <w:textAlignment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eastAsia" w:cs="Times New Roman"/>
                <w:i w:val="0"/>
                <w:iCs w:val="0"/>
                <w:color w:val="000000" w:themeColor="text1"/>
                <w:kern w:val="0"/>
                <w:sz w:val="24"/>
                <w:szCs w:val="24"/>
                <w:highlight w:val="none"/>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4"/>
                <w:szCs w:val="24"/>
                <w:highlight w:val="none"/>
                <w:u w:val="none"/>
                <w:lang w:val="en-US" w:eastAsia="zh-CN" w:bidi="ar"/>
                <w14:textFill>
                  <w14:solidFill>
                    <w14:schemeClr w14:val="tx1"/>
                  </w14:solidFill>
                </w14:textFill>
              </w:rPr>
              <w:t>18.651</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r>
      <w:tr w14:paraId="29F08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dxa"/>
            <w:vMerge w:val="continue"/>
            <w:vAlign w:val="center"/>
          </w:tcPr>
          <w:p w14:paraId="1E512147">
            <w:pPr>
              <w:spacing w:beforeLines="0" w:afterLines="0" w:line="240" w:lineRule="auto"/>
              <w:rPr>
                <w:rFonts w:hint="default" w:ascii="Times New Roman" w:hAnsi="Times New Roman" w:cs="Times New Roman"/>
                <w:snapToGrid w:val="0"/>
                <w:color w:val="000000" w:themeColor="text1"/>
                <w:kern w:val="21"/>
                <w:sz w:val="22"/>
                <w:szCs w:val="22"/>
                <w:highlight w:val="none"/>
                <w14:textFill>
                  <w14:solidFill>
                    <w14:schemeClr w14:val="tx1"/>
                  </w14:solidFill>
                </w14:textFill>
              </w:rPr>
            </w:pPr>
          </w:p>
        </w:tc>
        <w:tc>
          <w:tcPr>
            <w:tcW w:w="2028" w:type="dxa"/>
            <w:vAlign w:val="center"/>
          </w:tcPr>
          <w:p w14:paraId="645D3003">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氮氧化物</w:t>
            </w:r>
          </w:p>
        </w:tc>
        <w:tc>
          <w:tcPr>
            <w:tcW w:w="1597" w:type="dxa"/>
            <w:vAlign w:val="center"/>
          </w:tcPr>
          <w:p w14:paraId="34FFBBA5">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34.12</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458" w:type="dxa"/>
            <w:vAlign w:val="center"/>
          </w:tcPr>
          <w:p w14:paraId="0357E006">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272.26</w:t>
            </w:r>
            <w:r>
              <w:rPr>
                <w:rFonts w:hint="eastAsia" w:ascii="Times New Roman" w:hAnsi="Times New Roman" w:cs="Times New Roman"/>
                <w:snapToGrid w:val="0"/>
                <w:color w:val="000000" w:themeColor="text1"/>
                <w:kern w:val="21"/>
                <w:sz w:val="24"/>
                <w:szCs w:val="24"/>
                <w:highlight w:val="none"/>
                <w:lang w:val="en-US" w:eastAsia="zh-CN"/>
                <w14:textFill>
                  <w14:solidFill>
                    <w14:schemeClr w14:val="tx1"/>
                  </w14:solidFill>
                </w14:textFill>
              </w:rPr>
              <w:t>3</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449" w:type="dxa"/>
            <w:vAlign w:val="center"/>
          </w:tcPr>
          <w:p w14:paraId="34C6FF2D">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1" w:type="dxa"/>
            <w:vAlign w:val="center"/>
          </w:tcPr>
          <w:p w14:paraId="6CCBF4E0">
            <w:pPr>
              <w:keepNext w:val="0"/>
              <w:keepLines w:val="0"/>
              <w:widowControl/>
              <w:suppressLineNumbers w:val="0"/>
              <w:overflowPunct w:val="0"/>
              <w:autoSpaceDE w:val="0"/>
              <w:autoSpaceDN w:val="0"/>
              <w:snapToGrid w:val="0"/>
              <w:jc w:val="center"/>
              <w:textAlignment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eastAsia" w:cs="Times New Roman"/>
                <w:i w:val="0"/>
                <w:iCs w:val="0"/>
                <w:color w:val="000000" w:themeColor="text1"/>
                <w:kern w:val="0"/>
                <w:sz w:val="24"/>
                <w:szCs w:val="24"/>
                <w:highlight w:val="none"/>
                <w:u w:val="none"/>
                <w:lang w:val="en-US" w:eastAsia="zh-CN" w:bidi="ar"/>
                <w14:textFill>
                  <w14:solidFill>
                    <w14:schemeClr w14:val="tx1"/>
                  </w14:solidFill>
                </w14:textFill>
                <w14:ligatures w14:val="standardContextual"/>
              </w:rPr>
              <w:t>6.385</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600" w:type="dxa"/>
            <w:vAlign w:val="center"/>
          </w:tcPr>
          <w:p w14:paraId="612E79A8">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0" w:type="dxa"/>
            <w:vAlign w:val="center"/>
          </w:tcPr>
          <w:p w14:paraId="56F59AA1">
            <w:pPr>
              <w:keepNext w:val="0"/>
              <w:keepLines w:val="0"/>
              <w:widowControl/>
              <w:suppressLineNumbers w:val="0"/>
              <w:jc w:val="center"/>
              <w:textAlignment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eastAsia" w:cs="Times New Roman"/>
                <w:i w:val="0"/>
                <w:iCs w:val="0"/>
                <w:color w:val="000000" w:themeColor="text1"/>
                <w:kern w:val="0"/>
                <w:sz w:val="24"/>
                <w:szCs w:val="24"/>
                <w:highlight w:val="none"/>
                <w:u w:val="none"/>
                <w:lang w:val="en-US" w:eastAsia="zh-CN" w:bidi="ar"/>
                <w14:textFill>
                  <w14:solidFill>
                    <w14:schemeClr w14:val="tx1"/>
                  </w14:solidFill>
                </w14:textFill>
              </w:rPr>
              <w:t>40.505</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601" w:type="dxa"/>
            <w:vAlign w:val="center"/>
          </w:tcPr>
          <w:p w14:paraId="7820FF8F">
            <w:pPr>
              <w:keepNext w:val="0"/>
              <w:keepLines w:val="0"/>
              <w:widowControl/>
              <w:suppressLineNumbers w:val="0"/>
              <w:jc w:val="center"/>
              <w:textAlignment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eastAsia" w:cs="Times New Roman"/>
                <w:i w:val="0"/>
                <w:iCs w:val="0"/>
                <w:color w:val="000000" w:themeColor="text1"/>
                <w:kern w:val="0"/>
                <w:sz w:val="24"/>
                <w:szCs w:val="24"/>
                <w:highlight w:val="none"/>
                <w:u w:val="none"/>
                <w:lang w:val="en-US" w:eastAsia="zh-CN" w:bidi="ar"/>
                <w14:textFill>
                  <w14:solidFill>
                    <w14:schemeClr w14:val="tx1"/>
                  </w14:solidFill>
                </w14:textFill>
              </w:rPr>
              <w:t>+40.505</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r>
      <w:tr w14:paraId="210E0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dxa"/>
            <w:vMerge w:val="restart"/>
            <w:vAlign w:val="center"/>
          </w:tcPr>
          <w:p w14:paraId="27B2BEA8">
            <w:pPr>
              <w:spacing w:beforeLines="0" w:afterLines="0" w:line="240" w:lineRule="auto"/>
              <w:jc w:val="center"/>
              <w:rPr>
                <w:rFonts w:hint="default" w:ascii="Times New Roman" w:hAnsi="Times New Roman" w:cs="Times New Roman"/>
                <w:snapToGrid w:val="0"/>
                <w:color w:val="000000" w:themeColor="text1"/>
                <w:kern w:val="21"/>
                <w:sz w:val="22"/>
                <w:szCs w:val="22"/>
                <w:highlight w:val="none"/>
                <w14:textFill>
                  <w14:solidFill>
                    <w14:schemeClr w14:val="tx1"/>
                  </w14:solidFill>
                </w14:textFill>
              </w:rPr>
            </w:pPr>
            <w:r>
              <w:rPr>
                <w:rFonts w:hint="default" w:ascii="Times New Roman" w:hAnsi="Times New Roman" w:cs="Times New Roman"/>
                <w:snapToGrid w:val="0"/>
                <w:color w:val="000000" w:themeColor="text1"/>
                <w:kern w:val="21"/>
                <w:sz w:val="22"/>
                <w:szCs w:val="22"/>
                <w:highlight w:val="none"/>
                <w14:textFill>
                  <w14:solidFill>
                    <w14:schemeClr w14:val="tx1"/>
                  </w14:solidFill>
                </w14:textFill>
              </w:rPr>
              <w:t>废水</w:t>
            </w:r>
          </w:p>
        </w:tc>
        <w:tc>
          <w:tcPr>
            <w:tcW w:w="2028" w:type="dxa"/>
            <w:vAlign w:val="center"/>
          </w:tcPr>
          <w:p w14:paraId="6E2B3A36">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COD</w:t>
            </w:r>
          </w:p>
        </w:tc>
        <w:tc>
          <w:tcPr>
            <w:tcW w:w="1597" w:type="dxa"/>
            <w:vAlign w:val="center"/>
          </w:tcPr>
          <w:p w14:paraId="16EAF43B">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0.50</w:t>
            </w:r>
            <w:r>
              <w:rPr>
                <w:rFonts w:hint="eastAsia"/>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458" w:type="dxa"/>
            <w:vAlign w:val="center"/>
          </w:tcPr>
          <w:p w14:paraId="7A857B94">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449" w:type="dxa"/>
            <w:vAlign w:val="center"/>
          </w:tcPr>
          <w:p w14:paraId="5EEF8797">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1" w:type="dxa"/>
            <w:vAlign w:val="center"/>
          </w:tcPr>
          <w:p w14:paraId="006FE07A">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0.307</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600" w:type="dxa"/>
            <w:vAlign w:val="center"/>
          </w:tcPr>
          <w:p w14:paraId="2618A493">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0" w:type="dxa"/>
            <w:vAlign w:val="center"/>
          </w:tcPr>
          <w:p w14:paraId="7A0076B7">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0.809</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601" w:type="dxa"/>
            <w:vAlign w:val="center"/>
          </w:tcPr>
          <w:p w14:paraId="06A06526">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0.307</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r>
      <w:tr w14:paraId="0CF83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dxa"/>
            <w:vMerge w:val="continue"/>
            <w:vAlign w:val="center"/>
          </w:tcPr>
          <w:p w14:paraId="17DF8FB4">
            <w:pPr>
              <w:spacing w:beforeLines="0" w:afterLines="0" w:line="240" w:lineRule="auto"/>
              <w:rPr>
                <w:rFonts w:hint="default" w:ascii="Times New Roman" w:hAnsi="Times New Roman" w:cs="Times New Roman"/>
                <w:snapToGrid w:val="0"/>
                <w:color w:val="000000" w:themeColor="text1"/>
                <w:kern w:val="21"/>
                <w:sz w:val="22"/>
                <w:szCs w:val="22"/>
                <w:highlight w:val="none"/>
                <w14:textFill>
                  <w14:solidFill>
                    <w14:schemeClr w14:val="tx1"/>
                  </w14:solidFill>
                </w14:textFill>
              </w:rPr>
            </w:pPr>
          </w:p>
        </w:tc>
        <w:tc>
          <w:tcPr>
            <w:tcW w:w="2028" w:type="dxa"/>
            <w:vAlign w:val="center"/>
          </w:tcPr>
          <w:p w14:paraId="2FE667FE">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氨氮</w:t>
            </w:r>
          </w:p>
        </w:tc>
        <w:tc>
          <w:tcPr>
            <w:tcW w:w="1597" w:type="dxa"/>
            <w:vAlign w:val="center"/>
          </w:tcPr>
          <w:p w14:paraId="344C4B1D">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color w:val="000000" w:themeColor="text1"/>
                <w:sz w:val="24"/>
                <w:szCs w:val="24"/>
                <w:highlight w:val="none"/>
                <w:lang w:val="en-US" w:eastAsia="zh-CN"/>
                <w14:textFill>
                  <w14:solidFill>
                    <w14:schemeClr w14:val="tx1"/>
                  </w14:solidFill>
                </w14:textFill>
              </w:rPr>
              <w:t>0.0158</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458" w:type="dxa"/>
            <w:vAlign w:val="center"/>
          </w:tcPr>
          <w:p w14:paraId="7725AFEF">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449" w:type="dxa"/>
            <w:vAlign w:val="center"/>
          </w:tcPr>
          <w:p w14:paraId="308ED98A">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1" w:type="dxa"/>
            <w:vAlign w:val="center"/>
          </w:tcPr>
          <w:p w14:paraId="2EAAFDF6">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bookmarkStart w:id="187" w:name="OLE_LINK292"/>
            <w:r>
              <w:rPr>
                <w:rFonts w:hint="eastAsia" w:cs="Times New Roman"/>
                <w:color w:val="000000" w:themeColor="text1"/>
                <w:sz w:val="24"/>
                <w:szCs w:val="24"/>
                <w:highlight w:val="none"/>
                <w:lang w:eastAsia="zh-CN"/>
                <w14:textFill>
                  <w14:solidFill>
                    <w14:schemeClr w14:val="tx1"/>
                  </w14:solidFill>
                </w14:textFill>
              </w:rPr>
              <w:t xml:space="preserve">0.00968 </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bookmarkEnd w:id="187"/>
          </w:p>
        </w:tc>
        <w:tc>
          <w:tcPr>
            <w:tcW w:w="1600" w:type="dxa"/>
            <w:vAlign w:val="center"/>
          </w:tcPr>
          <w:p w14:paraId="21398D4F">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0" w:type="dxa"/>
            <w:vAlign w:val="center"/>
          </w:tcPr>
          <w:p w14:paraId="6E357BE7">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0.02548</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c>
          <w:tcPr>
            <w:tcW w:w="1601" w:type="dxa"/>
            <w:vAlign w:val="center"/>
          </w:tcPr>
          <w:p w14:paraId="19464511">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 xml:space="preserve">0.00968 </w:t>
            </w: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t/a</w:t>
            </w:r>
          </w:p>
        </w:tc>
      </w:tr>
      <w:tr w14:paraId="1DDAF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dxa"/>
            <w:vMerge w:val="continue"/>
            <w:vAlign w:val="center"/>
          </w:tcPr>
          <w:p w14:paraId="06115D1F">
            <w:pPr>
              <w:spacing w:beforeLines="0" w:afterLines="0" w:line="240" w:lineRule="auto"/>
              <w:rPr>
                <w:rFonts w:hint="default" w:ascii="Times New Roman" w:hAnsi="Times New Roman" w:cs="Times New Roman"/>
                <w:snapToGrid w:val="0"/>
                <w:color w:val="000000" w:themeColor="text1"/>
                <w:kern w:val="21"/>
                <w:sz w:val="22"/>
                <w:szCs w:val="22"/>
                <w:highlight w:val="none"/>
                <w14:textFill>
                  <w14:solidFill>
                    <w14:schemeClr w14:val="tx1"/>
                  </w14:solidFill>
                </w14:textFill>
              </w:rPr>
            </w:pPr>
          </w:p>
        </w:tc>
        <w:tc>
          <w:tcPr>
            <w:tcW w:w="2028" w:type="dxa"/>
            <w:shd w:val="clear" w:color="auto" w:fill="auto"/>
            <w:vAlign w:val="center"/>
          </w:tcPr>
          <w:p w14:paraId="2853C27D">
            <w:pPr>
              <w:pStyle w:val="35"/>
              <w:bidi w:val="0"/>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S1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沉淀池沉渣</w:t>
            </w:r>
          </w:p>
        </w:tc>
        <w:tc>
          <w:tcPr>
            <w:tcW w:w="1597" w:type="dxa"/>
            <w:shd w:val="clear" w:color="auto" w:fill="auto"/>
            <w:vAlign w:val="center"/>
          </w:tcPr>
          <w:p w14:paraId="71B75B30">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s="Times New Roman"/>
                <w:snapToGrid w:val="0"/>
                <w:color w:val="000000" w:themeColor="text1"/>
                <w:kern w:val="21"/>
                <w:sz w:val="24"/>
                <w:szCs w:val="24"/>
                <w:highlight w:val="none"/>
                <w:lang w:val="en-US" w:eastAsia="zh-CN"/>
                <w14:textFill>
                  <w14:solidFill>
                    <w14:schemeClr w14:val="tx1"/>
                  </w14:solidFill>
                </w14:textFill>
              </w:rPr>
              <w:t>6</w:t>
            </w:r>
          </w:p>
        </w:tc>
        <w:tc>
          <w:tcPr>
            <w:tcW w:w="1458" w:type="dxa"/>
            <w:shd w:val="clear" w:color="auto" w:fill="auto"/>
            <w:vAlign w:val="center"/>
          </w:tcPr>
          <w:p w14:paraId="15BE63B3">
            <w:pPr>
              <w:spacing w:beforeLines="0" w:afterLines="0" w:line="240" w:lineRule="auto"/>
              <w:jc w:val="cente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p>
        </w:tc>
        <w:tc>
          <w:tcPr>
            <w:tcW w:w="1449" w:type="dxa"/>
            <w:shd w:val="clear" w:color="auto" w:fill="auto"/>
            <w:vAlign w:val="center"/>
          </w:tcPr>
          <w:p w14:paraId="32610360">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1" w:type="dxa"/>
            <w:shd w:val="clear" w:color="auto" w:fill="auto"/>
            <w:vAlign w:val="center"/>
          </w:tcPr>
          <w:p w14:paraId="001B83A3">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s="Times New Roman"/>
                <w:color w:val="000000" w:themeColor="text1"/>
                <w:sz w:val="24"/>
                <w:szCs w:val="24"/>
                <w:highlight w:val="none"/>
                <w:lang w:eastAsia="zh-CN"/>
                <w14:textFill>
                  <w14:solidFill>
                    <w14:schemeClr w14:val="tx1"/>
                  </w14:solidFill>
                </w14:textFill>
              </w:rPr>
              <w:t>0.67</w:t>
            </w:r>
            <w:r>
              <w:rPr>
                <w:rFonts w:hint="default" w:ascii="Times New Roman" w:hAnsi="Times New Roman" w:cs="Times New Roman"/>
                <w:color w:val="000000" w:themeColor="text1"/>
                <w:sz w:val="24"/>
                <w:szCs w:val="24"/>
                <w:highlight w:val="none"/>
                <w14:textFill>
                  <w14:solidFill>
                    <w14:schemeClr w14:val="tx1"/>
                  </w14:solidFill>
                </w14:textFill>
              </w:rPr>
              <w:t>t/a</w:t>
            </w:r>
          </w:p>
        </w:tc>
        <w:tc>
          <w:tcPr>
            <w:tcW w:w="1600" w:type="dxa"/>
            <w:shd w:val="clear" w:color="auto" w:fill="auto"/>
            <w:vAlign w:val="center"/>
          </w:tcPr>
          <w:p w14:paraId="57778719">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0" w:type="dxa"/>
            <w:shd w:val="clear" w:color="auto" w:fill="auto"/>
            <w:vAlign w:val="center"/>
          </w:tcPr>
          <w:p w14:paraId="649CFFDA">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6</w:t>
            </w:r>
            <w:r>
              <w:rPr>
                <w:rFonts w:hint="eastAsia" w:cs="Times New Roman"/>
                <w:color w:val="000000" w:themeColor="text1"/>
                <w:sz w:val="24"/>
                <w:szCs w:val="24"/>
                <w:highlight w:val="none"/>
                <w:lang w:eastAsia="zh-CN"/>
                <w14:textFill>
                  <w14:solidFill>
                    <w14:schemeClr w14:val="tx1"/>
                  </w14:solidFill>
                </w14:textFill>
              </w:rPr>
              <w:t>.67</w:t>
            </w:r>
            <w:r>
              <w:rPr>
                <w:rFonts w:hint="default" w:ascii="Times New Roman" w:hAnsi="Times New Roman" w:cs="Times New Roman"/>
                <w:color w:val="000000" w:themeColor="text1"/>
                <w:sz w:val="24"/>
                <w:szCs w:val="24"/>
                <w:highlight w:val="none"/>
                <w14:textFill>
                  <w14:solidFill>
                    <w14:schemeClr w14:val="tx1"/>
                  </w14:solidFill>
                </w14:textFill>
              </w:rPr>
              <w:t>t/a</w:t>
            </w:r>
          </w:p>
        </w:tc>
        <w:tc>
          <w:tcPr>
            <w:tcW w:w="1601" w:type="dxa"/>
            <w:shd w:val="clear" w:color="auto" w:fill="auto"/>
            <w:vAlign w:val="center"/>
          </w:tcPr>
          <w:p w14:paraId="3D81F9DF">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eastAsia="zh-CN"/>
                <w14:textFill>
                  <w14:solidFill>
                    <w14:schemeClr w14:val="tx1"/>
                  </w14:solidFill>
                </w14:textFill>
              </w:rPr>
              <w:t>0.67</w:t>
            </w:r>
            <w:r>
              <w:rPr>
                <w:rFonts w:hint="default" w:ascii="Times New Roman" w:hAnsi="Times New Roman" w:cs="Times New Roman"/>
                <w:color w:val="000000" w:themeColor="text1"/>
                <w:sz w:val="24"/>
                <w:szCs w:val="24"/>
                <w:highlight w:val="none"/>
                <w14:textFill>
                  <w14:solidFill>
                    <w14:schemeClr w14:val="tx1"/>
                  </w14:solidFill>
                </w14:textFill>
              </w:rPr>
              <w:t>t/a</w:t>
            </w:r>
          </w:p>
        </w:tc>
      </w:tr>
      <w:tr w14:paraId="55A93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dxa"/>
            <w:vMerge w:val="continue"/>
            <w:vAlign w:val="center"/>
          </w:tcPr>
          <w:p w14:paraId="5F2E402A">
            <w:pPr>
              <w:spacing w:beforeLines="0" w:afterLines="0" w:line="240" w:lineRule="auto"/>
              <w:rPr>
                <w:rFonts w:hint="default" w:ascii="Times New Roman" w:hAnsi="Times New Roman" w:cs="Times New Roman"/>
                <w:snapToGrid w:val="0"/>
                <w:color w:val="000000" w:themeColor="text1"/>
                <w:kern w:val="21"/>
                <w:sz w:val="22"/>
                <w:szCs w:val="22"/>
                <w:highlight w:val="none"/>
                <w14:textFill>
                  <w14:solidFill>
                    <w14:schemeClr w14:val="tx1"/>
                  </w14:solidFill>
                </w14:textFill>
              </w:rPr>
            </w:pPr>
          </w:p>
        </w:tc>
        <w:tc>
          <w:tcPr>
            <w:tcW w:w="2028" w:type="dxa"/>
            <w:shd w:val="clear" w:color="auto" w:fill="auto"/>
            <w:vAlign w:val="center"/>
          </w:tcPr>
          <w:p w14:paraId="37CF8537">
            <w:pPr>
              <w:pStyle w:val="35"/>
              <w:bidi w:val="0"/>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S2废反渗透膜</w:t>
            </w:r>
          </w:p>
        </w:tc>
        <w:tc>
          <w:tcPr>
            <w:tcW w:w="1597" w:type="dxa"/>
            <w:shd w:val="clear" w:color="auto" w:fill="auto"/>
            <w:vAlign w:val="center"/>
          </w:tcPr>
          <w:p w14:paraId="31066DAD">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s="Times New Roman"/>
                <w:snapToGrid w:val="0"/>
                <w:color w:val="000000" w:themeColor="text1"/>
                <w:kern w:val="21"/>
                <w:sz w:val="24"/>
                <w:szCs w:val="24"/>
                <w:highlight w:val="none"/>
                <w:lang w:val="en-US" w:eastAsia="zh-CN"/>
                <w14:textFill>
                  <w14:solidFill>
                    <w14:schemeClr w14:val="tx1"/>
                  </w14:solidFill>
                </w14:textFill>
              </w:rPr>
              <w:t>0.8</w:t>
            </w:r>
          </w:p>
        </w:tc>
        <w:tc>
          <w:tcPr>
            <w:tcW w:w="1458" w:type="dxa"/>
            <w:shd w:val="clear" w:color="auto" w:fill="auto"/>
            <w:vAlign w:val="center"/>
          </w:tcPr>
          <w:p w14:paraId="2F6E7E25">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449" w:type="dxa"/>
            <w:shd w:val="clear" w:color="auto" w:fill="auto"/>
            <w:vAlign w:val="center"/>
          </w:tcPr>
          <w:p w14:paraId="47C7AF3D">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1" w:type="dxa"/>
            <w:shd w:val="clear" w:color="auto" w:fill="auto"/>
            <w:vAlign w:val="center"/>
          </w:tcPr>
          <w:p w14:paraId="2C716DB9">
            <w:pPr>
              <w:spacing w:beforeLines="0" w:afterLines="0" w:line="240" w:lineRule="auto"/>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t/a</w:t>
            </w:r>
          </w:p>
        </w:tc>
        <w:tc>
          <w:tcPr>
            <w:tcW w:w="1600" w:type="dxa"/>
            <w:shd w:val="clear" w:color="auto" w:fill="auto"/>
            <w:vAlign w:val="center"/>
          </w:tcPr>
          <w:p w14:paraId="4ED4855E">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0" w:type="dxa"/>
            <w:shd w:val="clear" w:color="auto" w:fill="auto"/>
            <w:vAlign w:val="center"/>
          </w:tcPr>
          <w:p w14:paraId="65C8E240">
            <w:pPr>
              <w:spacing w:beforeLines="0" w:afterLines="0" w:line="240" w:lineRule="auto"/>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14:textFill>
                  <w14:solidFill>
                    <w14:schemeClr w14:val="tx1"/>
                  </w14:solidFill>
                </w14:textFill>
              </w:rPr>
              <w:t>t/a</w:t>
            </w:r>
          </w:p>
        </w:tc>
        <w:tc>
          <w:tcPr>
            <w:tcW w:w="1601" w:type="dxa"/>
            <w:shd w:val="clear" w:color="auto" w:fill="auto"/>
            <w:vAlign w:val="center"/>
          </w:tcPr>
          <w:p w14:paraId="63665E27">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t/a</w:t>
            </w:r>
          </w:p>
        </w:tc>
      </w:tr>
      <w:tr w14:paraId="55DF82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dxa"/>
            <w:vMerge w:val="continue"/>
            <w:vAlign w:val="center"/>
          </w:tcPr>
          <w:p w14:paraId="2BB08243">
            <w:pPr>
              <w:spacing w:beforeLines="0" w:afterLines="0" w:line="240" w:lineRule="auto"/>
              <w:rPr>
                <w:rFonts w:hint="default" w:ascii="Times New Roman" w:hAnsi="Times New Roman" w:cs="Times New Roman"/>
                <w:snapToGrid w:val="0"/>
                <w:color w:val="000000" w:themeColor="text1"/>
                <w:kern w:val="21"/>
                <w:sz w:val="22"/>
                <w:szCs w:val="22"/>
                <w:highlight w:val="none"/>
                <w14:textFill>
                  <w14:solidFill>
                    <w14:schemeClr w14:val="tx1"/>
                  </w14:solidFill>
                </w14:textFill>
              </w:rPr>
            </w:pPr>
          </w:p>
        </w:tc>
        <w:tc>
          <w:tcPr>
            <w:tcW w:w="2028" w:type="dxa"/>
            <w:shd w:val="clear" w:color="auto" w:fill="auto"/>
            <w:vAlign w:val="center"/>
          </w:tcPr>
          <w:p w14:paraId="019AB82E">
            <w:pPr>
              <w:pStyle w:val="35"/>
              <w:bidi w:val="0"/>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S3废超滤膜</w:t>
            </w:r>
          </w:p>
        </w:tc>
        <w:tc>
          <w:tcPr>
            <w:tcW w:w="1597" w:type="dxa"/>
            <w:shd w:val="clear" w:color="auto" w:fill="auto"/>
            <w:vAlign w:val="center"/>
          </w:tcPr>
          <w:p w14:paraId="237328CB">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s="Times New Roman"/>
                <w:snapToGrid w:val="0"/>
                <w:color w:val="000000" w:themeColor="text1"/>
                <w:kern w:val="21"/>
                <w:sz w:val="24"/>
                <w:szCs w:val="24"/>
                <w:highlight w:val="none"/>
                <w:lang w:val="en-US" w:eastAsia="zh-CN"/>
                <w14:textFill>
                  <w14:solidFill>
                    <w14:schemeClr w14:val="tx1"/>
                  </w14:solidFill>
                </w14:textFill>
              </w:rPr>
              <w:t>0.4</w:t>
            </w:r>
          </w:p>
        </w:tc>
        <w:tc>
          <w:tcPr>
            <w:tcW w:w="1458" w:type="dxa"/>
            <w:shd w:val="clear" w:color="auto" w:fill="auto"/>
            <w:vAlign w:val="center"/>
          </w:tcPr>
          <w:p w14:paraId="6F4E5EAB">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449" w:type="dxa"/>
            <w:shd w:val="clear" w:color="auto" w:fill="auto"/>
            <w:vAlign w:val="center"/>
          </w:tcPr>
          <w:p w14:paraId="325403FE">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1" w:type="dxa"/>
            <w:shd w:val="clear" w:color="auto" w:fill="auto"/>
            <w:vAlign w:val="center"/>
          </w:tcPr>
          <w:p w14:paraId="02278534">
            <w:pPr>
              <w:spacing w:beforeLines="0" w:afterLines="0" w:line="240" w:lineRule="auto"/>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14:textFill>
                  <w14:solidFill>
                    <w14:schemeClr w14:val="tx1"/>
                  </w14:solidFill>
                </w14:textFill>
              </w:rPr>
              <w:t>t/a</w:t>
            </w:r>
          </w:p>
        </w:tc>
        <w:tc>
          <w:tcPr>
            <w:tcW w:w="1600" w:type="dxa"/>
            <w:shd w:val="clear" w:color="auto" w:fill="auto"/>
            <w:vAlign w:val="center"/>
          </w:tcPr>
          <w:p w14:paraId="4B0042B6">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0" w:type="dxa"/>
            <w:shd w:val="clear" w:color="auto" w:fill="auto"/>
            <w:vAlign w:val="center"/>
          </w:tcPr>
          <w:p w14:paraId="6E819D86">
            <w:pPr>
              <w:spacing w:beforeLines="0" w:afterLines="0" w:line="240" w:lineRule="auto"/>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t/a</w:t>
            </w:r>
          </w:p>
        </w:tc>
        <w:tc>
          <w:tcPr>
            <w:tcW w:w="1601" w:type="dxa"/>
            <w:shd w:val="clear" w:color="auto" w:fill="auto"/>
            <w:vAlign w:val="center"/>
          </w:tcPr>
          <w:p w14:paraId="4573FC24">
            <w:pPr>
              <w:spacing w:beforeLines="0" w:afterLines="0" w:line="240" w:lineRule="auto"/>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14:textFill>
                  <w14:solidFill>
                    <w14:schemeClr w14:val="tx1"/>
                  </w14:solidFill>
                </w14:textFill>
              </w:rPr>
              <w:t>t/a</w:t>
            </w:r>
          </w:p>
        </w:tc>
      </w:tr>
      <w:tr w14:paraId="66045A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854" w:type="dxa"/>
            <w:vMerge w:val="continue"/>
            <w:vAlign w:val="center"/>
          </w:tcPr>
          <w:p w14:paraId="2B818876">
            <w:pPr>
              <w:spacing w:beforeLines="0" w:afterLines="0" w:line="240" w:lineRule="auto"/>
              <w:rPr>
                <w:rFonts w:hint="default" w:ascii="Times New Roman" w:hAnsi="Times New Roman" w:cs="Times New Roman"/>
                <w:snapToGrid w:val="0"/>
                <w:color w:val="000000" w:themeColor="text1"/>
                <w:kern w:val="21"/>
                <w:sz w:val="22"/>
                <w:szCs w:val="22"/>
                <w:highlight w:val="none"/>
                <w14:textFill>
                  <w14:solidFill>
                    <w14:schemeClr w14:val="tx1"/>
                  </w14:solidFill>
                </w14:textFill>
              </w:rPr>
            </w:pPr>
          </w:p>
        </w:tc>
        <w:tc>
          <w:tcPr>
            <w:tcW w:w="2028" w:type="dxa"/>
            <w:shd w:val="clear" w:color="auto" w:fill="auto"/>
            <w:vAlign w:val="center"/>
          </w:tcPr>
          <w:p w14:paraId="2EC30909">
            <w:pPr>
              <w:pStyle w:val="35"/>
              <w:bidi w:val="0"/>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S4生物质锅炉炉渣</w:t>
            </w:r>
          </w:p>
        </w:tc>
        <w:tc>
          <w:tcPr>
            <w:tcW w:w="1597" w:type="dxa"/>
            <w:shd w:val="clear" w:color="auto" w:fill="auto"/>
            <w:vAlign w:val="center"/>
          </w:tcPr>
          <w:p w14:paraId="3D6A3655">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458" w:type="dxa"/>
            <w:shd w:val="clear" w:color="auto" w:fill="auto"/>
            <w:vAlign w:val="center"/>
          </w:tcPr>
          <w:p w14:paraId="767CC7BB">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449" w:type="dxa"/>
            <w:shd w:val="clear" w:color="auto" w:fill="auto"/>
            <w:vAlign w:val="center"/>
          </w:tcPr>
          <w:p w14:paraId="4E965906">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1" w:type="dxa"/>
            <w:shd w:val="clear" w:color="auto" w:fill="auto"/>
            <w:vAlign w:val="center"/>
          </w:tcPr>
          <w:p w14:paraId="4554E5E1">
            <w:pPr>
              <w:spacing w:beforeLines="0" w:afterLines="0" w:line="240" w:lineRule="auto"/>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231.094</w:t>
            </w:r>
            <w:r>
              <w:rPr>
                <w:rFonts w:hint="default" w:ascii="Times New Roman" w:hAnsi="Times New Roman" w:cs="Times New Roman"/>
                <w:color w:val="000000" w:themeColor="text1"/>
                <w:sz w:val="24"/>
                <w:szCs w:val="24"/>
                <w:highlight w:val="none"/>
                <w14:textFill>
                  <w14:solidFill>
                    <w14:schemeClr w14:val="tx1"/>
                  </w14:solidFill>
                </w14:textFill>
              </w:rPr>
              <w:t>t/a</w:t>
            </w:r>
          </w:p>
        </w:tc>
        <w:tc>
          <w:tcPr>
            <w:tcW w:w="1600" w:type="dxa"/>
            <w:shd w:val="clear" w:color="auto" w:fill="auto"/>
            <w:vAlign w:val="center"/>
          </w:tcPr>
          <w:p w14:paraId="0CE39BB2">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0" w:type="dxa"/>
            <w:shd w:val="clear" w:color="auto" w:fill="auto"/>
            <w:vAlign w:val="center"/>
          </w:tcPr>
          <w:p w14:paraId="6407A117">
            <w:pPr>
              <w:spacing w:beforeLines="0" w:afterLines="0" w:line="240" w:lineRule="auto"/>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231.094</w:t>
            </w:r>
            <w:r>
              <w:rPr>
                <w:rFonts w:hint="default" w:ascii="Times New Roman" w:hAnsi="Times New Roman" w:cs="Times New Roman"/>
                <w:color w:val="000000" w:themeColor="text1"/>
                <w:sz w:val="24"/>
                <w:szCs w:val="24"/>
                <w:highlight w:val="none"/>
                <w14:textFill>
                  <w14:solidFill>
                    <w14:schemeClr w14:val="tx1"/>
                  </w14:solidFill>
                </w14:textFill>
              </w:rPr>
              <w:t>t/a</w:t>
            </w:r>
          </w:p>
        </w:tc>
        <w:tc>
          <w:tcPr>
            <w:tcW w:w="1601" w:type="dxa"/>
            <w:shd w:val="clear" w:color="auto" w:fill="auto"/>
            <w:vAlign w:val="center"/>
          </w:tcPr>
          <w:p w14:paraId="58AFFF2D">
            <w:pPr>
              <w:spacing w:beforeLines="0" w:afterLines="0" w:line="240" w:lineRule="auto"/>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lang w:eastAsia="zh-CN"/>
                <w14:textFill>
                  <w14:solidFill>
                    <w14:schemeClr w14:val="tx1"/>
                  </w14:solidFill>
                </w14:textFill>
              </w:rPr>
              <w:t>231.094</w:t>
            </w:r>
            <w:r>
              <w:rPr>
                <w:rFonts w:hint="default" w:ascii="Times New Roman" w:hAnsi="Times New Roman" w:cs="Times New Roman"/>
                <w:color w:val="000000" w:themeColor="text1"/>
                <w:sz w:val="24"/>
                <w:szCs w:val="24"/>
                <w:highlight w:val="none"/>
                <w14:textFill>
                  <w14:solidFill>
                    <w14:schemeClr w14:val="tx1"/>
                  </w14:solidFill>
                </w14:textFill>
              </w:rPr>
              <w:t>t/a</w:t>
            </w:r>
          </w:p>
        </w:tc>
      </w:tr>
      <w:tr w14:paraId="35347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dxa"/>
            <w:vMerge w:val="continue"/>
            <w:vAlign w:val="center"/>
          </w:tcPr>
          <w:p w14:paraId="2835B3A3">
            <w:pPr>
              <w:spacing w:beforeLines="0" w:afterLines="0" w:line="240" w:lineRule="auto"/>
              <w:rPr>
                <w:rFonts w:hint="default" w:ascii="Times New Roman" w:hAnsi="Times New Roman" w:cs="Times New Roman"/>
                <w:snapToGrid w:val="0"/>
                <w:color w:val="000000" w:themeColor="text1"/>
                <w:kern w:val="21"/>
                <w:sz w:val="22"/>
                <w:szCs w:val="22"/>
                <w:highlight w:val="none"/>
                <w14:textFill>
                  <w14:solidFill>
                    <w14:schemeClr w14:val="tx1"/>
                  </w14:solidFill>
                </w14:textFill>
              </w:rPr>
            </w:pPr>
          </w:p>
        </w:tc>
        <w:tc>
          <w:tcPr>
            <w:tcW w:w="2028" w:type="dxa"/>
            <w:shd w:val="clear" w:color="auto" w:fill="auto"/>
            <w:vAlign w:val="center"/>
          </w:tcPr>
          <w:p w14:paraId="664A8C2E">
            <w:pPr>
              <w:pStyle w:val="35"/>
              <w:bidi w:val="0"/>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S5</w:t>
            </w:r>
            <w:r>
              <w:rPr>
                <w:rFonts w:hint="default" w:ascii="Times New Roman" w:hAnsi="Times New Roman" w:cs="Times New Roman"/>
                <w:color w:val="000000" w:themeColor="text1"/>
                <w:sz w:val="24"/>
                <w:szCs w:val="24"/>
                <w:highlight w:val="none"/>
                <w:lang w:eastAsia="zh-CN"/>
                <w14:textFill>
                  <w14:solidFill>
                    <w14:schemeClr w14:val="tx1"/>
                  </w14:solidFill>
                </w14:textFill>
              </w:rPr>
              <w:t>除尘器粉尘</w:t>
            </w:r>
          </w:p>
        </w:tc>
        <w:tc>
          <w:tcPr>
            <w:tcW w:w="1597" w:type="dxa"/>
            <w:shd w:val="clear" w:color="auto" w:fill="auto"/>
            <w:vAlign w:val="center"/>
          </w:tcPr>
          <w:p w14:paraId="27E549B4">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458" w:type="dxa"/>
            <w:shd w:val="clear" w:color="auto" w:fill="auto"/>
            <w:vAlign w:val="center"/>
          </w:tcPr>
          <w:p w14:paraId="1738E7C3">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449" w:type="dxa"/>
            <w:shd w:val="clear" w:color="auto" w:fill="auto"/>
            <w:vAlign w:val="center"/>
          </w:tcPr>
          <w:p w14:paraId="16007E42">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1" w:type="dxa"/>
            <w:shd w:val="clear" w:color="auto" w:fill="auto"/>
            <w:vAlign w:val="center"/>
          </w:tcPr>
          <w:p w14:paraId="73EE3550">
            <w:pPr>
              <w:pStyle w:val="35"/>
              <w:bidi w:val="0"/>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4.4263</w:t>
            </w:r>
            <w:r>
              <w:rPr>
                <w:rFonts w:hint="default" w:ascii="Times New Roman" w:hAnsi="Times New Roman" w:cs="Times New Roman"/>
                <w:color w:val="000000" w:themeColor="text1"/>
                <w:sz w:val="24"/>
                <w:szCs w:val="24"/>
                <w:highlight w:val="none"/>
                <w14:textFill>
                  <w14:solidFill>
                    <w14:schemeClr w14:val="tx1"/>
                  </w14:solidFill>
                </w14:textFill>
              </w:rPr>
              <w:t>t/a</w:t>
            </w:r>
          </w:p>
        </w:tc>
        <w:tc>
          <w:tcPr>
            <w:tcW w:w="1600" w:type="dxa"/>
            <w:shd w:val="clear" w:color="auto" w:fill="auto"/>
            <w:vAlign w:val="center"/>
          </w:tcPr>
          <w:p w14:paraId="66F93074">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p>
        </w:tc>
        <w:tc>
          <w:tcPr>
            <w:tcW w:w="1600" w:type="dxa"/>
            <w:shd w:val="clear" w:color="auto" w:fill="auto"/>
            <w:vAlign w:val="center"/>
          </w:tcPr>
          <w:p w14:paraId="283DC579">
            <w:pPr>
              <w:pStyle w:val="35"/>
              <w:bidi w:val="0"/>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4.4263</w:t>
            </w:r>
            <w:r>
              <w:rPr>
                <w:rFonts w:hint="default" w:ascii="Times New Roman" w:hAnsi="Times New Roman" w:cs="Times New Roman"/>
                <w:color w:val="000000" w:themeColor="text1"/>
                <w:sz w:val="24"/>
                <w:szCs w:val="24"/>
                <w:highlight w:val="none"/>
                <w14:textFill>
                  <w14:solidFill>
                    <w14:schemeClr w14:val="tx1"/>
                  </w14:solidFill>
                </w14:textFill>
              </w:rPr>
              <w:t>t/a</w:t>
            </w:r>
          </w:p>
        </w:tc>
        <w:tc>
          <w:tcPr>
            <w:tcW w:w="1601" w:type="dxa"/>
            <w:shd w:val="clear" w:color="auto" w:fill="auto"/>
            <w:vAlign w:val="center"/>
          </w:tcPr>
          <w:p w14:paraId="696DD4BF">
            <w:pPr>
              <w:pStyle w:val="35"/>
              <w:bidi w:val="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4.4263</w:t>
            </w:r>
            <w:r>
              <w:rPr>
                <w:rFonts w:hint="default" w:ascii="Times New Roman" w:hAnsi="Times New Roman" w:cs="Times New Roman"/>
                <w:color w:val="000000" w:themeColor="text1"/>
                <w:sz w:val="24"/>
                <w:szCs w:val="24"/>
                <w:highlight w:val="none"/>
                <w14:textFill>
                  <w14:solidFill>
                    <w14:schemeClr w14:val="tx1"/>
                  </w14:solidFill>
                </w14:textFill>
              </w:rPr>
              <w:t>t/a</w:t>
            </w:r>
          </w:p>
        </w:tc>
      </w:tr>
      <w:tr w14:paraId="60331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dxa"/>
            <w:vMerge w:val="continue"/>
            <w:vAlign w:val="center"/>
          </w:tcPr>
          <w:p w14:paraId="172276F1">
            <w:pPr>
              <w:spacing w:beforeLines="0" w:afterLines="0" w:line="240" w:lineRule="auto"/>
              <w:rPr>
                <w:rFonts w:hint="default" w:ascii="Times New Roman" w:hAnsi="Times New Roman" w:cs="Times New Roman"/>
                <w:snapToGrid w:val="0"/>
                <w:color w:val="000000" w:themeColor="text1"/>
                <w:kern w:val="21"/>
                <w:sz w:val="22"/>
                <w:szCs w:val="22"/>
                <w:highlight w:val="none"/>
                <w14:textFill>
                  <w14:solidFill>
                    <w14:schemeClr w14:val="tx1"/>
                  </w14:solidFill>
                </w14:textFill>
              </w:rPr>
            </w:pPr>
          </w:p>
        </w:tc>
        <w:tc>
          <w:tcPr>
            <w:tcW w:w="2028" w:type="dxa"/>
            <w:shd w:val="clear" w:color="auto" w:fill="auto"/>
            <w:vAlign w:val="center"/>
          </w:tcPr>
          <w:p w14:paraId="6654A123">
            <w:pPr>
              <w:pStyle w:val="35"/>
              <w:bidi w:val="0"/>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S</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6废布袋</w:t>
            </w:r>
          </w:p>
        </w:tc>
        <w:tc>
          <w:tcPr>
            <w:tcW w:w="1597" w:type="dxa"/>
            <w:shd w:val="clear" w:color="auto" w:fill="auto"/>
            <w:vAlign w:val="center"/>
          </w:tcPr>
          <w:p w14:paraId="0B07C5C8">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458" w:type="dxa"/>
            <w:shd w:val="clear" w:color="auto" w:fill="auto"/>
            <w:vAlign w:val="center"/>
          </w:tcPr>
          <w:p w14:paraId="56B16C14">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449" w:type="dxa"/>
            <w:shd w:val="clear" w:color="auto" w:fill="auto"/>
            <w:vAlign w:val="center"/>
          </w:tcPr>
          <w:p w14:paraId="7EB6B647">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1" w:type="dxa"/>
            <w:shd w:val="clear" w:color="auto" w:fill="auto"/>
            <w:vAlign w:val="center"/>
          </w:tcPr>
          <w:p w14:paraId="1A865205">
            <w:pPr>
              <w:pStyle w:val="35"/>
              <w:bidi w:val="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0.0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t/a</w:t>
            </w:r>
          </w:p>
        </w:tc>
        <w:tc>
          <w:tcPr>
            <w:tcW w:w="1600" w:type="dxa"/>
            <w:shd w:val="clear" w:color="auto" w:fill="auto"/>
            <w:vAlign w:val="center"/>
          </w:tcPr>
          <w:p w14:paraId="08564875">
            <w:pPr>
              <w:spacing w:beforeLines="0" w:afterLines="0" w:line="240" w:lineRule="auto"/>
              <w:jc w:val="cente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pPr>
          </w:p>
        </w:tc>
        <w:tc>
          <w:tcPr>
            <w:tcW w:w="1600" w:type="dxa"/>
            <w:shd w:val="clear" w:color="auto" w:fill="auto"/>
            <w:vAlign w:val="center"/>
          </w:tcPr>
          <w:p w14:paraId="1CFD080D">
            <w:pPr>
              <w:pStyle w:val="35"/>
              <w:bidi w:val="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0.0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t/a</w:t>
            </w:r>
          </w:p>
        </w:tc>
        <w:tc>
          <w:tcPr>
            <w:tcW w:w="1601" w:type="dxa"/>
            <w:shd w:val="clear" w:color="auto" w:fill="auto"/>
            <w:vAlign w:val="center"/>
          </w:tcPr>
          <w:p w14:paraId="6A7166BD">
            <w:pPr>
              <w:pStyle w:val="35"/>
              <w:bidi w:val="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0.0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t/a</w:t>
            </w:r>
          </w:p>
        </w:tc>
      </w:tr>
      <w:tr w14:paraId="242407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dxa"/>
            <w:vMerge w:val="restart"/>
            <w:vAlign w:val="center"/>
          </w:tcPr>
          <w:p w14:paraId="47E150EF">
            <w:pPr>
              <w:spacing w:beforeLines="0" w:afterLines="0" w:line="240" w:lineRule="auto"/>
              <w:jc w:val="center"/>
              <w:rPr>
                <w:rFonts w:hint="default" w:ascii="Times New Roman" w:hAnsi="Times New Roman" w:cs="Times New Roman"/>
                <w:snapToGrid w:val="0"/>
                <w:color w:val="000000" w:themeColor="text1"/>
                <w:kern w:val="21"/>
                <w:sz w:val="22"/>
                <w:szCs w:val="22"/>
                <w:highlight w:val="none"/>
                <w14:textFill>
                  <w14:solidFill>
                    <w14:schemeClr w14:val="tx1"/>
                  </w14:solidFill>
                </w14:textFill>
              </w:rPr>
            </w:pPr>
            <w:r>
              <w:rPr>
                <w:rFonts w:hint="default" w:ascii="Times New Roman" w:hAnsi="Times New Roman" w:cs="Times New Roman"/>
                <w:snapToGrid w:val="0"/>
                <w:color w:val="000000" w:themeColor="text1"/>
                <w:kern w:val="21"/>
                <w:sz w:val="22"/>
                <w:szCs w:val="22"/>
                <w:highlight w:val="none"/>
                <w14:textFill>
                  <w14:solidFill>
                    <w14:schemeClr w14:val="tx1"/>
                  </w14:solidFill>
                </w14:textFill>
              </w:rPr>
              <w:t>危险废物</w:t>
            </w:r>
          </w:p>
        </w:tc>
        <w:tc>
          <w:tcPr>
            <w:tcW w:w="2028" w:type="dxa"/>
            <w:shd w:val="clear" w:color="auto" w:fill="auto"/>
            <w:vAlign w:val="center"/>
          </w:tcPr>
          <w:p w14:paraId="511A3EE5">
            <w:pPr>
              <w:pStyle w:val="35"/>
              <w:bidi w:val="0"/>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S</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color w:val="000000" w:themeColor="text1"/>
                <w:sz w:val="24"/>
                <w:szCs w:val="24"/>
                <w:highlight w:val="none"/>
                <w14:textFill>
                  <w14:solidFill>
                    <w14:schemeClr w14:val="tx1"/>
                  </w14:solidFill>
                </w14:textFill>
              </w:rPr>
              <w:t>废润滑油及废油桶</w:t>
            </w:r>
          </w:p>
        </w:tc>
        <w:tc>
          <w:tcPr>
            <w:tcW w:w="1597" w:type="dxa"/>
            <w:shd w:val="clear" w:color="auto" w:fill="auto"/>
            <w:vAlign w:val="center"/>
          </w:tcPr>
          <w:p w14:paraId="2620F946">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 w:val="24"/>
                <w:szCs w:val="24"/>
                <w:highlight w:val="none"/>
                <w:lang w:val="en-US" w:eastAsia="zh-CN"/>
                <w14:textFill>
                  <w14:solidFill>
                    <w14:schemeClr w14:val="tx1"/>
                  </w14:solidFill>
                </w14:textFill>
              </w:rPr>
              <w:t>0.06</w:t>
            </w:r>
            <w:r>
              <w:rPr>
                <w:rFonts w:hint="default" w:ascii="Times New Roman" w:hAnsi="Times New Roman" w:cs="Times New Roman"/>
                <w:color w:val="000000" w:themeColor="text1"/>
                <w:sz w:val="24"/>
                <w:szCs w:val="24"/>
                <w:highlight w:val="none"/>
                <w14:textFill>
                  <w14:solidFill>
                    <w14:schemeClr w14:val="tx1"/>
                  </w14:solidFill>
                </w14:textFill>
              </w:rPr>
              <w:t>t/a</w:t>
            </w:r>
          </w:p>
        </w:tc>
        <w:tc>
          <w:tcPr>
            <w:tcW w:w="1458" w:type="dxa"/>
            <w:shd w:val="clear" w:color="auto" w:fill="auto"/>
            <w:vAlign w:val="center"/>
          </w:tcPr>
          <w:p w14:paraId="1D26B2A4">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449" w:type="dxa"/>
            <w:shd w:val="clear" w:color="auto" w:fill="auto"/>
            <w:vAlign w:val="center"/>
          </w:tcPr>
          <w:p w14:paraId="120A0F78">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1" w:type="dxa"/>
            <w:shd w:val="clear" w:color="auto" w:fill="auto"/>
            <w:vAlign w:val="center"/>
          </w:tcPr>
          <w:p w14:paraId="4833F73B">
            <w:pPr>
              <w:spacing w:beforeLines="0" w:afterLines="0" w:line="240" w:lineRule="auto"/>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0.0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t/a</w:t>
            </w:r>
          </w:p>
        </w:tc>
        <w:tc>
          <w:tcPr>
            <w:tcW w:w="1600" w:type="dxa"/>
            <w:shd w:val="clear" w:color="auto" w:fill="auto"/>
            <w:vAlign w:val="center"/>
          </w:tcPr>
          <w:p w14:paraId="5D3E9A19">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0" w:type="dxa"/>
            <w:shd w:val="clear" w:color="auto" w:fill="auto"/>
            <w:vAlign w:val="center"/>
          </w:tcPr>
          <w:p w14:paraId="68FD038B">
            <w:pPr>
              <w:spacing w:beforeLines="0" w:afterLines="0" w:line="240" w:lineRule="auto"/>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0.0</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szCs w:val="24"/>
                <w:highlight w:val="none"/>
                <w14:textFill>
                  <w14:solidFill>
                    <w14:schemeClr w14:val="tx1"/>
                  </w14:solidFill>
                </w14:textFill>
              </w:rPr>
              <w:t>t/a</w:t>
            </w:r>
          </w:p>
        </w:tc>
        <w:tc>
          <w:tcPr>
            <w:tcW w:w="1601" w:type="dxa"/>
            <w:shd w:val="clear" w:color="auto" w:fill="auto"/>
            <w:vAlign w:val="center"/>
          </w:tcPr>
          <w:p w14:paraId="0D956660">
            <w:pPr>
              <w:spacing w:beforeLines="0" w:afterLines="0" w:line="240" w:lineRule="auto"/>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0.0</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t/a</w:t>
            </w:r>
          </w:p>
        </w:tc>
      </w:tr>
      <w:tr w14:paraId="12AAD1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dxa"/>
            <w:vMerge w:val="continue"/>
            <w:vAlign w:val="center"/>
          </w:tcPr>
          <w:p w14:paraId="52959346">
            <w:pPr>
              <w:spacing w:beforeLines="0" w:afterLines="0" w:line="240" w:lineRule="auto"/>
              <w:jc w:val="center"/>
              <w:rPr>
                <w:rFonts w:hint="default" w:ascii="Times New Roman" w:hAnsi="Times New Roman" w:cs="Times New Roman"/>
                <w:snapToGrid w:val="0"/>
                <w:color w:val="000000" w:themeColor="text1"/>
                <w:kern w:val="21"/>
                <w:sz w:val="22"/>
                <w:szCs w:val="22"/>
                <w:highlight w:val="none"/>
                <w14:textFill>
                  <w14:solidFill>
                    <w14:schemeClr w14:val="tx1"/>
                  </w14:solidFill>
                </w14:textFill>
              </w:rPr>
            </w:pPr>
          </w:p>
        </w:tc>
        <w:tc>
          <w:tcPr>
            <w:tcW w:w="2028" w:type="dxa"/>
            <w:shd w:val="clear" w:color="auto" w:fill="auto"/>
            <w:vAlign w:val="center"/>
          </w:tcPr>
          <w:p w14:paraId="085D6162">
            <w:pPr>
              <w:pStyle w:val="35"/>
              <w:bidi w:val="0"/>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S</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szCs w:val="24"/>
                <w:highlight w:val="none"/>
                <w14:textFill>
                  <w14:solidFill>
                    <w14:schemeClr w14:val="tx1"/>
                  </w14:solidFill>
                </w14:textFill>
              </w:rPr>
              <w:t>废含油抹布</w:t>
            </w:r>
          </w:p>
        </w:tc>
        <w:tc>
          <w:tcPr>
            <w:tcW w:w="1597" w:type="dxa"/>
            <w:shd w:val="clear" w:color="auto" w:fill="auto"/>
            <w:vAlign w:val="center"/>
          </w:tcPr>
          <w:p w14:paraId="1054083A">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cs="Times New Roman"/>
                <w:snapToGrid w:val="0"/>
                <w:color w:val="000000" w:themeColor="text1"/>
                <w:kern w:val="21"/>
                <w:sz w:val="24"/>
                <w:szCs w:val="24"/>
                <w:highlight w:val="none"/>
                <w:lang w:val="en-US" w:eastAsia="zh-CN"/>
                <w14:textFill>
                  <w14:solidFill>
                    <w14:schemeClr w14:val="tx1"/>
                  </w14:solidFill>
                </w14:textFill>
              </w:rPr>
              <w:t>0.2</w:t>
            </w:r>
          </w:p>
        </w:tc>
        <w:tc>
          <w:tcPr>
            <w:tcW w:w="1458" w:type="dxa"/>
            <w:shd w:val="clear" w:color="auto" w:fill="auto"/>
            <w:vAlign w:val="center"/>
          </w:tcPr>
          <w:p w14:paraId="78980196">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449" w:type="dxa"/>
            <w:shd w:val="clear" w:color="auto" w:fill="auto"/>
            <w:vAlign w:val="center"/>
          </w:tcPr>
          <w:p w14:paraId="3D2B7E3F">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1" w:type="dxa"/>
            <w:shd w:val="clear" w:color="auto" w:fill="auto"/>
            <w:vAlign w:val="center"/>
          </w:tcPr>
          <w:p w14:paraId="6AE99A75">
            <w:pPr>
              <w:spacing w:beforeLines="0" w:afterLines="0" w:line="240" w:lineRule="auto"/>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0.01t/a</w:t>
            </w:r>
          </w:p>
        </w:tc>
        <w:tc>
          <w:tcPr>
            <w:tcW w:w="1600" w:type="dxa"/>
            <w:shd w:val="clear" w:color="auto" w:fill="auto"/>
            <w:vAlign w:val="center"/>
          </w:tcPr>
          <w:p w14:paraId="7EBE53F5">
            <w:pPr>
              <w:spacing w:beforeLines="0" w:afterLines="0" w:line="240" w:lineRule="auto"/>
              <w:jc w:val="center"/>
              <w:rPr>
                <w:rFonts w:hint="default"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4"/>
                <w:szCs w:val="24"/>
                <w:highlight w:val="none"/>
                <w14:textFill>
                  <w14:solidFill>
                    <w14:schemeClr w14:val="tx1"/>
                  </w14:solidFill>
                </w14:textFill>
              </w:rPr>
              <w:t>/</w:t>
            </w:r>
          </w:p>
        </w:tc>
        <w:tc>
          <w:tcPr>
            <w:tcW w:w="1600" w:type="dxa"/>
            <w:shd w:val="clear" w:color="auto" w:fill="auto"/>
            <w:vAlign w:val="center"/>
          </w:tcPr>
          <w:p w14:paraId="767A486E">
            <w:pPr>
              <w:spacing w:beforeLines="0" w:afterLines="0" w:line="240" w:lineRule="auto"/>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0.</w:t>
            </w: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1t/a</w:t>
            </w:r>
          </w:p>
        </w:tc>
        <w:tc>
          <w:tcPr>
            <w:tcW w:w="1601" w:type="dxa"/>
            <w:shd w:val="clear" w:color="auto" w:fill="auto"/>
            <w:vAlign w:val="center"/>
          </w:tcPr>
          <w:p w14:paraId="1C8428F0">
            <w:pPr>
              <w:spacing w:beforeLines="0" w:afterLines="0" w:line="240" w:lineRule="auto"/>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0.01t/a</w:t>
            </w:r>
          </w:p>
        </w:tc>
      </w:tr>
    </w:tbl>
    <w:p w14:paraId="77CA41D6">
      <w:pPr>
        <w:spacing w:before="192" w:beforeLines="80" w:after="24"/>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14:textFill>
            <w14:solidFill>
              <w14:schemeClr w14:val="tx1"/>
            </w14:solidFill>
          </w14:textFill>
        </w:rPr>
        <w:t>注：</w:t>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③</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④</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⑤</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⑦</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①</w:t>
      </w:r>
    </w:p>
    <w:p w14:paraId="6CC20857">
      <w:pPr>
        <w:pStyle w:val="36"/>
        <w:rPr>
          <w:rFonts w:hint="default" w:ascii="Times New Roman" w:hAnsi="Times New Roman" w:cs="Times New Roman"/>
          <w:color w:val="000000" w:themeColor="text1"/>
          <w:highlight w:val="none"/>
          <w14:textFill>
            <w14:solidFill>
              <w14:schemeClr w14:val="tx1"/>
            </w14:solidFill>
          </w14:textFill>
        </w:rPr>
      </w:pPr>
    </w:p>
    <w:p w14:paraId="4709E211">
      <w:pPr>
        <w:pStyle w:val="4"/>
        <w:rPr>
          <w:rFonts w:hint="default" w:ascii="Times New Roman" w:hAnsi="Times New Roman" w:cs="Times New Roman"/>
          <w:color w:val="000000" w:themeColor="text1"/>
          <w:highlight w:val="none"/>
          <w14:textFill>
            <w14:solidFill>
              <w14:schemeClr w14:val="tx1"/>
            </w14:solidFill>
          </w14:textFill>
        </w:rPr>
      </w:pPr>
    </w:p>
    <w:p w14:paraId="626D75AA">
      <w:pPr>
        <w:pStyle w:val="4"/>
        <w:rPr>
          <w:rFonts w:hint="default" w:ascii="Times New Roman" w:hAnsi="Times New Roman" w:cs="Times New Roman"/>
          <w:color w:val="000000" w:themeColor="text1"/>
          <w:highlight w:val="none"/>
          <w14:textFill>
            <w14:solidFill>
              <w14:schemeClr w14:val="tx1"/>
            </w14:solidFill>
          </w14:textFill>
        </w:rPr>
      </w:pPr>
    </w:p>
    <w:p w14:paraId="028CA1F4">
      <w:pPr>
        <w:pStyle w:val="39"/>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附图1：地理位置图</w:t>
      </w:r>
    </w:p>
    <w:p w14:paraId="25CFF529">
      <w:pPr>
        <w:pStyle w:val="56"/>
        <w:bidi w:val="0"/>
        <w:rPr>
          <w:color w:val="000000" w:themeColor="text1"/>
          <w14:textFill>
            <w14:solidFill>
              <w14:schemeClr w14:val="tx1"/>
            </w14:solidFill>
          </w14:textFill>
        </w:rPr>
      </w:pPr>
      <w:r>
        <w:rPr>
          <w:snapToGrid/>
          <w:color w:val="000000" w:themeColor="text1"/>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1963420</wp:posOffset>
                </wp:positionH>
                <wp:positionV relativeFrom="paragraph">
                  <wp:posOffset>1393825</wp:posOffset>
                </wp:positionV>
                <wp:extent cx="1367790" cy="314325"/>
                <wp:effectExtent l="5080" t="4445" r="1027430" b="328930"/>
                <wp:wrapNone/>
                <wp:docPr id="2045217024" name="对话气泡: 矩形 29"/>
                <wp:cNvGraphicFramePr/>
                <a:graphic xmlns:a="http://schemas.openxmlformats.org/drawingml/2006/main">
                  <a:graphicData uri="http://schemas.microsoft.com/office/word/2010/wordprocessingShape">
                    <wps:wsp>
                      <wps:cNvSpPr/>
                      <wps:spPr>
                        <a:xfrm>
                          <a:off x="0" y="0"/>
                          <a:ext cx="1367790" cy="314325"/>
                        </a:xfrm>
                        <a:prstGeom prst="wedgeRectCallout">
                          <a:avLst>
                            <a:gd name="adj1" fmla="val 121964"/>
                            <a:gd name="adj2" fmla="val 148609"/>
                          </a:avLst>
                        </a:prstGeom>
                        <a:noFill/>
                        <a:ln w="9525" cap="flat">
                          <a:solidFill>
                            <a:srgbClr val="FF0000"/>
                          </a:solidFill>
                          <a:prstDash val="solid"/>
                          <a:miter/>
                        </a:ln>
                      </wps:spPr>
                      <wps:txbx>
                        <w:txbxContent>
                          <w:p w14:paraId="0AE4BE29">
                            <w:pPr>
                              <w:jc w:val="center"/>
                              <w:rPr>
                                <w:b/>
                                <w:bCs/>
                                <w:color w:val="FF0000"/>
                              </w:rPr>
                            </w:pPr>
                            <w:r>
                              <w:rPr>
                                <w:rFonts w:hint="eastAsia"/>
                                <w:b/>
                                <w:bCs/>
                                <w:color w:val="FF0000"/>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9" o:spid="_x0000_s1026" o:spt="61" type="#_x0000_t61" style="position:absolute;left:0pt;margin-left:154.6pt;margin-top:109.75pt;height:24.75pt;width:107.7pt;z-index:251666432;v-text-anchor:middle;mso-width-relative:page;mso-height-relative:page;" filled="f" stroked="t" coordsize="21600,21600" o:gfxdata="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A0ISS+2QAAAAsBAAAPAAAAAAAAAAEAIAAAACIAAABkcnMvZG93&#10;bnJldi54bWxQSwECFAAUAAAACACHTuJAxaRBXKoCAAApBQAADgAAAAAAAAABACAAAAAoAQAAZHJz&#10;L2Uyb0RvYy54bWxQSwUGAAAAAAYABgBZAQAARAYAAAAA&#10;" adj="37144,42900">
                <v:fill on="f" focussize="0,0"/>
                <v:stroke color="#FF0000" joinstyle="miter"/>
                <v:imagedata o:title=""/>
                <o:lock v:ext="edit" aspectratio="f"/>
                <v:textbox>
                  <w:txbxContent>
                    <w:p w14:paraId="0AE4BE29">
                      <w:pPr>
                        <w:jc w:val="center"/>
                        <w:rPr>
                          <w:b/>
                          <w:bCs/>
                          <w:color w:val="FF0000"/>
                        </w:rPr>
                      </w:pPr>
                      <w:r>
                        <w:rPr>
                          <w:rFonts w:hint="eastAsia"/>
                          <w:b/>
                          <w:bCs/>
                          <w:color w:val="FF0000"/>
                        </w:rPr>
                        <w:t>项目位置</w:t>
                      </w:r>
                    </w:p>
                  </w:txbxContent>
                </v:textbox>
              </v:shape>
            </w:pict>
          </mc:Fallback>
        </mc:AlternateContent>
      </w:r>
      <w:r>
        <w:rPr>
          <w:color w:val="000000" w:themeColor="text1"/>
          <w14:textFill>
            <w14:solidFill>
              <w14:schemeClr w14:val="tx1"/>
            </w14:solidFill>
          </w14:textFill>
        </w:rPr>
        <w:drawing>
          <wp:inline distT="0" distB="0" distL="114300" distR="114300">
            <wp:extent cx="8860790" cy="4737735"/>
            <wp:effectExtent l="0" t="0" r="16510" b="57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7"/>
                    <a:srcRect t="10593"/>
                    <a:stretch>
                      <a:fillRect/>
                    </a:stretch>
                  </pic:blipFill>
                  <pic:spPr>
                    <a:xfrm>
                      <a:off x="0" y="0"/>
                      <a:ext cx="8860790" cy="4737735"/>
                    </a:xfrm>
                    <a:prstGeom prst="rect">
                      <a:avLst/>
                    </a:prstGeom>
                    <a:noFill/>
                    <a:ln>
                      <a:noFill/>
                    </a:ln>
                  </pic:spPr>
                </pic:pic>
              </a:graphicData>
            </a:graphic>
          </wp:inline>
        </w:drawing>
      </w:r>
      <w:r>
        <w:rPr>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8362950</wp:posOffset>
            </wp:positionH>
            <wp:positionV relativeFrom="paragraph">
              <wp:posOffset>147955</wp:posOffset>
            </wp:positionV>
            <wp:extent cx="472440" cy="966470"/>
            <wp:effectExtent l="0" t="0" r="3810" b="5080"/>
            <wp:wrapNone/>
            <wp:docPr id="2" name="图片 2" descr="69f5d7411a83b38330f3b712c911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9f5d7411a83b38330f3b712c911a5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2364" cy="966363"/>
                    </a:xfrm>
                    <a:prstGeom prst="rect">
                      <a:avLst/>
                    </a:prstGeom>
                  </pic:spPr>
                </pic:pic>
              </a:graphicData>
            </a:graphic>
          </wp:anchor>
        </w:drawing>
      </w:r>
    </w:p>
    <w:p w14:paraId="2ECC7203">
      <w:pPr>
        <w:pStyle w:val="4"/>
        <w:rPr>
          <w:rFonts w:hint="default" w:ascii="Times New Roman" w:hAnsi="Times New Roman" w:cs="Times New Roman"/>
          <w:color w:val="000000" w:themeColor="text1"/>
          <w:highlight w:val="none"/>
          <w14:textFill>
            <w14:solidFill>
              <w14:schemeClr w14:val="tx1"/>
            </w14:solidFill>
          </w14:textFill>
        </w:rPr>
      </w:pPr>
    </w:p>
    <w:sectPr>
      <w:headerReference r:id="rId12" w:type="first"/>
      <w:headerReference r:id="rId10" w:type="default"/>
      <w:headerReference r:id="rId11" w:type="even"/>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09F7523-95AF-4BB8-8CBE-1E669BD356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4C1A40DF-2017-44D7-8F32-003E038CD3E0}"/>
  </w:font>
  <w:font w:name="方正小标宋_GBK">
    <w:panose1 w:val="02000000000000000000"/>
    <w:charset w:val="86"/>
    <w:family w:val="script"/>
    <w:pitch w:val="default"/>
    <w:sig w:usb0="A00002BF" w:usb1="38CF7CFA" w:usb2="00082016" w:usb3="00000000" w:csb0="00040001" w:csb1="00000000"/>
    <w:embedRegular r:id="rId3" w:fontKey="{C6A2C054-35C0-495C-B153-84D52E249F9B}"/>
  </w:font>
  <w:font w:name="楷体_GB2312">
    <w:panose1 w:val="02010609030101010101"/>
    <w:charset w:val="86"/>
    <w:family w:val="modern"/>
    <w:pitch w:val="default"/>
    <w:sig w:usb0="00000001" w:usb1="080E0000" w:usb2="00000000" w:usb3="00000000" w:csb0="00040000" w:csb1="00000000"/>
    <w:embedRegular r:id="rId4" w:fontKey="{63CFB854-DFF1-4265-AD8B-153274ACF59A}"/>
  </w:font>
  <w:font w:name="微软雅黑">
    <w:panose1 w:val="020B0503020204020204"/>
    <w:charset w:val="86"/>
    <w:family w:val="swiss"/>
    <w:pitch w:val="default"/>
    <w:sig w:usb0="80000287" w:usb1="2ACF3C50" w:usb2="00000016" w:usb3="00000000" w:csb0="0004001F" w:csb1="00000000"/>
    <w:embedRegular r:id="rId5" w:fontKey="{6DEC5353-A359-4461-8066-29B3FB8AA6A1}"/>
  </w:font>
  <w:font w:name="仿宋">
    <w:panose1 w:val="02010609060101010101"/>
    <w:charset w:val="86"/>
    <w:family w:val="modern"/>
    <w:pitch w:val="default"/>
    <w:sig w:usb0="800002BF" w:usb1="38CF7CFA" w:usb2="00000016" w:usb3="00000000" w:csb0="00040001" w:csb1="00000000"/>
    <w:embedRegular r:id="rId6" w:fontKey="{38EB12E7-C5B8-49B4-95ED-255AF21FB17B}"/>
  </w:font>
  <w:font w:name="华文楷体">
    <w:panose1 w:val="02010600040101010101"/>
    <w:charset w:val="86"/>
    <w:family w:val="auto"/>
    <w:pitch w:val="default"/>
    <w:sig w:usb0="00000287" w:usb1="080F0000" w:usb2="00000000" w:usb3="00000000" w:csb0="0004009F" w:csb1="DFD70000"/>
    <w:embedRegular r:id="rId7" w:fontKey="{71B71076-9BC2-4816-8A99-2E8491C38139}"/>
  </w:font>
  <w:font w:name="Wingdings 2">
    <w:panose1 w:val="05020102010507070707"/>
    <w:charset w:val="02"/>
    <w:family w:val="roman"/>
    <w:pitch w:val="default"/>
    <w:sig w:usb0="00000000" w:usb1="00000000" w:usb2="00000000" w:usb3="00000000" w:csb0="80000000" w:csb1="00000000"/>
    <w:embedRegular r:id="rId8" w:fontKey="{A39102D5-18BE-4952-A8C7-720A9C1E0887}"/>
  </w:font>
  <w:font w:name="等线">
    <w:panose1 w:val="02010600030101010101"/>
    <w:charset w:val="86"/>
    <w:family w:val="auto"/>
    <w:pitch w:val="default"/>
    <w:sig w:usb0="A00002BF" w:usb1="38CF7CFA" w:usb2="00000016" w:usb3="00000000" w:csb0="0004000F" w:csb1="00000000"/>
    <w:embedRegular r:id="rId9" w:fontKey="{7B6290BE-DE6D-4A23-A5AB-EC0F554B7C77}"/>
  </w:font>
  <w:font w:name="Helvetica">
    <w:altName w:val="Arial"/>
    <w:panose1 w:val="020B0504020202030204"/>
    <w:charset w:val="00"/>
    <w:family w:val="auto"/>
    <w:pitch w:val="default"/>
    <w:sig w:usb0="00000000" w:usb1="00000000" w:usb2="00000000" w:usb3="00000000" w:csb0="00000093" w:csb1="00000000"/>
    <w:embedRegular r:id="rId10" w:fontKey="{D484A65E-3EF1-49F6-930D-46483B065F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1F4A3">
    <w:pPr>
      <w:pStyle w:val="1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1842479"/>
      <w:docPartObj>
        <w:docPartGallery w:val="autotext"/>
      </w:docPartObj>
    </w:sdtPr>
    <w:sdtContent>
      <w:p w14:paraId="1DF29EA2">
        <w:pPr>
          <w:pStyle w:val="11"/>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6156"/>
      <w:docPartObj>
        <w:docPartGallery w:val="autotext"/>
      </w:docPartObj>
    </w:sdtPr>
    <w:sdtContent>
      <w:p w14:paraId="2B8215B5">
        <w:pPr>
          <w:pStyle w:val="11"/>
          <w:jc w:val="center"/>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0877652"/>
      <w:docPartObj>
        <w:docPartGallery w:val="autotext"/>
      </w:docPartObj>
    </w:sdtPr>
    <w:sdtContent>
      <w:p w14:paraId="25E88411">
        <w:pPr>
          <w:pStyle w:val="11"/>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BB15B">
    <w:pPr>
      <w:pStyle w:val="12"/>
      <w:pBdr>
        <w:top w:val="none" w:color="auto" w:sz="0" w:space="0"/>
        <w:left w:val="none" w:color="auto" w:sz="0" w:space="0"/>
        <w:bottom w:val="none" w:color="auto" w:sz="0" w:space="1"/>
        <w:right w:val="none" w:color="auto" w:sz="0" w:space="0"/>
        <w:between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11137">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83675">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D0E4D">
    <w:pPr>
      <w:pStyle w:val="12"/>
      <w:pBdr>
        <w:top w:val="none" w:color="auto" w:sz="0" w:space="0"/>
        <w:left w:val="none" w:color="auto" w:sz="0" w:space="0"/>
        <w:bottom w:val="none" w:color="auto" w:sz="0" w:space="1"/>
        <w:right w:val="none" w:color="auto" w:sz="0" w:space="0"/>
        <w:between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243A5">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BBB50">
    <w:pPr>
      <w:pStyle w:val="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5A0D8C"/>
    <w:multiLevelType w:val="multilevel"/>
    <w:tmpl w:val="175A0D8C"/>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B47F167"/>
    <w:multiLevelType w:val="singleLevel"/>
    <w:tmpl w:val="1B47F167"/>
    <w:lvl w:ilvl="0" w:tentative="0">
      <w:start w:val="1"/>
      <w:numFmt w:val="decimal"/>
      <w:pStyle w:val="32"/>
      <w:lvlText w:val="表%1 "/>
      <w:lvlJc w:val="left"/>
      <w:pPr>
        <w:tabs>
          <w:tab w:val="left" w:pos="0"/>
        </w:tabs>
        <w:ind w:left="0" w:firstLine="0"/>
      </w:pPr>
      <w:rPr>
        <w:rFonts w:hint="default" w:ascii="Times New Roman" w:hAnsi="Times New Roman" w:cs="Times New Roman"/>
        <w:b/>
        <w:bCs/>
        <w:sz w:val="21"/>
        <w:szCs w:val="21"/>
      </w:rPr>
    </w:lvl>
  </w:abstractNum>
  <w:abstractNum w:abstractNumId="2">
    <w:nsid w:val="295E28F7"/>
    <w:multiLevelType w:val="multilevel"/>
    <w:tmpl w:val="295E28F7"/>
    <w:lvl w:ilvl="0" w:tentative="0">
      <w:start w:val="1"/>
      <w:numFmt w:val="decimal"/>
      <w:suff w:val="nothing"/>
      <w:lvlText w:val="%1"/>
      <w:lvlJc w:val="left"/>
      <w:pPr>
        <w:ind w:left="440" w:hanging="440"/>
      </w:pPr>
      <w:rPr>
        <w:rFonts w:hint="default"/>
        <w:sz w:val="21"/>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298A3C8F"/>
    <w:multiLevelType w:val="multilevel"/>
    <w:tmpl w:val="298A3C8F"/>
    <w:lvl w:ilvl="0" w:tentative="0">
      <w:start w:val="1"/>
      <w:numFmt w:val="chineseCountingThousand"/>
      <w:pStyle w:val="2"/>
      <w:suff w:val="space"/>
      <w:lvlText w:val="%1、"/>
      <w:lvlJc w:val="left"/>
      <w:pPr>
        <w:ind w:left="0" w:firstLine="0"/>
      </w:pPr>
      <w:rPr>
        <w:rFonts w:hint="eastAsia"/>
      </w:rPr>
    </w:lvl>
    <w:lvl w:ilvl="1" w:tentative="0">
      <w:start w:val="1"/>
      <w:numFmt w:val="decimal"/>
      <w:pStyle w:val="3"/>
      <w:isLgl/>
      <w:suff w:val="space"/>
      <w:lvlText w:val="%1.%2"/>
      <w:lvlJc w:val="left"/>
      <w:pPr>
        <w:ind w:left="0" w:firstLine="0"/>
      </w:pPr>
      <w:rPr>
        <w:rFonts w:hint="eastAsia"/>
      </w:rPr>
    </w:lvl>
    <w:lvl w:ilvl="2" w:tentative="0">
      <w:start w:val="1"/>
      <w:numFmt w:val="decimal"/>
      <w:pStyle w:val="5"/>
      <w:isLgl/>
      <w:suff w:val="space"/>
      <w:lvlText w:val="%1.%2.%3"/>
      <w:lvlJc w:val="left"/>
      <w:pPr>
        <w:ind w:left="0" w:hanging="32766"/>
      </w:pPr>
      <w:rPr>
        <w:rFonts w:hint="eastAsia"/>
      </w:rPr>
    </w:lvl>
    <w:lvl w:ilvl="3" w:tentative="0">
      <w:start w:val="1"/>
      <w:numFmt w:val="decimal"/>
      <w:pStyle w:val="6"/>
      <w:isLgl/>
      <w:suff w:val="space"/>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68530AAC"/>
    <w:multiLevelType w:val="multilevel"/>
    <w:tmpl w:val="68530AAC"/>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2M2ZjYjUyZDE2MDc1NzhlNzZkMjAwNzcwNWM5MzMifQ=="/>
  </w:docVars>
  <w:rsids>
    <w:rsidRoot w:val="00172A27"/>
    <w:rsid w:val="00001B30"/>
    <w:rsid w:val="0000328A"/>
    <w:rsid w:val="000038EF"/>
    <w:rsid w:val="000060B3"/>
    <w:rsid w:val="00013E22"/>
    <w:rsid w:val="00014A59"/>
    <w:rsid w:val="0001615B"/>
    <w:rsid w:val="000176F4"/>
    <w:rsid w:val="00020056"/>
    <w:rsid w:val="000202BB"/>
    <w:rsid w:val="000213AC"/>
    <w:rsid w:val="00026D44"/>
    <w:rsid w:val="0003627C"/>
    <w:rsid w:val="00036C54"/>
    <w:rsid w:val="00037A32"/>
    <w:rsid w:val="00040EF1"/>
    <w:rsid w:val="0004364B"/>
    <w:rsid w:val="00043BDA"/>
    <w:rsid w:val="00044EF4"/>
    <w:rsid w:val="00047CCF"/>
    <w:rsid w:val="000509FF"/>
    <w:rsid w:val="000519C5"/>
    <w:rsid w:val="00051D57"/>
    <w:rsid w:val="000538F0"/>
    <w:rsid w:val="00054DEA"/>
    <w:rsid w:val="0005547A"/>
    <w:rsid w:val="0005569E"/>
    <w:rsid w:val="000556E6"/>
    <w:rsid w:val="00055E7E"/>
    <w:rsid w:val="000578A5"/>
    <w:rsid w:val="00061B1F"/>
    <w:rsid w:val="00062356"/>
    <w:rsid w:val="00065E68"/>
    <w:rsid w:val="00066908"/>
    <w:rsid w:val="00070030"/>
    <w:rsid w:val="0007030C"/>
    <w:rsid w:val="0007161F"/>
    <w:rsid w:val="00071C77"/>
    <w:rsid w:val="000720A6"/>
    <w:rsid w:val="000733C4"/>
    <w:rsid w:val="00074783"/>
    <w:rsid w:val="00076687"/>
    <w:rsid w:val="0008070B"/>
    <w:rsid w:val="000810AC"/>
    <w:rsid w:val="00081A02"/>
    <w:rsid w:val="00082231"/>
    <w:rsid w:val="000860D3"/>
    <w:rsid w:val="00086158"/>
    <w:rsid w:val="00087493"/>
    <w:rsid w:val="00092023"/>
    <w:rsid w:val="00092D38"/>
    <w:rsid w:val="0009377B"/>
    <w:rsid w:val="00095F6C"/>
    <w:rsid w:val="0009618F"/>
    <w:rsid w:val="000A20C9"/>
    <w:rsid w:val="000A32CF"/>
    <w:rsid w:val="000A39A7"/>
    <w:rsid w:val="000A6396"/>
    <w:rsid w:val="000B03B4"/>
    <w:rsid w:val="000B058F"/>
    <w:rsid w:val="000B07A0"/>
    <w:rsid w:val="000B1284"/>
    <w:rsid w:val="000B3069"/>
    <w:rsid w:val="000B4467"/>
    <w:rsid w:val="000B4DB9"/>
    <w:rsid w:val="000C09AC"/>
    <w:rsid w:val="000C1CBF"/>
    <w:rsid w:val="000C308E"/>
    <w:rsid w:val="000C4900"/>
    <w:rsid w:val="000C6377"/>
    <w:rsid w:val="000C6623"/>
    <w:rsid w:val="000C767F"/>
    <w:rsid w:val="000C7C1B"/>
    <w:rsid w:val="000D4230"/>
    <w:rsid w:val="000D4DD5"/>
    <w:rsid w:val="000D5A44"/>
    <w:rsid w:val="000D62AD"/>
    <w:rsid w:val="000E05F2"/>
    <w:rsid w:val="000E10F3"/>
    <w:rsid w:val="000E360E"/>
    <w:rsid w:val="000E3AFA"/>
    <w:rsid w:val="000E3ED2"/>
    <w:rsid w:val="000E4AC4"/>
    <w:rsid w:val="000E7A55"/>
    <w:rsid w:val="000F0C5B"/>
    <w:rsid w:val="000F1A5C"/>
    <w:rsid w:val="000F564E"/>
    <w:rsid w:val="000F7360"/>
    <w:rsid w:val="000F73F0"/>
    <w:rsid w:val="00105537"/>
    <w:rsid w:val="00110119"/>
    <w:rsid w:val="001124F5"/>
    <w:rsid w:val="00113AC2"/>
    <w:rsid w:val="00115138"/>
    <w:rsid w:val="00121F89"/>
    <w:rsid w:val="0012419D"/>
    <w:rsid w:val="00125D3D"/>
    <w:rsid w:val="00127D28"/>
    <w:rsid w:val="00130EB7"/>
    <w:rsid w:val="00131F42"/>
    <w:rsid w:val="001357F1"/>
    <w:rsid w:val="00137F3A"/>
    <w:rsid w:val="00140FA8"/>
    <w:rsid w:val="00142FEB"/>
    <w:rsid w:val="00143A2D"/>
    <w:rsid w:val="00145A41"/>
    <w:rsid w:val="00146580"/>
    <w:rsid w:val="00151675"/>
    <w:rsid w:val="00153552"/>
    <w:rsid w:val="00153DAF"/>
    <w:rsid w:val="00154510"/>
    <w:rsid w:val="001553CF"/>
    <w:rsid w:val="001571A0"/>
    <w:rsid w:val="00157435"/>
    <w:rsid w:val="00161048"/>
    <w:rsid w:val="00161495"/>
    <w:rsid w:val="00163D2D"/>
    <w:rsid w:val="0016772D"/>
    <w:rsid w:val="00173F12"/>
    <w:rsid w:val="00174043"/>
    <w:rsid w:val="0017504D"/>
    <w:rsid w:val="00175536"/>
    <w:rsid w:val="00175755"/>
    <w:rsid w:val="00176068"/>
    <w:rsid w:val="0017671A"/>
    <w:rsid w:val="00177422"/>
    <w:rsid w:val="001816B9"/>
    <w:rsid w:val="00183405"/>
    <w:rsid w:val="00183534"/>
    <w:rsid w:val="00184245"/>
    <w:rsid w:val="00184526"/>
    <w:rsid w:val="00184590"/>
    <w:rsid w:val="001870D1"/>
    <w:rsid w:val="0018781E"/>
    <w:rsid w:val="001903FE"/>
    <w:rsid w:val="001910A2"/>
    <w:rsid w:val="001912F4"/>
    <w:rsid w:val="0019262D"/>
    <w:rsid w:val="00192A8C"/>
    <w:rsid w:val="0019372D"/>
    <w:rsid w:val="00194BFC"/>
    <w:rsid w:val="00196224"/>
    <w:rsid w:val="00196529"/>
    <w:rsid w:val="00196B77"/>
    <w:rsid w:val="0019791A"/>
    <w:rsid w:val="001A00B4"/>
    <w:rsid w:val="001A1B35"/>
    <w:rsid w:val="001A26C9"/>
    <w:rsid w:val="001A48A2"/>
    <w:rsid w:val="001A5894"/>
    <w:rsid w:val="001A5A94"/>
    <w:rsid w:val="001A6F61"/>
    <w:rsid w:val="001A72F7"/>
    <w:rsid w:val="001B40F1"/>
    <w:rsid w:val="001B4A2E"/>
    <w:rsid w:val="001B72B8"/>
    <w:rsid w:val="001C0C90"/>
    <w:rsid w:val="001C158B"/>
    <w:rsid w:val="001C3103"/>
    <w:rsid w:val="001C64E5"/>
    <w:rsid w:val="001C69B3"/>
    <w:rsid w:val="001C7678"/>
    <w:rsid w:val="001C7BE3"/>
    <w:rsid w:val="001D15EA"/>
    <w:rsid w:val="001D1921"/>
    <w:rsid w:val="001D5595"/>
    <w:rsid w:val="001D7874"/>
    <w:rsid w:val="001D7F22"/>
    <w:rsid w:val="001E2D92"/>
    <w:rsid w:val="001E5C7D"/>
    <w:rsid w:val="001E6A78"/>
    <w:rsid w:val="001F0F17"/>
    <w:rsid w:val="001F3347"/>
    <w:rsid w:val="001F5F0E"/>
    <w:rsid w:val="001F69E4"/>
    <w:rsid w:val="002057C9"/>
    <w:rsid w:val="00206C0F"/>
    <w:rsid w:val="002125B4"/>
    <w:rsid w:val="00213BAD"/>
    <w:rsid w:val="0021416B"/>
    <w:rsid w:val="002155B8"/>
    <w:rsid w:val="002179F1"/>
    <w:rsid w:val="00221DA7"/>
    <w:rsid w:val="00222168"/>
    <w:rsid w:val="00222C1D"/>
    <w:rsid w:val="00224839"/>
    <w:rsid w:val="002249B2"/>
    <w:rsid w:val="00225B87"/>
    <w:rsid w:val="00226574"/>
    <w:rsid w:val="002278EC"/>
    <w:rsid w:val="002308DD"/>
    <w:rsid w:val="00231BAB"/>
    <w:rsid w:val="0023280E"/>
    <w:rsid w:val="002377D1"/>
    <w:rsid w:val="0023796E"/>
    <w:rsid w:val="00240636"/>
    <w:rsid w:val="0024128F"/>
    <w:rsid w:val="00241A4C"/>
    <w:rsid w:val="00241A84"/>
    <w:rsid w:val="002422CC"/>
    <w:rsid w:val="00243B3B"/>
    <w:rsid w:val="00243E07"/>
    <w:rsid w:val="002503B4"/>
    <w:rsid w:val="002506BC"/>
    <w:rsid w:val="00250B68"/>
    <w:rsid w:val="00250E2B"/>
    <w:rsid w:val="002523ED"/>
    <w:rsid w:val="00254345"/>
    <w:rsid w:val="00254852"/>
    <w:rsid w:val="002571C0"/>
    <w:rsid w:val="0025745E"/>
    <w:rsid w:val="00260E42"/>
    <w:rsid w:val="00260E65"/>
    <w:rsid w:val="00262351"/>
    <w:rsid w:val="0026273F"/>
    <w:rsid w:val="00264557"/>
    <w:rsid w:val="002650E3"/>
    <w:rsid w:val="00266946"/>
    <w:rsid w:val="00266D60"/>
    <w:rsid w:val="002716B0"/>
    <w:rsid w:val="00271B80"/>
    <w:rsid w:val="002775C8"/>
    <w:rsid w:val="002775ED"/>
    <w:rsid w:val="002805AB"/>
    <w:rsid w:val="00283378"/>
    <w:rsid w:val="00284204"/>
    <w:rsid w:val="0028456B"/>
    <w:rsid w:val="002846F5"/>
    <w:rsid w:val="00285527"/>
    <w:rsid w:val="00286EFD"/>
    <w:rsid w:val="00291773"/>
    <w:rsid w:val="00296D36"/>
    <w:rsid w:val="00297B3D"/>
    <w:rsid w:val="00297D44"/>
    <w:rsid w:val="002A168C"/>
    <w:rsid w:val="002A1BB4"/>
    <w:rsid w:val="002A3DC7"/>
    <w:rsid w:val="002A4370"/>
    <w:rsid w:val="002A4618"/>
    <w:rsid w:val="002B4275"/>
    <w:rsid w:val="002B47B4"/>
    <w:rsid w:val="002B49E2"/>
    <w:rsid w:val="002B4DFF"/>
    <w:rsid w:val="002B688A"/>
    <w:rsid w:val="002B7B00"/>
    <w:rsid w:val="002B7C44"/>
    <w:rsid w:val="002C0B08"/>
    <w:rsid w:val="002C2099"/>
    <w:rsid w:val="002C2B17"/>
    <w:rsid w:val="002C5AF2"/>
    <w:rsid w:val="002C5B9B"/>
    <w:rsid w:val="002C6A2A"/>
    <w:rsid w:val="002D0BB6"/>
    <w:rsid w:val="002D3398"/>
    <w:rsid w:val="002D3AEE"/>
    <w:rsid w:val="002D3DD0"/>
    <w:rsid w:val="002D60FA"/>
    <w:rsid w:val="002D704C"/>
    <w:rsid w:val="002E0690"/>
    <w:rsid w:val="002E0BC7"/>
    <w:rsid w:val="002E0C03"/>
    <w:rsid w:val="002E1F3A"/>
    <w:rsid w:val="002E298A"/>
    <w:rsid w:val="002E3F0F"/>
    <w:rsid w:val="002E44E2"/>
    <w:rsid w:val="002E452E"/>
    <w:rsid w:val="002E578E"/>
    <w:rsid w:val="002E63A6"/>
    <w:rsid w:val="002E7093"/>
    <w:rsid w:val="00300EDD"/>
    <w:rsid w:val="0030119F"/>
    <w:rsid w:val="00301978"/>
    <w:rsid w:val="00301F22"/>
    <w:rsid w:val="0030332C"/>
    <w:rsid w:val="00303E05"/>
    <w:rsid w:val="003051C2"/>
    <w:rsid w:val="003059F2"/>
    <w:rsid w:val="00306186"/>
    <w:rsid w:val="003070F6"/>
    <w:rsid w:val="00307FC5"/>
    <w:rsid w:val="00310185"/>
    <w:rsid w:val="00311074"/>
    <w:rsid w:val="00312296"/>
    <w:rsid w:val="00312544"/>
    <w:rsid w:val="00314F0E"/>
    <w:rsid w:val="0031649B"/>
    <w:rsid w:val="00321D8E"/>
    <w:rsid w:val="00323F5E"/>
    <w:rsid w:val="00325928"/>
    <w:rsid w:val="00330242"/>
    <w:rsid w:val="00332863"/>
    <w:rsid w:val="0033371E"/>
    <w:rsid w:val="0033490F"/>
    <w:rsid w:val="003367BD"/>
    <w:rsid w:val="0033684D"/>
    <w:rsid w:val="00337142"/>
    <w:rsid w:val="00337B42"/>
    <w:rsid w:val="00341B42"/>
    <w:rsid w:val="0034348F"/>
    <w:rsid w:val="00351D43"/>
    <w:rsid w:val="003530FC"/>
    <w:rsid w:val="00353C52"/>
    <w:rsid w:val="00356653"/>
    <w:rsid w:val="0035743F"/>
    <w:rsid w:val="00357BE2"/>
    <w:rsid w:val="0036170C"/>
    <w:rsid w:val="00366B31"/>
    <w:rsid w:val="00366E0F"/>
    <w:rsid w:val="003753AB"/>
    <w:rsid w:val="0037713D"/>
    <w:rsid w:val="003772F0"/>
    <w:rsid w:val="003779A4"/>
    <w:rsid w:val="00381A72"/>
    <w:rsid w:val="00383755"/>
    <w:rsid w:val="00384676"/>
    <w:rsid w:val="00385FC4"/>
    <w:rsid w:val="003863EC"/>
    <w:rsid w:val="00387504"/>
    <w:rsid w:val="00390857"/>
    <w:rsid w:val="003922D3"/>
    <w:rsid w:val="003926D3"/>
    <w:rsid w:val="003927F8"/>
    <w:rsid w:val="003A1B25"/>
    <w:rsid w:val="003A1FB8"/>
    <w:rsid w:val="003A4BF3"/>
    <w:rsid w:val="003A55A7"/>
    <w:rsid w:val="003A662A"/>
    <w:rsid w:val="003A6EB2"/>
    <w:rsid w:val="003B420D"/>
    <w:rsid w:val="003B4522"/>
    <w:rsid w:val="003C4D12"/>
    <w:rsid w:val="003C61B0"/>
    <w:rsid w:val="003C6C16"/>
    <w:rsid w:val="003D0DFB"/>
    <w:rsid w:val="003D1166"/>
    <w:rsid w:val="003D22F0"/>
    <w:rsid w:val="003D4E95"/>
    <w:rsid w:val="003D6BC2"/>
    <w:rsid w:val="003D794D"/>
    <w:rsid w:val="003E04C7"/>
    <w:rsid w:val="003E3058"/>
    <w:rsid w:val="003E476A"/>
    <w:rsid w:val="003E76A9"/>
    <w:rsid w:val="003F064F"/>
    <w:rsid w:val="003F0809"/>
    <w:rsid w:val="003F1AB9"/>
    <w:rsid w:val="003F1ECE"/>
    <w:rsid w:val="003F25E6"/>
    <w:rsid w:val="003F27D5"/>
    <w:rsid w:val="003F33F8"/>
    <w:rsid w:val="003F499F"/>
    <w:rsid w:val="003F643D"/>
    <w:rsid w:val="003F6A8C"/>
    <w:rsid w:val="003F6A8F"/>
    <w:rsid w:val="003F755C"/>
    <w:rsid w:val="004025AD"/>
    <w:rsid w:val="00406F01"/>
    <w:rsid w:val="00406FE1"/>
    <w:rsid w:val="00407BC3"/>
    <w:rsid w:val="00414481"/>
    <w:rsid w:val="00415861"/>
    <w:rsid w:val="00416D50"/>
    <w:rsid w:val="00416FD5"/>
    <w:rsid w:val="00417772"/>
    <w:rsid w:val="00420E6A"/>
    <w:rsid w:val="00421FDD"/>
    <w:rsid w:val="00423E50"/>
    <w:rsid w:val="00425A9E"/>
    <w:rsid w:val="00425B15"/>
    <w:rsid w:val="00426867"/>
    <w:rsid w:val="00426CFD"/>
    <w:rsid w:val="00426D6B"/>
    <w:rsid w:val="00430166"/>
    <w:rsid w:val="00431E6C"/>
    <w:rsid w:val="00433CE7"/>
    <w:rsid w:val="00435D04"/>
    <w:rsid w:val="004408CA"/>
    <w:rsid w:val="00440AE9"/>
    <w:rsid w:val="00441B5E"/>
    <w:rsid w:val="00442FC4"/>
    <w:rsid w:val="004452D1"/>
    <w:rsid w:val="00446943"/>
    <w:rsid w:val="00450E33"/>
    <w:rsid w:val="00452738"/>
    <w:rsid w:val="004555A6"/>
    <w:rsid w:val="00456091"/>
    <w:rsid w:val="004562E8"/>
    <w:rsid w:val="004578E1"/>
    <w:rsid w:val="00460417"/>
    <w:rsid w:val="004639FD"/>
    <w:rsid w:val="00466321"/>
    <w:rsid w:val="0046673E"/>
    <w:rsid w:val="00470813"/>
    <w:rsid w:val="00471D39"/>
    <w:rsid w:val="00473CAB"/>
    <w:rsid w:val="00474029"/>
    <w:rsid w:val="00477815"/>
    <w:rsid w:val="00477C3B"/>
    <w:rsid w:val="00480568"/>
    <w:rsid w:val="00483CC2"/>
    <w:rsid w:val="00484A78"/>
    <w:rsid w:val="00484B9B"/>
    <w:rsid w:val="00484F15"/>
    <w:rsid w:val="004855F6"/>
    <w:rsid w:val="0048661E"/>
    <w:rsid w:val="00487272"/>
    <w:rsid w:val="0049435B"/>
    <w:rsid w:val="00494670"/>
    <w:rsid w:val="0049479A"/>
    <w:rsid w:val="00495149"/>
    <w:rsid w:val="00497E30"/>
    <w:rsid w:val="004A16B2"/>
    <w:rsid w:val="004A3823"/>
    <w:rsid w:val="004A5E3B"/>
    <w:rsid w:val="004A5F8C"/>
    <w:rsid w:val="004A7584"/>
    <w:rsid w:val="004B51C1"/>
    <w:rsid w:val="004C3BED"/>
    <w:rsid w:val="004C465F"/>
    <w:rsid w:val="004C6577"/>
    <w:rsid w:val="004C6811"/>
    <w:rsid w:val="004D1D5F"/>
    <w:rsid w:val="004D3059"/>
    <w:rsid w:val="004D61F5"/>
    <w:rsid w:val="004E2154"/>
    <w:rsid w:val="004E29D9"/>
    <w:rsid w:val="004E3DEE"/>
    <w:rsid w:val="004E6946"/>
    <w:rsid w:val="004F126B"/>
    <w:rsid w:val="004F1AD8"/>
    <w:rsid w:val="004F3590"/>
    <w:rsid w:val="004F3638"/>
    <w:rsid w:val="0050010A"/>
    <w:rsid w:val="005039CB"/>
    <w:rsid w:val="005048F1"/>
    <w:rsid w:val="0050558F"/>
    <w:rsid w:val="005059E9"/>
    <w:rsid w:val="00506286"/>
    <w:rsid w:val="00510813"/>
    <w:rsid w:val="00511990"/>
    <w:rsid w:val="00511DE0"/>
    <w:rsid w:val="00514870"/>
    <w:rsid w:val="00514B9B"/>
    <w:rsid w:val="0051596D"/>
    <w:rsid w:val="00517F02"/>
    <w:rsid w:val="00520ED8"/>
    <w:rsid w:val="00521C98"/>
    <w:rsid w:val="0052429F"/>
    <w:rsid w:val="00524303"/>
    <w:rsid w:val="005258A2"/>
    <w:rsid w:val="0052611D"/>
    <w:rsid w:val="00526EF7"/>
    <w:rsid w:val="005277F1"/>
    <w:rsid w:val="0052798A"/>
    <w:rsid w:val="0053248A"/>
    <w:rsid w:val="00533D71"/>
    <w:rsid w:val="0053481D"/>
    <w:rsid w:val="00534999"/>
    <w:rsid w:val="00534ED3"/>
    <w:rsid w:val="00535749"/>
    <w:rsid w:val="005359EB"/>
    <w:rsid w:val="005400CE"/>
    <w:rsid w:val="005401AE"/>
    <w:rsid w:val="00542E07"/>
    <w:rsid w:val="00545424"/>
    <w:rsid w:val="00546E79"/>
    <w:rsid w:val="00550C7E"/>
    <w:rsid w:val="0055308B"/>
    <w:rsid w:val="00553DB7"/>
    <w:rsid w:val="00554A7B"/>
    <w:rsid w:val="0055572C"/>
    <w:rsid w:val="00557556"/>
    <w:rsid w:val="0055770B"/>
    <w:rsid w:val="00560E2A"/>
    <w:rsid w:val="0056106A"/>
    <w:rsid w:val="00562B0F"/>
    <w:rsid w:val="0056316F"/>
    <w:rsid w:val="00563C0B"/>
    <w:rsid w:val="005678DC"/>
    <w:rsid w:val="005720AE"/>
    <w:rsid w:val="00575246"/>
    <w:rsid w:val="00575650"/>
    <w:rsid w:val="00575EC9"/>
    <w:rsid w:val="00581259"/>
    <w:rsid w:val="00581E2A"/>
    <w:rsid w:val="0058400D"/>
    <w:rsid w:val="00584459"/>
    <w:rsid w:val="005844B9"/>
    <w:rsid w:val="005873F7"/>
    <w:rsid w:val="00592957"/>
    <w:rsid w:val="005930D2"/>
    <w:rsid w:val="00594369"/>
    <w:rsid w:val="00594615"/>
    <w:rsid w:val="00594D77"/>
    <w:rsid w:val="005969E4"/>
    <w:rsid w:val="005A06B7"/>
    <w:rsid w:val="005A1759"/>
    <w:rsid w:val="005A1A78"/>
    <w:rsid w:val="005A6330"/>
    <w:rsid w:val="005A68A7"/>
    <w:rsid w:val="005A7830"/>
    <w:rsid w:val="005A7CFB"/>
    <w:rsid w:val="005B0CF5"/>
    <w:rsid w:val="005B3E94"/>
    <w:rsid w:val="005B490C"/>
    <w:rsid w:val="005C0711"/>
    <w:rsid w:val="005C6227"/>
    <w:rsid w:val="005D04CD"/>
    <w:rsid w:val="005D36AB"/>
    <w:rsid w:val="005D5092"/>
    <w:rsid w:val="005E03DF"/>
    <w:rsid w:val="005E1587"/>
    <w:rsid w:val="005F2779"/>
    <w:rsid w:val="005F49E0"/>
    <w:rsid w:val="005F4B35"/>
    <w:rsid w:val="005F516A"/>
    <w:rsid w:val="00601696"/>
    <w:rsid w:val="00601A5A"/>
    <w:rsid w:val="00602516"/>
    <w:rsid w:val="00604D8F"/>
    <w:rsid w:val="00605FBC"/>
    <w:rsid w:val="006151CB"/>
    <w:rsid w:val="0061725D"/>
    <w:rsid w:val="00617CC3"/>
    <w:rsid w:val="00617D1B"/>
    <w:rsid w:val="0062064F"/>
    <w:rsid w:val="006225F4"/>
    <w:rsid w:val="00631941"/>
    <w:rsid w:val="00634CCC"/>
    <w:rsid w:val="006377A6"/>
    <w:rsid w:val="00637A3D"/>
    <w:rsid w:val="006411EF"/>
    <w:rsid w:val="00644670"/>
    <w:rsid w:val="006477D6"/>
    <w:rsid w:val="00650EC8"/>
    <w:rsid w:val="006522A9"/>
    <w:rsid w:val="006523FB"/>
    <w:rsid w:val="00655C83"/>
    <w:rsid w:val="0065658D"/>
    <w:rsid w:val="00656BD5"/>
    <w:rsid w:val="006624E1"/>
    <w:rsid w:val="00664310"/>
    <w:rsid w:val="00665A56"/>
    <w:rsid w:val="0067141E"/>
    <w:rsid w:val="00673360"/>
    <w:rsid w:val="00673747"/>
    <w:rsid w:val="006737C4"/>
    <w:rsid w:val="00674521"/>
    <w:rsid w:val="006748B8"/>
    <w:rsid w:val="00675941"/>
    <w:rsid w:val="00675DC4"/>
    <w:rsid w:val="006769A4"/>
    <w:rsid w:val="006775C3"/>
    <w:rsid w:val="0068146D"/>
    <w:rsid w:val="006829BC"/>
    <w:rsid w:val="00683AAD"/>
    <w:rsid w:val="00683ED3"/>
    <w:rsid w:val="00685125"/>
    <w:rsid w:val="00686B43"/>
    <w:rsid w:val="006921CB"/>
    <w:rsid w:val="0069290A"/>
    <w:rsid w:val="00693F36"/>
    <w:rsid w:val="0069775A"/>
    <w:rsid w:val="00697813"/>
    <w:rsid w:val="006A37F5"/>
    <w:rsid w:val="006A3EE8"/>
    <w:rsid w:val="006A72BF"/>
    <w:rsid w:val="006A7456"/>
    <w:rsid w:val="006B03F2"/>
    <w:rsid w:val="006B1849"/>
    <w:rsid w:val="006B2E70"/>
    <w:rsid w:val="006B37DC"/>
    <w:rsid w:val="006B4F68"/>
    <w:rsid w:val="006B750D"/>
    <w:rsid w:val="006C04E7"/>
    <w:rsid w:val="006C0592"/>
    <w:rsid w:val="006C1330"/>
    <w:rsid w:val="006C272E"/>
    <w:rsid w:val="006C2FB5"/>
    <w:rsid w:val="006C5479"/>
    <w:rsid w:val="006D13B5"/>
    <w:rsid w:val="006D161A"/>
    <w:rsid w:val="006D6769"/>
    <w:rsid w:val="006D6895"/>
    <w:rsid w:val="006D6A2F"/>
    <w:rsid w:val="006D6F4C"/>
    <w:rsid w:val="006D78EC"/>
    <w:rsid w:val="006E12FF"/>
    <w:rsid w:val="006E2A92"/>
    <w:rsid w:val="006E5CB3"/>
    <w:rsid w:val="006E5D1A"/>
    <w:rsid w:val="006E607E"/>
    <w:rsid w:val="006E69A8"/>
    <w:rsid w:val="006E6BB6"/>
    <w:rsid w:val="006E6D8E"/>
    <w:rsid w:val="006F036B"/>
    <w:rsid w:val="006F3F63"/>
    <w:rsid w:val="006F519D"/>
    <w:rsid w:val="006F6250"/>
    <w:rsid w:val="00701EB1"/>
    <w:rsid w:val="00703157"/>
    <w:rsid w:val="00703CEA"/>
    <w:rsid w:val="00703DB7"/>
    <w:rsid w:val="007068B3"/>
    <w:rsid w:val="00706C5D"/>
    <w:rsid w:val="0070746C"/>
    <w:rsid w:val="00707A57"/>
    <w:rsid w:val="00712069"/>
    <w:rsid w:val="00712954"/>
    <w:rsid w:val="00716068"/>
    <w:rsid w:val="00721E89"/>
    <w:rsid w:val="00723D20"/>
    <w:rsid w:val="00723D4C"/>
    <w:rsid w:val="00725AE8"/>
    <w:rsid w:val="00726509"/>
    <w:rsid w:val="007313DD"/>
    <w:rsid w:val="00732922"/>
    <w:rsid w:val="00733C62"/>
    <w:rsid w:val="007345B4"/>
    <w:rsid w:val="00737DC4"/>
    <w:rsid w:val="00747BEE"/>
    <w:rsid w:val="0075162E"/>
    <w:rsid w:val="00754034"/>
    <w:rsid w:val="007544BC"/>
    <w:rsid w:val="00756556"/>
    <w:rsid w:val="00756A98"/>
    <w:rsid w:val="00757BA7"/>
    <w:rsid w:val="007605E8"/>
    <w:rsid w:val="00760A39"/>
    <w:rsid w:val="00760E27"/>
    <w:rsid w:val="007618C4"/>
    <w:rsid w:val="0076339A"/>
    <w:rsid w:val="00767980"/>
    <w:rsid w:val="00770B19"/>
    <w:rsid w:val="00771F17"/>
    <w:rsid w:val="0077463F"/>
    <w:rsid w:val="007749C7"/>
    <w:rsid w:val="00775983"/>
    <w:rsid w:val="00776D2D"/>
    <w:rsid w:val="00777B3F"/>
    <w:rsid w:val="007835AD"/>
    <w:rsid w:val="007836EA"/>
    <w:rsid w:val="00784CDA"/>
    <w:rsid w:val="00787A7F"/>
    <w:rsid w:val="007906C4"/>
    <w:rsid w:val="00790AE2"/>
    <w:rsid w:val="007918D3"/>
    <w:rsid w:val="00791C63"/>
    <w:rsid w:val="00793340"/>
    <w:rsid w:val="00793CF2"/>
    <w:rsid w:val="007940EA"/>
    <w:rsid w:val="007967E8"/>
    <w:rsid w:val="00796F21"/>
    <w:rsid w:val="007A2170"/>
    <w:rsid w:val="007A22BF"/>
    <w:rsid w:val="007A2D1E"/>
    <w:rsid w:val="007A3323"/>
    <w:rsid w:val="007A3428"/>
    <w:rsid w:val="007A5CBC"/>
    <w:rsid w:val="007A6559"/>
    <w:rsid w:val="007B0B1C"/>
    <w:rsid w:val="007B1438"/>
    <w:rsid w:val="007B72B8"/>
    <w:rsid w:val="007B7A58"/>
    <w:rsid w:val="007C0696"/>
    <w:rsid w:val="007C0785"/>
    <w:rsid w:val="007C21B5"/>
    <w:rsid w:val="007C2ABB"/>
    <w:rsid w:val="007C3BA4"/>
    <w:rsid w:val="007D0286"/>
    <w:rsid w:val="007D0AC3"/>
    <w:rsid w:val="007D191E"/>
    <w:rsid w:val="007D34CB"/>
    <w:rsid w:val="007D5D4F"/>
    <w:rsid w:val="007D7D0E"/>
    <w:rsid w:val="007D7F1C"/>
    <w:rsid w:val="007E0156"/>
    <w:rsid w:val="007E09D1"/>
    <w:rsid w:val="007E3996"/>
    <w:rsid w:val="007E4BD2"/>
    <w:rsid w:val="007E51A7"/>
    <w:rsid w:val="007E63B3"/>
    <w:rsid w:val="007F0D18"/>
    <w:rsid w:val="007F15E2"/>
    <w:rsid w:val="007F214E"/>
    <w:rsid w:val="00801393"/>
    <w:rsid w:val="00802630"/>
    <w:rsid w:val="008026D8"/>
    <w:rsid w:val="00802F88"/>
    <w:rsid w:val="00803095"/>
    <w:rsid w:val="0080440A"/>
    <w:rsid w:val="00804693"/>
    <w:rsid w:val="00811852"/>
    <w:rsid w:val="0081293E"/>
    <w:rsid w:val="00815009"/>
    <w:rsid w:val="00815465"/>
    <w:rsid w:val="00817E9A"/>
    <w:rsid w:val="00820A26"/>
    <w:rsid w:val="008221AD"/>
    <w:rsid w:val="00827CEC"/>
    <w:rsid w:val="008306BD"/>
    <w:rsid w:val="00831A80"/>
    <w:rsid w:val="00833743"/>
    <w:rsid w:val="008340A4"/>
    <w:rsid w:val="00834D0D"/>
    <w:rsid w:val="00834FAF"/>
    <w:rsid w:val="008372F6"/>
    <w:rsid w:val="00840B8A"/>
    <w:rsid w:val="00844604"/>
    <w:rsid w:val="00845B35"/>
    <w:rsid w:val="008525E8"/>
    <w:rsid w:val="00852CA6"/>
    <w:rsid w:val="0085451F"/>
    <w:rsid w:val="00857422"/>
    <w:rsid w:val="0085782F"/>
    <w:rsid w:val="00861569"/>
    <w:rsid w:val="008624EE"/>
    <w:rsid w:val="00862DA8"/>
    <w:rsid w:val="008636C4"/>
    <w:rsid w:val="0086384C"/>
    <w:rsid w:val="00867222"/>
    <w:rsid w:val="0087043C"/>
    <w:rsid w:val="0087073C"/>
    <w:rsid w:val="0087135F"/>
    <w:rsid w:val="00872D94"/>
    <w:rsid w:val="00875D3A"/>
    <w:rsid w:val="00876348"/>
    <w:rsid w:val="008769D4"/>
    <w:rsid w:val="00880364"/>
    <w:rsid w:val="00881DE1"/>
    <w:rsid w:val="00887B44"/>
    <w:rsid w:val="00890651"/>
    <w:rsid w:val="00891592"/>
    <w:rsid w:val="00891E9E"/>
    <w:rsid w:val="00895015"/>
    <w:rsid w:val="00896794"/>
    <w:rsid w:val="00897EE6"/>
    <w:rsid w:val="008A17D0"/>
    <w:rsid w:val="008A21A4"/>
    <w:rsid w:val="008A28B4"/>
    <w:rsid w:val="008A2F68"/>
    <w:rsid w:val="008A40B9"/>
    <w:rsid w:val="008A4362"/>
    <w:rsid w:val="008A5A8E"/>
    <w:rsid w:val="008B21B3"/>
    <w:rsid w:val="008B25DC"/>
    <w:rsid w:val="008B4FA6"/>
    <w:rsid w:val="008B5282"/>
    <w:rsid w:val="008B533A"/>
    <w:rsid w:val="008B7C17"/>
    <w:rsid w:val="008C2D01"/>
    <w:rsid w:val="008C40E6"/>
    <w:rsid w:val="008C4322"/>
    <w:rsid w:val="008C435B"/>
    <w:rsid w:val="008C7172"/>
    <w:rsid w:val="008C7D7E"/>
    <w:rsid w:val="008D0F7A"/>
    <w:rsid w:val="008D193B"/>
    <w:rsid w:val="008D20CF"/>
    <w:rsid w:val="008D3960"/>
    <w:rsid w:val="008D5B3F"/>
    <w:rsid w:val="008D5DF4"/>
    <w:rsid w:val="008D5E61"/>
    <w:rsid w:val="008D68E4"/>
    <w:rsid w:val="008D7120"/>
    <w:rsid w:val="008D7AED"/>
    <w:rsid w:val="008E02AF"/>
    <w:rsid w:val="008E0506"/>
    <w:rsid w:val="008E0CFF"/>
    <w:rsid w:val="008E0E03"/>
    <w:rsid w:val="008E2581"/>
    <w:rsid w:val="008E38C5"/>
    <w:rsid w:val="008E4CA7"/>
    <w:rsid w:val="008E5D6B"/>
    <w:rsid w:val="008E647D"/>
    <w:rsid w:val="008E6FBF"/>
    <w:rsid w:val="008E76F0"/>
    <w:rsid w:val="008F053E"/>
    <w:rsid w:val="008F15FE"/>
    <w:rsid w:val="008F2D29"/>
    <w:rsid w:val="008F2EB6"/>
    <w:rsid w:val="008F477C"/>
    <w:rsid w:val="008F5187"/>
    <w:rsid w:val="008F60D8"/>
    <w:rsid w:val="008F6E66"/>
    <w:rsid w:val="008F71D7"/>
    <w:rsid w:val="009019B4"/>
    <w:rsid w:val="00902727"/>
    <w:rsid w:val="0090312B"/>
    <w:rsid w:val="009044D6"/>
    <w:rsid w:val="00904B20"/>
    <w:rsid w:val="009057DF"/>
    <w:rsid w:val="009131BA"/>
    <w:rsid w:val="0091324B"/>
    <w:rsid w:val="009138A9"/>
    <w:rsid w:val="00914C33"/>
    <w:rsid w:val="00915DE8"/>
    <w:rsid w:val="009165CA"/>
    <w:rsid w:val="00916A07"/>
    <w:rsid w:val="00916BA9"/>
    <w:rsid w:val="0091736D"/>
    <w:rsid w:val="00917C1C"/>
    <w:rsid w:val="00920692"/>
    <w:rsid w:val="00920C60"/>
    <w:rsid w:val="00923C1F"/>
    <w:rsid w:val="00925B2C"/>
    <w:rsid w:val="00926089"/>
    <w:rsid w:val="0093037A"/>
    <w:rsid w:val="00930DBC"/>
    <w:rsid w:val="0093189F"/>
    <w:rsid w:val="00931DF5"/>
    <w:rsid w:val="00933C8F"/>
    <w:rsid w:val="00934921"/>
    <w:rsid w:val="009362C3"/>
    <w:rsid w:val="0093762D"/>
    <w:rsid w:val="00940F2D"/>
    <w:rsid w:val="0094154D"/>
    <w:rsid w:val="00942CEA"/>
    <w:rsid w:val="009439ED"/>
    <w:rsid w:val="009441C0"/>
    <w:rsid w:val="00946CF9"/>
    <w:rsid w:val="0095077B"/>
    <w:rsid w:val="0095155F"/>
    <w:rsid w:val="00951B0B"/>
    <w:rsid w:val="00952DB4"/>
    <w:rsid w:val="00954429"/>
    <w:rsid w:val="00955F10"/>
    <w:rsid w:val="009563CE"/>
    <w:rsid w:val="00962123"/>
    <w:rsid w:val="00964B2A"/>
    <w:rsid w:val="00965C9D"/>
    <w:rsid w:val="00966D45"/>
    <w:rsid w:val="00971EB2"/>
    <w:rsid w:val="009750BA"/>
    <w:rsid w:val="00976328"/>
    <w:rsid w:val="0097680D"/>
    <w:rsid w:val="009774FB"/>
    <w:rsid w:val="0098032E"/>
    <w:rsid w:val="009821A0"/>
    <w:rsid w:val="00982438"/>
    <w:rsid w:val="00982824"/>
    <w:rsid w:val="0098404C"/>
    <w:rsid w:val="00985283"/>
    <w:rsid w:val="00985908"/>
    <w:rsid w:val="0099238E"/>
    <w:rsid w:val="00993B9B"/>
    <w:rsid w:val="00993BF0"/>
    <w:rsid w:val="00994CCF"/>
    <w:rsid w:val="00995992"/>
    <w:rsid w:val="009A03E5"/>
    <w:rsid w:val="009A0F3B"/>
    <w:rsid w:val="009A1194"/>
    <w:rsid w:val="009A1BB4"/>
    <w:rsid w:val="009A2628"/>
    <w:rsid w:val="009A3200"/>
    <w:rsid w:val="009A6A25"/>
    <w:rsid w:val="009A6F97"/>
    <w:rsid w:val="009B02A5"/>
    <w:rsid w:val="009B0560"/>
    <w:rsid w:val="009B0897"/>
    <w:rsid w:val="009B2201"/>
    <w:rsid w:val="009B32ED"/>
    <w:rsid w:val="009B4D31"/>
    <w:rsid w:val="009B5DED"/>
    <w:rsid w:val="009B793B"/>
    <w:rsid w:val="009B7BD9"/>
    <w:rsid w:val="009B7EF9"/>
    <w:rsid w:val="009C17B9"/>
    <w:rsid w:val="009C2297"/>
    <w:rsid w:val="009C255B"/>
    <w:rsid w:val="009C2B1B"/>
    <w:rsid w:val="009C46DA"/>
    <w:rsid w:val="009C7DD5"/>
    <w:rsid w:val="009D2151"/>
    <w:rsid w:val="009D295D"/>
    <w:rsid w:val="009D42AD"/>
    <w:rsid w:val="009D47B3"/>
    <w:rsid w:val="009D59A4"/>
    <w:rsid w:val="009E011C"/>
    <w:rsid w:val="009E0D85"/>
    <w:rsid w:val="009E227D"/>
    <w:rsid w:val="009E2DD6"/>
    <w:rsid w:val="009E5019"/>
    <w:rsid w:val="009E5716"/>
    <w:rsid w:val="009E70F3"/>
    <w:rsid w:val="009F456E"/>
    <w:rsid w:val="009F4588"/>
    <w:rsid w:val="00A01942"/>
    <w:rsid w:val="00A04F1B"/>
    <w:rsid w:val="00A0501B"/>
    <w:rsid w:val="00A066E8"/>
    <w:rsid w:val="00A071E0"/>
    <w:rsid w:val="00A07951"/>
    <w:rsid w:val="00A102D2"/>
    <w:rsid w:val="00A113F0"/>
    <w:rsid w:val="00A12977"/>
    <w:rsid w:val="00A133E9"/>
    <w:rsid w:val="00A13506"/>
    <w:rsid w:val="00A14947"/>
    <w:rsid w:val="00A168A7"/>
    <w:rsid w:val="00A169A4"/>
    <w:rsid w:val="00A17D8B"/>
    <w:rsid w:val="00A203B6"/>
    <w:rsid w:val="00A24099"/>
    <w:rsid w:val="00A259FB"/>
    <w:rsid w:val="00A26932"/>
    <w:rsid w:val="00A27689"/>
    <w:rsid w:val="00A32A83"/>
    <w:rsid w:val="00A33186"/>
    <w:rsid w:val="00A368DB"/>
    <w:rsid w:val="00A4071A"/>
    <w:rsid w:val="00A423AA"/>
    <w:rsid w:val="00A4272C"/>
    <w:rsid w:val="00A42B74"/>
    <w:rsid w:val="00A47581"/>
    <w:rsid w:val="00A47B64"/>
    <w:rsid w:val="00A53EC6"/>
    <w:rsid w:val="00A54648"/>
    <w:rsid w:val="00A54BF4"/>
    <w:rsid w:val="00A55C0F"/>
    <w:rsid w:val="00A6377D"/>
    <w:rsid w:val="00A64E18"/>
    <w:rsid w:val="00A65A8C"/>
    <w:rsid w:val="00A71165"/>
    <w:rsid w:val="00A71699"/>
    <w:rsid w:val="00A71764"/>
    <w:rsid w:val="00A74181"/>
    <w:rsid w:val="00A75275"/>
    <w:rsid w:val="00A7595D"/>
    <w:rsid w:val="00A77D34"/>
    <w:rsid w:val="00A81A05"/>
    <w:rsid w:val="00A82A82"/>
    <w:rsid w:val="00A832C2"/>
    <w:rsid w:val="00A832EA"/>
    <w:rsid w:val="00A83A9E"/>
    <w:rsid w:val="00A85AE3"/>
    <w:rsid w:val="00A8713F"/>
    <w:rsid w:val="00A90BA1"/>
    <w:rsid w:val="00A91198"/>
    <w:rsid w:val="00A92212"/>
    <w:rsid w:val="00A922F4"/>
    <w:rsid w:val="00A940B6"/>
    <w:rsid w:val="00A9554F"/>
    <w:rsid w:val="00A97A9A"/>
    <w:rsid w:val="00AA0671"/>
    <w:rsid w:val="00AA1F09"/>
    <w:rsid w:val="00AA2531"/>
    <w:rsid w:val="00AA5075"/>
    <w:rsid w:val="00AA53F3"/>
    <w:rsid w:val="00AA55E3"/>
    <w:rsid w:val="00AA5F7E"/>
    <w:rsid w:val="00AA7530"/>
    <w:rsid w:val="00AB1E09"/>
    <w:rsid w:val="00AB4532"/>
    <w:rsid w:val="00AB4DE5"/>
    <w:rsid w:val="00AB4F89"/>
    <w:rsid w:val="00AB5330"/>
    <w:rsid w:val="00AB6F86"/>
    <w:rsid w:val="00AB7747"/>
    <w:rsid w:val="00AC14CE"/>
    <w:rsid w:val="00AC278B"/>
    <w:rsid w:val="00AC27AC"/>
    <w:rsid w:val="00AC2A56"/>
    <w:rsid w:val="00AC4BEF"/>
    <w:rsid w:val="00AC4C57"/>
    <w:rsid w:val="00AC6138"/>
    <w:rsid w:val="00AD055E"/>
    <w:rsid w:val="00AD0F73"/>
    <w:rsid w:val="00AD47A7"/>
    <w:rsid w:val="00AD6327"/>
    <w:rsid w:val="00AD6D9B"/>
    <w:rsid w:val="00AD7123"/>
    <w:rsid w:val="00AD77C5"/>
    <w:rsid w:val="00AE136C"/>
    <w:rsid w:val="00AE1437"/>
    <w:rsid w:val="00AE6A0D"/>
    <w:rsid w:val="00AF05EA"/>
    <w:rsid w:val="00AF0CBF"/>
    <w:rsid w:val="00AF257F"/>
    <w:rsid w:val="00AF2D3F"/>
    <w:rsid w:val="00AF33CF"/>
    <w:rsid w:val="00AF3C62"/>
    <w:rsid w:val="00AF4D50"/>
    <w:rsid w:val="00AF5090"/>
    <w:rsid w:val="00AF6179"/>
    <w:rsid w:val="00AF62B5"/>
    <w:rsid w:val="00AF64A0"/>
    <w:rsid w:val="00AF7720"/>
    <w:rsid w:val="00B01420"/>
    <w:rsid w:val="00B11C41"/>
    <w:rsid w:val="00B1295A"/>
    <w:rsid w:val="00B12A72"/>
    <w:rsid w:val="00B133A5"/>
    <w:rsid w:val="00B15AF9"/>
    <w:rsid w:val="00B15B28"/>
    <w:rsid w:val="00B17048"/>
    <w:rsid w:val="00B20A45"/>
    <w:rsid w:val="00B21141"/>
    <w:rsid w:val="00B22C5C"/>
    <w:rsid w:val="00B23D95"/>
    <w:rsid w:val="00B24F30"/>
    <w:rsid w:val="00B2563D"/>
    <w:rsid w:val="00B25ED9"/>
    <w:rsid w:val="00B30DDF"/>
    <w:rsid w:val="00B31ABF"/>
    <w:rsid w:val="00B31C10"/>
    <w:rsid w:val="00B33BE3"/>
    <w:rsid w:val="00B37DE4"/>
    <w:rsid w:val="00B42CD6"/>
    <w:rsid w:val="00B43705"/>
    <w:rsid w:val="00B43A22"/>
    <w:rsid w:val="00B47344"/>
    <w:rsid w:val="00B529BF"/>
    <w:rsid w:val="00B53B5D"/>
    <w:rsid w:val="00B552DB"/>
    <w:rsid w:val="00B56AFB"/>
    <w:rsid w:val="00B56FFF"/>
    <w:rsid w:val="00B6055E"/>
    <w:rsid w:val="00B61275"/>
    <w:rsid w:val="00B61B4A"/>
    <w:rsid w:val="00B62E42"/>
    <w:rsid w:val="00B6317D"/>
    <w:rsid w:val="00B65526"/>
    <w:rsid w:val="00B7119D"/>
    <w:rsid w:val="00B71CE0"/>
    <w:rsid w:val="00B72730"/>
    <w:rsid w:val="00B76637"/>
    <w:rsid w:val="00B76A04"/>
    <w:rsid w:val="00B7723F"/>
    <w:rsid w:val="00B80534"/>
    <w:rsid w:val="00B80A25"/>
    <w:rsid w:val="00B82DD6"/>
    <w:rsid w:val="00B8433C"/>
    <w:rsid w:val="00B84592"/>
    <w:rsid w:val="00B87491"/>
    <w:rsid w:val="00B87652"/>
    <w:rsid w:val="00B876E8"/>
    <w:rsid w:val="00B939AF"/>
    <w:rsid w:val="00BA126D"/>
    <w:rsid w:val="00BA1D8F"/>
    <w:rsid w:val="00BA29E9"/>
    <w:rsid w:val="00BA5793"/>
    <w:rsid w:val="00BA61D7"/>
    <w:rsid w:val="00BA7142"/>
    <w:rsid w:val="00BA72E1"/>
    <w:rsid w:val="00BB0DE3"/>
    <w:rsid w:val="00BB0DE9"/>
    <w:rsid w:val="00BB237C"/>
    <w:rsid w:val="00BB2593"/>
    <w:rsid w:val="00BB41A3"/>
    <w:rsid w:val="00BB43D0"/>
    <w:rsid w:val="00BB7C7F"/>
    <w:rsid w:val="00BC0232"/>
    <w:rsid w:val="00BC0961"/>
    <w:rsid w:val="00BC32DC"/>
    <w:rsid w:val="00BC35B6"/>
    <w:rsid w:val="00BC3B8E"/>
    <w:rsid w:val="00BC5A30"/>
    <w:rsid w:val="00BC5F7E"/>
    <w:rsid w:val="00BC72A6"/>
    <w:rsid w:val="00BD1B51"/>
    <w:rsid w:val="00BD4596"/>
    <w:rsid w:val="00BD76CE"/>
    <w:rsid w:val="00BD7995"/>
    <w:rsid w:val="00BE0452"/>
    <w:rsid w:val="00BE1405"/>
    <w:rsid w:val="00BE1617"/>
    <w:rsid w:val="00BE21C0"/>
    <w:rsid w:val="00BE312D"/>
    <w:rsid w:val="00BE7261"/>
    <w:rsid w:val="00BF1C20"/>
    <w:rsid w:val="00BF3F16"/>
    <w:rsid w:val="00BF477D"/>
    <w:rsid w:val="00BF6F5C"/>
    <w:rsid w:val="00BF7522"/>
    <w:rsid w:val="00C019B6"/>
    <w:rsid w:val="00C03394"/>
    <w:rsid w:val="00C067CA"/>
    <w:rsid w:val="00C10578"/>
    <w:rsid w:val="00C10C18"/>
    <w:rsid w:val="00C10D56"/>
    <w:rsid w:val="00C13388"/>
    <w:rsid w:val="00C135BC"/>
    <w:rsid w:val="00C14F01"/>
    <w:rsid w:val="00C15A3D"/>
    <w:rsid w:val="00C15AB7"/>
    <w:rsid w:val="00C15C95"/>
    <w:rsid w:val="00C167C6"/>
    <w:rsid w:val="00C16828"/>
    <w:rsid w:val="00C20588"/>
    <w:rsid w:val="00C2596A"/>
    <w:rsid w:val="00C27537"/>
    <w:rsid w:val="00C30FE1"/>
    <w:rsid w:val="00C31C7B"/>
    <w:rsid w:val="00C328FE"/>
    <w:rsid w:val="00C33507"/>
    <w:rsid w:val="00C34F12"/>
    <w:rsid w:val="00C36233"/>
    <w:rsid w:val="00C377CD"/>
    <w:rsid w:val="00C408C7"/>
    <w:rsid w:val="00C40B2D"/>
    <w:rsid w:val="00C42944"/>
    <w:rsid w:val="00C42C89"/>
    <w:rsid w:val="00C4409D"/>
    <w:rsid w:val="00C449FC"/>
    <w:rsid w:val="00C44E72"/>
    <w:rsid w:val="00C45A06"/>
    <w:rsid w:val="00C47E5B"/>
    <w:rsid w:val="00C502FF"/>
    <w:rsid w:val="00C5110E"/>
    <w:rsid w:val="00C5165A"/>
    <w:rsid w:val="00C519A2"/>
    <w:rsid w:val="00C53712"/>
    <w:rsid w:val="00C53E58"/>
    <w:rsid w:val="00C54C24"/>
    <w:rsid w:val="00C54D3E"/>
    <w:rsid w:val="00C55CAB"/>
    <w:rsid w:val="00C619B5"/>
    <w:rsid w:val="00C61E4B"/>
    <w:rsid w:val="00C64BFF"/>
    <w:rsid w:val="00C65B82"/>
    <w:rsid w:val="00C664FA"/>
    <w:rsid w:val="00C704E9"/>
    <w:rsid w:val="00C70BCD"/>
    <w:rsid w:val="00C71408"/>
    <w:rsid w:val="00C72162"/>
    <w:rsid w:val="00C72EBB"/>
    <w:rsid w:val="00C763C9"/>
    <w:rsid w:val="00C80057"/>
    <w:rsid w:val="00C82232"/>
    <w:rsid w:val="00C82913"/>
    <w:rsid w:val="00C85A2C"/>
    <w:rsid w:val="00C872A8"/>
    <w:rsid w:val="00C916AD"/>
    <w:rsid w:val="00C96401"/>
    <w:rsid w:val="00C972B1"/>
    <w:rsid w:val="00CA2CCE"/>
    <w:rsid w:val="00CA3061"/>
    <w:rsid w:val="00CA3F7B"/>
    <w:rsid w:val="00CA43FD"/>
    <w:rsid w:val="00CA57C4"/>
    <w:rsid w:val="00CA7EF8"/>
    <w:rsid w:val="00CB14D4"/>
    <w:rsid w:val="00CB3426"/>
    <w:rsid w:val="00CB47AD"/>
    <w:rsid w:val="00CB4F7E"/>
    <w:rsid w:val="00CB6DEF"/>
    <w:rsid w:val="00CB6E29"/>
    <w:rsid w:val="00CB7CE0"/>
    <w:rsid w:val="00CC0527"/>
    <w:rsid w:val="00CC275F"/>
    <w:rsid w:val="00CC489B"/>
    <w:rsid w:val="00CC6395"/>
    <w:rsid w:val="00CC65EC"/>
    <w:rsid w:val="00CD0204"/>
    <w:rsid w:val="00CD02D9"/>
    <w:rsid w:val="00CD2BCD"/>
    <w:rsid w:val="00CD3A4C"/>
    <w:rsid w:val="00CD3FC7"/>
    <w:rsid w:val="00CD6193"/>
    <w:rsid w:val="00CD65CC"/>
    <w:rsid w:val="00CE0C19"/>
    <w:rsid w:val="00CE0E95"/>
    <w:rsid w:val="00CE10E9"/>
    <w:rsid w:val="00CE14A7"/>
    <w:rsid w:val="00CE1C25"/>
    <w:rsid w:val="00CE2910"/>
    <w:rsid w:val="00CE40DB"/>
    <w:rsid w:val="00CE5393"/>
    <w:rsid w:val="00CF0F75"/>
    <w:rsid w:val="00CF226F"/>
    <w:rsid w:val="00CF36BE"/>
    <w:rsid w:val="00CF6000"/>
    <w:rsid w:val="00D003F3"/>
    <w:rsid w:val="00D0364F"/>
    <w:rsid w:val="00D06096"/>
    <w:rsid w:val="00D06658"/>
    <w:rsid w:val="00D06834"/>
    <w:rsid w:val="00D07977"/>
    <w:rsid w:val="00D13005"/>
    <w:rsid w:val="00D13CD8"/>
    <w:rsid w:val="00D16949"/>
    <w:rsid w:val="00D16CBA"/>
    <w:rsid w:val="00D25788"/>
    <w:rsid w:val="00D26433"/>
    <w:rsid w:val="00D308ED"/>
    <w:rsid w:val="00D33F70"/>
    <w:rsid w:val="00D35289"/>
    <w:rsid w:val="00D36676"/>
    <w:rsid w:val="00D36D86"/>
    <w:rsid w:val="00D428AA"/>
    <w:rsid w:val="00D4784F"/>
    <w:rsid w:val="00D47ECE"/>
    <w:rsid w:val="00D500CA"/>
    <w:rsid w:val="00D505EA"/>
    <w:rsid w:val="00D50A34"/>
    <w:rsid w:val="00D527CF"/>
    <w:rsid w:val="00D53A40"/>
    <w:rsid w:val="00D53EFA"/>
    <w:rsid w:val="00D55F1D"/>
    <w:rsid w:val="00D61043"/>
    <w:rsid w:val="00D61B76"/>
    <w:rsid w:val="00D654EE"/>
    <w:rsid w:val="00D7084A"/>
    <w:rsid w:val="00D71202"/>
    <w:rsid w:val="00D71206"/>
    <w:rsid w:val="00D7246C"/>
    <w:rsid w:val="00D81747"/>
    <w:rsid w:val="00D86E80"/>
    <w:rsid w:val="00D90A0D"/>
    <w:rsid w:val="00D92BD1"/>
    <w:rsid w:val="00D94A7C"/>
    <w:rsid w:val="00D9583B"/>
    <w:rsid w:val="00D95896"/>
    <w:rsid w:val="00D964F3"/>
    <w:rsid w:val="00D96A5A"/>
    <w:rsid w:val="00DA4B9B"/>
    <w:rsid w:val="00DA6318"/>
    <w:rsid w:val="00DB1D3C"/>
    <w:rsid w:val="00DB2444"/>
    <w:rsid w:val="00DB2983"/>
    <w:rsid w:val="00DB4877"/>
    <w:rsid w:val="00DB55D4"/>
    <w:rsid w:val="00DB5F72"/>
    <w:rsid w:val="00DC1257"/>
    <w:rsid w:val="00DC2DEE"/>
    <w:rsid w:val="00DC36F3"/>
    <w:rsid w:val="00DC3D40"/>
    <w:rsid w:val="00DC3DC0"/>
    <w:rsid w:val="00DC48AB"/>
    <w:rsid w:val="00DC5620"/>
    <w:rsid w:val="00DC5B2B"/>
    <w:rsid w:val="00DC6599"/>
    <w:rsid w:val="00DC6E32"/>
    <w:rsid w:val="00DC7236"/>
    <w:rsid w:val="00DC7460"/>
    <w:rsid w:val="00DD274C"/>
    <w:rsid w:val="00DD318D"/>
    <w:rsid w:val="00DD50A7"/>
    <w:rsid w:val="00DD580B"/>
    <w:rsid w:val="00DD5A0D"/>
    <w:rsid w:val="00DE6DE1"/>
    <w:rsid w:val="00DE6F70"/>
    <w:rsid w:val="00DF2B50"/>
    <w:rsid w:val="00DF2E12"/>
    <w:rsid w:val="00DF303E"/>
    <w:rsid w:val="00DF37DC"/>
    <w:rsid w:val="00DF490D"/>
    <w:rsid w:val="00DF514A"/>
    <w:rsid w:val="00DF6690"/>
    <w:rsid w:val="00DF6804"/>
    <w:rsid w:val="00E0190A"/>
    <w:rsid w:val="00E0358D"/>
    <w:rsid w:val="00E04323"/>
    <w:rsid w:val="00E070A2"/>
    <w:rsid w:val="00E11F2B"/>
    <w:rsid w:val="00E122E8"/>
    <w:rsid w:val="00E14AA0"/>
    <w:rsid w:val="00E155DE"/>
    <w:rsid w:val="00E178CE"/>
    <w:rsid w:val="00E22B34"/>
    <w:rsid w:val="00E2656A"/>
    <w:rsid w:val="00E26AC4"/>
    <w:rsid w:val="00E27D96"/>
    <w:rsid w:val="00E3382F"/>
    <w:rsid w:val="00E34394"/>
    <w:rsid w:val="00E355F8"/>
    <w:rsid w:val="00E4014A"/>
    <w:rsid w:val="00E40EFE"/>
    <w:rsid w:val="00E412D0"/>
    <w:rsid w:val="00E42A45"/>
    <w:rsid w:val="00E448EC"/>
    <w:rsid w:val="00E462BF"/>
    <w:rsid w:val="00E462EC"/>
    <w:rsid w:val="00E50FC3"/>
    <w:rsid w:val="00E50FD5"/>
    <w:rsid w:val="00E51401"/>
    <w:rsid w:val="00E53641"/>
    <w:rsid w:val="00E53F4D"/>
    <w:rsid w:val="00E541FC"/>
    <w:rsid w:val="00E5448D"/>
    <w:rsid w:val="00E56322"/>
    <w:rsid w:val="00E60982"/>
    <w:rsid w:val="00E61E8E"/>
    <w:rsid w:val="00E62C62"/>
    <w:rsid w:val="00E636F2"/>
    <w:rsid w:val="00E654C1"/>
    <w:rsid w:val="00E65D97"/>
    <w:rsid w:val="00E679D7"/>
    <w:rsid w:val="00E72A5A"/>
    <w:rsid w:val="00E73354"/>
    <w:rsid w:val="00E737CD"/>
    <w:rsid w:val="00E75E67"/>
    <w:rsid w:val="00E8575F"/>
    <w:rsid w:val="00E85CB8"/>
    <w:rsid w:val="00E90702"/>
    <w:rsid w:val="00E912F6"/>
    <w:rsid w:val="00E9242D"/>
    <w:rsid w:val="00E926DC"/>
    <w:rsid w:val="00EA0A2C"/>
    <w:rsid w:val="00EA0B0F"/>
    <w:rsid w:val="00EA23EB"/>
    <w:rsid w:val="00EA2946"/>
    <w:rsid w:val="00EA29C9"/>
    <w:rsid w:val="00EA5121"/>
    <w:rsid w:val="00EB021B"/>
    <w:rsid w:val="00EB2852"/>
    <w:rsid w:val="00EB2BD3"/>
    <w:rsid w:val="00EB3146"/>
    <w:rsid w:val="00EB4A07"/>
    <w:rsid w:val="00EB4B22"/>
    <w:rsid w:val="00EB5255"/>
    <w:rsid w:val="00EB5C47"/>
    <w:rsid w:val="00EC129C"/>
    <w:rsid w:val="00EC200C"/>
    <w:rsid w:val="00EC5380"/>
    <w:rsid w:val="00EC5FDF"/>
    <w:rsid w:val="00EC688F"/>
    <w:rsid w:val="00EC7C7B"/>
    <w:rsid w:val="00ED0639"/>
    <w:rsid w:val="00ED1F90"/>
    <w:rsid w:val="00ED3C05"/>
    <w:rsid w:val="00ED5C6E"/>
    <w:rsid w:val="00EE04BB"/>
    <w:rsid w:val="00EE0686"/>
    <w:rsid w:val="00EE12A9"/>
    <w:rsid w:val="00EE3275"/>
    <w:rsid w:val="00EE5693"/>
    <w:rsid w:val="00EF054E"/>
    <w:rsid w:val="00EF13CA"/>
    <w:rsid w:val="00EF4755"/>
    <w:rsid w:val="00EF5BCC"/>
    <w:rsid w:val="00EF7135"/>
    <w:rsid w:val="00EF75A0"/>
    <w:rsid w:val="00EF7754"/>
    <w:rsid w:val="00EF7E6C"/>
    <w:rsid w:val="00F00ACD"/>
    <w:rsid w:val="00F0142C"/>
    <w:rsid w:val="00F027DB"/>
    <w:rsid w:val="00F03A9E"/>
    <w:rsid w:val="00F05014"/>
    <w:rsid w:val="00F06031"/>
    <w:rsid w:val="00F07549"/>
    <w:rsid w:val="00F14A7A"/>
    <w:rsid w:val="00F15DD0"/>
    <w:rsid w:val="00F16F51"/>
    <w:rsid w:val="00F216E5"/>
    <w:rsid w:val="00F22628"/>
    <w:rsid w:val="00F22985"/>
    <w:rsid w:val="00F24170"/>
    <w:rsid w:val="00F24586"/>
    <w:rsid w:val="00F250AB"/>
    <w:rsid w:val="00F2558E"/>
    <w:rsid w:val="00F25D43"/>
    <w:rsid w:val="00F25F68"/>
    <w:rsid w:val="00F30257"/>
    <w:rsid w:val="00F3138F"/>
    <w:rsid w:val="00F325AE"/>
    <w:rsid w:val="00F3383E"/>
    <w:rsid w:val="00F342BA"/>
    <w:rsid w:val="00F37CE1"/>
    <w:rsid w:val="00F431DC"/>
    <w:rsid w:val="00F465A7"/>
    <w:rsid w:val="00F50B7C"/>
    <w:rsid w:val="00F542B6"/>
    <w:rsid w:val="00F550E6"/>
    <w:rsid w:val="00F55D4C"/>
    <w:rsid w:val="00F575D7"/>
    <w:rsid w:val="00F66FCE"/>
    <w:rsid w:val="00F7390E"/>
    <w:rsid w:val="00F73FBE"/>
    <w:rsid w:val="00F74345"/>
    <w:rsid w:val="00F7455A"/>
    <w:rsid w:val="00F76D0D"/>
    <w:rsid w:val="00F7784E"/>
    <w:rsid w:val="00F77FA5"/>
    <w:rsid w:val="00F80A0A"/>
    <w:rsid w:val="00F815FD"/>
    <w:rsid w:val="00F8204F"/>
    <w:rsid w:val="00F82B19"/>
    <w:rsid w:val="00F83DCB"/>
    <w:rsid w:val="00F9212D"/>
    <w:rsid w:val="00F93484"/>
    <w:rsid w:val="00F9361C"/>
    <w:rsid w:val="00F941B2"/>
    <w:rsid w:val="00F94D9F"/>
    <w:rsid w:val="00F965DA"/>
    <w:rsid w:val="00FA0DD4"/>
    <w:rsid w:val="00FA10E7"/>
    <w:rsid w:val="00FA1A6C"/>
    <w:rsid w:val="00FA30AD"/>
    <w:rsid w:val="00FA406A"/>
    <w:rsid w:val="00FA6474"/>
    <w:rsid w:val="00FB3B71"/>
    <w:rsid w:val="00FB4274"/>
    <w:rsid w:val="00FB503A"/>
    <w:rsid w:val="00FB516C"/>
    <w:rsid w:val="00FC478A"/>
    <w:rsid w:val="00FC581C"/>
    <w:rsid w:val="00FC6456"/>
    <w:rsid w:val="00FC77B9"/>
    <w:rsid w:val="00FD0236"/>
    <w:rsid w:val="00FD0397"/>
    <w:rsid w:val="00FD09E5"/>
    <w:rsid w:val="00FD1308"/>
    <w:rsid w:val="00FD18F4"/>
    <w:rsid w:val="00FD1F35"/>
    <w:rsid w:val="00FD54DB"/>
    <w:rsid w:val="00FD616A"/>
    <w:rsid w:val="00FD619F"/>
    <w:rsid w:val="00FE265F"/>
    <w:rsid w:val="00FE28C4"/>
    <w:rsid w:val="00FE6595"/>
    <w:rsid w:val="00FE6F9B"/>
    <w:rsid w:val="00FF03B1"/>
    <w:rsid w:val="00FF1A67"/>
    <w:rsid w:val="00FF36E7"/>
    <w:rsid w:val="00FF3961"/>
    <w:rsid w:val="00FF40D6"/>
    <w:rsid w:val="00FF4EF3"/>
    <w:rsid w:val="00FF6C2E"/>
    <w:rsid w:val="00FF6F18"/>
    <w:rsid w:val="01290F7E"/>
    <w:rsid w:val="015D1E09"/>
    <w:rsid w:val="01981D96"/>
    <w:rsid w:val="02697903"/>
    <w:rsid w:val="02AF383B"/>
    <w:rsid w:val="02AF72BA"/>
    <w:rsid w:val="02CF334B"/>
    <w:rsid w:val="02F96569"/>
    <w:rsid w:val="03432256"/>
    <w:rsid w:val="035324E5"/>
    <w:rsid w:val="0366335A"/>
    <w:rsid w:val="03D251BA"/>
    <w:rsid w:val="03EA7B21"/>
    <w:rsid w:val="05015EA4"/>
    <w:rsid w:val="0530678A"/>
    <w:rsid w:val="05CC2141"/>
    <w:rsid w:val="05F83EAE"/>
    <w:rsid w:val="063E7D85"/>
    <w:rsid w:val="070B5219"/>
    <w:rsid w:val="07293586"/>
    <w:rsid w:val="07295285"/>
    <w:rsid w:val="07636392"/>
    <w:rsid w:val="076E3F95"/>
    <w:rsid w:val="07770C56"/>
    <w:rsid w:val="07EF0236"/>
    <w:rsid w:val="081303C8"/>
    <w:rsid w:val="08C571E9"/>
    <w:rsid w:val="092217DD"/>
    <w:rsid w:val="093A7294"/>
    <w:rsid w:val="09717ADB"/>
    <w:rsid w:val="098129AF"/>
    <w:rsid w:val="09D931D4"/>
    <w:rsid w:val="0A263993"/>
    <w:rsid w:val="0A2D3AC2"/>
    <w:rsid w:val="0A713591"/>
    <w:rsid w:val="0AA755DF"/>
    <w:rsid w:val="0B120D44"/>
    <w:rsid w:val="0B240A5C"/>
    <w:rsid w:val="0B2E0AC4"/>
    <w:rsid w:val="0B300B2E"/>
    <w:rsid w:val="0B380146"/>
    <w:rsid w:val="0B434DF3"/>
    <w:rsid w:val="0B706D6E"/>
    <w:rsid w:val="0BCA2083"/>
    <w:rsid w:val="0BD27BF6"/>
    <w:rsid w:val="0C3B3C7D"/>
    <w:rsid w:val="0CAB2EAE"/>
    <w:rsid w:val="0CF05A47"/>
    <w:rsid w:val="0D0E641B"/>
    <w:rsid w:val="0D23109A"/>
    <w:rsid w:val="0D5E30A2"/>
    <w:rsid w:val="0D621C7D"/>
    <w:rsid w:val="0E255A34"/>
    <w:rsid w:val="0E73034D"/>
    <w:rsid w:val="0F13775A"/>
    <w:rsid w:val="0F5F45FE"/>
    <w:rsid w:val="0F9A112B"/>
    <w:rsid w:val="0FA712D3"/>
    <w:rsid w:val="106D2F64"/>
    <w:rsid w:val="10B63710"/>
    <w:rsid w:val="10F10820"/>
    <w:rsid w:val="111C2F7A"/>
    <w:rsid w:val="11477335"/>
    <w:rsid w:val="11665CA1"/>
    <w:rsid w:val="11867E5D"/>
    <w:rsid w:val="12124F4B"/>
    <w:rsid w:val="128B3251"/>
    <w:rsid w:val="12FD6A27"/>
    <w:rsid w:val="130671B0"/>
    <w:rsid w:val="13951726"/>
    <w:rsid w:val="14261483"/>
    <w:rsid w:val="14396509"/>
    <w:rsid w:val="14DD2C3C"/>
    <w:rsid w:val="150F3E36"/>
    <w:rsid w:val="156C6A19"/>
    <w:rsid w:val="15A00CFE"/>
    <w:rsid w:val="16087E1D"/>
    <w:rsid w:val="160E2935"/>
    <w:rsid w:val="164E21BB"/>
    <w:rsid w:val="17692414"/>
    <w:rsid w:val="17701D14"/>
    <w:rsid w:val="17735226"/>
    <w:rsid w:val="17B1375A"/>
    <w:rsid w:val="18567E5D"/>
    <w:rsid w:val="189F624C"/>
    <w:rsid w:val="18E56B8C"/>
    <w:rsid w:val="18F764CF"/>
    <w:rsid w:val="19053D5D"/>
    <w:rsid w:val="1A1C66C0"/>
    <w:rsid w:val="1A42393B"/>
    <w:rsid w:val="1AAD45DE"/>
    <w:rsid w:val="1B046F80"/>
    <w:rsid w:val="1B213899"/>
    <w:rsid w:val="1B3267B5"/>
    <w:rsid w:val="1B40161D"/>
    <w:rsid w:val="1B441859"/>
    <w:rsid w:val="1B6606B1"/>
    <w:rsid w:val="1BE85FD5"/>
    <w:rsid w:val="1C5E7925"/>
    <w:rsid w:val="1CFD070F"/>
    <w:rsid w:val="1D5F6196"/>
    <w:rsid w:val="1D6132A5"/>
    <w:rsid w:val="1D8E56D5"/>
    <w:rsid w:val="1DF148B0"/>
    <w:rsid w:val="1E69422B"/>
    <w:rsid w:val="1E7A43DA"/>
    <w:rsid w:val="1F1B7049"/>
    <w:rsid w:val="1F250489"/>
    <w:rsid w:val="1F2E5690"/>
    <w:rsid w:val="1FE7539E"/>
    <w:rsid w:val="20671BE0"/>
    <w:rsid w:val="20963CB8"/>
    <w:rsid w:val="20A81A1B"/>
    <w:rsid w:val="20B07FB6"/>
    <w:rsid w:val="20B646FB"/>
    <w:rsid w:val="20B92BAF"/>
    <w:rsid w:val="20DA089D"/>
    <w:rsid w:val="20F1134D"/>
    <w:rsid w:val="21385C8F"/>
    <w:rsid w:val="213B74B1"/>
    <w:rsid w:val="215A2310"/>
    <w:rsid w:val="217A696B"/>
    <w:rsid w:val="21DE318A"/>
    <w:rsid w:val="21EF5B80"/>
    <w:rsid w:val="22342FBD"/>
    <w:rsid w:val="22576990"/>
    <w:rsid w:val="22F47480"/>
    <w:rsid w:val="235F406A"/>
    <w:rsid w:val="23706277"/>
    <w:rsid w:val="23DE1C48"/>
    <w:rsid w:val="240210CD"/>
    <w:rsid w:val="24BF09F7"/>
    <w:rsid w:val="252D53FE"/>
    <w:rsid w:val="25EC2D81"/>
    <w:rsid w:val="27614EF3"/>
    <w:rsid w:val="277057A2"/>
    <w:rsid w:val="27724FEE"/>
    <w:rsid w:val="27776C9D"/>
    <w:rsid w:val="278E5B6A"/>
    <w:rsid w:val="27AF2176"/>
    <w:rsid w:val="28E026ED"/>
    <w:rsid w:val="29206EB8"/>
    <w:rsid w:val="29595666"/>
    <w:rsid w:val="296251BB"/>
    <w:rsid w:val="29874881"/>
    <w:rsid w:val="29CA2D09"/>
    <w:rsid w:val="29E325E0"/>
    <w:rsid w:val="2A452503"/>
    <w:rsid w:val="2A4B3820"/>
    <w:rsid w:val="2BA936A8"/>
    <w:rsid w:val="2C315A5A"/>
    <w:rsid w:val="2C4B1C25"/>
    <w:rsid w:val="2D1608CC"/>
    <w:rsid w:val="2D9E56F5"/>
    <w:rsid w:val="2E0028ED"/>
    <w:rsid w:val="2E667F96"/>
    <w:rsid w:val="2E8226AB"/>
    <w:rsid w:val="2EA21197"/>
    <w:rsid w:val="2EEA7406"/>
    <w:rsid w:val="2F803CE6"/>
    <w:rsid w:val="2FD065E6"/>
    <w:rsid w:val="2FD96870"/>
    <w:rsid w:val="301A480E"/>
    <w:rsid w:val="30580BC9"/>
    <w:rsid w:val="30AA3387"/>
    <w:rsid w:val="311E2ED7"/>
    <w:rsid w:val="315619EE"/>
    <w:rsid w:val="315C449C"/>
    <w:rsid w:val="31B82709"/>
    <w:rsid w:val="31D05482"/>
    <w:rsid w:val="321B64E0"/>
    <w:rsid w:val="322E4F1A"/>
    <w:rsid w:val="32400B34"/>
    <w:rsid w:val="32803FFD"/>
    <w:rsid w:val="329E6876"/>
    <w:rsid w:val="32C6200F"/>
    <w:rsid w:val="333015F2"/>
    <w:rsid w:val="334B6320"/>
    <w:rsid w:val="3381002D"/>
    <w:rsid w:val="33D934D4"/>
    <w:rsid w:val="33FE2F6A"/>
    <w:rsid w:val="340E07E5"/>
    <w:rsid w:val="34235BF7"/>
    <w:rsid w:val="35401F9A"/>
    <w:rsid w:val="354E03E2"/>
    <w:rsid w:val="35743C52"/>
    <w:rsid w:val="358C5FA8"/>
    <w:rsid w:val="35C15DF1"/>
    <w:rsid w:val="35CC2F71"/>
    <w:rsid w:val="36074A7F"/>
    <w:rsid w:val="36581519"/>
    <w:rsid w:val="36923549"/>
    <w:rsid w:val="36AA560A"/>
    <w:rsid w:val="36B75FBF"/>
    <w:rsid w:val="36BD0C45"/>
    <w:rsid w:val="36E903C3"/>
    <w:rsid w:val="36EA5EE9"/>
    <w:rsid w:val="37D2466E"/>
    <w:rsid w:val="37D310E2"/>
    <w:rsid w:val="37E00298"/>
    <w:rsid w:val="38B302F9"/>
    <w:rsid w:val="38F12CD3"/>
    <w:rsid w:val="38F94775"/>
    <w:rsid w:val="392971ED"/>
    <w:rsid w:val="39325651"/>
    <w:rsid w:val="393A2AC7"/>
    <w:rsid w:val="397A3554"/>
    <w:rsid w:val="3A1E7CB4"/>
    <w:rsid w:val="3A872856"/>
    <w:rsid w:val="3B337E5E"/>
    <w:rsid w:val="3B3763D1"/>
    <w:rsid w:val="3BDF02BA"/>
    <w:rsid w:val="3C2F6E1E"/>
    <w:rsid w:val="3C4F64BA"/>
    <w:rsid w:val="3C85293C"/>
    <w:rsid w:val="3CDA245A"/>
    <w:rsid w:val="3D1E06B7"/>
    <w:rsid w:val="3DF108E4"/>
    <w:rsid w:val="3E2D5039"/>
    <w:rsid w:val="3EDA0523"/>
    <w:rsid w:val="3F6902F3"/>
    <w:rsid w:val="3F8F3AD1"/>
    <w:rsid w:val="407A6407"/>
    <w:rsid w:val="415C4DA1"/>
    <w:rsid w:val="41D43A1D"/>
    <w:rsid w:val="4200449D"/>
    <w:rsid w:val="423A3BCC"/>
    <w:rsid w:val="424E57D2"/>
    <w:rsid w:val="425F30BA"/>
    <w:rsid w:val="42B26C49"/>
    <w:rsid w:val="42C27D1A"/>
    <w:rsid w:val="42EA799C"/>
    <w:rsid w:val="433A6FE6"/>
    <w:rsid w:val="43480868"/>
    <w:rsid w:val="434D2655"/>
    <w:rsid w:val="4350713C"/>
    <w:rsid w:val="436653E0"/>
    <w:rsid w:val="43B14858"/>
    <w:rsid w:val="43C4431A"/>
    <w:rsid w:val="43EE7018"/>
    <w:rsid w:val="44790A2A"/>
    <w:rsid w:val="449013F1"/>
    <w:rsid w:val="44B951CC"/>
    <w:rsid w:val="44CD14E0"/>
    <w:rsid w:val="44F20B0B"/>
    <w:rsid w:val="44F22B38"/>
    <w:rsid w:val="452E5F4C"/>
    <w:rsid w:val="45612018"/>
    <w:rsid w:val="458946E9"/>
    <w:rsid w:val="45A47C0E"/>
    <w:rsid w:val="45BA0DD1"/>
    <w:rsid w:val="45E30CAE"/>
    <w:rsid w:val="45E63781"/>
    <w:rsid w:val="45F72E44"/>
    <w:rsid w:val="4649335D"/>
    <w:rsid w:val="46577FD6"/>
    <w:rsid w:val="46AB75D9"/>
    <w:rsid w:val="46CE35D1"/>
    <w:rsid w:val="46D955A7"/>
    <w:rsid w:val="46E62229"/>
    <w:rsid w:val="47133957"/>
    <w:rsid w:val="47924DB9"/>
    <w:rsid w:val="47A07E0C"/>
    <w:rsid w:val="47DC71AB"/>
    <w:rsid w:val="47FB5EE8"/>
    <w:rsid w:val="4870272E"/>
    <w:rsid w:val="491D4461"/>
    <w:rsid w:val="49942410"/>
    <w:rsid w:val="49DC7715"/>
    <w:rsid w:val="49F0165E"/>
    <w:rsid w:val="4A023139"/>
    <w:rsid w:val="4A7B576F"/>
    <w:rsid w:val="4AD93E52"/>
    <w:rsid w:val="4AF561A9"/>
    <w:rsid w:val="4B92472D"/>
    <w:rsid w:val="4C4A0649"/>
    <w:rsid w:val="4C5E481D"/>
    <w:rsid w:val="4C7E5ECA"/>
    <w:rsid w:val="4C876AA5"/>
    <w:rsid w:val="4CB726ED"/>
    <w:rsid w:val="4D0E00FB"/>
    <w:rsid w:val="4D176606"/>
    <w:rsid w:val="4D7116ED"/>
    <w:rsid w:val="4DB4130B"/>
    <w:rsid w:val="4DEC4FB0"/>
    <w:rsid w:val="4E075D8A"/>
    <w:rsid w:val="4E9E77F7"/>
    <w:rsid w:val="4EC00FAD"/>
    <w:rsid w:val="4ECA33F2"/>
    <w:rsid w:val="4EF676C9"/>
    <w:rsid w:val="4F9843DC"/>
    <w:rsid w:val="4FC62A8C"/>
    <w:rsid w:val="4FE20F0D"/>
    <w:rsid w:val="4FE51552"/>
    <w:rsid w:val="4FEB2BE0"/>
    <w:rsid w:val="50504C4B"/>
    <w:rsid w:val="509C6E7C"/>
    <w:rsid w:val="5162104E"/>
    <w:rsid w:val="51F36142"/>
    <w:rsid w:val="53513587"/>
    <w:rsid w:val="53A039CC"/>
    <w:rsid w:val="53A1505A"/>
    <w:rsid w:val="53A7144D"/>
    <w:rsid w:val="54063E08"/>
    <w:rsid w:val="543437E8"/>
    <w:rsid w:val="54905ECA"/>
    <w:rsid w:val="54F73313"/>
    <w:rsid w:val="54F80955"/>
    <w:rsid w:val="552224F2"/>
    <w:rsid w:val="555170A7"/>
    <w:rsid w:val="55627866"/>
    <w:rsid w:val="5587536D"/>
    <w:rsid w:val="559B174B"/>
    <w:rsid w:val="55CE0CF4"/>
    <w:rsid w:val="562A155D"/>
    <w:rsid w:val="563D798B"/>
    <w:rsid w:val="56483EA5"/>
    <w:rsid w:val="56B22A9C"/>
    <w:rsid w:val="57B72A76"/>
    <w:rsid w:val="57C3426C"/>
    <w:rsid w:val="57C9597B"/>
    <w:rsid w:val="57CE1F93"/>
    <w:rsid w:val="582232DD"/>
    <w:rsid w:val="58331046"/>
    <w:rsid w:val="588743D1"/>
    <w:rsid w:val="5887701A"/>
    <w:rsid w:val="59294133"/>
    <w:rsid w:val="598B0C1B"/>
    <w:rsid w:val="59C0439F"/>
    <w:rsid w:val="5ABE2233"/>
    <w:rsid w:val="5B4D0671"/>
    <w:rsid w:val="5B9458BB"/>
    <w:rsid w:val="5BDF5D95"/>
    <w:rsid w:val="5BF25889"/>
    <w:rsid w:val="5BF81170"/>
    <w:rsid w:val="5BFE3961"/>
    <w:rsid w:val="5BFE7528"/>
    <w:rsid w:val="5D331946"/>
    <w:rsid w:val="5D975399"/>
    <w:rsid w:val="5E2467F1"/>
    <w:rsid w:val="5EEA41AB"/>
    <w:rsid w:val="5F1A2B43"/>
    <w:rsid w:val="5F360959"/>
    <w:rsid w:val="5F5C5FB8"/>
    <w:rsid w:val="5FB837BB"/>
    <w:rsid w:val="60AA3749"/>
    <w:rsid w:val="60B74A1E"/>
    <w:rsid w:val="60CC405A"/>
    <w:rsid w:val="611A2A5C"/>
    <w:rsid w:val="61E215D8"/>
    <w:rsid w:val="62022DBF"/>
    <w:rsid w:val="621920C3"/>
    <w:rsid w:val="621B3775"/>
    <w:rsid w:val="62364782"/>
    <w:rsid w:val="6394356A"/>
    <w:rsid w:val="63BD283E"/>
    <w:rsid w:val="63C61B2C"/>
    <w:rsid w:val="63D40BE9"/>
    <w:rsid w:val="64102431"/>
    <w:rsid w:val="643862FE"/>
    <w:rsid w:val="647C5B23"/>
    <w:rsid w:val="648570CD"/>
    <w:rsid w:val="64A5243A"/>
    <w:rsid w:val="64F531DE"/>
    <w:rsid w:val="65373578"/>
    <w:rsid w:val="653A32AB"/>
    <w:rsid w:val="65401246"/>
    <w:rsid w:val="65B8702E"/>
    <w:rsid w:val="65C2639F"/>
    <w:rsid w:val="665B1D47"/>
    <w:rsid w:val="66DF6952"/>
    <w:rsid w:val="67072D15"/>
    <w:rsid w:val="671F124A"/>
    <w:rsid w:val="67486190"/>
    <w:rsid w:val="677A33C6"/>
    <w:rsid w:val="680E7E46"/>
    <w:rsid w:val="681F6961"/>
    <w:rsid w:val="68610A2F"/>
    <w:rsid w:val="68805514"/>
    <w:rsid w:val="692A003D"/>
    <w:rsid w:val="69316E2F"/>
    <w:rsid w:val="694E2071"/>
    <w:rsid w:val="69766163"/>
    <w:rsid w:val="697A3B33"/>
    <w:rsid w:val="69D44760"/>
    <w:rsid w:val="6A520EC7"/>
    <w:rsid w:val="6A99742E"/>
    <w:rsid w:val="6AD345B0"/>
    <w:rsid w:val="6AF87E20"/>
    <w:rsid w:val="6B322639"/>
    <w:rsid w:val="6C5C4BB7"/>
    <w:rsid w:val="6C636C38"/>
    <w:rsid w:val="6D012D58"/>
    <w:rsid w:val="6D1450B7"/>
    <w:rsid w:val="6DB34098"/>
    <w:rsid w:val="6DB545B6"/>
    <w:rsid w:val="6DE02FB4"/>
    <w:rsid w:val="6DF439B8"/>
    <w:rsid w:val="6E514CED"/>
    <w:rsid w:val="6EB563D5"/>
    <w:rsid w:val="6ECB628E"/>
    <w:rsid w:val="6ED92677"/>
    <w:rsid w:val="6F225983"/>
    <w:rsid w:val="6FFC5590"/>
    <w:rsid w:val="704744F1"/>
    <w:rsid w:val="706D1DD0"/>
    <w:rsid w:val="70856B87"/>
    <w:rsid w:val="70D527EE"/>
    <w:rsid w:val="715B5300"/>
    <w:rsid w:val="71D27F8A"/>
    <w:rsid w:val="72553024"/>
    <w:rsid w:val="72E240B0"/>
    <w:rsid w:val="73122968"/>
    <w:rsid w:val="731F5D5E"/>
    <w:rsid w:val="734210D3"/>
    <w:rsid w:val="739833F6"/>
    <w:rsid w:val="73C51AD5"/>
    <w:rsid w:val="73CD6FBB"/>
    <w:rsid w:val="73DA0C2F"/>
    <w:rsid w:val="741E793C"/>
    <w:rsid w:val="745E3944"/>
    <w:rsid w:val="746D7236"/>
    <w:rsid w:val="754962E3"/>
    <w:rsid w:val="758F222A"/>
    <w:rsid w:val="75DA1A42"/>
    <w:rsid w:val="75F928F0"/>
    <w:rsid w:val="7635099D"/>
    <w:rsid w:val="767C3C1E"/>
    <w:rsid w:val="77133CA5"/>
    <w:rsid w:val="77762421"/>
    <w:rsid w:val="778A1664"/>
    <w:rsid w:val="77B56B1F"/>
    <w:rsid w:val="77C65A00"/>
    <w:rsid w:val="780F09F4"/>
    <w:rsid w:val="78A90480"/>
    <w:rsid w:val="78CC4E73"/>
    <w:rsid w:val="78E71CAD"/>
    <w:rsid w:val="792C6C5D"/>
    <w:rsid w:val="79846A66"/>
    <w:rsid w:val="7A2931E5"/>
    <w:rsid w:val="7A364017"/>
    <w:rsid w:val="7A8265E1"/>
    <w:rsid w:val="7B686D42"/>
    <w:rsid w:val="7B841746"/>
    <w:rsid w:val="7B9913F8"/>
    <w:rsid w:val="7BAA081C"/>
    <w:rsid w:val="7BBC26E8"/>
    <w:rsid w:val="7BC240CF"/>
    <w:rsid w:val="7BD13B30"/>
    <w:rsid w:val="7BDD2EE3"/>
    <w:rsid w:val="7C23744C"/>
    <w:rsid w:val="7C6C5AC7"/>
    <w:rsid w:val="7CC6544B"/>
    <w:rsid w:val="7CDB38D7"/>
    <w:rsid w:val="7D0239FF"/>
    <w:rsid w:val="7D2902FE"/>
    <w:rsid w:val="7D5E40CD"/>
    <w:rsid w:val="7DCD56F2"/>
    <w:rsid w:val="7E7C2950"/>
    <w:rsid w:val="7EE04C53"/>
    <w:rsid w:val="7F001CE7"/>
    <w:rsid w:val="7F09413A"/>
    <w:rsid w:val="7F99174B"/>
    <w:rsid w:val="7FAE0554"/>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semiHidden="0" w:name="heading 2" w:locked="1"/>
    <w:lsdException w:qFormat="1" w:uiPriority="9" w:semiHidden="0" w:name="heading 3" w:locked="1"/>
    <w:lsdException w:qFormat="1" w:uiPriority="9"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sdException w:qFormat="1" w:unhideWhenUsed="0" w:uiPriority="0"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unhideWhenUsed="0" w:uiPriority="0" w:semiHidden="0" w:name="Body Text First Indent" w:locked="1"/>
    <w:lsdException w:unhideWhenUsed="0" w:uiPriority="0" w:semiHidden="0" w:name="Body Text First Indent 2"/>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unhideWhenUsed="0" w:uiPriority="0" w:semiHidden="0" w:name="annotation subject"/>
    <w:lsdException w:uiPriority="0" w:name="Table Simple 1" w:locked="1"/>
    <w:lsdException w:qFormat="1" w:unhideWhenUsed="0" w:uiPriority="0" w:semiHidden="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qFormat="1" w:unhideWhenUsed="0" w:uiPriority="0" w:semiHidden="0" w:name="Table Elegant" w:locked="1"/>
    <w:lsdException w:qFormat="1" w:unhideWhenUsed="0" w:uiPriority="0" w:semiHidden="0" w:name="Table Professional" w:locked="1"/>
    <w:lsdException w:uiPriority="0" w:name="Table Subtle 1" w:locked="1"/>
    <w:lsdException w:uiPriority="0" w:name="Table Subtle 2" w:locked="1"/>
    <w:lsdException w:uiPriority="0" w:name="Table Web 1" w:locked="1"/>
    <w:lsdException w:qFormat="1" w:unhideWhenUsed="0" w:uiPriority="0" w:semiHidden="0" w:name="Table Web 2" w:locked="1"/>
    <w:lsdException w:qFormat="1" w:unhideWhenUsed="0" w:uiPriority="0" w:semiHidden="0" w:name="Table Web 3" w:locked="1"/>
    <w:lsdException w:unhideWhenUsed="0" w:uiPriority="0" w:semiHidden="0" w:name="Balloon Text"/>
    <w:lsdException w:qFormat="1" w:unhideWhenUsed="0" w:uiPriority="39"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sz w:val="21"/>
      <w:szCs w:val="21"/>
      <w:lang w:val="en-US" w:eastAsia="zh-CN" w:bidi="ar-SA"/>
    </w:rPr>
  </w:style>
  <w:style w:type="paragraph" w:styleId="2">
    <w:name w:val="heading 1"/>
    <w:basedOn w:val="1"/>
    <w:next w:val="1"/>
    <w:link w:val="44"/>
    <w:qFormat/>
    <w:locked/>
    <w:uiPriority w:val="9"/>
    <w:pPr>
      <w:keepNext/>
      <w:keepLines/>
      <w:pageBreakBefore/>
      <w:numPr>
        <w:ilvl w:val="0"/>
        <w:numId w:val="1"/>
      </w:numPr>
      <w:spacing w:line="360" w:lineRule="auto"/>
      <w:jc w:val="center"/>
      <w:outlineLvl w:val="0"/>
    </w:pPr>
    <w:rPr>
      <w:rFonts w:eastAsia="黑体"/>
      <w:b/>
      <w:bCs/>
      <w:kern w:val="44"/>
      <w:sz w:val="30"/>
      <w:szCs w:val="44"/>
    </w:rPr>
  </w:style>
  <w:style w:type="paragraph" w:styleId="3">
    <w:name w:val="heading 2"/>
    <w:basedOn w:val="1"/>
    <w:next w:val="4"/>
    <w:link w:val="40"/>
    <w:unhideWhenUsed/>
    <w:qFormat/>
    <w:locked/>
    <w:uiPriority w:val="9"/>
    <w:pPr>
      <w:keepNext/>
      <w:keepLines/>
      <w:numPr>
        <w:ilvl w:val="1"/>
        <w:numId w:val="1"/>
      </w:numPr>
      <w:spacing w:line="360" w:lineRule="auto"/>
      <w:outlineLvl w:val="1"/>
    </w:pPr>
    <w:rPr>
      <w:b/>
      <w:bCs/>
      <w:sz w:val="24"/>
      <w:szCs w:val="32"/>
    </w:rPr>
  </w:style>
  <w:style w:type="paragraph" w:styleId="5">
    <w:name w:val="heading 3"/>
    <w:basedOn w:val="1"/>
    <w:next w:val="4"/>
    <w:link w:val="26"/>
    <w:unhideWhenUsed/>
    <w:qFormat/>
    <w:locked/>
    <w:uiPriority w:val="9"/>
    <w:pPr>
      <w:numPr>
        <w:ilvl w:val="2"/>
        <w:numId w:val="1"/>
      </w:numPr>
      <w:spacing w:line="360" w:lineRule="auto"/>
      <w:ind w:firstLine="0"/>
      <w:outlineLvl w:val="2"/>
    </w:pPr>
    <w:rPr>
      <w:b/>
      <w:bCs/>
      <w:sz w:val="24"/>
      <w:szCs w:val="32"/>
    </w:rPr>
  </w:style>
  <w:style w:type="paragraph" w:styleId="6">
    <w:name w:val="heading 4"/>
    <w:basedOn w:val="1"/>
    <w:next w:val="4"/>
    <w:link w:val="28"/>
    <w:unhideWhenUsed/>
    <w:qFormat/>
    <w:locked/>
    <w:uiPriority w:val="9"/>
    <w:pPr>
      <w:keepNext/>
      <w:keepLines/>
      <w:numPr>
        <w:ilvl w:val="3"/>
        <w:numId w:val="1"/>
      </w:numPr>
      <w:spacing w:line="360" w:lineRule="auto"/>
      <w:outlineLvl w:val="3"/>
    </w:pPr>
    <w:rPr>
      <w:b/>
      <w:bCs/>
      <w:sz w:val="24"/>
      <w:szCs w:val="28"/>
    </w:rPr>
  </w:style>
  <w:style w:type="paragraph" w:styleId="7">
    <w:name w:val="heading 5"/>
    <w:basedOn w:val="1"/>
    <w:next w:val="4"/>
    <w:link w:val="27"/>
    <w:unhideWhenUsed/>
    <w:qFormat/>
    <w:locked/>
    <w:uiPriority w:val="0"/>
    <w:pPr>
      <w:widowControl w:val="0"/>
      <w:spacing w:line="360" w:lineRule="auto"/>
      <w:outlineLvl w:val="4"/>
    </w:pPr>
    <w:rPr>
      <w:b/>
      <w:bCs/>
      <w:sz w:val="24"/>
      <w:szCs w:val="28"/>
    </w:rPr>
  </w:style>
  <w:style w:type="character" w:default="1" w:styleId="23">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customStyle="1" w:styleId="4">
    <w:name w:val="港区-报告正文"/>
    <w:basedOn w:val="1"/>
    <w:link w:val="29"/>
    <w:qFormat/>
    <w:uiPriority w:val="0"/>
    <w:pPr>
      <w:widowControl w:val="0"/>
      <w:adjustRightInd w:val="0"/>
      <w:snapToGrid w:val="0"/>
      <w:spacing w:line="360" w:lineRule="auto"/>
      <w:ind w:firstLine="200" w:firstLineChars="200"/>
    </w:pPr>
    <w:rPr>
      <w:rFonts w:ascii="Times New Roman" w:hAnsi="Times New Roman" w:eastAsia="宋体"/>
      <w:snapToGrid w:val="0"/>
      <w:sz w:val="24"/>
      <w14:ligatures w14:val="standardContextual"/>
    </w:rPr>
  </w:style>
  <w:style w:type="paragraph" w:styleId="8">
    <w:name w:val="caption"/>
    <w:basedOn w:val="1"/>
    <w:next w:val="1"/>
    <w:unhideWhenUsed/>
    <w:qFormat/>
    <w:locked/>
    <w:uiPriority w:val="0"/>
    <w:pPr>
      <w:spacing w:line="360" w:lineRule="auto"/>
    </w:pPr>
    <w:rPr>
      <w:sz w:val="18"/>
      <w:szCs w:val="20"/>
    </w:rPr>
  </w:style>
  <w:style w:type="paragraph" w:styleId="9">
    <w:name w:val="annotation text"/>
    <w:basedOn w:val="1"/>
    <w:qFormat/>
    <w:uiPriority w:val="0"/>
    <w:pPr>
      <w:ind w:firstLine="643" w:firstLineChars="200"/>
      <w:jc w:val="left"/>
    </w:pPr>
    <w:rPr>
      <w:rFonts w:ascii="Times New Roman" w:hAnsi="Times New Roman" w:eastAsia="宋体"/>
      <w:sz w:val="21"/>
      <w:szCs w:val="24"/>
      <w:lang w:val="en-US" w:eastAsia="zh-CN" w:bidi="ar-SA"/>
    </w:rPr>
  </w:style>
  <w:style w:type="paragraph" w:styleId="10">
    <w:name w:val="toc 3"/>
    <w:basedOn w:val="1"/>
    <w:next w:val="1"/>
    <w:qFormat/>
    <w:locked/>
    <w:uiPriority w:val="0"/>
    <w:pPr>
      <w:ind w:left="840" w:leftChars="400"/>
    </w:pPr>
  </w:style>
  <w:style w:type="paragraph" w:styleId="11">
    <w:name w:val="footer"/>
    <w:basedOn w:val="1"/>
    <w:link w:val="42"/>
    <w:qFormat/>
    <w:uiPriority w:val="99"/>
    <w:pPr>
      <w:tabs>
        <w:tab w:val="center" w:pos="4153"/>
        <w:tab w:val="right" w:pos="8306"/>
      </w:tabs>
      <w:snapToGrid w:val="0"/>
      <w:jc w:val="left"/>
    </w:pPr>
    <w:rPr>
      <w:sz w:val="18"/>
      <w:szCs w:val="20"/>
    </w:rPr>
  </w:style>
  <w:style w:type="paragraph" w:styleId="12">
    <w:name w:val="header"/>
    <w:basedOn w:val="1"/>
    <w:link w:val="30"/>
    <w:qFormat/>
    <w:uiPriority w:val="0"/>
    <w:pPr>
      <w:pBdr>
        <w:bottom w:val="single" w:color="auto" w:sz="6" w:space="1"/>
      </w:pBdr>
      <w:tabs>
        <w:tab w:val="center" w:pos="4153"/>
        <w:tab w:val="right" w:pos="8306"/>
      </w:tabs>
      <w:snapToGrid w:val="0"/>
      <w:jc w:val="center"/>
    </w:pPr>
    <w:rPr>
      <w:sz w:val="18"/>
      <w:szCs w:val="20"/>
    </w:rPr>
  </w:style>
  <w:style w:type="paragraph" w:styleId="13">
    <w:name w:val="toc 1"/>
    <w:basedOn w:val="1"/>
    <w:next w:val="1"/>
    <w:qFormat/>
    <w:uiPriority w:val="0"/>
  </w:style>
  <w:style w:type="paragraph" w:styleId="14">
    <w:name w:val="toc 2"/>
    <w:basedOn w:val="1"/>
    <w:next w:val="1"/>
    <w:qFormat/>
    <w:locked/>
    <w:uiPriority w:val="0"/>
    <w:pPr>
      <w:ind w:left="420" w:leftChars="200"/>
    </w:p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styleId="18">
    <w:name w:val="Table Elegant"/>
    <w:basedOn w:val="16"/>
    <w:qFormat/>
    <w:locked/>
    <w:uiPriority w:val="0"/>
    <w:pPr>
      <w:adjustRightInd w:val="0"/>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9">
    <w:name w:val="Table Simple 2"/>
    <w:basedOn w:val="16"/>
    <w:qFormat/>
    <w:locked/>
    <w:uiPriority w:val="0"/>
    <w:pPr>
      <w:adjustRightInd w:val="0"/>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0">
    <w:name w:val="Table Web 2"/>
    <w:basedOn w:val="16"/>
    <w:qFormat/>
    <w:locked/>
    <w:uiPriority w:val="0"/>
    <w:pPr>
      <w:adjustRightInd w:val="0"/>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21">
    <w:name w:val="Table Web 3"/>
    <w:basedOn w:val="16"/>
    <w:qFormat/>
    <w:locked/>
    <w:uiPriority w:val="0"/>
    <w:pPr>
      <w:adjustRightInd w:val="0"/>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22">
    <w:name w:val="Table Professional"/>
    <w:basedOn w:val="16"/>
    <w:qFormat/>
    <w:locked/>
    <w:uiPriority w:val="0"/>
    <w:pPr>
      <w:adjustRightInd w:val="0"/>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24">
    <w:name w:val="Strong"/>
    <w:basedOn w:val="23"/>
    <w:qFormat/>
    <w:locked/>
    <w:uiPriority w:val="0"/>
    <w:rPr>
      <w:b/>
    </w:rPr>
  </w:style>
  <w:style w:type="character" w:styleId="25">
    <w:name w:val="page number"/>
    <w:qFormat/>
    <w:locked/>
    <w:uiPriority w:val="0"/>
  </w:style>
  <w:style w:type="character" w:customStyle="1" w:styleId="26">
    <w:name w:val="标题 3 字符"/>
    <w:link w:val="5"/>
    <w:qFormat/>
    <w:uiPriority w:val="9"/>
    <w:rPr>
      <w:b/>
      <w:bCs/>
      <w:kern w:val="2"/>
      <w:sz w:val="24"/>
      <w:szCs w:val="32"/>
    </w:rPr>
  </w:style>
  <w:style w:type="character" w:customStyle="1" w:styleId="27">
    <w:name w:val="标题 5 字符"/>
    <w:link w:val="7"/>
    <w:qFormat/>
    <w:uiPriority w:val="0"/>
    <w:rPr>
      <w:b/>
      <w:bCs/>
      <w:sz w:val="24"/>
      <w:szCs w:val="28"/>
    </w:rPr>
  </w:style>
  <w:style w:type="character" w:customStyle="1" w:styleId="28">
    <w:name w:val="标题 4 字符"/>
    <w:link w:val="6"/>
    <w:qFormat/>
    <w:uiPriority w:val="9"/>
    <w:rPr>
      <w:b/>
      <w:bCs/>
      <w:kern w:val="2"/>
      <w:sz w:val="24"/>
      <w:szCs w:val="28"/>
    </w:rPr>
  </w:style>
  <w:style w:type="character" w:customStyle="1" w:styleId="29">
    <w:name w:val="报告正文 字符"/>
    <w:link w:val="4"/>
    <w:qFormat/>
    <w:uiPriority w:val="0"/>
    <w:rPr>
      <w:rFonts w:ascii="Times New Roman" w:hAnsi="Times New Roman" w:eastAsia="宋体"/>
      <w:snapToGrid w:val="0"/>
      <w:sz w:val="24"/>
      <w:szCs w:val="21"/>
      <w14:ligatures w14:val="standardContextual"/>
    </w:rPr>
  </w:style>
  <w:style w:type="character" w:customStyle="1" w:styleId="30">
    <w:name w:val="页眉 字符"/>
    <w:link w:val="12"/>
    <w:qFormat/>
    <w:locked/>
    <w:uiPriority w:val="0"/>
    <w:rPr>
      <w:sz w:val="18"/>
    </w:rPr>
  </w:style>
  <w:style w:type="paragraph" w:customStyle="1" w:styleId="31">
    <w:name w:val="表格（居中）"/>
    <w:basedOn w:val="1"/>
    <w:qFormat/>
    <w:uiPriority w:val="0"/>
    <w:pPr>
      <w:snapToGrid w:val="0"/>
      <w:spacing w:line="240" w:lineRule="auto"/>
      <w:ind w:firstLine="0" w:firstLineChars="0"/>
      <w:jc w:val="center"/>
    </w:pPr>
    <w:rPr>
      <w:rFonts w:ascii="Times New Roman" w:hAnsi="Times New Roman" w:cs="Times New Roman"/>
      <w:sz w:val="21"/>
    </w:rPr>
  </w:style>
  <w:style w:type="paragraph" w:customStyle="1" w:styleId="32">
    <w:name w:val="表格标题—报告表"/>
    <w:basedOn w:val="1"/>
    <w:next w:val="1"/>
    <w:qFormat/>
    <w:uiPriority w:val="0"/>
    <w:pPr>
      <w:numPr>
        <w:ilvl w:val="0"/>
        <w:numId w:val="2"/>
      </w:numPr>
      <w:tabs>
        <w:tab w:val="left" w:pos="397"/>
      </w:tabs>
      <w:adjustRightInd w:val="0"/>
      <w:snapToGrid w:val="0"/>
      <w:spacing w:line="360" w:lineRule="auto"/>
      <w:jc w:val="center"/>
    </w:pPr>
    <w:rPr>
      <w:rFonts w:ascii="Times New Roman" w:hAnsi="Times New Roman" w:eastAsia="宋体" w:cs="Times New Roman"/>
      <w:b/>
      <w:color w:val="auto"/>
      <w:kern w:val="0"/>
      <w:szCs w:val="21"/>
      <w:highlight w:val="none"/>
    </w:rPr>
  </w:style>
  <w:style w:type="paragraph" w:customStyle="1" w:styleId="33">
    <w:name w:val="港区-附图附件"/>
    <w:basedOn w:val="1"/>
    <w:next w:val="4"/>
    <w:qFormat/>
    <w:uiPriority w:val="0"/>
    <w:pPr>
      <w:adjustRightInd w:val="0"/>
      <w:snapToGrid w:val="0"/>
      <w:spacing w:line="360" w:lineRule="auto"/>
      <w:outlineLvl w:val="0"/>
    </w:pPr>
    <w:rPr>
      <w:rFonts w:ascii="Times New Roman" w:hAnsi="Times New Roman" w:eastAsia="黑体"/>
      <w:sz w:val="28"/>
      <w14:ligatures w14:val="standardContextual"/>
    </w:rPr>
  </w:style>
  <w:style w:type="paragraph" w:customStyle="1" w:styleId="34">
    <w:name w:val="港区-表头"/>
    <w:basedOn w:val="4"/>
    <w:next w:val="4"/>
    <w:qFormat/>
    <w:uiPriority w:val="0"/>
    <w:pPr>
      <w:ind w:firstLine="0" w:firstLineChars="0"/>
      <w:jc w:val="center"/>
    </w:pPr>
    <w:rPr>
      <w:rFonts w:ascii="Times New Roman" w:hAnsi="Times New Roman" w:eastAsia="宋体"/>
      <w:b/>
      <w:bCs/>
      <w:snapToGrid/>
    </w:rPr>
  </w:style>
  <w:style w:type="paragraph" w:customStyle="1" w:styleId="35">
    <w:name w:val="港区-表中文字"/>
    <w:basedOn w:val="1"/>
    <w:qFormat/>
    <w:uiPriority w:val="0"/>
    <w:pPr>
      <w:jc w:val="center"/>
    </w:pPr>
    <w:rPr>
      <w:rFonts w:ascii="Times New Roman" w:hAnsi="Times New Roman" w:eastAsia="宋体"/>
    </w:rPr>
  </w:style>
  <w:style w:type="paragraph" w:customStyle="1" w:styleId="36">
    <w:name w:val="港区表-图"/>
    <w:basedOn w:val="1"/>
    <w:next w:val="4"/>
    <w:qFormat/>
    <w:uiPriority w:val="99"/>
    <w:pPr>
      <w:jc w:val="center"/>
    </w:pPr>
    <w:rPr>
      <w:rFonts w:ascii="Times New Roman" w:hAnsi="Times New Roman" w:eastAsia="宋体" w:cstheme="minorBidi"/>
      <w:kern w:val="2"/>
      <w14:ligatures w14:val="standardContextual"/>
    </w:rPr>
  </w:style>
  <w:style w:type="paragraph" w:customStyle="1" w:styleId="37">
    <w:name w:val="港区表-一、"/>
    <w:basedOn w:val="1"/>
    <w:next w:val="1"/>
    <w:qFormat/>
    <w:uiPriority w:val="0"/>
    <w:pPr>
      <w:widowControl w:val="0"/>
      <w:spacing w:line="360" w:lineRule="auto"/>
      <w:outlineLvl w:val="0"/>
    </w:pPr>
    <w:rPr>
      <w:rFonts w:hint="eastAsia" w:ascii="Times New Roman" w:hAnsi="Times New Roman" w:eastAsia="宋体"/>
      <w:b/>
      <w:bCs/>
      <w:color w:val="auto"/>
      <w:sz w:val="24"/>
      <w:szCs w:val="28"/>
    </w:rPr>
  </w:style>
  <w:style w:type="paragraph" w:customStyle="1" w:styleId="38">
    <w:name w:val="港区表-1）"/>
    <w:basedOn w:val="1"/>
    <w:qFormat/>
    <w:uiPriority w:val="0"/>
    <w:pPr>
      <w:widowControl w:val="0"/>
      <w:adjustRightInd w:val="0"/>
      <w:snapToGrid w:val="0"/>
      <w:spacing w:line="360" w:lineRule="auto"/>
      <w:ind w:firstLine="480" w:firstLineChars="200"/>
      <w:outlineLvl w:val="2"/>
    </w:pPr>
    <w:rPr>
      <w:rFonts w:hint="eastAsia" w:ascii="Times New Roman" w:hAnsi="Times New Roman" w:eastAsia="宋体"/>
      <w:snapToGrid w:val="0"/>
      <w:color w:val="auto"/>
      <w:sz w:val="24"/>
      <w14:ligatures w14:val="standardContextual"/>
    </w:rPr>
  </w:style>
  <w:style w:type="paragraph" w:customStyle="1" w:styleId="39">
    <w:name w:val="港区—附件标题"/>
    <w:basedOn w:val="1"/>
    <w:qFormat/>
    <w:uiPriority w:val="0"/>
    <w:pPr>
      <w:ind w:firstLine="0"/>
      <w:outlineLvl w:val="0"/>
    </w:pPr>
    <w:rPr>
      <w:rFonts w:hint="eastAsia" w:ascii="Times New Roman" w:hAnsi="Times New Roman" w:eastAsia="宋体"/>
      <w:b/>
      <w:sz w:val="28"/>
    </w:rPr>
  </w:style>
  <w:style w:type="character" w:customStyle="1" w:styleId="40">
    <w:name w:val="标题 2 字符"/>
    <w:link w:val="3"/>
    <w:qFormat/>
    <w:uiPriority w:val="9"/>
    <w:rPr>
      <w:b/>
      <w:bCs/>
      <w:kern w:val="2"/>
      <w:sz w:val="24"/>
      <w:szCs w:val="32"/>
    </w:rPr>
  </w:style>
  <w:style w:type="paragraph" w:customStyle="1" w:styleId="41">
    <w:name w:val="港区表-标题1、"/>
    <w:basedOn w:val="1"/>
    <w:link w:val="48"/>
    <w:qFormat/>
    <w:uiPriority w:val="0"/>
    <w:pPr>
      <w:widowControl w:val="0"/>
      <w:adjustRightInd w:val="0"/>
      <w:snapToGrid w:val="0"/>
      <w:spacing w:line="360" w:lineRule="auto"/>
      <w:ind w:firstLine="482" w:firstLineChars="200"/>
      <w:outlineLvl w:val="1"/>
    </w:pPr>
    <w:rPr>
      <w:rFonts w:hint="eastAsia" w:ascii="Times New Roman" w:hAnsi="Times New Roman" w:eastAsia="宋体"/>
      <w:b/>
      <w:bCs/>
      <w:snapToGrid w:val="0"/>
      <w:color w:val="auto"/>
      <w:sz w:val="24"/>
      <w14:ligatures w14:val="standardContextual"/>
    </w:rPr>
  </w:style>
  <w:style w:type="character" w:customStyle="1" w:styleId="42">
    <w:name w:val="页脚 字符1"/>
    <w:link w:val="11"/>
    <w:qFormat/>
    <w:locked/>
    <w:uiPriority w:val="99"/>
    <w:rPr>
      <w:sz w:val="18"/>
    </w:rPr>
  </w:style>
  <w:style w:type="table" w:customStyle="1" w:styleId="43">
    <w:name w:val="LV-三线表"/>
    <w:basedOn w:val="16"/>
    <w:qFormat/>
    <w:uiPriority w:val="99"/>
    <w:pPr>
      <w:widowControl w:val="0"/>
      <w:overflowPunct w:val="0"/>
      <w:autoSpaceDE w:val="0"/>
      <w:autoSpaceDN w:val="0"/>
      <w:snapToGrid w:val="0"/>
      <w:jc w:val="center"/>
    </w:pPr>
    <w:rPr>
      <w14:ligatures w14:val="standardContextual"/>
    </w:rPr>
    <w:tblPr>
      <w:jc w:val="center"/>
      <w:tblBorders>
        <w:top w:val="single" w:color="auto" w:sz="12" w:space="0"/>
        <w:bottom w:val="single" w:color="auto" w:sz="12" w:space="0"/>
        <w:insideH w:val="single" w:color="auto" w:sz="4" w:space="0"/>
        <w:insideV w:val="single" w:color="auto" w:sz="4" w:space="0"/>
      </w:tblBorders>
      <w:tblCellMar>
        <w:left w:w="57" w:type="dxa"/>
        <w:right w:w="57" w:type="dxa"/>
      </w:tblCellMar>
    </w:tblPr>
    <w:trPr>
      <w:jc w:val="center"/>
    </w:trPr>
    <w:tcPr>
      <w:vAlign w:val="center"/>
    </w:tcPr>
    <w:tblStylePr w:type="firstRow">
      <w:pPr>
        <w:keepLines w:val="0"/>
        <w:widowControl w:val="0"/>
        <w:suppressLineNumbers w:val="0"/>
        <w:suppressAutoHyphens w:val="0"/>
        <w:wordWrap/>
        <w:overflowPunct w:val="0"/>
        <w:topLinePunct w:val="0"/>
        <w:autoSpaceDE w:val="0"/>
        <w:autoSpaceDN w:val="0"/>
        <w:adjustRightInd w:val="0"/>
        <w:snapToGrid w:val="0"/>
        <w:spacing w:line="240" w:lineRule="auto"/>
        <w:ind w:left="0" w:leftChars="0" w:right="0" w:rightChars="0" w:firstLine="0" w:firstLineChars="0"/>
        <w:jc w:val="center"/>
        <w:outlineLvl w:val="9"/>
      </w:pPr>
      <w:rPr>
        <w:rFonts w:hint="default" w:ascii="Times New Roman" w:hAnsi="Times New Roman" w:eastAsia="宋体" w:cs="Times New Roman"/>
        <w:b/>
        <w:i w:val="0"/>
        <w:sz w:val="21"/>
        <w:szCs w:val="21"/>
      </w:rPr>
      <w:tcPr>
        <w:tcBorders>
          <w:top w:val="single" w:color="auto" w:sz="12" w:space="0"/>
          <w:left w:val="nil"/>
          <w:bottom w:val="single" w:color="auto" w:sz="12" w:space="0"/>
          <w:right w:val="nil"/>
          <w:insideH w:val="nil"/>
          <w:insideV w:val="single" w:sz="4" w:space="0"/>
          <w:tl2br w:val="nil"/>
          <w:tr2bl w:val="nil"/>
        </w:tcBorders>
      </w:tcPr>
    </w:tblStylePr>
    <w:tblStylePr w:type="lastRow">
      <w:tcPr>
        <w:tcBorders>
          <w:bottom w:val="single" w:color="auto" w:sz="12" w:space="0"/>
        </w:tcBorders>
      </w:tcPr>
    </w:tblStylePr>
  </w:style>
  <w:style w:type="character" w:customStyle="1" w:styleId="44">
    <w:name w:val="标题 1 字符"/>
    <w:link w:val="2"/>
    <w:qFormat/>
    <w:uiPriority w:val="9"/>
    <w:rPr>
      <w:rFonts w:eastAsia="黑体"/>
      <w:b/>
      <w:bCs/>
      <w:kern w:val="44"/>
      <w:sz w:val="30"/>
      <w:szCs w:val="44"/>
    </w:rPr>
  </w:style>
  <w:style w:type="table" w:customStyle="1" w:styleId="45">
    <w:name w:val="网格型浅色1"/>
    <w:basedOn w:val="16"/>
    <w:qFormat/>
    <w:uiPriority w:val="4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46">
    <w:name w:val="无格式表格 31"/>
    <w:basedOn w:val="16"/>
    <w:qFormat/>
    <w:uiPriority w:val="43"/>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table" w:customStyle="1" w:styleId="47">
    <w:name w:val="Table Normal"/>
    <w:semiHidden/>
    <w:unhideWhenUsed/>
    <w:qFormat/>
    <w:uiPriority w:val="2"/>
    <w:pPr>
      <w:widowControl w:val="0"/>
      <w:autoSpaceDE w:val="0"/>
      <w:autoSpaceDN w:val="0"/>
    </w:pPr>
    <w:rPr>
      <w:lang w:eastAsia="en-US"/>
    </w:rPr>
    <w:tblPr>
      <w:tblCellMar>
        <w:top w:w="0" w:type="dxa"/>
        <w:left w:w="0" w:type="dxa"/>
        <w:bottom w:w="0" w:type="dxa"/>
        <w:right w:w="0" w:type="dxa"/>
      </w:tblCellMar>
    </w:tblPr>
  </w:style>
  <w:style w:type="character" w:customStyle="1" w:styleId="48">
    <w:name w:val="港区表-标题1、 Char"/>
    <w:link w:val="41"/>
    <w:qFormat/>
    <w:uiPriority w:val="0"/>
    <w:rPr>
      <w:rFonts w:hint="eastAsia" w:ascii="Times New Roman" w:hAnsi="Times New Roman" w:eastAsia="宋体"/>
      <w:b/>
      <w:bCs/>
      <w:snapToGrid w:val="0"/>
      <w:color w:val="auto"/>
      <w:sz w:val="24"/>
      <w14:ligatures w14:val="standardContextual"/>
    </w:rPr>
  </w:style>
  <w:style w:type="paragraph" w:customStyle="1" w:styleId="49">
    <w:name w:val="标准"/>
    <w:basedOn w:val="1"/>
    <w:qFormat/>
    <w:uiPriority w:val="0"/>
    <w:pPr>
      <w:widowControl/>
      <w:autoSpaceDE/>
      <w:autoSpaceDN/>
      <w:spacing w:before="0" w:after="0" w:line="480" w:lineRule="exact"/>
      <w:ind w:left="0" w:firstLine="0"/>
    </w:pPr>
    <w:rPr>
      <w:rFonts w:ascii="宋体" w:eastAsia="宋体"/>
      <w:sz w:val="28"/>
    </w:rPr>
  </w:style>
  <w:style w:type="paragraph" w:customStyle="1" w:styleId="50">
    <w:name w:val="主要正文"/>
    <w:basedOn w:val="1"/>
    <w:qFormat/>
    <w:uiPriority w:val="0"/>
    <w:pPr>
      <w:adjustRightInd w:val="0"/>
      <w:snapToGrid w:val="0"/>
      <w:spacing w:line="360" w:lineRule="auto"/>
      <w:ind w:firstLine="200" w:firstLineChars="200"/>
    </w:pPr>
    <w:rPr>
      <w:rFonts w:cs="宋体"/>
      <w:kern w:val="0"/>
      <w:sz w:val="24"/>
      <w:szCs w:val="21"/>
    </w:rPr>
  </w:style>
  <w:style w:type="character" w:customStyle="1" w:styleId="51">
    <w:name w:val="font21"/>
    <w:basedOn w:val="23"/>
    <w:qFormat/>
    <w:uiPriority w:val="0"/>
    <w:rPr>
      <w:rFonts w:hint="default" w:ascii="Times New Roman" w:hAnsi="Times New Roman" w:cs="Times New Roman"/>
      <w:color w:val="000000"/>
      <w:sz w:val="21"/>
      <w:szCs w:val="21"/>
      <w:u w:val="none"/>
    </w:rPr>
  </w:style>
  <w:style w:type="character" w:customStyle="1" w:styleId="52">
    <w:name w:val="font11"/>
    <w:basedOn w:val="23"/>
    <w:qFormat/>
    <w:uiPriority w:val="0"/>
    <w:rPr>
      <w:rFonts w:hint="eastAsia" w:ascii="宋体" w:hAnsi="宋体" w:eastAsia="宋体" w:cs="宋体"/>
      <w:b/>
      <w:bCs/>
      <w:color w:val="000000"/>
      <w:sz w:val="21"/>
      <w:szCs w:val="21"/>
      <w:u w:val="none"/>
    </w:rPr>
  </w:style>
  <w:style w:type="character" w:customStyle="1" w:styleId="53">
    <w:name w:val="font41"/>
    <w:basedOn w:val="23"/>
    <w:qFormat/>
    <w:uiPriority w:val="0"/>
    <w:rPr>
      <w:rFonts w:hint="default" w:ascii="Times New Roman" w:hAnsi="Times New Roman" w:cs="Times New Roman"/>
      <w:b/>
      <w:bCs/>
      <w:color w:val="000000"/>
      <w:sz w:val="21"/>
      <w:szCs w:val="21"/>
      <w:u w:val="none"/>
    </w:rPr>
  </w:style>
  <w:style w:type="paragraph" w:customStyle="1" w:styleId="54">
    <w:name w:val="Table Text"/>
    <w:basedOn w:val="1"/>
    <w:semiHidden/>
    <w:qFormat/>
    <w:uiPriority w:val="0"/>
    <w:rPr>
      <w:rFonts w:ascii="宋体" w:hAnsi="宋体" w:eastAsia="宋体" w:cs="宋体"/>
      <w:sz w:val="22"/>
      <w:szCs w:val="22"/>
      <w:lang w:val="en-US" w:eastAsia="en-US" w:bidi="ar-SA"/>
    </w:rPr>
  </w:style>
  <w:style w:type="paragraph" w:customStyle="1" w:styleId="55">
    <w:name w:val="正文—报告表"/>
    <w:basedOn w:val="1"/>
    <w:next w:val="1"/>
    <w:qFormat/>
    <w:uiPriority w:val="0"/>
    <w:pPr>
      <w:autoSpaceDE w:val="0"/>
      <w:autoSpaceDN w:val="0"/>
      <w:adjustRightInd w:val="0"/>
      <w:snapToGrid w:val="0"/>
      <w:spacing w:line="360" w:lineRule="auto"/>
      <w:ind w:firstLine="480" w:firstLineChars="200"/>
    </w:pPr>
    <w:rPr>
      <w:rFonts w:hint="eastAsia"/>
      <w:kern w:val="0"/>
    </w:rPr>
  </w:style>
  <w:style w:type="paragraph" w:customStyle="1" w:styleId="56">
    <w:name w:val="港区-附图"/>
    <w:basedOn w:val="1"/>
    <w:next w:val="1"/>
    <w:qFormat/>
    <w:uiPriority w:val="99"/>
    <w:pPr>
      <w:spacing w:line="240" w:lineRule="auto"/>
      <w:ind w:firstLine="0" w:firstLineChars="0"/>
      <w:jc w:val="center"/>
    </w:pPr>
    <w:rPr>
      <w:rFonts w:ascii="Times New Roman" w:hAnsi="Times New Roman"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er" Target="footer1.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oleObject" Target="embeddings/oleObject3.bin"/><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0A8114-CC0A-4813-B9FC-AF4B088E5F47}">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68</Pages>
  <Words>10673</Words>
  <Characters>11142</Characters>
  <Lines>674</Lines>
  <Paragraphs>1703</Paragraphs>
  <TotalTime>7</TotalTime>
  <ScaleCrop>false</ScaleCrop>
  <LinksUpToDate>false</LinksUpToDate>
  <CharactersWithSpaces>11186</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2024-01-03T08:04:00Z</dcterms:created>
  <dc:creator>lhj</dc:creator>
  <cp:lastModifiedBy>20314</cp:lastModifiedBy>
  <cp:lastPrinted>2024-01-26T02:20:00Z</cp:lastPrinted>
  <dcterms:modified xsi:type="dcterms:W3CDTF">2025-08-11T07:37:04Z</dcterms:modified>
  <dc:title>附件2</dc:title>
  <cp:revision>569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F3DD0C5FD03A45A1AE6D65C40275A33C_13</vt:lpwstr>
  </property>
  <property fmtid="{D5CDD505-2E9C-101B-9397-08002B2CF9AE}" pid="4" name="KSOTemplateDocerSaveRecord">
    <vt:lpwstr>eyJoZGlkIjoiN2I4YzVlMmUyMjc0YjZhY2E1YmJiMWRiMWI0YzAwNTIiLCJ1c2VySWQiOiIxMDM3NjMxMjY0In0=</vt:lpwstr>
  </property>
</Properties>
</file>